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AB1314" w14:textId="24287A49" w:rsidR="00BA6A46" w:rsidRPr="00E45508" w:rsidRDefault="00BA6A46" w:rsidP="418DB322"/>
    <w:p w14:paraId="5AFEE97C" w14:textId="3DB606F1" w:rsidR="00764D6A" w:rsidRPr="00E45508" w:rsidRDefault="00F05F11" w:rsidP="00BA6A46">
      <w:pPr>
        <w:pStyle w:val="Heading1"/>
      </w:pPr>
      <w:r w:rsidRPr="00E45508">
        <w:t xml:space="preserve">Reform of </w:t>
      </w:r>
      <w:r w:rsidR="007459A5" w:rsidRPr="00E45508">
        <w:t>p</w:t>
      </w:r>
      <w:r w:rsidRPr="00E45508">
        <w:t xml:space="preserve">ackaging </w:t>
      </w:r>
      <w:r w:rsidR="007459A5" w:rsidRPr="00E45508">
        <w:t>r</w:t>
      </w:r>
      <w:r w:rsidRPr="00E45508">
        <w:t>egulation</w:t>
      </w:r>
    </w:p>
    <w:p w14:paraId="00502E6B" w14:textId="7637178B" w:rsidR="00764D6A" w:rsidRPr="00E45508" w:rsidRDefault="00F05F11">
      <w:pPr>
        <w:pStyle w:val="Subtitle"/>
        <w:rPr>
          <w:rFonts w:asciiTheme="minorHAnsi" w:hAnsiTheme="minorHAnsi"/>
        </w:rPr>
      </w:pPr>
      <w:r w:rsidRPr="00E45508">
        <w:rPr>
          <w:rFonts w:asciiTheme="minorHAnsi" w:hAnsiTheme="minorHAnsi"/>
        </w:rPr>
        <w:t xml:space="preserve">Consultation </w:t>
      </w:r>
      <w:r w:rsidR="00DD3390" w:rsidRPr="00E45508">
        <w:rPr>
          <w:rFonts w:asciiTheme="minorHAnsi" w:hAnsiTheme="minorHAnsi"/>
        </w:rPr>
        <w:t>p</w:t>
      </w:r>
      <w:r w:rsidR="6C122D3D" w:rsidRPr="00E45508">
        <w:rPr>
          <w:rFonts w:asciiTheme="minorHAnsi" w:hAnsiTheme="minorHAnsi"/>
        </w:rPr>
        <w:t>aper</w:t>
      </w:r>
    </w:p>
    <w:p w14:paraId="3D57E9A2" w14:textId="2080AD3E" w:rsidR="00764D6A" w:rsidRPr="00E45508" w:rsidRDefault="00C51754" w:rsidP="00392DB2">
      <w:pPr>
        <w:pStyle w:val="Author"/>
        <w:rPr>
          <w:rFonts w:cstheme="minorHAnsi"/>
        </w:rPr>
      </w:pPr>
      <w:r w:rsidRPr="00E45508">
        <w:rPr>
          <w:rFonts w:cstheme="minorHAnsi"/>
        </w:rPr>
        <w:t>Department of Climate Change, Energy, the Environment and Water</w:t>
      </w:r>
    </w:p>
    <w:p w14:paraId="70AAC623" w14:textId="716A4685" w:rsidR="00764D6A" w:rsidRPr="00E45508" w:rsidRDefault="00E91D72">
      <w:pPr>
        <w:pStyle w:val="Normalsmall"/>
        <w:rPr>
          <w:rFonts w:cstheme="minorHAnsi"/>
        </w:rPr>
      </w:pPr>
      <w:r w:rsidRPr="00E45508">
        <w:rPr>
          <w:rFonts w:cstheme="minorHAnsi"/>
        </w:rPr>
        <w:br w:type="page"/>
        <w:t xml:space="preserve">© Commonwealth of Australia </w:t>
      </w:r>
      <w:r w:rsidR="00B97E61" w:rsidRPr="00E45508">
        <w:rPr>
          <w:rFonts w:cstheme="minorHAnsi"/>
        </w:rPr>
        <w:t>202</w:t>
      </w:r>
      <w:r w:rsidR="00177AE2" w:rsidRPr="00E45508">
        <w:rPr>
          <w:rFonts w:cstheme="minorHAnsi"/>
        </w:rPr>
        <w:t>4</w:t>
      </w:r>
    </w:p>
    <w:p w14:paraId="62802832" w14:textId="77777777" w:rsidR="00764D6A" w:rsidRPr="00E45508" w:rsidRDefault="00E91D72">
      <w:pPr>
        <w:pStyle w:val="Normalsmall"/>
        <w:rPr>
          <w:rStyle w:val="Strong"/>
          <w:rFonts w:cstheme="minorHAnsi"/>
        </w:rPr>
      </w:pPr>
      <w:r w:rsidRPr="00E45508">
        <w:rPr>
          <w:rStyle w:val="Strong"/>
          <w:rFonts w:cstheme="minorHAnsi"/>
        </w:rPr>
        <w:t>Ownership of intellectual property rights</w:t>
      </w:r>
    </w:p>
    <w:p w14:paraId="6992ED30" w14:textId="77777777" w:rsidR="00764D6A" w:rsidRPr="00E45508" w:rsidRDefault="00E91D72">
      <w:pPr>
        <w:pStyle w:val="Normalsmall"/>
        <w:rPr>
          <w:rFonts w:cstheme="minorHAnsi"/>
        </w:rPr>
      </w:pPr>
      <w:r w:rsidRPr="00E45508">
        <w:rPr>
          <w:rFonts w:cstheme="minorHAnsi"/>
        </w:rPr>
        <w:t>Unless otherwise noted, copyright (and any other intellectual property rights) in this publication is owned by the Commonwealth of Australia (referred to as the Commonwealth).</w:t>
      </w:r>
    </w:p>
    <w:p w14:paraId="44A24146" w14:textId="77777777" w:rsidR="00764D6A" w:rsidRPr="00E45508" w:rsidRDefault="00E91D72">
      <w:pPr>
        <w:pStyle w:val="Normalsmall"/>
        <w:rPr>
          <w:rStyle w:val="Strong"/>
          <w:rFonts w:cstheme="minorHAnsi"/>
        </w:rPr>
      </w:pPr>
      <w:r w:rsidRPr="00E45508">
        <w:rPr>
          <w:rStyle w:val="Strong"/>
          <w:rFonts w:cstheme="minorHAnsi"/>
        </w:rPr>
        <w:t>Creative Commons licence</w:t>
      </w:r>
    </w:p>
    <w:p w14:paraId="1FAEF76B" w14:textId="77777777" w:rsidR="00764D6A" w:rsidRPr="00E45508" w:rsidRDefault="00E91D72">
      <w:pPr>
        <w:pStyle w:val="Normalsmall"/>
        <w:rPr>
          <w:rFonts w:cstheme="minorHAnsi"/>
        </w:rPr>
      </w:pPr>
      <w:r w:rsidRPr="00E45508">
        <w:rPr>
          <w:rFonts w:cstheme="minorHAnsi"/>
        </w:rPr>
        <w:t xml:space="preserve">All material in this publication is licensed under a </w:t>
      </w:r>
      <w:hyperlink r:id="rId11" w:history="1">
        <w:r w:rsidRPr="00E45508">
          <w:rPr>
            <w:rStyle w:val="Hyperlink"/>
            <w:rFonts w:cstheme="minorHAnsi"/>
          </w:rPr>
          <w:t>Creative Commons Attribution 4.0 International Licence</w:t>
        </w:r>
      </w:hyperlink>
      <w:r w:rsidRPr="00E45508">
        <w:rPr>
          <w:rFonts w:cstheme="minorHAnsi"/>
        </w:rPr>
        <w:t xml:space="preserve"> except content supplied by third parties, logos and the Commonwealth Coat of Arms.</w:t>
      </w:r>
    </w:p>
    <w:p w14:paraId="1656874F" w14:textId="77777777" w:rsidR="00764D6A" w:rsidRPr="00E45508" w:rsidRDefault="00E91D72">
      <w:pPr>
        <w:pStyle w:val="Normalsmall"/>
        <w:rPr>
          <w:rFonts w:cstheme="minorHAnsi"/>
        </w:rPr>
      </w:pPr>
      <w:r w:rsidRPr="00E45508">
        <w:rPr>
          <w:rFonts w:cstheme="minorHAnsi"/>
        </w:rPr>
        <w:t xml:space="preserve">Inquiries about the licence and any use of this document should be emailed to </w:t>
      </w:r>
      <w:hyperlink r:id="rId12" w:history="1">
        <w:r w:rsidR="00D86640" w:rsidRPr="00E45508">
          <w:rPr>
            <w:rStyle w:val="Hyperlink"/>
            <w:rFonts w:cstheme="minorHAnsi"/>
          </w:rPr>
          <w:t>copyright@dcceew.gov.au</w:t>
        </w:r>
      </w:hyperlink>
      <w:r w:rsidRPr="00E45508">
        <w:rPr>
          <w:rFonts w:cstheme="minorHAnsi"/>
        </w:rPr>
        <w:t>.</w:t>
      </w:r>
    </w:p>
    <w:p w14:paraId="1091A776" w14:textId="77777777" w:rsidR="00764D6A" w:rsidRPr="00E45508" w:rsidRDefault="00E91D72">
      <w:pPr>
        <w:pStyle w:val="Normalsmall"/>
        <w:rPr>
          <w:rFonts w:cstheme="minorHAnsi"/>
        </w:rPr>
      </w:pPr>
      <w:r w:rsidRPr="00E45508">
        <w:rPr>
          <w:rFonts w:cstheme="minorHAnsi"/>
          <w:noProof/>
          <w:lang w:eastAsia="en-AU"/>
        </w:rPr>
        <w:drawing>
          <wp:inline distT="0" distB="0" distL="0" distR="0" wp14:anchorId="2A1CB74B" wp14:editId="2AB08A5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ED21177" w14:textId="77777777" w:rsidR="00764D6A" w:rsidRPr="00E45508" w:rsidRDefault="00E91D72">
      <w:pPr>
        <w:pStyle w:val="Normalsmall"/>
        <w:rPr>
          <w:rStyle w:val="Strong"/>
          <w:rFonts w:cstheme="minorHAnsi"/>
        </w:rPr>
      </w:pPr>
      <w:r w:rsidRPr="00E45508">
        <w:rPr>
          <w:rStyle w:val="Strong"/>
          <w:rFonts w:cstheme="minorHAnsi"/>
        </w:rPr>
        <w:t>Cataloguing data</w:t>
      </w:r>
    </w:p>
    <w:p w14:paraId="1BF4D388" w14:textId="155AB7EA" w:rsidR="00764D6A" w:rsidRPr="00E45508" w:rsidRDefault="00E91D72">
      <w:pPr>
        <w:pStyle w:val="Normalsmall"/>
      </w:pPr>
      <w:r w:rsidRPr="00E45508">
        <w:t xml:space="preserve">This publication (and any material sourced from it) should be attributed as: </w:t>
      </w:r>
      <w:r w:rsidR="009D5007" w:rsidRPr="00E45508">
        <w:t>D</w:t>
      </w:r>
      <w:r w:rsidR="000F2194" w:rsidRPr="00E45508">
        <w:t>CCEEW</w:t>
      </w:r>
      <w:r w:rsidR="00B97E61" w:rsidRPr="00E45508">
        <w:t xml:space="preserve"> 202</w:t>
      </w:r>
      <w:r w:rsidR="00857E88" w:rsidRPr="00E45508">
        <w:t>4</w:t>
      </w:r>
      <w:r w:rsidRPr="00E45508">
        <w:t xml:space="preserve">, </w:t>
      </w:r>
      <w:r w:rsidR="00A50420" w:rsidRPr="00E45508">
        <w:rPr>
          <w:i/>
          <w:iCs/>
        </w:rPr>
        <w:t xml:space="preserve">Reform of </w:t>
      </w:r>
      <w:r w:rsidR="004D608A" w:rsidRPr="00E45508">
        <w:rPr>
          <w:i/>
          <w:iCs/>
        </w:rPr>
        <w:t>p</w:t>
      </w:r>
      <w:r w:rsidR="00A50420" w:rsidRPr="00E45508">
        <w:rPr>
          <w:i/>
          <w:iCs/>
        </w:rPr>
        <w:t xml:space="preserve">ackaging </w:t>
      </w:r>
      <w:r w:rsidR="004D608A" w:rsidRPr="00E45508">
        <w:rPr>
          <w:i/>
          <w:iCs/>
        </w:rPr>
        <w:t>r</w:t>
      </w:r>
      <w:r w:rsidR="00A50420" w:rsidRPr="00E45508">
        <w:rPr>
          <w:i/>
          <w:iCs/>
        </w:rPr>
        <w:t>egulation</w:t>
      </w:r>
      <w:r w:rsidR="00A50420" w:rsidRPr="00E45508">
        <w:t xml:space="preserve"> </w:t>
      </w:r>
      <w:r w:rsidR="000C157D" w:rsidRPr="00E45508">
        <w:rPr>
          <w:i/>
          <w:iCs/>
        </w:rPr>
        <w:t xml:space="preserve">Consultation </w:t>
      </w:r>
      <w:r w:rsidR="004D608A" w:rsidRPr="00E45508">
        <w:rPr>
          <w:i/>
          <w:iCs/>
        </w:rPr>
        <w:t>p</w:t>
      </w:r>
      <w:r w:rsidR="000C157D" w:rsidRPr="00E45508">
        <w:rPr>
          <w:i/>
          <w:iCs/>
        </w:rPr>
        <w:t>aper</w:t>
      </w:r>
      <w:r w:rsidRPr="00E45508">
        <w:t xml:space="preserve">, </w:t>
      </w:r>
      <w:r w:rsidR="006F065B" w:rsidRPr="00E45508">
        <w:t>Department of Climate Change, Energy, the Environment and Water</w:t>
      </w:r>
      <w:r w:rsidRPr="00E45508">
        <w:t>, Canberra. CC BY 4.0.</w:t>
      </w:r>
    </w:p>
    <w:p w14:paraId="1A63BEF5" w14:textId="38601003" w:rsidR="00764D6A" w:rsidRPr="00E45508" w:rsidRDefault="00E91D72">
      <w:pPr>
        <w:pStyle w:val="Normalsmall"/>
        <w:rPr>
          <w:rFonts w:cstheme="minorHAnsi"/>
        </w:rPr>
      </w:pPr>
      <w:r w:rsidRPr="00E45508">
        <w:rPr>
          <w:rFonts w:cstheme="minorHAnsi"/>
        </w:rPr>
        <w:t xml:space="preserve">This publication is available at </w:t>
      </w:r>
      <w:hyperlink r:id="rId14" w:history="1">
        <w:r w:rsidR="00E00C56" w:rsidRPr="0077781D">
          <w:rPr>
            <w:rStyle w:val="Hyperlink"/>
            <w:rFonts w:cstheme="minorHAnsi"/>
          </w:rPr>
          <w:t>consult.dcceew.gov.au</w:t>
        </w:r>
      </w:hyperlink>
      <w:r w:rsidRPr="0077781D">
        <w:rPr>
          <w:rFonts w:cstheme="minorHAnsi"/>
        </w:rPr>
        <w:t>.</w:t>
      </w:r>
    </w:p>
    <w:p w14:paraId="7FA17978" w14:textId="77777777" w:rsidR="00DE0AAE" w:rsidRPr="00E45508" w:rsidRDefault="00D86640">
      <w:pPr>
        <w:pStyle w:val="Normalsmall"/>
        <w:spacing w:after="0"/>
        <w:rPr>
          <w:rFonts w:cstheme="minorHAnsi"/>
        </w:rPr>
      </w:pPr>
      <w:r w:rsidRPr="00E45508">
        <w:rPr>
          <w:rFonts w:cstheme="minorHAnsi"/>
        </w:rPr>
        <w:t>Department of Climate Change, Energy, the Environment and Water</w:t>
      </w:r>
    </w:p>
    <w:p w14:paraId="70BDE0D5" w14:textId="77777777" w:rsidR="00764D6A" w:rsidRPr="00E45508" w:rsidRDefault="00E91D72">
      <w:pPr>
        <w:pStyle w:val="Normalsmall"/>
        <w:spacing w:after="0"/>
        <w:rPr>
          <w:rFonts w:cstheme="minorHAnsi"/>
        </w:rPr>
      </w:pPr>
      <w:r w:rsidRPr="00E45508">
        <w:rPr>
          <w:rFonts w:cstheme="minorHAnsi"/>
        </w:rPr>
        <w:t xml:space="preserve">GPO Box </w:t>
      </w:r>
      <w:r w:rsidR="008E2377" w:rsidRPr="00E45508">
        <w:rPr>
          <w:rFonts w:cstheme="minorHAnsi"/>
        </w:rPr>
        <w:t>3090</w:t>
      </w:r>
      <w:r w:rsidRPr="00E45508">
        <w:rPr>
          <w:rFonts w:cstheme="minorHAnsi"/>
        </w:rPr>
        <w:t xml:space="preserve"> Canberra ACT 2601</w:t>
      </w:r>
    </w:p>
    <w:p w14:paraId="3F674F7A" w14:textId="77777777" w:rsidR="00764D6A" w:rsidRPr="00E45508" w:rsidRDefault="00E91D72">
      <w:pPr>
        <w:pStyle w:val="Normalsmall"/>
        <w:spacing w:after="0"/>
        <w:rPr>
          <w:rFonts w:cstheme="minorHAnsi"/>
        </w:rPr>
      </w:pPr>
      <w:r w:rsidRPr="00E45508">
        <w:rPr>
          <w:rFonts w:cstheme="minorHAnsi"/>
        </w:rPr>
        <w:t>Telephone 1800 900 090</w:t>
      </w:r>
    </w:p>
    <w:p w14:paraId="7960DE26" w14:textId="77777777" w:rsidR="00764D6A" w:rsidRPr="00E45508" w:rsidRDefault="00E91D72">
      <w:pPr>
        <w:pStyle w:val="Normalsmall"/>
        <w:rPr>
          <w:rFonts w:cstheme="minorHAnsi"/>
        </w:rPr>
      </w:pPr>
      <w:bookmarkStart w:id="0" w:name="_Hlk108621036"/>
      <w:r w:rsidRPr="00E45508">
        <w:rPr>
          <w:rFonts w:cstheme="minorHAnsi"/>
        </w:rPr>
        <w:t xml:space="preserve">Web </w:t>
      </w:r>
      <w:hyperlink r:id="rId15" w:history="1">
        <w:r w:rsidR="00D86640" w:rsidRPr="00E45508">
          <w:rPr>
            <w:rStyle w:val="Hyperlink"/>
            <w:rFonts w:cstheme="minorHAnsi"/>
          </w:rPr>
          <w:t>dcceew.gov.au</w:t>
        </w:r>
      </w:hyperlink>
    </w:p>
    <w:bookmarkEnd w:id="0"/>
    <w:p w14:paraId="1437480D" w14:textId="42F2C7C7" w:rsidR="007C358A" w:rsidRPr="00E45508" w:rsidRDefault="007C358A">
      <w:pPr>
        <w:pStyle w:val="Normalsmall"/>
      </w:pPr>
      <w:r w:rsidRPr="00E45508">
        <w:rPr>
          <w:rStyle w:val="Strong"/>
        </w:rPr>
        <w:t>Disclaimer</w:t>
      </w:r>
    </w:p>
    <w:p w14:paraId="26091630" w14:textId="77777777" w:rsidR="003708FC" w:rsidRPr="00E45508" w:rsidRDefault="003708FC" w:rsidP="003708FC">
      <w:pPr>
        <w:pStyle w:val="Normalsmall"/>
        <w:rPr>
          <w:rFonts w:cstheme="minorHAnsi"/>
        </w:rPr>
      </w:pPr>
      <w:r w:rsidRPr="00E45508">
        <w:rPr>
          <w:rFonts w:cstheme="minorHAnsi"/>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5A4FBF0" w14:textId="77777777" w:rsidR="003708FC" w:rsidRPr="00E45508" w:rsidRDefault="003708FC" w:rsidP="03076C97">
      <w:pPr>
        <w:pStyle w:val="Normalsmall"/>
        <w:rPr>
          <w:rStyle w:val="Strong"/>
        </w:rPr>
      </w:pPr>
      <w:r w:rsidRPr="00E45508">
        <w:rPr>
          <w:rStyle w:val="Strong"/>
        </w:rPr>
        <w:t>Acknowledgements</w:t>
      </w:r>
    </w:p>
    <w:p w14:paraId="0C1366B9" w14:textId="23D7B6D8" w:rsidR="222194F3" w:rsidRPr="00E45508" w:rsidRDefault="222194F3" w:rsidP="03076C97">
      <w:pPr>
        <w:pStyle w:val="Normalsmall"/>
      </w:pPr>
      <w:r w:rsidRPr="00E45508">
        <w:t>The authors thank industry, state and territory governments</w:t>
      </w:r>
      <w:r w:rsidR="101811AA" w:rsidRPr="00E45508">
        <w:t>, and non-government organisations</w:t>
      </w:r>
      <w:r w:rsidRPr="00E45508">
        <w:t xml:space="preserve"> for their</w:t>
      </w:r>
      <w:r w:rsidR="40F87046" w:rsidRPr="00E45508">
        <w:t xml:space="preserve"> continued</w:t>
      </w:r>
      <w:r w:rsidRPr="00E45508">
        <w:t xml:space="preserve"> input and feedback to date on reforming packaging regulation in Aus</w:t>
      </w:r>
      <w:r w:rsidR="5FEF5CF4" w:rsidRPr="00E45508">
        <w:t>tralia.</w:t>
      </w:r>
    </w:p>
    <w:p w14:paraId="7E45A014" w14:textId="77777777" w:rsidR="003708FC" w:rsidRPr="00E45508" w:rsidRDefault="003708FC" w:rsidP="003708FC">
      <w:pPr>
        <w:pStyle w:val="Normalsmall"/>
        <w:rPr>
          <w:rFonts w:cstheme="minorHAnsi"/>
        </w:rPr>
      </w:pPr>
      <w:r w:rsidRPr="00E45508">
        <w:rPr>
          <w:rStyle w:val="Strong"/>
          <w:rFonts w:cstheme="minorHAnsi"/>
        </w:rPr>
        <w:t>Acknowledgement of Country</w:t>
      </w:r>
    </w:p>
    <w:p w14:paraId="7B903CDC" w14:textId="6E7A2153" w:rsidR="002C3946" w:rsidRPr="00E45508" w:rsidRDefault="003708FC" w:rsidP="00D17192">
      <w:pPr>
        <w:pStyle w:val="Normalsmall"/>
        <w:rPr>
          <w:b/>
        </w:rPr>
      </w:pPr>
      <w:r w:rsidRPr="00E45508">
        <w:t>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and present.</w:t>
      </w:r>
      <w:r w:rsidR="008D3382" w:rsidRPr="00E45508">
        <w:br w:type="page"/>
      </w:r>
    </w:p>
    <w:sdt>
      <w:sdtPr>
        <w:rPr>
          <w:rFonts w:asciiTheme="minorHAnsi" w:eastAsiaTheme="minorHAnsi" w:hAnsiTheme="minorHAnsi"/>
          <w:bCs w:val="0"/>
          <w:color w:val="auto"/>
          <w:sz w:val="22"/>
          <w:szCs w:val="22"/>
          <w:lang w:eastAsia="en-US"/>
        </w:rPr>
        <w:id w:val="1165815247"/>
        <w:docPartObj>
          <w:docPartGallery w:val="Table of Contents"/>
          <w:docPartUnique/>
        </w:docPartObj>
      </w:sdtPr>
      <w:sdtEndPr>
        <w:rPr>
          <w:b/>
          <w:bCs/>
        </w:rPr>
      </w:sdtEndPr>
      <w:sdtContent>
        <w:p w14:paraId="364311A1" w14:textId="18662C4D" w:rsidR="00723E7A" w:rsidRPr="00E45508" w:rsidRDefault="00723E7A" w:rsidP="008737CE">
          <w:pPr>
            <w:pStyle w:val="TOCHeading"/>
          </w:pPr>
          <w:r w:rsidRPr="00E45508">
            <w:t>Contents</w:t>
          </w:r>
        </w:p>
        <w:p w14:paraId="117681BB" w14:textId="2C1E61D2" w:rsidR="00A87406" w:rsidRDefault="00723E7A">
          <w:pPr>
            <w:pStyle w:val="TOC1"/>
            <w:rPr>
              <w:rFonts w:eastAsiaTheme="minorEastAsia"/>
              <w:b w:val="0"/>
              <w:kern w:val="2"/>
              <w:sz w:val="24"/>
              <w:szCs w:val="24"/>
              <w:lang w:eastAsia="en-AU"/>
              <w14:ligatures w14:val="standardContextual"/>
            </w:rPr>
          </w:pPr>
          <w:r w:rsidRPr="00E45508">
            <w:fldChar w:fldCharType="begin"/>
          </w:r>
          <w:r w:rsidRPr="00E45508">
            <w:instrText xml:space="preserve"> TOC \</w:instrText>
          </w:r>
          <w:r w:rsidR="00E87AFF" w:rsidRPr="00E45508">
            <w:instrText>h</w:instrText>
          </w:r>
          <w:r w:rsidRPr="00E45508">
            <w:instrText xml:space="preserve"> </w:instrText>
          </w:r>
          <w:r w:rsidR="00E87AFF" w:rsidRPr="00E45508">
            <w:instrText xml:space="preserve">\z \t </w:instrText>
          </w:r>
          <w:r w:rsidRPr="00E45508">
            <w:instrText>"</w:instrText>
          </w:r>
          <w:r w:rsidR="007F17CC" w:rsidRPr="00E45508">
            <w:rPr>
              <w:bCs/>
            </w:rPr>
            <w:instrText>Heading 2,</w:instrText>
          </w:r>
          <w:r w:rsidR="00E901B1" w:rsidRPr="00E45508">
            <w:rPr>
              <w:bCs/>
            </w:rPr>
            <w:instrText>1</w:instrText>
          </w:r>
          <w:r w:rsidR="007F17CC" w:rsidRPr="00E45508">
            <w:rPr>
              <w:bCs/>
            </w:rPr>
            <w:instrText>,H</w:instrText>
          </w:r>
          <w:r w:rsidR="00E87AFF" w:rsidRPr="00E45508">
            <w:rPr>
              <w:rFonts w:ascii="Segoe UI" w:hAnsi="Segoe UI" w:cs="Segoe UI"/>
              <w:b w:val="0"/>
              <w:bCs/>
              <w:color w:val="000000"/>
              <w:sz w:val="23"/>
              <w:szCs w:val="23"/>
              <w:bdr w:val="none" w:sz="0" w:space="0" w:color="auto" w:frame="1"/>
              <w:shd w:val="clear" w:color="auto" w:fill="F7F7F7"/>
            </w:rPr>
            <w:instrText xml:space="preserve"> </w:instrText>
          </w:r>
          <w:r w:rsidR="00E87AFF" w:rsidRPr="00E45508">
            <w:rPr>
              <w:bCs/>
            </w:rPr>
            <w:instrText xml:space="preserve">Heading 2,3,Heading 3,4 </w:instrText>
          </w:r>
          <w:r w:rsidR="007F17CC" w:rsidRPr="00E45508">
            <w:rPr>
              <w:bCs/>
            </w:rPr>
            <w:instrText>eading 3,</w:instrText>
          </w:r>
          <w:r w:rsidR="00472280" w:rsidRPr="00E45508">
            <w:rPr>
              <w:bCs/>
            </w:rPr>
            <w:instrText>2</w:instrText>
          </w:r>
          <w:r w:rsidRPr="00E45508">
            <w:instrText>"</w:instrText>
          </w:r>
          <w:r w:rsidRPr="00E45508">
            <w:fldChar w:fldCharType="separate"/>
          </w:r>
          <w:hyperlink w:anchor="_Toc178230232" w:history="1">
            <w:r w:rsidR="00A87406" w:rsidRPr="00FD11D4">
              <w:rPr>
                <w:rStyle w:val="Hyperlink"/>
              </w:rPr>
              <w:t>Executive summary</w:t>
            </w:r>
            <w:r w:rsidR="00A87406">
              <w:rPr>
                <w:webHidden/>
              </w:rPr>
              <w:tab/>
            </w:r>
            <w:r w:rsidR="00A87406">
              <w:rPr>
                <w:webHidden/>
              </w:rPr>
              <w:fldChar w:fldCharType="begin"/>
            </w:r>
            <w:r w:rsidR="00A87406">
              <w:rPr>
                <w:webHidden/>
              </w:rPr>
              <w:instrText xml:space="preserve"> PAGEREF _Toc178230232 \h </w:instrText>
            </w:r>
            <w:r w:rsidR="00A87406">
              <w:rPr>
                <w:webHidden/>
              </w:rPr>
            </w:r>
            <w:r w:rsidR="00A87406">
              <w:rPr>
                <w:webHidden/>
              </w:rPr>
              <w:fldChar w:fldCharType="separate"/>
            </w:r>
            <w:r w:rsidR="009A2EC4">
              <w:rPr>
                <w:webHidden/>
              </w:rPr>
              <w:t>vii</w:t>
            </w:r>
            <w:r w:rsidR="00A87406">
              <w:rPr>
                <w:webHidden/>
              </w:rPr>
              <w:fldChar w:fldCharType="end"/>
            </w:r>
          </w:hyperlink>
        </w:p>
        <w:p w14:paraId="0A5B92D1" w14:textId="4CFFF998" w:rsidR="00A87406" w:rsidRDefault="00A87406">
          <w:pPr>
            <w:pStyle w:val="TOC1"/>
            <w:rPr>
              <w:rFonts w:eastAsiaTheme="minorEastAsia"/>
              <w:b w:val="0"/>
              <w:kern w:val="2"/>
              <w:sz w:val="24"/>
              <w:szCs w:val="24"/>
              <w:lang w:eastAsia="en-AU"/>
              <w14:ligatures w14:val="standardContextual"/>
            </w:rPr>
          </w:pPr>
          <w:hyperlink w:anchor="_Toc178230233" w:history="1">
            <w:r w:rsidRPr="00FD11D4">
              <w:rPr>
                <w:rStyle w:val="Hyperlink"/>
              </w:rPr>
              <w:t>1. Introduction</w:t>
            </w:r>
            <w:r>
              <w:rPr>
                <w:webHidden/>
              </w:rPr>
              <w:tab/>
            </w:r>
            <w:r>
              <w:rPr>
                <w:webHidden/>
              </w:rPr>
              <w:fldChar w:fldCharType="begin"/>
            </w:r>
            <w:r>
              <w:rPr>
                <w:webHidden/>
              </w:rPr>
              <w:instrText xml:space="preserve"> PAGEREF _Toc178230233 \h </w:instrText>
            </w:r>
            <w:r>
              <w:rPr>
                <w:webHidden/>
              </w:rPr>
            </w:r>
            <w:r>
              <w:rPr>
                <w:webHidden/>
              </w:rPr>
              <w:fldChar w:fldCharType="separate"/>
            </w:r>
            <w:r w:rsidR="009A2EC4">
              <w:rPr>
                <w:webHidden/>
              </w:rPr>
              <w:t>1</w:t>
            </w:r>
            <w:r>
              <w:rPr>
                <w:webHidden/>
              </w:rPr>
              <w:fldChar w:fldCharType="end"/>
            </w:r>
          </w:hyperlink>
        </w:p>
        <w:p w14:paraId="761C1205" w14:textId="776B527B" w:rsidR="00A87406" w:rsidRDefault="00A87406">
          <w:pPr>
            <w:pStyle w:val="TOC1"/>
            <w:rPr>
              <w:rFonts w:eastAsiaTheme="minorEastAsia"/>
              <w:b w:val="0"/>
              <w:kern w:val="2"/>
              <w:sz w:val="24"/>
              <w:szCs w:val="24"/>
              <w:lang w:eastAsia="en-AU"/>
              <w14:ligatures w14:val="standardContextual"/>
            </w:rPr>
          </w:pPr>
          <w:hyperlink w:anchor="_Toc178230234" w:history="1">
            <w:r w:rsidRPr="00FD11D4">
              <w:rPr>
                <w:rStyle w:val="Hyperlink"/>
              </w:rPr>
              <w:t>2. Background</w:t>
            </w:r>
            <w:r>
              <w:rPr>
                <w:webHidden/>
              </w:rPr>
              <w:tab/>
            </w:r>
            <w:r>
              <w:rPr>
                <w:webHidden/>
              </w:rPr>
              <w:fldChar w:fldCharType="begin"/>
            </w:r>
            <w:r>
              <w:rPr>
                <w:webHidden/>
              </w:rPr>
              <w:instrText xml:space="preserve"> PAGEREF _Toc178230234 \h </w:instrText>
            </w:r>
            <w:r>
              <w:rPr>
                <w:webHidden/>
              </w:rPr>
            </w:r>
            <w:r>
              <w:rPr>
                <w:webHidden/>
              </w:rPr>
              <w:fldChar w:fldCharType="separate"/>
            </w:r>
            <w:r w:rsidR="009A2EC4">
              <w:rPr>
                <w:webHidden/>
              </w:rPr>
              <w:t>2</w:t>
            </w:r>
            <w:r>
              <w:rPr>
                <w:webHidden/>
              </w:rPr>
              <w:fldChar w:fldCharType="end"/>
            </w:r>
          </w:hyperlink>
        </w:p>
        <w:p w14:paraId="2DEC4F91" w14:textId="4B793CB2" w:rsidR="00A87406" w:rsidRDefault="00A87406">
          <w:pPr>
            <w:pStyle w:val="TOC4"/>
            <w:rPr>
              <w:rFonts w:eastAsiaTheme="minorEastAsia"/>
              <w:noProof/>
              <w:kern w:val="2"/>
              <w:sz w:val="24"/>
              <w:szCs w:val="24"/>
              <w:lang w:eastAsia="en-AU"/>
              <w14:ligatures w14:val="standardContextual"/>
            </w:rPr>
          </w:pPr>
          <w:hyperlink w:anchor="_Toc178230235" w:history="1">
            <w:r w:rsidRPr="00FD11D4">
              <w:rPr>
                <w:rStyle w:val="Hyperlink"/>
                <w:noProof/>
              </w:rPr>
              <w:t>2.1 Packaging in Australia</w:t>
            </w:r>
            <w:r>
              <w:rPr>
                <w:noProof/>
                <w:webHidden/>
              </w:rPr>
              <w:tab/>
            </w:r>
            <w:r>
              <w:rPr>
                <w:noProof/>
                <w:webHidden/>
              </w:rPr>
              <w:fldChar w:fldCharType="begin"/>
            </w:r>
            <w:r>
              <w:rPr>
                <w:noProof/>
                <w:webHidden/>
              </w:rPr>
              <w:instrText xml:space="preserve"> PAGEREF _Toc178230235 \h </w:instrText>
            </w:r>
            <w:r>
              <w:rPr>
                <w:noProof/>
                <w:webHidden/>
              </w:rPr>
            </w:r>
            <w:r>
              <w:rPr>
                <w:noProof/>
                <w:webHidden/>
              </w:rPr>
              <w:fldChar w:fldCharType="separate"/>
            </w:r>
            <w:r w:rsidR="009A2EC4">
              <w:rPr>
                <w:noProof/>
                <w:webHidden/>
              </w:rPr>
              <w:t>2</w:t>
            </w:r>
            <w:r>
              <w:rPr>
                <w:noProof/>
                <w:webHidden/>
              </w:rPr>
              <w:fldChar w:fldCharType="end"/>
            </w:r>
          </w:hyperlink>
        </w:p>
        <w:p w14:paraId="5DB529FE" w14:textId="5F06E315" w:rsidR="00A87406" w:rsidRDefault="00A87406">
          <w:pPr>
            <w:pStyle w:val="TOC4"/>
            <w:rPr>
              <w:rFonts w:eastAsiaTheme="minorEastAsia"/>
              <w:noProof/>
              <w:kern w:val="2"/>
              <w:sz w:val="24"/>
              <w:szCs w:val="24"/>
              <w:lang w:eastAsia="en-AU"/>
              <w14:ligatures w14:val="standardContextual"/>
            </w:rPr>
          </w:pPr>
          <w:hyperlink w:anchor="_Toc178230236" w:history="1">
            <w:r w:rsidRPr="00FD11D4">
              <w:rPr>
                <w:rStyle w:val="Hyperlink"/>
                <w:noProof/>
              </w:rPr>
              <w:t>2.2 Current regulation of packaging in Australia</w:t>
            </w:r>
            <w:r>
              <w:rPr>
                <w:noProof/>
                <w:webHidden/>
              </w:rPr>
              <w:tab/>
            </w:r>
            <w:r>
              <w:rPr>
                <w:noProof/>
                <w:webHidden/>
              </w:rPr>
              <w:fldChar w:fldCharType="begin"/>
            </w:r>
            <w:r>
              <w:rPr>
                <w:noProof/>
                <w:webHidden/>
              </w:rPr>
              <w:instrText xml:space="preserve"> PAGEREF _Toc178230236 \h </w:instrText>
            </w:r>
            <w:r>
              <w:rPr>
                <w:noProof/>
                <w:webHidden/>
              </w:rPr>
            </w:r>
            <w:r>
              <w:rPr>
                <w:noProof/>
                <w:webHidden/>
              </w:rPr>
              <w:fldChar w:fldCharType="separate"/>
            </w:r>
            <w:r w:rsidR="009A2EC4">
              <w:rPr>
                <w:noProof/>
                <w:webHidden/>
              </w:rPr>
              <w:t>2</w:t>
            </w:r>
            <w:r>
              <w:rPr>
                <w:noProof/>
                <w:webHidden/>
              </w:rPr>
              <w:fldChar w:fldCharType="end"/>
            </w:r>
          </w:hyperlink>
        </w:p>
        <w:p w14:paraId="0A18D795" w14:textId="63793535" w:rsidR="00A87406" w:rsidRDefault="00A87406">
          <w:pPr>
            <w:pStyle w:val="TOC4"/>
            <w:rPr>
              <w:rFonts w:eastAsiaTheme="minorEastAsia"/>
              <w:noProof/>
              <w:kern w:val="2"/>
              <w:sz w:val="24"/>
              <w:szCs w:val="24"/>
              <w:lang w:eastAsia="en-AU"/>
              <w14:ligatures w14:val="standardContextual"/>
            </w:rPr>
          </w:pPr>
          <w:hyperlink w:anchor="_Toc178230237" w:history="1">
            <w:r w:rsidRPr="00FD11D4">
              <w:rPr>
                <w:rStyle w:val="Hyperlink"/>
                <w:noProof/>
              </w:rPr>
              <w:t>2.3 Review of the national co-regulatory arrangement</w:t>
            </w:r>
            <w:r>
              <w:rPr>
                <w:noProof/>
                <w:webHidden/>
              </w:rPr>
              <w:tab/>
            </w:r>
            <w:r>
              <w:rPr>
                <w:noProof/>
                <w:webHidden/>
              </w:rPr>
              <w:fldChar w:fldCharType="begin"/>
            </w:r>
            <w:r>
              <w:rPr>
                <w:noProof/>
                <w:webHidden/>
              </w:rPr>
              <w:instrText xml:space="preserve"> PAGEREF _Toc178230237 \h </w:instrText>
            </w:r>
            <w:r>
              <w:rPr>
                <w:noProof/>
                <w:webHidden/>
              </w:rPr>
            </w:r>
            <w:r>
              <w:rPr>
                <w:noProof/>
                <w:webHidden/>
              </w:rPr>
              <w:fldChar w:fldCharType="separate"/>
            </w:r>
            <w:r w:rsidR="009A2EC4">
              <w:rPr>
                <w:noProof/>
                <w:webHidden/>
              </w:rPr>
              <w:t>3</w:t>
            </w:r>
            <w:r>
              <w:rPr>
                <w:noProof/>
                <w:webHidden/>
              </w:rPr>
              <w:fldChar w:fldCharType="end"/>
            </w:r>
          </w:hyperlink>
        </w:p>
        <w:p w14:paraId="76132E97" w14:textId="298A40B4" w:rsidR="00A87406" w:rsidRDefault="00A87406">
          <w:pPr>
            <w:pStyle w:val="TOC4"/>
            <w:rPr>
              <w:rFonts w:eastAsiaTheme="minorEastAsia"/>
              <w:noProof/>
              <w:kern w:val="2"/>
              <w:sz w:val="24"/>
              <w:szCs w:val="24"/>
              <w:lang w:eastAsia="en-AU"/>
              <w14:ligatures w14:val="standardContextual"/>
            </w:rPr>
          </w:pPr>
          <w:hyperlink w:anchor="_Toc178230238" w:history="1">
            <w:r w:rsidRPr="00FD11D4">
              <w:rPr>
                <w:rStyle w:val="Hyperlink"/>
                <w:noProof/>
              </w:rPr>
              <w:t>2.4 Related domestic and international initiatives</w:t>
            </w:r>
            <w:r>
              <w:rPr>
                <w:noProof/>
                <w:webHidden/>
              </w:rPr>
              <w:tab/>
            </w:r>
            <w:r>
              <w:rPr>
                <w:noProof/>
                <w:webHidden/>
              </w:rPr>
              <w:fldChar w:fldCharType="begin"/>
            </w:r>
            <w:r>
              <w:rPr>
                <w:noProof/>
                <w:webHidden/>
              </w:rPr>
              <w:instrText xml:space="preserve"> PAGEREF _Toc178230238 \h </w:instrText>
            </w:r>
            <w:r>
              <w:rPr>
                <w:noProof/>
                <w:webHidden/>
              </w:rPr>
            </w:r>
            <w:r>
              <w:rPr>
                <w:noProof/>
                <w:webHidden/>
              </w:rPr>
              <w:fldChar w:fldCharType="separate"/>
            </w:r>
            <w:r w:rsidR="009A2EC4">
              <w:rPr>
                <w:noProof/>
                <w:webHidden/>
              </w:rPr>
              <w:t>3</w:t>
            </w:r>
            <w:r>
              <w:rPr>
                <w:noProof/>
                <w:webHidden/>
              </w:rPr>
              <w:fldChar w:fldCharType="end"/>
            </w:r>
          </w:hyperlink>
        </w:p>
        <w:p w14:paraId="58EF514A" w14:textId="4C6D00FD" w:rsidR="00A87406" w:rsidRDefault="00A87406">
          <w:pPr>
            <w:pStyle w:val="TOC1"/>
            <w:rPr>
              <w:rFonts w:eastAsiaTheme="minorEastAsia"/>
              <w:b w:val="0"/>
              <w:kern w:val="2"/>
              <w:sz w:val="24"/>
              <w:szCs w:val="24"/>
              <w:lang w:eastAsia="en-AU"/>
              <w14:ligatures w14:val="standardContextual"/>
            </w:rPr>
          </w:pPr>
          <w:hyperlink w:anchor="_Toc178230239" w:history="1">
            <w:r w:rsidRPr="00FD11D4">
              <w:rPr>
                <w:rStyle w:val="Hyperlink"/>
              </w:rPr>
              <w:t>3. What is the problem?</w:t>
            </w:r>
            <w:r>
              <w:rPr>
                <w:webHidden/>
              </w:rPr>
              <w:tab/>
            </w:r>
            <w:r>
              <w:rPr>
                <w:webHidden/>
              </w:rPr>
              <w:fldChar w:fldCharType="begin"/>
            </w:r>
            <w:r>
              <w:rPr>
                <w:webHidden/>
              </w:rPr>
              <w:instrText xml:space="preserve"> PAGEREF _Toc178230239 \h </w:instrText>
            </w:r>
            <w:r>
              <w:rPr>
                <w:webHidden/>
              </w:rPr>
            </w:r>
            <w:r>
              <w:rPr>
                <w:webHidden/>
              </w:rPr>
              <w:fldChar w:fldCharType="separate"/>
            </w:r>
            <w:r w:rsidR="009A2EC4">
              <w:rPr>
                <w:webHidden/>
              </w:rPr>
              <w:t>6</w:t>
            </w:r>
            <w:r>
              <w:rPr>
                <w:webHidden/>
              </w:rPr>
              <w:fldChar w:fldCharType="end"/>
            </w:r>
          </w:hyperlink>
        </w:p>
        <w:p w14:paraId="700E563A" w14:textId="038B471C" w:rsidR="00A87406" w:rsidRDefault="00A87406">
          <w:pPr>
            <w:pStyle w:val="TOC4"/>
            <w:rPr>
              <w:rFonts w:eastAsiaTheme="minorEastAsia"/>
              <w:noProof/>
              <w:kern w:val="2"/>
              <w:sz w:val="24"/>
              <w:szCs w:val="24"/>
              <w:lang w:eastAsia="en-AU"/>
              <w14:ligatures w14:val="standardContextual"/>
            </w:rPr>
          </w:pPr>
          <w:hyperlink w:anchor="_Toc178230240" w:history="1">
            <w:r w:rsidRPr="00FD11D4">
              <w:rPr>
                <w:rStyle w:val="Hyperlink"/>
                <w:noProof/>
              </w:rPr>
              <w:t>3.1 Landfilled packaging and litter are impacting our environment</w:t>
            </w:r>
            <w:r>
              <w:rPr>
                <w:noProof/>
                <w:webHidden/>
              </w:rPr>
              <w:tab/>
            </w:r>
            <w:r>
              <w:rPr>
                <w:noProof/>
                <w:webHidden/>
              </w:rPr>
              <w:fldChar w:fldCharType="begin"/>
            </w:r>
            <w:r>
              <w:rPr>
                <w:noProof/>
                <w:webHidden/>
              </w:rPr>
              <w:instrText xml:space="preserve"> PAGEREF _Toc178230240 \h </w:instrText>
            </w:r>
            <w:r>
              <w:rPr>
                <w:noProof/>
                <w:webHidden/>
              </w:rPr>
            </w:r>
            <w:r>
              <w:rPr>
                <w:noProof/>
                <w:webHidden/>
              </w:rPr>
              <w:fldChar w:fldCharType="separate"/>
            </w:r>
            <w:r w:rsidR="009A2EC4">
              <w:rPr>
                <w:noProof/>
                <w:webHidden/>
              </w:rPr>
              <w:t>6</w:t>
            </w:r>
            <w:r>
              <w:rPr>
                <w:noProof/>
                <w:webHidden/>
              </w:rPr>
              <w:fldChar w:fldCharType="end"/>
            </w:r>
          </w:hyperlink>
        </w:p>
        <w:p w14:paraId="710EE0CF" w14:textId="08F54BFF" w:rsidR="00A87406" w:rsidRDefault="00A87406">
          <w:pPr>
            <w:pStyle w:val="TOC4"/>
            <w:rPr>
              <w:rFonts w:eastAsiaTheme="minorEastAsia"/>
              <w:noProof/>
              <w:kern w:val="2"/>
              <w:sz w:val="24"/>
              <w:szCs w:val="24"/>
              <w:lang w:eastAsia="en-AU"/>
              <w14:ligatures w14:val="standardContextual"/>
            </w:rPr>
          </w:pPr>
          <w:hyperlink w:anchor="_Toc178230241" w:history="1">
            <w:r w:rsidRPr="00FD11D4">
              <w:rPr>
                <w:rStyle w:val="Hyperlink"/>
                <w:rFonts w:eastAsia="Calibri"/>
                <w:noProof/>
              </w:rPr>
              <w:t>3.2 Too much packaging is placed on the market and not enough is designed for recyclability</w:t>
            </w:r>
            <w:r>
              <w:rPr>
                <w:noProof/>
                <w:webHidden/>
              </w:rPr>
              <w:tab/>
            </w:r>
            <w:r>
              <w:rPr>
                <w:noProof/>
                <w:webHidden/>
              </w:rPr>
              <w:fldChar w:fldCharType="begin"/>
            </w:r>
            <w:r>
              <w:rPr>
                <w:noProof/>
                <w:webHidden/>
              </w:rPr>
              <w:instrText xml:space="preserve"> PAGEREF _Toc178230241 \h </w:instrText>
            </w:r>
            <w:r>
              <w:rPr>
                <w:noProof/>
                <w:webHidden/>
              </w:rPr>
            </w:r>
            <w:r>
              <w:rPr>
                <w:noProof/>
                <w:webHidden/>
              </w:rPr>
              <w:fldChar w:fldCharType="separate"/>
            </w:r>
            <w:r w:rsidR="009A2EC4">
              <w:rPr>
                <w:noProof/>
                <w:webHidden/>
              </w:rPr>
              <w:t>7</w:t>
            </w:r>
            <w:r>
              <w:rPr>
                <w:noProof/>
                <w:webHidden/>
              </w:rPr>
              <w:fldChar w:fldCharType="end"/>
            </w:r>
          </w:hyperlink>
        </w:p>
        <w:p w14:paraId="62D35B36" w14:textId="1FB0A151" w:rsidR="00A87406" w:rsidRDefault="00A87406">
          <w:pPr>
            <w:pStyle w:val="TOC4"/>
            <w:rPr>
              <w:rFonts w:eastAsiaTheme="minorEastAsia"/>
              <w:noProof/>
              <w:kern w:val="2"/>
              <w:sz w:val="24"/>
              <w:szCs w:val="24"/>
              <w:lang w:eastAsia="en-AU"/>
              <w14:ligatures w14:val="standardContextual"/>
            </w:rPr>
          </w:pPr>
          <w:hyperlink w:anchor="_Toc178230242" w:history="1">
            <w:r w:rsidRPr="00FD11D4">
              <w:rPr>
                <w:rStyle w:val="Hyperlink"/>
                <w:noProof/>
              </w:rPr>
              <w:t>3.3 More collection and recycling capacity is needed</w:t>
            </w:r>
            <w:r>
              <w:rPr>
                <w:noProof/>
                <w:webHidden/>
              </w:rPr>
              <w:tab/>
            </w:r>
            <w:r>
              <w:rPr>
                <w:noProof/>
                <w:webHidden/>
              </w:rPr>
              <w:fldChar w:fldCharType="begin"/>
            </w:r>
            <w:r>
              <w:rPr>
                <w:noProof/>
                <w:webHidden/>
              </w:rPr>
              <w:instrText xml:space="preserve"> PAGEREF _Toc178230242 \h </w:instrText>
            </w:r>
            <w:r>
              <w:rPr>
                <w:noProof/>
                <w:webHidden/>
              </w:rPr>
            </w:r>
            <w:r>
              <w:rPr>
                <w:noProof/>
                <w:webHidden/>
              </w:rPr>
              <w:fldChar w:fldCharType="separate"/>
            </w:r>
            <w:r w:rsidR="009A2EC4">
              <w:rPr>
                <w:noProof/>
                <w:webHidden/>
              </w:rPr>
              <w:t>7</w:t>
            </w:r>
            <w:r>
              <w:rPr>
                <w:noProof/>
                <w:webHidden/>
              </w:rPr>
              <w:fldChar w:fldCharType="end"/>
            </w:r>
          </w:hyperlink>
        </w:p>
        <w:p w14:paraId="615F03C0" w14:textId="0AACD4C8" w:rsidR="00A87406" w:rsidRDefault="00A87406">
          <w:pPr>
            <w:pStyle w:val="TOC4"/>
            <w:rPr>
              <w:rFonts w:eastAsiaTheme="minorEastAsia"/>
              <w:noProof/>
              <w:kern w:val="2"/>
              <w:sz w:val="24"/>
              <w:szCs w:val="24"/>
              <w:lang w:eastAsia="en-AU"/>
              <w14:ligatures w14:val="standardContextual"/>
            </w:rPr>
          </w:pPr>
          <w:hyperlink w:anchor="_Toc178230243" w:history="1">
            <w:r w:rsidRPr="00FD11D4">
              <w:rPr>
                <w:rStyle w:val="Hyperlink"/>
                <w:rFonts w:eastAsia="Calibri"/>
                <w:noProof/>
              </w:rPr>
              <w:t>3.4</w:t>
            </w:r>
            <w:r w:rsidRPr="00FD11D4">
              <w:rPr>
                <w:rStyle w:val="Hyperlink"/>
                <w:noProof/>
              </w:rPr>
              <w:t xml:space="preserve"> Market development for used packaging materials is slow</w:t>
            </w:r>
            <w:r>
              <w:rPr>
                <w:noProof/>
                <w:webHidden/>
              </w:rPr>
              <w:tab/>
            </w:r>
            <w:r>
              <w:rPr>
                <w:noProof/>
                <w:webHidden/>
              </w:rPr>
              <w:fldChar w:fldCharType="begin"/>
            </w:r>
            <w:r>
              <w:rPr>
                <w:noProof/>
                <w:webHidden/>
              </w:rPr>
              <w:instrText xml:space="preserve"> PAGEREF _Toc178230243 \h </w:instrText>
            </w:r>
            <w:r>
              <w:rPr>
                <w:noProof/>
                <w:webHidden/>
              </w:rPr>
            </w:r>
            <w:r>
              <w:rPr>
                <w:noProof/>
                <w:webHidden/>
              </w:rPr>
              <w:fldChar w:fldCharType="separate"/>
            </w:r>
            <w:r w:rsidR="009A2EC4">
              <w:rPr>
                <w:noProof/>
                <w:webHidden/>
              </w:rPr>
              <w:t>8</w:t>
            </w:r>
            <w:r>
              <w:rPr>
                <w:noProof/>
                <w:webHidden/>
              </w:rPr>
              <w:fldChar w:fldCharType="end"/>
            </w:r>
          </w:hyperlink>
        </w:p>
        <w:p w14:paraId="151FD47D" w14:textId="7819B9F3" w:rsidR="00A87406" w:rsidRDefault="00A87406">
          <w:pPr>
            <w:pStyle w:val="TOC4"/>
            <w:rPr>
              <w:rFonts w:eastAsiaTheme="minorEastAsia"/>
              <w:noProof/>
              <w:kern w:val="2"/>
              <w:sz w:val="24"/>
              <w:szCs w:val="24"/>
              <w:lang w:eastAsia="en-AU"/>
              <w14:ligatures w14:val="standardContextual"/>
            </w:rPr>
          </w:pPr>
          <w:hyperlink w:anchor="_Toc178230244" w:history="1">
            <w:r w:rsidRPr="00FD11D4">
              <w:rPr>
                <w:rStyle w:val="Hyperlink"/>
                <w:rFonts w:eastAsia="Calibri"/>
                <w:noProof/>
              </w:rPr>
              <w:t>3.5</w:t>
            </w:r>
            <w:r w:rsidRPr="00FD11D4">
              <w:rPr>
                <w:rStyle w:val="Hyperlink"/>
                <w:noProof/>
              </w:rPr>
              <w:t xml:space="preserve"> Recycling outcomes are impacted by complex and opaque information</w:t>
            </w:r>
            <w:r>
              <w:rPr>
                <w:noProof/>
                <w:webHidden/>
              </w:rPr>
              <w:tab/>
            </w:r>
            <w:r>
              <w:rPr>
                <w:noProof/>
                <w:webHidden/>
              </w:rPr>
              <w:fldChar w:fldCharType="begin"/>
            </w:r>
            <w:r>
              <w:rPr>
                <w:noProof/>
                <w:webHidden/>
              </w:rPr>
              <w:instrText xml:space="preserve"> PAGEREF _Toc178230244 \h </w:instrText>
            </w:r>
            <w:r>
              <w:rPr>
                <w:noProof/>
                <w:webHidden/>
              </w:rPr>
            </w:r>
            <w:r>
              <w:rPr>
                <w:noProof/>
                <w:webHidden/>
              </w:rPr>
              <w:fldChar w:fldCharType="separate"/>
            </w:r>
            <w:r w:rsidR="009A2EC4">
              <w:rPr>
                <w:noProof/>
                <w:webHidden/>
              </w:rPr>
              <w:t>9</w:t>
            </w:r>
            <w:r>
              <w:rPr>
                <w:noProof/>
                <w:webHidden/>
              </w:rPr>
              <w:fldChar w:fldCharType="end"/>
            </w:r>
          </w:hyperlink>
        </w:p>
        <w:p w14:paraId="01277CEE" w14:textId="1ED5EEA1" w:rsidR="00A87406" w:rsidRDefault="00A87406">
          <w:pPr>
            <w:pStyle w:val="TOC1"/>
            <w:rPr>
              <w:rFonts w:eastAsiaTheme="minorEastAsia"/>
              <w:b w:val="0"/>
              <w:kern w:val="2"/>
              <w:sz w:val="24"/>
              <w:szCs w:val="24"/>
              <w:lang w:eastAsia="en-AU"/>
              <w14:ligatures w14:val="standardContextual"/>
            </w:rPr>
          </w:pPr>
          <w:hyperlink w:anchor="_Toc178230245" w:history="1">
            <w:r w:rsidRPr="00FD11D4">
              <w:rPr>
                <w:rStyle w:val="Hyperlink"/>
              </w:rPr>
              <w:t>4. Objectives and need for government intervention</w:t>
            </w:r>
            <w:r>
              <w:rPr>
                <w:webHidden/>
              </w:rPr>
              <w:tab/>
            </w:r>
            <w:r>
              <w:rPr>
                <w:webHidden/>
              </w:rPr>
              <w:fldChar w:fldCharType="begin"/>
            </w:r>
            <w:r>
              <w:rPr>
                <w:webHidden/>
              </w:rPr>
              <w:instrText xml:space="preserve"> PAGEREF _Toc178230245 \h </w:instrText>
            </w:r>
            <w:r>
              <w:rPr>
                <w:webHidden/>
              </w:rPr>
            </w:r>
            <w:r>
              <w:rPr>
                <w:webHidden/>
              </w:rPr>
              <w:fldChar w:fldCharType="separate"/>
            </w:r>
            <w:r w:rsidR="009A2EC4">
              <w:rPr>
                <w:webHidden/>
              </w:rPr>
              <w:t>11</w:t>
            </w:r>
            <w:r>
              <w:rPr>
                <w:webHidden/>
              </w:rPr>
              <w:fldChar w:fldCharType="end"/>
            </w:r>
          </w:hyperlink>
        </w:p>
        <w:p w14:paraId="62F06ECE" w14:textId="27DA372C" w:rsidR="00A87406" w:rsidRDefault="00A87406">
          <w:pPr>
            <w:pStyle w:val="TOC4"/>
            <w:rPr>
              <w:rFonts w:eastAsiaTheme="minorEastAsia"/>
              <w:noProof/>
              <w:kern w:val="2"/>
              <w:sz w:val="24"/>
              <w:szCs w:val="24"/>
              <w:lang w:eastAsia="en-AU"/>
              <w14:ligatures w14:val="standardContextual"/>
            </w:rPr>
          </w:pPr>
          <w:hyperlink w:anchor="_Toc178230246" w:history="1">
            <w:r w:rsidRPr="00FD11D4">
              <w:rPr>
                <w:rStyle w:val="Hyperlink"/>
                <w:noProof/>
              </w:rPr>
              <w:t>4.1 Objective</w:t>
            </w:r>
            <w:r>
              <w:rPr>
                <w:noProof/>
                <w:webHidden/>
              </w:rPr>
              <w:tab/>
            </w:r>
            <w:r>
              <w:rPr>
                <w:noProof/>
                <w:webHidden/>
              </w:rPr>
              <w:fldChar w:fldCharType="begin"/>
            </w:r>
            <w:r>
              <w:rPr>
                <w:noProof/>
                <w:webHidden/>
              </w:rPr>
              <w:instrText xml:space="preserve"> PAGEREF _Toc178230246 \h </w:instrText>
            </w:r>
            <w:r>
              <w:rPr>
                <w:noProof/>
                <w:webHidden/>
              </w:rPr>
            </w:r>
            <w:r>
              <w:rPr>
                <w:noProof/>
                <w:webHidden/>
              </w:rPr>
              <w:fldChar w:fldCharType="separate"/>
            </w:r>
            <w:r w:rsidR="009A2EC4">
              <w:rPr>
                <w:noProof/>
                <w:webHidden/>
              </w:rPr>
              <w:t>11</w:t>
            </w:r>
            <w:r>
              <w:rPr>
                <w:noProof/>
                <w:webHidden/>
              </w:rPr>
              <w:fldChar w:fldCharType="end"/>
            </w:r>
          </w:hyperlink>
        </w:p>
        <w:p w14:paraId="3CD7C574" w14:textId="3DF07A7E" w:rsidR="00A87406" w:rsidRDefault="00A87406">
          <w:pPr>
            <w:pStyle w:val="TOC4"/>
            <w:rPr>
              <w:rFonts w:eastAsiaTheme="minorEastAsia"/>
              <w:noProof/>
              <w:kern w:val="2"/>
              <w:sz w:val="24"/>
              <w:szCs w:val="24"/>
              <w:lang w:eastAsia="en-AU"/>
              <w14:ligatures w14:val="standardContextual"/>
            </w:rPr>
          </w:pPr>
          <w:hyperlink w:anchor="_Toc178230247" w:history="1">
            <w:r w:rsidRPr="00FD11D4">
              <w:rPr>
                <w:rStyle w:val="Hyperlink"/>
                <w:noProof/>
              </w:rPr>
              <w:t>4.2 Why is intervention needed?</w:t>
            </w:r>
            <w:r>
              <w:rPr>
                <w:noProof/>
                <w:webHidden/>
              </w:rPr>
              <w:tab/>
            </w:r>
            <w:r>
              <w:rPr>
                <w:noProof/>
                <w:webHidden/>
              </w:rPr>
              <w:fldChar w:fldCharType="begin"/>
            </w:r>
            <w:r>
              <w:rPr>
                <w:noProof/>
                <w:webHidden/>
              </w:rPr>
              <w:instrText xml:space="preserve"> PAGEREF _Toc178230247 \h </w:instrText>
            </w:r>
            <w:r>
              <w:rPr>
                <w:noProof/>
                <w:webHidden/>
              </w:rPr>
            </w:r>
            <w:r>
              <w:rPr>
                <w:noProof/>
                <w:webHidden/>
              </w:rPr>
              <w:fldChar w:fldCharType="separate"/>
            </w:r>
            <w:r w:rsidR="009A2EC4">
              <w:rPr>
                <w:noProof/>
                <w:webHidden/>
              </w:rPr>
              <w:t>13</w:t>
            </w:r>
            <w:r>
              <w:rPr>
                <w:noProof/>
                <w:webHidden/>
              </w:rPr>
              <w:fldChar w:fldCharType="end"/>
            </w:r>
          </w:hyperlink>
        </w:p>
        <w:p w14:paraId="3CBED8AB" w14:textId="5F433B34" w:rsidR="00A87406" w:rsidRDefault="00A87406">
          <w:pPr>
            <w:pStyle w:val="TOC4"/>
            <w:rPr>
              <w:rFonts w:eastAsiaTheme="minorEastAsia"/>
              <w:noProof/>
              <w:kern w:val="2"/>
              <w:sz w:val="24"/>
              <w:szCs w:val="24"/>
              <w:lang w:eastAsia="en-AU"/>
              <w14:ligatures w14:val="standardContextual"/>
            </w:rPr>
          </w:pPr>
          <w:hyperlink w:anchor="_Toc178230248" w:history="1">
            <w:r w:rsidRPr="00FD11D4">
              <w:rPr>
                <w:rStyle w:val="Hyperlink"/>
                <w:noProof/>
              </w:rPr>
              <w:t>4.3 How success will be measured</w:t>
            </w:r>
            <w:r>
              <w:rPr>
                <w:noProof/>
                <w:webHidden/>
              </w:rPr>
              <w:tab/>
            </w:r>
            <w:r>
              <w:rPr>
                <w:noProof/>
                <w:webHidden/>
              </w:rPr>
              <w:fldChar w:fldCharType="begin"/>
            </w:r>
            <w:r>
              <w:rPr>
                <w:noProof/>
                <w:webHidden/>
              </w:rPr>
              <w:instrText xml:space="preserve"> PAGEREF _Toc178230248 \h </w:instrText>
            </w:r>
            <w:r>
              <w:rPr>
                <w:noProof/>
                <w:webHidden/>
              </w:rPr>
            </w:r>
            <w:r>
              <w:rPr>
                <w:noProof/>
                <w:webHidden/>
              </w:rPr>
              <w:fldChar w:fldCharType="separate"/>
            </w:r>
            <w:r w:rsidR="009A2EC4">
              <w:rPr>
                <w:noProof/>
                <w:webHidden/>
              </w:rPr>
              <w:t>15</w:t>
            </w:r>
            <w:r>
              <w:rPr>
                <w:noProof/>
                <w:webHidden/>
              </w:rPr>
              <w:fldChar w:fldCharType="end"/>
            </w:r>
          </w:hyperlink>
        </w:p>
        <w:p w14:paraId="008AF6AF" w14:textId="770DAAF2" w:rsidR="00A87406" w:rsidRDefault="00A87406">
          <w:pPr>
            <w:pStyle w:val="TOC1"/>
            <w:rPr>
              <w:rFonts w:eastAsiaTheme="minorEastAsia"/>
              <w:b w:val="0"/>
              <w:kern w:val="2"/>
              <w:sz w:val="24"/>
              <w:szCs w:val="24"/>
              <w:lang w:eastAsia="en-AU"/>
              <w14:ligatures w14:val="standardContextual"/>
            </w:rPr>
          </w:pPr>
          <w:hyperlink w:anchor="_Toc178230249" w:history="1">
            <w:r w:rsidRPr="00FD11D4">
              <w:rPr>
                <w:rStyle w:val="Hyperlink"/>
              </w:rPr>
              <w:t>5. Policy options being considered</w:t>
            </w:r>
            <w:r>
              <w:rPr>
                <w:webHidden/>
              </w:rPr>
              <w:tab/>
            </w:r>
            <w:r>
              <w:rPr>
                <w:webHidden/>
              </w:rPr>
              <w:fldChar w:fldCharType="begin"/>
            </w:r>
            <w:r>
              <w:rPr>
                <w:webHidden/>
              </w:rPr>
              <w:instrText xml:space="preserve"> PAGEREF _Toc178230249 \h </w:instrText>
            </w:r>
            <w:r>
              <w:rPr>
                <w:webHidden/>
              </w:rPr>
            </w:r>
            <w:r>
              <w:rPr>
                <w:webHidden/>
              </w:rPr>
              <w:fldChar w:fldCharType="separate"/>
            </w:r>
            <w:r w:rsidR="009A2EC4">
              <w:rPr>
                <w:webHidden/>
              </w:rPr>
              <w:t>16</w:t>
            </w:r>
            <w:r>
              <w:rPr>
                <w:webHidden/>
              </w:rPr>
              <w:fldChar w:fldCharType="end"/>
            </w:r>
          </w:hyperlink>
        </w:p>
        <w:p w14:paraId="6E2653E4" w14:textId="30575526" w:rsidR="00A87406" w:rsidRDefault="00A87406">
          <w:pPr>
            <w:pStyle w:val="TOC4"/>
            <w:rPr>
              <w:rFonts w:eastAsiaTheme="minorEastAsia"/>
              <w:noProof/>
              <w:kern w:val="2"/>
              <w:sz w:val="24"/>
              <w:szCs w:val="24"/>
              <w:lang w:eastAsia="en-AU"/>
              <w14:ligatures w14:val="standardContextual"/>
            </w:rPr>
          </w:pPr>
          <w:hyperlink w:anchor="_Toc178230250" w:history="1">
            <w:r w:rsidRPr="00FD11D4">
              <w:rPr>
                <w:rStyle w:val="Hyperlink"/>
                <w:noProof/>
              </w:rPr>
              <w:t>5.1 Packaging reform options overview</w:t>
            </w:r>
            <w:r>
              <w:rPr>
                <w:noProof/>
                <w:webHidden/>
              </w:rPr>
              <w:tab/>
            </w:r>
            <w:r>
              <w:rPr>
                <w:noProof/>
                <w:webHidden/>
              </w:rPr>
              <w:fldChar w:fldCharType="begin"/>
            </w:r>
            <w:r>
              <w:rPr>
                <w:noProof/>
                <w:webHidden/>
              </w:rPr>
              <w:instrText xml:space="preserve"> PAGEREF _Toc178230250 \h </w:instrText>
            </w:r>
            <w:r>
              <w:rPr>
                <w:noProof/>
                <w:webHidden/>
              </w:rPr>
            </w:r>
            <w:r>
              <w:rPr>
                <w:noProof/>
                <w:webHidden/>
              </w:rPr>
              <w:fldChar w:fldCharType="separate"/>
            </w:r>
            <w:r w:rsidR="009A2EC4">
              <w:rPr>
                <w:noProof/>
                <w:webHidden/>
              </w:rPr>
              <w:t>16</w:t>
            </w:r>
            <w:r>
              <w:rPr>
                <w:noProof/>
                <w:webHidden/>
              </w:rPr>
              <w:fldChar w:fldCharType="end"/>
            </w:r>
          </w:hyperlink>
        </w:p>
        <w:p w14:paraId="4F6D3422" w14:textId="0A0AB0CD" w:rsidR="00A87406" w:rsidRDefault="00A87406">
          <w:pPr>
            <w:pStyle w:val="TOC4"/>
            <w:rPr>
              <w:rFonts w:eastAsiaTheme="minorEastAsia"/>
              <w:noProof/>
              <w:kern w:val="2"/>
              <w:sz w:val="24"/>
              <w:szCs w:val="24"/>
              <w:lang w:eastAsia="en-AU"/>
              <w14:ligatures w14:val="standardContextual"/>
            </w:rPr>
          </w:pPr>
          <w:hyperlink w:anchor="_Toc178230251" w:history="1">
            <w:r w:rsidRPr="00FD11D4">
              <w:rPr>
                <w:rStyle w:val="Hyperlink"/>
                <w:noProof/>
              </w:rPr>
              <w:t>5.2 The Base Case</w:t>
            </w:r>
            <w:r>
              <w:rPr>
                <w:noProof/>
                <w:webHidden/>
              </w:rPr>
              <w:tab/>
            </w:r>
            <w:r>
              <w:rPr>
                <w:noProof/>
                <w:webHidden/>
              </w:rPr>
              <w:fldChar w:fldCharType="begin"/>
            </w:r>
            <w:r>
              <w:rPr>
                <w:noProof/>
                <w:webHidden/>
              </w:rPr>
              <w:instrText xml:space="preserve"> PAGEREF _Toc178230251 \h </w:instrText>
            </w:r>
            <w:r>
              <w:rPr>
                <w:noProof/>
                <w:webHidden/>
              </w:rPr>
            </w:r>
            <w:r>
              <w:rPr>
                <w:noProof/>
                <w:webHidden/>
              </w:rPr>
              <w:fldChar w:fldCharType="separate"/>
            </w:r>
            <w:r w:rsidR="009A2EC4">
              <w:rPr>
                <w:noProof/>
                <w:webHidden/>
              </w:rPr>
              <w:t>20</w:t>
            </w:r>
            <w:r>
              <w:rPr>
                <w:noProof/>
                <w:webHidden/>
              </w:rPr>
              <w:fldChar w:fldCharType="end"/>
            </w:r>
          </w:hyperlink>
        </w:p>
        <w:p w14:paraId="2B75EDB8" w14:textId="7FF7046C" w:rsidR="00A87406" w:rsidRDefault="00A87406">
          <w:pPr>
            <w:pStyle w:val="TOC4"/>
            <w:rPr>
              <w:rFonts w:eastAsiaTheme="minorEastAsia"/>
              <w:noProof/>
              <w:kern w:val="2"/>
              <w:sz w:val="24"/>
              <w:szCs w:val="24"/>
              <w:lang w:eastAsia="en-AU"/>
              <w14:ligatures w14:val="standardContextual"/>
            </w:rPr>
          </w:pPr>
          <w:hyperlink w:anchor="_Toc178230252" w:history="1">
            <w:r w:rsidRPr="00FD11D4">
              <w:rPr>
                <w:rStyle w:val="Hyperlink"/>
                <w:noProof/>
              </w:rPr>
              <w:t>5.3 Option 1: Strengthening administration of the co-regulatory arrangement</w:t>
            </w:r>
            <w:r>
              <w:rPr>
                <w:noProof/>
                <w:webHidden/>
              </w:rPr>
              <w:tab/>
            </w:r>
            <w:r>
              <w:rPr>
                <w:noProof/>
                <w:webHidden/>
              </w:rPr>
              <w:fldChar w:fldCharType="begin"/>
            </w:r>
            <w:r>
              <w:rPr>
                <w:noProof/>
                <w:webHidden/>
              </w:rPr>
              <w:instrText xml:space="preserve"> PAGEREF _Toc178230252 \h </w:instrText>
            </w:r>
            <w:r>
              <w:rPr>
                <w:noProof/>
                <w:webHidden/>
              </w:rPr>
            </w:r>
            <w:r>
              <w:rPr>
                <w:noProof/>
                <w:webHidden/>
              </w:rPr>
              <w:fldChar w:fldCharType="separate"/>
            </w:r>
            <w:r w:rsidR="009A2EC4">
              <w:rPr>
                <w:noProof/>
                <w:webHidden/>
              </w:rPr>
              <w:t>20</w:t>
            </w:r>
            <w:r>
              <w:rPr>
                <w:noProof/>
                <w:webHidden/>
              </w:rPr>
              <w:fldChar w:fldCharType="end"/>
            </w:r>
          </w:hyperlink>
        </w:p>
        <w:p w14:paraId="662D7EDD" w14:textId="1D752767" w:rsidR="00A87406" w:rsidRDefault="00A87406">
          <w:pPr>
            <w:pStyle w:val="TOC4"/>
            <w:rPr>
              <w:rFonts w:eastAsiaTheme="minorEastAsia"/>
              <w:noProof/>
              <w:kern w:val="2"/>
              <w:sz w:val="24"/>
              <w:szCs w:val="24"/>
              <w:lang w:eastAsia="en-AU"/>
              <w14:ligatures w14:val="standardContextual"/>
            </w:rPr>
          </w:pPr>
          <w:hyperlink w:anchor="_Toc178230253" w:history="1">
            <w:r w:rsidRPr="00FD11D4">
              <w:rPr>
                <w:rStyle w:val="Hyperlink"/>
                <w:noProof/>
              </w:rPr>
              <w:t>5.4 Option 2: National mandatory requirements for packaging</w:t>
            </w:r>
            <w:r>
              <w:rPr>
                <w:noProof/>
                <w:webHidden/>
              </w:rPr>
              <w:tab/>
            </w:r>
            <w:r>
              <w:rPr>
                <w:noProof/>
                <w:webHidden/>
              </w:rPr>
              <w:fldChar w:fldCharType="begin"/>
            </w:r>
            <w:r>
              <w:rPr>
                <w:noProof/>
                <w:webHidden/>
              </w:rPr>
              <w:instrText xml:space="preserve"> PAGEREF _Toc178230253 \h </w:instrText>
            </w:r>
            <w:r>
              <w:rPr>
                <w:noProof/>
                <w:webHidden/>
              </w:rPr>
            </w:r>
            <w:r>
              <w:rPr>
                <w:noProof/>
                <w:webHidden/>
              </w:rPr>
              <w:fldChar w:fldCharType="separate"/>
            </w:r>
            <w:r w:rsidR="009A2EC4">
              <w:rPr>
                <w:noProof/>
                <w:webHidden/>
              </w:rPr>
              <w:t>23</w:t>
            </w:r>
            <w:r>
              <w:rPr>
                <w:noProof/>
                <w:webHidden/>
              </w:rPr>
              <w:fldChar w:fldCharType="end"/>
            </w:r>
          </w:hyperlink>
        </w:p>
        <w:p w14:paraId="7A68C803" w14:textId="5D590C66" w:rsidR="00A87406" w:rsidRDefault="00A87406">
          <w:pPr>
            <w:pStyle w:val="TOC4"/>
            <w:rPr>
              <w:rFonts w:eastAsiaTheme="minorEastAsia"/>
              <w:noProof/>
              <w:kern w:val="2"/>
              <w:sz w:val="24"/>
              <w:szCs w:val="24"/>
              <w:lang w:eastAsia="en-AU"/>
              <w14:ligatures w14:val="standardContextual"/>
            </w:rPr>
          </w:pPr>
          <w:hyperlink w:anchor="_Toc178230254" w:history="1">
            <w:r w:rsidRPr="00FD11D4">
              <w:rPr>
                <w:rStyle w:val="Hyperlink"/>
                <w:noProof/>
              </w:rPr>
              <w:t>5.5 Option 3: An extended producer responsibility scheme for packaging</w:t>
            </w:r>
            <w:r>
              <w:rPr>
                <w:noProof/>
                <w:webHidden/>
              </w:rPr>
              <w:tab/>
            </w:r>
            <w:r>
              <w:rPr>
                <w:noProof/>
                <w:webHidden/>
              </w:rPr>
              <w:fldChar w:fldCharType="begin"/>
            </w:r>
            <w:r>
              <w:rPr>
                <w:noProof/>
                <w:webHidden/>
              </w:rPr>
              <w:instrText xml:space="preserve"> PAGEREF _Toc178230254 \h </w:instrText>
            </w:r>
            <w:r>
              <w:rPr>
                <w:noProof/>
                <w:webHidden/>
              </w:rPr>
            </w:r>
            <w:r>
              <w:rPr>
                <w:noProof/>
                <w:webHidden/>
              </w:rPr>
              <w:fldChar w:fldCharType="separate"/>
            </w:r>
            <w:r w:rsidR="009A2EC4">
              <w:rPr>
                <w:noProof/>
                <w:webHidden/>
              </w:rPr>
              <w:t>25</w:t>
            </w:r>
            <w:r>
              <w:rPr>
                <w:noProof/>
                <w:webHidden/>
              </w:rPr>
              <w:fldChar w:fldCharType="end"/>
            </w:r>
          </w:hyperlink>
        </w:p>
        <w:p w14:paraId="20CE123A" w14:textId="2178A37E" w:rsidR="00A87406" w:rsidRDefault="00A87406">
          <w:pPr>
            <w:pStyle w:val="TOC4"/>
            <w:rPr>
              <w:rFonts w:eastAsiaTheme="minorEastAsia"/>
              <w:noProof/>
              <w:kern w:val="2"/>
              <w:sz w:val="24"/>
              <w:szCs w:val="24"/>
              <w:lang w:eastAsia="en-AU"/>
              <w14:ligatures w14:val="standardContextual"/>
            </w:rPr>
          </w:pPr>
          <w:hyperlink w:anchor="_Toc178230255" w:history="1">
            <w:r w:rsidRPr="00FD11D4">
              <w:rPr>
                <w:rStyle w:val="Hyperlink"/>
                <w:noProof/>
              </w:rPr>
              <w:t>5.6 Regulated entities and liability across the options</w:t>
            </w:r>
            <w:r>
              <w:rPr>
                <w:noProof/>
                <w:webHidden/>
              </w:rPr>
              <w:tab/>
            </w:r>
            <w:r>
              <w:rPr>
                <w:noProof/>
                <w:webHidden/>
              </w:rPr>
              <w:fldChar w:fldCharType="begin"/>
            </w:r>
            <w:r>
              <w:rPr>
                <w:noProof/>
                <w:webHidden/>
              </w:rPr>
              <w:instrText xml:space="preserve"> PAGEREF _Toc178230255 \h </w:instrText>
            </w:r>
            <w:r>
              <w:rPr>
                <w:noProof/>
                <w:webHidden/>
              </w:rPr>
            </w:r>
            <w:r>
              <w:rPr>
                <w:noProof/>
                <w:webHidden/>
              </w:rPr>
              <w:fldChar w:fldCharType="separate"/>
            </w:r>
            <w:r w:rsidR="009A2EC4">
              <w:rPr>
                <w:noProof/>
                <w:webHidden/>
              </w:rPr>
              <w:t>29</w:t>
            </w:r>
            <w:r>
              <w:rPr>
                <w:noProof/>
                <w:webHidden/>
              </w:rPr>
              <w:fldChar w:fldCharType="end"/>
            </w:r>
          </w:hyperlink>
        </w:p>
        <w:p w14:paraId="1C9E0DB8" w14:textId="1A6928AD" w:rsidR="00A87406" w:rsidRDefault="00A87406">
          <w:pPr>
            <w:pStyle w:val="TOC4"/>
            <w:rPr>
              <w:rFonts w:eastAsiaTheme="minorEastAsia"/>
              <w:noProof/>
              <w:kern w:val="2"/>
              <w:sz w:val="24"/>
              <w:szCs w:val="24"/>
              <w:lang w:eastAsia="en-AU"/>
              <w14:ligatures w14:val="standardContextual"/>
            </w:rPr>
          </w:pPr>
          <w:hyperlink w:anchor="_Toc178230256" w:history="1">
            <w:r w:rsidRPr="00FD11D4">
              <w:rPr>
                <w:rStyle w:val="Hyperlink"/>
                <w:noProof/>
              </w:rPr>
              <w:t>5.7 Scope of packaging across the options</w:t>
            </w:r>
            <w:r>
              <w:rPr>
                <w:noProof/>
                <w:webHidden/>
              </w:rPr>
              <w:tab/>
            </w:r>
            <w:r>
              <w:rPr>
                <w:noProof/>
                <w:webHidden/>
              </w:rPr>
              <w:fldChar w:fldCharType="begin"/>
            </w:r>
            <w:r>
              <w:rPr>
                <w:noProof/>
                <w:webHidden/>
              </w:rPr>
              <w:instrText xml:space="preserve"> PAGEREF _Toc178230256 \h </w:instrText>
            </w:r>
            <w:r>
              <w:rPr>
                <w:noProof/>
                <w:webHidden/>
              </w:rPr>
            </w:r>
            <w:r>
              <w:rPr>
                <w:noProof/>
                <w:webHidden/>
              </w:rPr>
              <w:fldChar w:fldCharType="separate"/>
            </w:r>
            <w:r w:rsidR="009A2EC4">
              <w:rPr>
                <w:noProof/>
                <w:webHidden/>
              </w:rPr>
              <w:t>30</w:t>
            </w:r>
            <w:r>
              <w:rPr>
                <w:noProof/>
                <w:webHidden/>
              </w:rPr>
              <w:fldChar w:fldCharType="end"/>
            </w:r>
          </w:hyperlink>
        </w:p>
        <w:p w14:paraId="76810CBB" w14:textId="6B9222F8" w:rsidR="00A87406" w:rsidRDefault="00A87406">
          <w:pPr>
            <w:pStyle w:val="TOC4"/>
            <w:rPr>
              <w:rFonts w:eastAsiaTheme="minorEastAsia"/>
              <w:noProof/>
              <w:kern w:val="2"/>
              <w:sz w:val="24"/>
              <w:szCs w:val="24"/>
              <w:lang w:eastAsia="en-AU"/>
              <w14:ligatures w14:val="standardContextual"/>
            </w:rPr>
          </w:pPr>
          <w:hyperlink w:anchor="_Toc178230257" w:history="1">
            <w:r w:rsidRPr="00FD11D4">
              <w:rPr>
                <w:rStyle w:val="Hyperlink"/>
                <w:noProof/>
              </w:rPr>
              <w:t>5.8 Packaging obligations across the options overview</w:t>
            </w:r>
            <w:r>
              <w:rPr>
                <w:noProof/>
                <w:webHidden/>
              </w:rPr>
              <w:tab/>
            </w:r>
            <w:r>
              <w:rPr>
                <w:noProof/>
                <w:webHidden/>
              </w:rPr>
              <w:fldChar w:fldCharType="begin"/>
            </w:r>
            <w:r>
              <w:rPr>
                <w:noProof/>
                <w:webHidden/>
              </w:rPr>
              <w:instrText xml:space="preserve"> PAGEREF _Toc178230257 \h </w:instrText>
            </w:r>
            <w:r>
              <w:rPr>
                <w:noProof/>
                <w:webHidden/>
              </w:rPr>
            </w:r>
            <w:r>
              <w:rPr>
                <w:noProof/>
                <w:webHidden/>
              </w:rPr>
              <w:fldChar w:fldCharType="separate"/>
            </w:r>
            <w:r w:rsidR="009A2EC4">
              <w:rPr>
                <w:noProof/>
                <w:webHidden/>
              </w:rPr>
              <w:t>30</w:t>
            </w:r>
            <w:r>
              <w:rPr>
                <w:noProof/>
                <w:webHidden/>
              </w:rPr>
              <w:fldChar w:fldCharType="end"/>
            </w:r>
          </w:hyperlink>
        </w:p>
        <w:p w14:paraId="4FD24750" w14:textId="2156781F" w:rsidR="00A87406" w:rsidRDefault="00A87406">
          <w:pPr>
            <w:pStyle w:val="TOC4"/>
            <w:rPr>
              <w:rFonts w:eastAsiaTheme="minorEastAsia"/>
              <w:noProof/>
              <w:kern w:val="2"/>
              <w:sz w:val="24"/>
              <w:szCs w:val="24"/>
              <w:lang w:eastAsia="en-AU"/>
              <w14:ligatures w14:val="standardContextual"/>
            </w:rPr>
          </w:pPr>
          <w:hyperlink w:anchor="_Toc178230258" w:history="1">
            <w:r w:rsidRPr="00FD11D4">
              <w:rPr>
                <w:rStyle w:val="Hyperlink"/>
                <w:noProof/>
              </w:rPr>
              <w:t>5.9 Improving design</w:t>
            </w:r>
            <w:r>
              <w:rPr>
                <w:noProof/>
                <w:webHidden/>
              </w:rPr>
              <w:tab/>
            </w:r>
            <w:r>
              <w:rPr>
                <w:noProof/>
                <w:webHidden/>
              </w:rPr>
              <w:fldChar w:fldCharType="begin"/>
            </w:r>
            <w:r>
              <w:rPr>
                <w:noProof/>
                <w:webHidden/>
              </w:rPr>
              <w:instrText xml:space="preserve"> PAGEREF _Toc178230258 \h </w:instrText>
            </w:r>
            <w:r>
              <w:rPr>
                <w:noProof/>
                <w:webHidden/>
              </w:rPr>
            </w:r>
            <w:r>
              <w:rPr>
                <w:noProof/>
                <w:webHidden/>
              </w:rPr>
              <w:fldChar w:fldCharType="separate"/>
            </w:r>
            <w:r w:rsidR="009A2EC4">
              <w:rPr>
                <w:noProof/>
                <w:webHidden/>
              </w:rPr>
              <w:t>33</w:t>
            </w:r>
            <w:r>
              <w:rPr>
                <w:noProof/>
                <w:webHidden/>
              </w:rPr>
              <w:fldChar w:fldCharType="end"/>
            </w:r>
          </w:hyperlink>
        </w:p>
        <w:p w14:paraId="510698C2" w14:textId="0FC2EBAC" w:rsidR="00A87406" w:rsidRDefault="00A87406">
          <w:pPr>
            <w:pStyle w:val="TOC4"/>
            <w:rPr>
              <w:rFonts w:eastAsiaTheme="minorEastAsia"/>
              <w:noProof/>
              <w:kern w:val="2"/>
              <w:sz w:val="24"/>
              <w:szCs w:val="24"/>
              <w:lang w:eastAsia="en-AU"/>
              <w14:ligatures w14:val="standardContextual"/>
            </w:rPr>
          </w:pPr>
          <w:hyperlink w:anchor="_Toc178230259" w:history="1">
            <w:r w:rsidRPr="00FD11D4">
              <w:rPr>
                <w:rStyle w:val="Hyperlink"/>
                <w:noProof/>
              </w:rPr>
              <w:t>5.10 Improved recyclability labelling</w:t>
            </w:r>
            <w:r>
              <w:rPr>
                <w:noProof/>
                <w:webHidden/>
              </w:rPr>
              <w:tab/>
            </w:r>
            <w:r>
              <w:rPr>
                <w:noProof/>
                <w:webHidden/>
              </w:rPr>
              <w:fldChar w:fldCharType="begin"/>
            </w:r>
            <w:r>
              <w:rPr>
                <w:noProof/>
                <w:webHidden/>
              </w:rPr>
              <w:instrText xml:space="preserve"> PAGEREF _Toc178230259 \h </w:instrText>
            </w:r>
            <w:r>
              <w:rPr>
                <w:noProof/>
                <w:webHidden/>
              </w:rPr>
            </w:r>
            <w:r>
              <w:rPr>
                <w:noProof/>
                <w:webHidden/>
              </w:rPr>
              <w:fldChar w:fldCharType="separate"/>
            </w:r>
            <w:r w:rsidR="009A2EC4">
              <w:rPr>
                <w:noProof/>
                <w:webHidden/>
              </w:rPr>
              <w:t>39</w:t>
            </w:r>
            <w:r>
              <w:rPr>
                <w:noProof/>
                <w:webHidden/>
              </w:rPr>
              <w:fldChar w:fldCharType="end"/>
            </w:r>
          </w:hyperlink>
        </w:p>
        <w:p w14:paraId="051F3C5F" w14:textId="497794E0" w:rsidR="00A87406" w:rsidRDefault="00A87406">
          <w:pPr>
            <w:pStyle w:val="TOC4"/>
            <w:rPr>
              <w:rFonts w:eastAsiaTheme="minorEastAsia"/>
              <w:noProof/>
              <w:kern w:val="2"/>
              <w:sz w:val="24"/>
              <w:szCs w:val="24"/>
              <w:lang w:eastAsia="en-AU"/>
              <w14:ligatures w14:val="standardContextual"/>
            </w:rPr>
          </w:pPr>
          <w:hyperlink w:anchor="_Toc178230260" w:history="1">
            <w:r w:rsidRPr="00FD11D4">
              <w:rPr>
                <w:rStyle w:val="Hyperlink"/>
                <w:noProof/>
              </w:rPr>
              <w:t>5.11 Recycled content thresholds</w:t>
            </w:r>
            <w:r>
              <w:rPr>
                <w:noProof/>
                <w:webHidden/>
              </w:rPr>
              <w:tab/>
            </w:r>
            <w:r>
              <w:rPr>
                <w:noProof/>
                <w:webHidden/>
              </w:rPr>
              <w:fldChar w:fldCharType="begin"/>
            </w:r>
            <w:r>
              <w:rPr>
                <w:noProof/>
                <w:webHidden/>
              </w:rPr>
              <w:instrText xml:space="preserve"> PAGEREF _Toc178230260 \h </w:instrText>
            </w:r>
            <w:r>
              <w:rPr>
                <w:noProof/>
                <w:webHidden/>
              </w:rPr>
            </w:r>
            <w:r>
              <w:rPr>
                <w:noProof/>
                <w:webHidden/>
              </w:rPr>
              <w:fldChar w:fldCharType="separate"/>
            </w:r>
            <w:r w:rsidR="009A2EC4">
              <w:rPr>
                <w:noProof/>
                <w:webHidden/>
              </w:rPr>
              <w:t>40</w:t>
            </w:r>
            <w:r>
              <w:rPr>
                <w:noProof/>
                <w:webHidden/>
              </w:rPr>
              <w:fldChar w:fldCharType="end"/>
            </w:r>
          </w:hyperlink>
        </w:p>
        <w:p w14:paraId="1A5BBF96" w14:textId="44C122B5" w:rsidR="00A87406" w:rsidRDefault="00A87406">
          <w:pPr>
            <w:pStyle w:val="TOC1"/>
            <w:rPr>
              <w:rFonts w:eastAsiaTheme="minorEastAsia"/>
              <w:b w:val="0"/>
              <w:kern w:val="2"/>
              <w:sz w:val="24"/>
              <w:szCs w:val="24"/>
              <w:lang w:eastAsia="en-AU"/>
              <w14:ligatures w14:val="standardContextual"/>
            </w:rPr>
          </w:pPr>
          <w:hyperlink w:anchor="_Toc178230261" w:history="1">
            <w:r w:rsidRPr="00FD11D4">
              <w:rPr>
                <w:rStyle w:val="Hyperlink"/>
              </w:rPr>
              <w:t>6. What is the net benefit of each option?</w:t>
            </w:r>
            <w:r>
              <w:rPr>
                <w:webHidden/>
              </w:rPr>
              <w:tab/>
            </w:r>
            <w:r>
              <w:rPr>
                <w:webHidden/>
              </w:rPr>
              <w:fldChar w:fldCharType="begin"/>
            </w:r>
            <w:r>
              <w:rPr>
                <w:webHidden/>
              </w:rPr>
              <w:instrText xml:space="preserve"> PAGEREF _Toc178230261 \h </w:instrText>
            </w:r>
            <w:r>
              <w:rPr>
                <w:webHidden/>
              </w:rPr>
            </w:r>
            <w:r>
              <w:rPr>
                <w:webHidden/>
              </w:rPr>
              <w:fldChar w:fldCharType="separate"/>
            </w:r>
            <w:r w:rsidR="009A2EC4">
              <w:rPr>
                <w:webHidden/>
              </w:rPr>
              <w:t>47</w:t>
            </w:r>
            <w:r>
              <w:rPr>
                <w:webHidden/>
              </w:rPr>
              <w:fldChar w:fldCharType="end"/>
            </w:r>
          </w:hyperlink>
        </w:p>
        <w:p w14:paraId="4CD1A460" w14:textId="59FA81C2" w:rsidR="00A87406" w:rsidRDefault="00A87406">
          <w:pPr>
            <w:pStyle w:val="TOC4"/>
            <w:rPr>
              <w:rFonts w:eastAsiaTheme="minorEastAsia"/>
              <w:noProof/>
              <w:kern w:val="2"/>
              <w:sz w:val="24"/>
              <w:szCs w:val="24"/>
              <w:lang w:eastAsia="en-AU"/>
              <w14:ligatures w14:val="standardContextual"/>
            </w:rPr>
          </w:pPr>
          <w:hyperlink w:anchor="_Toc178230262" w:history="1">
            <w:r w:rsidRPr="00FD11D4">
              <w:rPr>
                <w:rStyle w:val="Hyperlink"/>
                <w:noProof/>
              </w:rPr>
              <w:t>6.1</w:t>
            </w:r>
            <w:r w:rsidRPr="00FD11D4">
              <w:rPr>
                <w:rStyle w:val="Hyperlink"/>
                <w:rFonts w:eastAsia="Aptos Display"/>
                <w:noProof/>
              </w:rPr>
              <w:t xml:space="preserve"> Assessment of options</w:t>
            </w:r>
            <w:r>
              <w:rPr>
                <w:noProof/>
                <w:webHidden/>
              </w:rPr>
              <w:tab/>
            </w:r>
            <w:r>
              <w:rPr>
                <w:noProof/>
                <w:webHidden/>
              </w:rPr>
              <w:fldChar w:fldCharType="begin"/>
            </w:r>
            <w:r>
              <w:rPr>
                <w:noProof/>
                <w:webHidden/>
              </w:rPr>
              <w:instrText xml:space="preserve"> PAGEREF _Toc178230262 \h </w:instrText>
            </w:r>
            <w:r>
              <w:rPr>
                <w:noProof/>
                <w:webHidden/>
              </w:rPr>
            </w:r>
            <w:r>
              <w:rPr>
                <w:noProof/>
                <w:webHidden/>
              </w:rPr>
              <w:fldChar w:fldCharType="separate"/>
            </w:r>
            <w:r w:rsidR="009A2EC4">
              <w:rPr>
                <w:noProof/>
                <w:webHidden/>
              </w:rPr>
              <w:t>47</w:t>
            </w:r>
            <w:r>
              <w:rPr>
                <w:noProof/>
                <w:webHidden/>
              </w:rPr>
              <w:fldChar w:fldCharType="end"/>
            </w:r>
          </w:hyperlink>
        </w:p>
        <w:p w14:paraId="219BCA46" w14:textId="080B9CD1" w:rsidR="00A87406" w:rsidRDefault="00A87406">
          <w:pPr>
            <w:pStyle w:val="TOC1"/>
            <w:rPr>
              <w:rFonts w:eastAsiaTheme="minorEastAsia"/>
              <w:b w:val="0"/>
              <w:kern w:val="2"/>
              <w:sz w:val="24"/>
              <w:szCs w:val="24"/>
              <w:lang w:eastAsia="en-AU"/>
              <w14:ligatures w14:val="standardContextual"/>
            </w:rPr>
          </w:pPr>
          <w:hyperlink w:anchor="_Toc178230263" w:history="1">
            <w:r w:rsidRPr="00FD11D4">
              <w:rPr>
                <w:rStyle w:val="Hyperlink"/>
              </w:rPr>
              <w:t>7. Consultation questions</w:t>
            </w:r>
            <w:r>
              <w:rPr>
                <w:webHidden/>
              </w:rPr>
              <w:tab/>
            </w:r>
            <w:r>
              <w:rPr>
                <w:webHidden/>
              </w:rPr>
              <w:fldChar w:fldCharType="begin"/>
            </w:r>
            <w:r>
              <w:rPr>
                <w:webHidden/>
              </w:rPr>
              <w:instrText xml:space="preserve"> PAGEREF _Toc178230263 \h </w:instrText>
            </w:r>
            <w:r>
              <w:rPr>
                <w:webHidden/>
              </w:rPr>
            </w:r>
            <w:r>
              <w:rPr>
                <w:webHidden/>
              </w:rPr>
              <w:fldChar w:fldCharType="separate"/>
            </w:r>
            <w:r w:rsidR="009A2EC4">
              <w:rPr>
                <w:webHidden/>
              </w:rPr>
              <w:t>54</w:t>
            </w:r>
            <w:r>
              <w:rPr>
                <w:webHidden/>
              </w:rPr>
              <w:fldChar w:fldCharType="end"/>
            </w:r>
          </w:hyperlink>
        </w:p>
        <w:p w14:paraId="70AB9946" w14:textId="4B8BBDCB" w:rsidR="00A87406" w:rsidRDefault="00A87406">
          <w:pPr>
            <w:pStyle w:val="TOC4"/>
            <w:rPr>
              <w:rFonts w:eastAsiaTheme="minorEastAsia"/>
              <w:noProof/>
              <w:kern w:val="2"/>
              <w:sz w:val="24"/>
              <w:szCs w:val="24"/>
              <w:lang w:eastAsia="en-AU"/>
              <w14:ligatures w14:val="standardContextual"/>
            </w:rPr>
          </w:pPr>
          <w:hyperlink w:anchor="_Toc178230264" w:history="1">
            <w:r w:rsidRPr="00FD11D4">
              <w:rPr>
                <w:rStyle w:val="Hyperlink"/>
                <w:noProof/>
              </w:rPr>
              <w:t>7.1 Questions on the reform options</w:t>
            </w:r>
            <w:r>
              <w:rPr>
                <w:noProof/>
                <w:webHidden/>
              </w:rPr>
              <w:tab/>
            </w:r>
            <w:r>
              <w:rPr>
                <w:noProof/>
                <w:webHidden/>
              </w:rPr>
              <w:fldChar w:fldCharType="begin"/>
            </w:r>
            <w:r>
              <w:rPr>
                <w:noProof/>
                <w:webHidden/>
              </w:rPr>
              <w:instrText xml:space="preserve"> PAGEREF _Toc178230264 \h </w:instrText>
            </w:r>
            <w:r>
              <w:rPr>
                <w:noProof/>
                <w:webHidden/>
              </w:rPr>
            </w:r>
            <w:r>
              <w:rPr>
                <w:noProof/>
                <w:webHidden/>
              </w:rPr>
              <w:fldChar w:fldCharType="separate"/>
            </w:r>
            <w:r w:rsidR="009A2EC4">
              <w:rPr>
                <w:noProof/>
                <w:webHidden/>
              </w:rPr>
              <w:t>54</w:t>
            </w:r>
            <w:r>
              <w:rPr>
                <w:noProof/>
                <w:webHidden/>
              </w:rPr>
              <w:fldChar w:fldCharType="end"/>
            </w:r>
          </w:hyperlink>
        </w:p>
        <w:p w14:paraId="0223F4F7" w14:textId="66F4A429" w:rsidR="00A87406" w:rsidRDefault="00A87406">
          <w:pPr>
            <w:pStyle w:val="TOC4"/>
            <w:rPr>
              <w:rFonts w:eastAsiaTheme="minorEastAsia"/>
              <w:noProof/>
              <w:kern w:val="2"/>
              <w:sz w:val="24"/>
              <w:szCs w:val="24"/>
              <w:lang w:eastAsia="en-AU"/>
              <w14:ligatures w14:val="standardContextual"/>
            </w:rPr>
          </w:pPr>
          <w:hyperlink w:anchor="_Toc178230265" w:history="1">
            <w:r w:rsidRPr="00FD11D4">
              <w:rPr>
                <w:rStyle w:val="Hyperlink"/>
                <w:noProof/>
              </w:rPr>
              <w:t>7.2 Questions on the packaging obligations</w:t>
            </w:r>
            <w:r>
              <w:rPr>
                <w:noProof/>
                <w:webHidden/>
              </w:rPr>
              <w:tab/>
            </w:r>
            <w:r>
              <w:rPr>
                <w:noProof/>
                <w:webHidden/>
              </w:rPr>
              <w:fldChar w:fldCharType="begin"/>
            </w:r>
            <w:r>
              <w:rPr>
                <w:noProof/>
                <w:webHidden/>
              </w:rPr>
              <w:instrText xml:space="preserve"> PAGEREF _Toc178230265 \h </w:instrText>
            </w:r>
            <w:r>
              <w:rPr>
                <w:noProof/>
                <w:webHidden/>
              </w:rPr>
            </w:r>
            <w:r>
              <w:rPr>
                <w:noProof/>
                <w:webHidden/>
              </w:rPr>
              <w:fldChar w:fldCharType="separate"/>
            </w:r>
            <w:r w:rsidR="009A2EC4">
              <w:rPr>
                <w:noProof/>
                <w:webHidden/>
              </w:rPr>
              <w:t>54</w:t>
            </w:r>
            <w:r>
              <w:rPr>
                <w:noProof/>
                <w:webHidden/>
              </w:rPr>
              <w:fldChar w:fldCharType="end"/>
            </w:r>
          </w:hyperlink>
        </w:p>
        <w:p w14:paraId="387955D0" w14:textId="124DC393" w:rsidR="00A87406" w:rsidRDefault="00A87406">
          <w:pPr>
            <w:pStyle w:val="TOC4"/>
            <w:rPr>
              <w:rFonts w:eastAsiaTheme="minorEastAsia"/>
              <w:noProof/>
              <w:kern w:val="2"/>
              <w:sz w:val="24"/>
              <w:szCs w:val="24"/>
              <w:lang w:eastAsia="en-AU"/>
              <w14:ligatures w14:val="standardContextual"/>
            </w:rPr>
          </w:pPr>
          <w:hyperlink w:anchor="_Toc178230266" w:history="1">
            <w:r w:rsidRPr="00FD11D4">
              <w:rPr>
                <w:rStyle w:val="Hyperlink"/>
                <w:noProof/>
              </w:rPr>
              <w:t>7.3 Questions on scope and liability for reforms</w:t>
            </w:r>
            <w:r>
              <w:rPr>
                <w:noProof/>
                <w:webHidden/>
              </w:rPr>
              <w:tab/>
            </w:r>
            <w:r>
              <w:rPr>
                <w:noProof/>
                <w:webHidden/>
              </w:rPr>
              <w:fldChar w:fldCharType="begin"/>
            </w:r>
            <w:r>
              <w:rPr>
                <w:noProof/>
                <w:webHidden/>
              </w:rPr>
              <w:instrText xml:space="preserve"> PAGEREF _Toc178230266 \h </w:instrText>
            </w:r>
            <w:r>
              <w:rPr>
                <w:noProof/>
                <w:webHidden/>
              </w:rPr>
            </w:r>
            <w:r>
              <w:rPr>
                <w:noProof/>
                <w:webHidden/>
              </w:rPr>
              <w:fldChar w:fldCharType="separate"/>
            </w:r>
            <w:r w:rsidR="009A2EC4">
              <w:rPr>
                <w:noProof/>
                <w:webHidden/>
              </w:rPr>
              <w:t>55</w:t>
            </w:r>
            <w:r>
              <w:rPr>
                <w:noProof/>
                <w:webHidden/>
              </w:rPr>
              <w:fldChar w:fldCharType="end"/>
            </w:r>
          </w:hyperlink>
        </w:p>
        <w:p w14:paraId="21DDDB3E" w14:textId="655BA02A" w:rsidR="00A87406" w:rsidRDefault="00A87406">
          <w:pPr>
            <w:pStyle w:val="TOC4"/>
            <w:rPr>
              <w:rFonts w:eastAsiaTheme="minorEastAsia"/>
              <w:noProof/>
              <w:kern w:val="2"/>
              <w:sz w:val="24"/>
              <w:szCs w:val="24"/>
              <w:lang w:eastAsia="en-AU"/>
              <w14:ligatures w14:val="standardContextual"/>
            </w:rPr>
          </w:pPr>
          <w:hyperlink w:anchor="_Toc178230267" w:history="1">
            <w:r w:rsidRPr="00FD11D4">
              <w:rPr>
                <w:rStyle w:val="Hyperlink"/>
                <w:noProof/>
              </w:rPr>
              <w:t>7.4 Questions on recyclable packaging design</w:t>
            </w:r>
            <w:r>
              <w:rPr>
                <w:noProof/>
                <w:webHidden/>
              </w:rPr>
              <w:tab/>
            </w:r>
            <w:r>
              <w:rPr>
                <w:noProof/>
                <w:webHidden/>
              </w:rPr>
              <w:fldChar w:fldCharType="begin"/>
            </w:r>
            <w:r>
              <w:rPr>
                <w:noProof/>
                <w:webHidden/>
              </w:rPr>
              <w:instrText xml:space="preserve"> PAGEREF _Toc178230267 \h </w:instrText>
            </w:r>
            <w:r>
              <w:rPr>
                <w:noProof/>
                <w:webHidden/>
              </w:rPr>
            </w:r>
            <w:r>
              <w:rPr>
                <w:noProof/>
                <w:webHidden/>
              </w:rPr>
              <w:fldChar w:fldCharType="separate"/>
            </w:r>
            <w:r w:rsidR="009A2EC4">
              <w:rPr>
                <w:noProof/>
                <w:webHidden/>
              </w:rPr>
              <w:t>56</w:t>
            </w:r>
            <w:r>
              <w:rPr>
                <w:noProof/>
                <w:webHidden/>
              </w:rPr>
              <w:fldChar w:fldCharType="end"/>
            </w:r>
          </w:hyperlink>
        </w:p>
        <w:p w14:paraId="5730995C" w14:textId="6584BFDE" w:rsidR="00A87406" w:rsidRDefault="00A87406">
          <w:pPr>
            <w:pStyle w:val="TOC4"/>
            <w:rPr>
              <w:rFonts w:eastAsiaTheme="minorEastAsia"/>
              <w:noProof/>
              <w:kern w:val="2"/>
              <w:sz w:val="24"/>
              <w:szCs w:val="24"/>
              <w:lang w:eastAsia="en-AU"/>
              <w14:ligatures w14:val="standardContextual"/>
            </w:rPr>
          </w:pPr>
          <w:hyperlink w:anchor="_Toc178230268" w:history="1">
            <w:r w:rsidRPr="00FD11D4">
              <w:rPr>
                <w:rStyle w:val="Hyperlink"/>
                <w:noProof/>
              </w:rPr>
              <w:t>7.5 Questions on recycled content thresholds</w:t>
            </w:r>
            <w:r>
              <w:rPr>
                <w:noProof/>
                <w:webHidden/>
              </w:rPr>
              <w:tab/>
            </w:r>
            <w:r>
              <w:rPr>
                <w:noProof/>
                <w:webHidden/>
              </w:rPr>
              <w:fldChar w:fldCharType="begin"/>
            </w:r>
            <w:r>
              <w:rPr>
                <w:noProof/>
                <w:webHidden/>
              </w:rPr>
              <w:instrText xml:space="preserve"> PAGEREF _Toc178230268 \h </w:instrText>
            </w:r>
            <w:r>
              <w:rPr>
                <w:noProof/>
                <w:webHidden/>
              </w:rPr>
            </w:r>
            <w:r>
              <w:rPr>
                <w:noProof/>
                <w:webHidden/>
              </w:rPr>
              <w:fldChar w:fldCharType="separate"/>
            </w:r>
            <w:r w:rsidR="009A2EC4">
              <w:rPr>
                <w:noProof/>
                <w:webHidden/>
              </w:rPr>
              <w:t>56</w:t>
            </w:r>
            <w:r>
              <w:rPr>
                <w:noProof/>
                <w:webHidden/>
              </w:rPr>
              <w:fldChar w:fldCharType="end"/>
            </w:r>
          </w:hyperlink>
        </w:p>
        <w:p w14:paraId="7E785554" w14:textId="0F6B3237" w:rsidR="00A87406" w:rsidRDefault="00A87406">
          <w:pPr>
            <w:pStyle w:val="TOC4"/>
            <w:rPr>
              <w:rFonts w:eastAsiaTheme="minorEastAsia"/>
              <w:noProof/>
              <w:kern w:val="2"/>
              <w:sz w:val="24"/>
              <w:szCs w:val="24"/>
              <w:lang w:eastAsia="en-AU"/>
              <w14:ligatures w14:val="standardContextual"/>
            </w:rPr>
          </w:pPr>
          <w:hyperlink w:anchor="_Toc178230269" w:history="1">
            <w:r w:rsidRPr="00FD11D4">
              <w:rPr>
                <w:rStyle w:val="Hyperlink"/>
                <w:noProof/>
              </w:rPr>
              <w:t>7.6 Questions on why packaging reform is needed, its objectives and outcomes</w:t>
            </w:r>
            <w:r>
              <w:rPr>
                <w:noProof/>
                <w:webHidden/>
              </w:rPr>
              <w:tab/>
            </w:r>
            <w:r>
              <w:rPr>
                <w:noProof/>
                <w:webHidden/>
              </w:rPr>
              <w:fldChar w:fldCharType="begin"/>
            </w:r>
            <w:r>
              <w:rPr>
                <w:noProof/>
                <w:webHidden/>
              </w:rPr>
              <w:instrText xml:space="preserve"> PAGEREF _Toc178230269 \h </w:instrText>
            </w:r>
            <w:r>
              <w:rPr>
                <w:noProof/>
                <w:webHidden/>
              </w:rPr>
            </w:r>
            <w:r>
              <w:rPr>
                <w:noProof/>
                <w:webHidden/>
              </w:rPr>
              <w:fldChar w:fldCharType="separate"/>
            </w:r>
            <w:r w:rsidR="009A2EC4">
              <w:rPr>
                <w:noProof/>
                <w:webHidden/>
              </w:rPr>
              <w:t>56</w:t>
            </w:r>
            <w:r>
              <w:rPr>
                <w:noProof/>
                <w:webHidden/>
              </w:rPr>
              <w:fldChar w:fldCharType="end"/>
            </w:r>
          </w:hyperlink>
        </w:p>
        <w:p w14:paraId="696E81D5" w14:textId="1DECC2A4" w:rsidR="00A87406" w:rsidRDefault="00A87406">
          <w:pPr>
            <w:pStyle w:val="TOC1"/>
            <w:rPr>
              <w:rFonts w:eastAsiaTheme="minorEastAsia"/>
              <w:b w:val="0"/>
              <w:kern w:val="2"/>
              <w:sz w:val="24"/>
              <w:szCs w:val="24"/>
              <w:lang w:eastAsia="en-AU"/>
              <w14:ligatures w14:val="standardContextual"/>
            </w:rPr>
          </w:pPr>
          <w:hyperlink w:anchor="_Toc178230270" w:history="1">
            <w:r w:rsidRPr="00FD11D4">
              <w:rPr>
                <w:rStyle w:val="Hyperlink"/>
              </w:rPr>
              <w:t>8. Next steps</w:t>
            </w:r>
            <w:r>
              <w:rPr>
                <w:webHidden/>
              </w:rPr>
              <w:tab/>
            </w:r>
            <w:r>
              <w:rPr>
                <w:webHidden/>
              </w:rPr>
              <w:fldChar w:fldCharType="begin"/>
            </w:r>
            <w:r>
              <w:rPr>
                <w:webHidden/>
              </w:rPr>
              <w:instrText xml:space="preserve"> PAGEREF _Toc178230270 \h </w:instrText>
            </w:r>
            <w:r>
              <w:rPr>
                <w:webHidden/>
              </w:rPr>
            </w:r>
            <w:r>
              <w:rPr>
                <w:webHidden/>
              </w:rPr>
              <w:fldChar w:fldCharType="separate"/>
            </w:r>
            <w:r w:rsidR="009A2EC4">
              <w:rPr>
                <w:webHidden/>
              </w:rPr>
              <w:t>58</w:t>
            </w:r>
            <w:r>
              <w:rPr>
                <w:webHidden/>
              </w:rPr>
              <w:fldChar w:fldCharType="end"/>
            </w:r>
          </w:hyperlink>
        </w:p>
        <w:p w14:paraId="4F77AE35" w14:textId="081F8950" w:rsidR="00A87406" w:rsidRDefault="00A87406">
          <w:pPr>
            <w:pStyle w:val="TOC1"/>
            <w:rPr>
              <w:rFonts w:eastAsiaTheme="minorEastAsia"/>
              <w:b w:val="0"/>
              <w:kern w:val="2"/>
              <w:sz w:val="24"/>
              <w:szCs w:val="24"/>
              <w:lang w:eastAsia="en-AU"/>
              <w14:ligatures w14:val="standardContextual"/>
            </w:rPr>
          </w:pPr>
          <w:hyperlink w:anchor="_Toc178230271" w:history="1">
            <w:r w:rsidRPr="00FD11D4">
              <w:rPr>
                <w:rStyle w:val="Hyperlink"/>
              </w:rPr>
              <w:t>Glossary</w:t>
            </w:r>
            <w:r>
              <w:rPr>
                <w:webHidden/>
              </w:rPr>
              <w:tab/>
            </w:r>
            <w:r>
              <w:rPr>
                <w:webHidden/>
              </w:rPr>
              <w:fldChar w:fldCharType="begin"/>
            </w:r>
            <w:r>
              <w:rPr>
                <w:webHidden/>
              </w:rPr>
              <w:instrText xml:space="preserve"> PAGEREF _Toc178230271 \h </w:instrText>
            </w:r>
            <w:r>
              <w:rPr>
                <w:webHidden/>
              </w:rPr>
            </w:r>
            <w:r>
              <w:rPr>
                <w:webHidden/>
              </w:rPr>
              <w:fldChar w:fldCharType="separate"/>
            </w:r>
            <w:r w:rsidR="009A2EC4">
              <w:rPr>
                <w:webHidden/>
              </w:rPr>
              <w:t>59</w:t>
            </w:r>
            <w:r>
              <w:rPr>
                <w:webHidden/>
              </w:rPr>
              <w:fldChar w:fldCharType="end"/>
            </w:r>
          </w:hyperlink>
        </w:p>
        <w:p w14:paraId="3D62FB53" w14:textId="7EB92E70" w:rsidR="00A87406" w:rsidRDefault="00A87406">
          <w:pPr>
            <w:pStyle w:val="TOC1"/>
            <w:rPr>
              <w:rFonts w:eastAsiaTheme="minorEastAsia"/>
              <w:b w:val="0"/>
              <w:kern w:val="2"/>
              <w:sz w:val="24"/>
              <w:szCs w:val="24"/>
              <w:lang w:eastAsia="en-AU"/>
              <w14:ligatures w14:val="standardContextual"/>
            </w:rPr>
          </w:pPr>
          <w:hyperlink w:anchor="_Toc178230272" w:history="1">
            <w:r w:rsidRPr="00FD11D4">
              <w:rPr>
                <w:rStyle w:val="Hyperlink"/>
              </w:rPr>
              <w:t>References</w:t>
            </w:r>
            <w:r>
              <w:rPr>
                <w:webHidden/>
              </w:rPr>
              <w:tab/>
            </w:r>
            <w:r>
              <w:rPr>
                <w:webHidden/>
              </w:rPr>
              <w:fldChar w:fldCharType="begin"/>
            </w:r>
            <w:r>
              <w:rPr>
                <w:webHidden/>
              </w:rPr>
              <w:instrText xml:space="preserve"> PAGEREF _Toc178230272 \h </w:instrText>
            </w:r>
            <w:r>
              <w:rPr>
                <w:webHidden/>
              </w:rPr>
            </w:r>
            <w:r>
              <w:rPr>
                <w:webHidden/>
              </w:rPr>
              <w:fldChar w:fldCharType="separate"/>
            </w:r>
            <w:r w:rsidR="009A2EC4">
              <w:rPr>
                <w:webHidden/>
              </w:rPr>
              <w:t>63</w:t>
            </w:r>
            <w:r>
              <w:rPr>
                <w:webHidden/>
              </w:rPr>
              <w:fldChar w:fldCharType="end"/>
            </w:r>
          </w:hyperlink>
        </w:p>
        <w:p w14:paraId="1950715A" w14:textId="6784D429" w:rsidR="00A87406" w:rsidRDefault="00A87406">
          <w:pPr>
            <w:pStyle w:val="TOC1"/>
            <w:rPr>
              <w:rFonts w:eastAsiaTheme="minorEastAsia"/>
              <w:b w:val="0"/>
              <w:kern w:val="2"/>
              <w:sz w:val="24"/>
              <w:szCs w:val="24"/>
              <w:lang w:eastAsia="en-AU"/>
              <w14:ligatures w14:val="standardContextual"/>
            </w:rPr>
          </w:pPr>
          <w:hyperlink w:anchor="_Toc178230273" w:history="1">
            <w:r w:rsidRPr="00FD11D4">
              <w:rPr>
                <w:rStyle w:val="Hyperlink"/>
              </w:rPr>
              <w:t>Appendix A – Current regulation of packaging in Australia</w:t>
            </w:r>
            <w:r>
              <w:rPr>
                <w:webHidden/>
              </w:rPr>
              <w:tab/>
            </w:r>
            <w:r>
              <w:rPr>
                <w:webHidden/>
              </w:rPr>
              <w:fldChar w:fldCharType="begin"/>
            </w:r>
            <w:r>
              <w:rPr>
                <w:webHidden/>
              </w:rPr>
              <w:instrText xml:space="preserve"> PAGEREF _Toc178230273 \h </w:instrText>
            </w:r>
            <w:r>
              <w:rPr>
                <w:webHidden/>
              </w:rPr>
            </w:r>
            <w:r>
              <w:rPr>
                <w:webHidden/>
              </w:rPr>
              <w:fldChar w:fldCharType="separate"/>
            </w:r>
            <w:r w:rsidR="009A2EC4">
              <w:rPr>
                <w:webHidden/>
              </w:rPr>
              <w:t>68</w:t>
            </w:r>
            <w:r>
              <w:rPr>
                <w:webHidden/>
              </w:rPr>
              <w:fldChar w:fldCharType="end"/>
            </w:r>
          </w:hyperlink>
        </w:p>
        <w:p w14:paraId="47A19770" w14:textId="4B0CA45E" w:rsidR="00A87406" w:rsidRDefault="00A87406">
          <w:pPr>
            <w:pStyle w:val="TOC1"/>
            <w:rPr>
              <w:rFonts w:eastAsiaTheme="minorEastAsia"/>
              <w:b w:val="0"/>
              <w:kern w:val="2"/>
              <w:sz w:val="24"/>
              <w:szCs w:val="24"/>
              <w:lang w:eastAsia="en-AU"/>
              <w14:ligatures w14:val="standardContextual"/>
            </w:rPr>
          </w:pPr>
          <w:hyperlink w:anchor="_Toc178230278" w:history="1">
            <w:r w:rsidRPr="00FD11D4">
              <w:rPr>
                <w:rStyle w:val="Hyperlink"/>
              </w:rPr>
              <w:t>Appendix B – Circular economy initiatives</w:t>
            </w:r>
            <w:r>
              <w:rPr>
                <w:webHidden/>
              </w:rPr>
              <w:tab/>
            </w:r>
            <w:r>
              <w:rPr>
                <w:webHidden/>
              </w:rPr>
              <w:fldChar w:fldCharType="begin"/>
            </w:r>
            <w:r>
              <w:rPr>
                <w:webHidden/>
              </w:rPr>
              <w:instrText xml:space="preserve"> PAGEREF _Toc178230278 \h </w:instrText>
            </w:r>
            <w:r>
              <w:rPr>
                <w:webHidden/>
              </w:rPr>
            </w:r>
            <w:r>
              <w:rPr>
                <w:webHidden/>
              </w:rPr>
              <w:fldChar w:fldCharType="separate"/>
            </w:r>
            <w:r w:rsidR="009A2EC4">
              <w:rPr>
                <w:webHidden/>
              </w:rPr>
              <w:t>71</w:t>
            </w:r>
            <w:r>
              <w:rPr>
                <w:webHidden/>
              </w:rPr>
              <w:fldChar w:fldCharType="end"/>
            </w:r>
          </w:hyperlink>
        </w:p>
        <w:p w14:paraId="1D3B7D3B" w14:textId="12340A0D" w:rsidR="00A87406" w:rsidRDefault="00A87406">
          <w:pPr>
            <w:pStyle w:val="TOC1"/>
            <w:rPr>
              <w:rFonts w:eastAsiaTheme="minorEastAsia"/>
              <w:b w:val="0"/>
              <w:kern w:val="2"/>
              <w:sz w:val="24"/>
              <w:szCs w:val="24"/>
              <w:lang w:eastAsia="en-AU"/>
              <w14:ligatures w14:val="standardContextual"/>
            </w:rPr>
          </w:pPr>
          <w:hyperlink w:anchor="_Toc178230279" w:history="1">
            <w:r w:rsidRPr="00FD11D4">
              <w:rPr>
                <w:rStyle w:val="Hyperlink"/>
              </w:rPr>
              <w:t>Appendix C – Additional information on chemicals of concern</w:t>
            </w:r>
            <w:r>
              <w:rPr>
                <w:webHidden/>
              </w:rPr>
              <w:tab/>
            </w:r>
            <w:r>
              <w:rPr>
                <w:webHidden/>
              </w:rPr>
              <w:fldChar w:fldCharType="begin"/>
            </w:r>
            <w:r>
              <w:rPr>
                <w:webHidden/>
              </w:rPr>
              <w:instrText xml:space="preserve"> PAGEREF _Toc178230279 \h </w:instrText>
            </w:r>
            <w:r>
              <w:rPr>
                <w:webHidden/>
              </w:rPr>
            </w:r>
            <w:r>
              <w:rPr>
                <w:webHidden/>
              </w:rPr>
              <w:fldChar w:fldCharType="separate"/>
            </w:r>
            <w:r w:rsidR="009A2EC4">
              <w:rPr>
                <w:webHidden/>
              </w:rPr>
              <w:t>73</w:t>
            </w:r>
            <w:r>
              <w:rPr>
                <w:webHidden/>
              </w:rPr>
              <w:fldChar w:fldCharType="end"/>
            </w:r>
          </w:hyperlink>
        </w:p>
        <w:p w14:paraId="1F7BE66E" w14:textId="47B324ED" w:rsidR="00A87406" w:rsidRDefault="00A87406">
          <w:pPr>
            <w:pStyle w:val="TOC1"/>
            <w:rPr>
              <w:rFonts w:eastAsiaTheme="minorEastAsia"/>
              <w:b w:val="0"/>
              <w:kern w:val="2"/>
              <w:sz w:val="24"/>
              <w:szCs w:val="24"/>
              <w:lang w:eastAsia="en-AU"/>
              <w14:ligatures w14:val="standardContextual"/>
            </w:rPr>
          </w:pPr>
          <w:hyperlink w:anchor="_Toc178230282" w:history="1">
            <w:r w:rsidRPr="00FD11D4">
              <w:rPr>
                <w:rStyle w:val="Hyperlink"/>
              </w:rPr>
              <w:t>Appendix D – Additional recycled content information</w:t>
            </w:r>
            <w:r>
              <w:rPr>
                <w:webHidden/>
              </w:rPr>
              <w:tab/>
            </w:r>
            <w:r>
              <w:rPr>
                <w:webHidden/>
              </w:rPr>
              <w:fldChar w:fldCharType="begin"/>
            </w:r>
            <w:r>
              <w:rPr>
                <w:webHidden/>
              </w:rPr>
              <w:instrText xml:space="preserve"> PAGEREF _Toc178230282 \h </w:instrText>
            </w:r>
            <w:r>
              <w:rPr>
                <w:webHidden/>
              </w:rPr>
            </w:r>
            <w:r>
              <w:rPr>
                <w:webHidden/>
              </w:rPr>
              <w:fldChar w:fldCharType="separate"/>
            </w:r>
            <w:r w:rsidR="009A2EC4">
              <w:rPr>
                <w:webHidden/>
              </w:rPr>
              <w:t>77</w:t>
            </w:r>
            <w:r>
              <w:rPr>
                <w:webHidden/>
              </w:rPr>
              <w:fldChar w:fldCharType="end"/>
            </w:r>
          </w:hyperlink>
        </w:p>
        <w:p w14:paraId="460812DF" w14:textId="14C7435D" w:rsidR="00723E7A" w:rsidRPr="00E45508" w:rsidRDefault="00723E7A">
          <w:r w:rsidRPr="00E45508">
            <w:rPr>
              <w:b/>
              <w:bCs/>
              <w:noProof/>
            </w:rPr>
            <w:fldChar w:fldCharType="end"/>
          </w:r>
        </w:p>
      </w:sdtContent>
    </w:sdt>
    <w:p w14:paraId="72F98342" w14:textId="77777777" w:rsidR="00671EB5" w:rsidRDefault="00671EB5" w:rsidP="00671EB5">
      <w:pPr>
        <w:rPr>
          <w:rStyle w:val="Strong"/>
          <w:rFonts w:cstheme="minorHAnsi"/>
          <w:sz w:val="36"/>
        </w:rPr>
      </w:pPr>
      <w:r>
        <w:rPr>
          <w:rStyle w:val="Strong"/>
          <w:rFonts w:cstheme="minorHAnsi"/>
        </w:rPr>
        <w:br w:type="page"/>
      </w:r>
    </w:p>
    <w:p w14:paraId="1295ABFF" w14:textId="385A158D" w:rsidR="002C3946" w:rsidRPr="00E45508" w:rsidRDefault="002C3946" w:rsidP="002C3946">
      <w:pPr>
        <w:pStyle w:val="TOCHeading2"/>
        <w:rPr>
          <w:rStyle w:val="Strong"/>
          <w:rFonts w:asciiTheme="minorHAnsi" w:hAnsiTheme="minorHAnsi" w:cstheme="minorHAnsi"/>
        </w:rPr>
      </w:pPr>
      <w:r w:rsidRPr="00E45508">
        <w:rPr>
          <w:rStyle w:val="Strong"/>
          <w:rFonts w:asciiTheme="minorHAnsi" w:hAnsiTheme="minorHAnsi" w:cstheme="minorHAnsi"/>
        </w:rPr>
        <w:t>Tables</w:t>
      </w:r>
    </w:p>
    <w:p w14:paraId="79073B28" w14:textId="7DDB0751" w:rsidR="002316FC" w:rsidRDefault="002C3946">
      <w:pPr>
        <w:pStyle w:val="TableofFigures"/>
        <w:tabs>
          <w:tab w:val="right" w:leader="dot" w:pos="9060"/>
        </w:tabs>
        <w:rPr>
          <w:rFonts w:eastAsiaTheme="minorEastAsia"/>
          <w:noProof/>
          <w:kern w:val="2"/>
          <w:sz w:val="24"/>
          <w:szCs w:val="24"/>
          <w:lang w:eastAsia="en-AU"/>
          <w14:ligatures w14:val="standardContextual"/>
        </w:rPr>
      </w:pPr>
      <w:r w:rsidRPr="00E45508">
        <w:rPr>
          <w:rStyle w:val="Hyperlink"/>
          <w:highlight w:val="yellow"/>
        </w:rPr>
        <w:fldChar w:fldCharType="begin"/>
      </w:r>
      <w:r w:rsidRPr="00E45508">
        <w:rPr>
          <w:rStyle w:val="Hyperlink"/>
          <w:rFonts w:cstheme="minorHAnsi"/>
          <w:noProof/>
          <w:highlight w:val="yellow"/>
        </w:rPr>
        <w:instrText xml:space="preserve"> TOC \h \z \c "Table" </w:instrText>
      </w:r>
      <w:r w:rsidRPr="00E45508">
        <w:rPr>
          <w:rStyle w:val="Hyperlink"/>
          <w:highlight w:val="yellow"/>
        </w:rPr>
        <w:fldChar w:fldCharType="separate"/>
      </w:r>
      <w:hyperlink w:anchor="_Toc178229364" w:history="1">
        <w:r w:rsidR="002316FC" w:rsidRPr="003C753A">
          <w:rPr>
            <w:rStyle w:val="Hyperlink"/>
            <w:noProof/>
          </w:rPr>
          <w:t>Table 1: Key outcomes for reform</w:t>
        </w:r>
        <w:r w:rsidR="002316FC">
          <w:rPr>
            <w:noProof/>
            <w:webHidden/>
          </w:rPr>
          <w:tab/>
        </w:r>
        <w:r w:rsidR="002316FC">
          <w:rPr>
            <w:noProof/>
            <w:webHidden/>
          </w:rPr>
          <w:fldChar w:fldCharType="begin"/>
        </w:r>
        <w:r w:rsidR="002316FC">
          <w:rPr>
            <w:noProof/>
            <w:webHidden/>
          </w:rPr>
          <w:instrText xml:space="preserve"> PAGEREF _Toc178229364 \h </w:instrText>
        </w:r>
        <w:r w:rsidR="002316FC">
          <w:rPr>
            <w:noProof/>
            <w:webHidden/>
          </w:rPr>
        </w:r>
        <w:r w:rsidR="002316FC">
          <w:rPr>
            <w:noProof/>
            <w:webHidden/>
          </w:rPr>
          <w:fldChar w:fldCharType="separate"/>
        </w:r>
        <w:r w:rsidR="009A2EC4">
          <w:rPr>
            <w:noProof/>
            <w:webHidden/>
          </w:rPr>
          <w:t>12</w:t>
        </w:r>
        <w:r w:rsidR="002316FC">
          <w:rPr>
            <w:noProof/>
            <w:webHidden/>
          </w:rPr>
          <w:fldChar w:fldCharType="end"/>
        </w:r>
      </w:hyperlink>
    </w:p>
    <w:p w14:paraId="257561F9" w14:textId="6C9F1F1B"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65" w:history="1">
        <w:r w:rsidRPr="003C753A">
          <w:rPr>
            <w:rStyle w:val="Hyperlink"/>
            <w:noProof/>
          </w:rPr>
          <w:t>Table 2: 2025 National Packaging Targets progress to 2021-22</w:t>
        </w:r>
        <w:r>
          <w:rPr>
            <w:noProof/>
            <w:webHidden/>
          </w:rPr>
          <w:tab/>
        </w:r>
        <w:r>
          <w:rPr>
            <w:noProof/>
            <w:webHidden/>
          </w:rPr>
          <w:fldChar w:fldCharType="begin"/>
        </w:r>
        <w:r>
          <w:rPr>
            <w:noProof/>
            <w:webHidden/>
          </w:rPr>
          <w:instrText xml:space="preserve"> PAGEREF _Toc178229365 \h </w:instrText>
        </w:r>
        <w:r>
          <w:rPr>
            <w:noProof/>
            <w:webHidden/>
          </w:rPr>
        </w:r>
        <w:r>
          <w:rPr>
            <w:noProof/>
            <w:webHidden/>
          </w:rPr>
          <w:fldChar w:fldCharType="separate"/>
        </w:r>
        <w:r w:rsidR="009A2EC4">
          <w:rPr>
            <w:noProof/>
            <w:webHidden/>
          </w:rPr>
          <w:t>14</w:t>
        </w:r>
        <w:r>
          <w:rPr>
            <w:noProof/>
            <w:webHidden/>
          </w:rPr>
          <w:fldChar w:fldCharType="end"/>
        </w:r>
      </w:hyperlink>
    </w:p>
    <w:p w14:paraId="233C4B6D" w14:textId="5AD9236C"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66" w:history="1">
        <w:r w:rsidRPr="003C753A">
          <w:rPr>
            <w:rStyle w:val="Hyperlink"/>
            <w:noProof/>
          </w:rPr>
          <w:t>Table 3: Measuring success of intervention</w:t>
        </w:r>
        <w:r>
          <w:rPr>
            <w:noProof/>
            <w:webHidden/>
          </w:rPr>
          <w:tab/>
        </w:r>
        <w:r>
          <w:rPr>
            <w:noProof/>
            <w:webHidden/>
          </w:rPr>
          <w:fldChar w:fldCharType="begin"/>
        </w:r>
        <w:r>
          <w:rPr>
            <w:noProof/>
            <w:webHidden/>
          </w:rPr>
          <w:instrText xml:space="preserve"> PAGEREF _Toc178229366 \h </w:instrText>
        </w:r>
        <w:r>
          <w:rPr>
            <w:noProof/>
            <w:webHidden/>
          </w:rPr>
        </w:r>
        <w:r>
          <w:rPr>
            <w:noProof/>
            <w:webHidden/>
          </w:rPr>
          <w:fldChar w:fldCharType="separate"/>
        </w:r>
        <w:r w:rsidR="009A2EC4">
          <w:rPr>
            <w:noProof/>
            <w:webHidden/>
          </w:rPr>
          <w:t>15</w:t>
        </w:r>
        <w:r>
          <w:rPr>
            <w:noProof/>
            <w:webHidden/>
          </w:rPr>
          <w:fldChar w:fldCharType="end"/>
        </w:r>
      </w:hyperlink>
    </w:p>
    <w:p w14:paraId="5B265064" w14:textId="03C41066"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67" w:history="1">
        <w:r w:rsidRPr="003C753A">
          <w:rPr>
            <w:rStyle w:val="Hyperlink"/>
            <w:noProof/>
          </w:rPr>
          <w:t>Table 4: Key features of each option – roles, responsibilities and financial arrangements</w:t>
        </w:r>
        <w:r>
          <w:rPr>
            <w:noProof/>
            <w:webHidden/>
          </w:rPr>
          <w:tab/>
        </w:r>
        <w:r>
          <w:rPr>
            <w:noProof/>
            <w:webHidden/>
          </w:rPr>
          <w:fldChar w:fldCharType="begin"/>
        </w:r>
        <w:r>
          <w:rPr>
            <w:noProof/>
            <w:webHidden/>
          </w:rPr>
          <w:instrText xml:space="preserve"> PAGEREF _Toc178229367 \h </w:instrText>
        </w:r>
        <w:r>
          <w:rPr>
            <w:noProof/>
            <w:webHidden/>
          </w:rPr>
        </w:r>
        <w:r>
          <w:rPr>
            <w:noProof/>
            <w:webHidden/>
          </w:rPr>
          <w:fldChar w:fldCharType="separate"/>
        </w:r>
        <w:r w:rsidR="009A2EC4">
          <w:rPr>
            <w:noProof/>
            <w:webHidden/>
          </w:rPr>
          <w:t>17</w:t>
        </w:r>
        <w:r>
          <w:rPr>
            <w:noProof/>
            <w:webHidden/>
          </w:rPr>
          <w:fldChar w:fldCharType="end"/>
        </w:r>
      </w:hyperlink>
    </w:p>
    <w:p w14:paraId="67E6E438" w14:textId="3F6EBAD9"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68" w:history="1">
        <w:r w:rsidRPr="003C753A">
          <w:rPr>
            <w:rStyle w:val="Hyperlink"/>
            <w:noProof/>
          </w:rPr>
          <w:t>Table 5: Base case governance and funding arrangements</w:t>
        </w:r>
        <w:r>
          <w:rPr>
            <w:noProof/>
            <w:webHidden/>
          </w:rPr>
          <w:tab/>
        </w:r>
        <w:r>
          <w:rPr>
            <w:noProof/>
            <w:webHidden/>
          </w:rPr>
          <w:fldChar w:fldCharType="begin"/>
        </w:r>
        <w:r>
          <w:rPr>
            <w:noProof/>
            <w:webHidden/>
          </w:rPr>
          <w:instrText xml:space="preserve"> PAGEREF _Toc178229368 \h </w:instrText>
        </w:r>
        <w:r>
          <w:rPr>
            <w:noProof/>
            <w:webHidden/>
          </w:rPr>
        </w:r>
        <w:r>
          <w:rPr>
            <w:noProof/>
            <w:webHidden/>
          </w:rPr>
          <w:fldChar w:fldCharType="separate"/>
        </w:r>
        <w:r w:rsidR="009A2EC4">
          <w:rPr>
            <w:noProof/>
            <w:webHidden/>
          </w:rPr>
          <w:t>20</w:t>
        </w:r>
        <w:r>
          <w:rPr>
            <w:noProof/>
            <w:webHidden/>
          </w:rPr>
          <w:fldChar w:fldCharType="end"/>
        </w:r>
      </w:hyperlink>
    </w:p>
    <w:p w14:paraId="1FCE14A8" w14:textId="087BF7CF"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69" w:history="1">
        <w:r w:rsidRPr="003C753A">
          <w:rPr>
            <w:rStyle w:val="Hyperlink"/>
            <w:noProof/>
          </w:rPr>
          <w:t>Table 6: Option 1 governance and funding arrangements</w:t>
        </w:r>
        <w:r>
          <w:rPr>
            <w:noProof/>
            <w:webHidden/>
          </w:rPr>
          <w:tab/>
        </w:r>
        <w:r>
          <w:rPr>
            <w:noProof/>
            <w:webHidden/>
          </w:rPr>
          <w:fldChar w:fldCharType="begin"/>
        </w:r>
        <w:r>
          <w:rPr>
            <w:noProof/>
            <w:webHidden/>
          </w:rPr>
          <w:instrText xml:space="preserve"> PAGEREF _Toc178229369 \h </w:instrText>
        </w:r>
        <w:r>
          <w:rPr>
            <w:noProof/>
            <w:webHidden/>
          </w:rPr>
        </w:r>
        <w:r>
          <w:rPr>
            <w:noProof/>
            <w:webHidden/>
          </w:rPr>
          <w:fldChar w:fldCharType="separate"/>
        </w:r>
        <w:r w:rsidR="009A2EC4">
          <w:rPr>
            <w:noProof/>
            <w:webHidden/>
          </w:rPr>
          <w:t>22</w:t>
        </w:r>
        <w:r>
          <w:rPr>
            <w:noProof/>
            <w:webHidden/>
          </w:rPr>
          <w:fldChar w:fldCharType="end"/>
        </w:r>
      </w:hyperlink>
    </w:p>
    <w:p w14:paraId="3FFB427B" w14:textId="6EF4666C"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0" w:history="1">
        <w:r w:rsidRPr="003C753A">
          <w:rPr>
            <w:rStyle w:val="Hyperlink"/>
            <w:noProof/>
          </w:rPr>
          <w:t>Table 7: Option 1 benefits and risks</w:t>
        </w:r>
        <w:r>
          <w:rPr>
            <w:noProof/>
            <w:webHidden/>
          </w:rPr>
          <w:tab/>
        </w:r>
        <w:r>
          <w:rPr>
            <w:noProof/>
            <w:webHidden/>
          </w:rPr>
          <w:fldChar w:fldCharType="begin"/>
        </w:r>
        <w:r>
          <w:rPr>
            <w:noProof/>
            <w:webHidden/>
          </w:rPr>
          <w:instrText xml:space="preserve"> PAGEREF _Toc178229370 \h </w:instrText>
        </w:r>
        <w:r>
          <w:rPr>
            <w:noProof/>
            <w:webHidden/>
          </w:rPr>
        </w:r>
        <w:r>
          <w:rPr>
            <w:noProof/>
            <w:webHidden/>
          </w:rPr>
          <w:fldChar w:fldCharType="separate"/>
        </w:r>
        <w:r w:rsidR="009A2EC4">
          <w:rPr>
            <w:noProof/>
            <w:webHidden/>
          </w:rPr>
          <w:t>22</w:t>
        </w:r>
        <w:r>
          <w:rPr>
            <w:noProof/>
            <w:webHidden/>
          </w:rPr>
          <w:fldChar w:fldCharType="end"/>
        </w:r>
      </w:hyperlink>
    </w:p>
    <w:p w14:paraId="25322D2C" w14:textId="6F6574B5"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1" w:history="1">
        <w:r w:rsidRPr="003C753A">
          <w:rPr>
            <w:rStyle w:val="Hyperlink"/>
            <w:noProof/>
          </w:rPr>
          <w:t>Table 8: Option 2 governance and funding arrangements</w:t>
        </w:r>
        <w:r>
          <w:rPr>
            <w:noProof/>
            <w:webHidden/>
          </w:rPr>
          <w:tab/>
        </w:r>
        <w:r>
          <w:rPr>
            <w:noProof/>
            <w:webHidden/>
          </w:rPr>
          <w:fldChar w:fldCharType="begin"/>
        </w:r>
        <w:r>
          <w:rPr>
            <w:noProof/>
            <w:webHidden/>
          </w:rPr>
          <w:instrText xml:space="preserve"> PAGEREF _Toc178229371 \h </w:instrText>
        </w:r>
        <w:r>
          <w:rPr>
            <w:noProof/>
            <w:webHidden/>
          </w:rPr>
        </w:r>
        <w:r>
          <w:rPr>
            <w:noProof/>
            <w:webHidden/>
          </w:rPr>
          <w:fldChar w:fldCharType="separate"/>
        </w:r>
        <w:r w:rsidR="009A2EC4">
          <w:rPr>
            <w:noProof/>
            <w:webHidden/>
          </w:rPr>
          <w:t>23</w:t>
        </w:r>
        <w:r>
          <w:rPr>
            <w:noProof/>
            <w:webHidden/>
          </w:rPr>
          <w:fldChar w:fldCharType="end"/>
        </w:r>
      </w:hyperlink>
    </w:p>
    <w:p w14:paraId="10FBA536" w14:textId="549717C0"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2" w:history="1">
        <w:r w:rsidRPr="003C753A">
          <w:rPr>
            <w:rStyle w:val="Hyperlink"/>
            <w:noProof/>
          </w:rPr>
          <w:t>Table 9: Option 2 benefits and risks</w:t>
        </w:r>
        <w:r>
          <w:rPr>
            <w:noProof/>
            <w:webHidden/>
          </w:rPr>
          <w:tab/>
        </w:r>
        <w:r>
          <w:rPr>
            <w:noProof/>
            <w:webHidden/>
          </w:rPr>
          <w:fldChar w:fldCharType="begin"/>
        </w:r>
        <w:r>
          <w:rPr>
            <w:noProof/>
            <w:webHidden/>
          </w:rPr>
          <w:instrText xml:space="preserve"> PAGEREF _Toc178229372 \h </w:instrText>
        </w:r>
        <w:r>
          <w:rPr>
            <w:noProof/>
            <w:webHidden/>
          </w:rPr>
        </w:r>
        <w:r>
          <w:rPr>
            <w:noProof/>
            <w:webHidden/>
          </w:rPr>
          <w:fldChar w:fldCharType="separate"/>
        </w:r>
        <w:r w:rsidR="009A2EC4">
          <w:rPr>
            <w:noProof/>
            <w:webHidden/>
          </w:rPr>
          <w:t>24</w:t>
        </w:r>
        <w:r>
          <w:rPr>
            <w:noProof/>
            <w:webHidden/>
          </w:rPr>
          <w:fldChar w:fldCharType="end"/>
        </w:r>
      </w:hyperlink>
    </w:p>
    <w:p w14:paraId="20FDD33F" w14:textId="47C2D5A8"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3" w:history="1">
        <w:r w:rsidRPr="003C753A">
          <w:rPr>
            <w:rStyle w:val="Hyperlink"/>
            <w:noProof/>
          </w:rPr>
          <w:t>Table 10: Option 3 governance and funding arrangements</w:t>
        </w:r>
        <w:r>
          <w:rPr>
            <w:noProof/>
            <w:webHidden/>
          </w:rPr>
          <w:tab/>
        </w:r>
        <w:r>
          <w:rPr>
            <w:noProof/>
            <w:webHidden/>
          </w:rPr>
          <w:fldChar w:fldCharType="begin"/>
        </w:r>
        <w:r>
          <w:rPr>
            <w:noProof/>
            <w:webHidden/>
          </w:rPr>
          <w:instrText xml:space="preserve"> PAGEREF _Toc178229373 \h </w:instrText>
        </w:r>
        <w:r>
          <w:rPr>
            <w:noProof/>
            <w:webHidden/>
          </w:rPr>
        </w:r>
        <w:r>
          <w:rPr>
            <w:noProof/>
            <w:webHidden/>
          </w:rPr>
          <w:fldChar w:fldCharType="separate"/>
        </w:r>
        <w:r w:rsidR="009A2EC4">
          <w:rPr>
            <w:noProof/>
            <w:webHidden/>
          </w:rPr>
          <w:t>28</w:t>
        </w:r>
        <w:r>
          <w:rPr>
            <w:noProof/>
            <w:webHidden/>
          </w:rPr>
          <w:fldChar w:fldCharType="end"/>
        </w:r>
      </w:hyperlink>
    </w:p>
    <w:p w14:paraId="449DEE6E" w14:textId="35031FDE"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4" w:history="1">
        <w:r w:rsidRPr="003C753A">
          <w:rPr>
            <w:rStyle w:val="Hyperlink"/>
            <w:noProof/>
          </w:rPr>
          <w:t>Table 11: Option 3 benefits and risks</w:t>
        </w:r>
        <w:r>
          <w:rPr>
            <w:noProof/>
            <w:webHidden/>
          </w:rPr>
          <w:tab/>
        </w:r>
        <w:r>
          <w:rPr>
            <w:noProof/>
            <w:webHidden/>
          </w:rPr>
          <w:fldChar w:fldCharType="begin"/>
        </w:r>
        <w:r>
          <w:rPr>
            <w:noProof/>
            <w:webHidden/>
          </w:rPr>
          <w:instrText xml:space="preserve"> PAGEREF _Toc178229374 \h </w:instrText>
        </w:r>
        <w:r>
          <w:rPr>
            <w:noProof/>
            <w:webHidden/>
          </w:rPr>
        </w:r>
        <w:r>
          <w:rPr>
            <w:noProof/>
            <w:webHidden/>
          </w:rPr>
          <w:fldChar w:fldCharType="separate"/>
        </w:r>
        <w:r w:rsidR="009A2EC4">
          <w:rPr>
            <w:noProof/>
            <w:webHidden/>
          </w:rPr>
          <w:t>29</w:t>
        </w:r>
        <w:r>
          <w:rPr>
            <w:noProof/>
            <w:webHidden/>
          </w:rPr>
          <w:fldChar w:fldCharType="end"/>
        </w:r>
      </w:hyperlink>
    </w:p>
    <w:p w14:paraId="79D0C3EE" w14:textId="621AE509"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5" w:history="1">
        <w:r w:rsidRPr="003C753A">
          <w:rPr>
            <w:rStyle w:val="Hyperlink"/>
            <w:noProof/>
          </w:rPr>
          <w:t>Table 12: Key features of packaging obligations under each reform option</w:t>
        </w:r>
        <w:r>
          <w:rPr>
            <w:noProof/>
            <w:webHidden/>
          </w:rPr>
          <w:tab/>
        </w:r>
        <w:r>
          <w:rPr>
            <w:noProof/>
            <w:webHidden/>
          </w:rPr>
          <w:fldChar w:fldCharType="begin"/>
        </w:r>
        <w:r>
          <w:rPr>
            <w:noProof/>
            <w:webHidden/>
          </w:rPr>
          <w:instrText xml:space="preserve"> PAGEREF _Toc178229375 \h </w:instrText>
        </w:r>
        <w:r>
          <w:rPr>
            <w:noProof/>
            <w:webHidden/>
          </w:rPr>
        </w:r>
        <w:r>
          <w:rPr>
            <w:noProof/>
            <w:webHidden/>
          </w:rPr>
          <w:fldChar w:fldCharType="separate"/>
        </w:r>
        <w:r w:rsidR="009A2EC4">
          <w:rPr>
            <w:noProof/>
            <w:webHidden/>
          </w:rPr>
          <w:t>31</w:t>
        </w:r>
        <w:r>
          <w:rPr>
            <w:noProof/>
            <w:webHidden/>
          </w:rPr>
          <w:fldChar w:fldCharType="end"/>
        </w:r>
      </w:hyperlink>
    </w:p>
    <w:p w14:paraId="58F976B9" w14:textId="4C9202F3"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6" w:history="1">
        <w:r w:rsidRPr="003C753A">
          <w:rPr>
            <w:rStyle w:val="Hyperlink"/>
            <w:noProof/>
          </w:rPr>
          <w:t>Table 13</w:t>
        </w:r>
        <w:r w:rsidRPr="003C753A">
          <w:rPr>
            <w:rStyle w:val="Hyperlink"/>
            <w:rFonts w:eastAsia="Times New Roman" w:cstheme="minorHAnsi"/>
            <w:noProof/>
            <w:lang w:eastAsia="en-AU"/>
          </w:rPr>
          <w:t>: Implementation of design for recyclability obligations by packaging reform option</w:t>
        </w:r>
        <w:r>
          <w:rPr>
            <w:noProof/>
            <w:webHidden/>
          </w:rPr>
          <w:tab/>
        </w:r>
        <w:r>
          <w:rPr>
            <w:noProof/>
            <w:webHidden/>
          </w:rPr>
          <w:fldChar w:fldCharType="begin"/>
        </w:r>
        <w:r>
          <w:rPr>
            <w:noProof/>
            <w:webHidden/>
          </w:rPr>
          <w:instrText xml:space="preserve"> PAGEREF _Toc178229376 \h </w:instrText>
        </w:r>
        <w:r>
          <w:rPr>
            <w:noProof/>
            <w:webHidden/>
          </w:rPr>
        </w:r>
        <w:r>
          <w:rPr>
            <w:noProof/>
            <w:webHidden/>
          </w:rPr>
          <w:fldChar w:fldCharType="separate"/>
        </w:r>
        <w:r w:rsidR="009A2EC4">
          <w:rPr>
            <w:noProof/>
            <w:webHidden/>
          </w:rPr>
          <w:t>37</w:t>
        </w:r>
        <w:r>
          <w:rPr>
            <w:noProof/>
            <w:webHidden/>
          </w:rPr>
          <w:fldChar w:fldCharType="end"/>
        </w:r>
      </w:hyperlink>
    </w:p>
    <w:p w14:paraId="754C7B62" w14:textId="347A3314"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7" w:history="1">
        <w:r w:rsidRPr="003C753A">
          <w:rPr>
            <w:rStyle w:val="Hyperlink"/>
            <w:noProof/>
          </w:rPr>
          <w:t>Table 14: Example of minimum recyclability performance grading for packaging</w:t>
        </w:r>
        <w:r>
          <w:rPr>
            <w:noProof/>
            <w:webHidden/>
          </w:rPr>
          <w:tab/>
        </w:r>
        <w:r>
          <w:rPr>
            <w:noProof/>
            <w:webHidden/>
          </w:rPr>
          <w:fldChar w:fldCharType="begin"/>
        </w:r>
        <w:r>
          <w:rPr>
            <w:noProof/>
            <w:webHidden/>
          </w:rPr>
          <w:instrText xml:space="preserve"> PAGEREF _Toc178229377 \h </w:instrText>
        </w:r>
        <w:r>
          <w:rPr>
            <w:noProof/>
            <w:webHidden/>
          </w:rPr>
        </w:r>
        <w:r>
          <w:rPr>
            <w:noProof/>
            <w:webHidden/>
          </w:rPr>
          <w:fldChar w:fldCharType="separate"/>
        </w:r>
        <w:r w:rsidR="009A2EC4">
          <w:rPr>
            <w:noProof/>
            <w:webHidden/>
          </w:rPr>
          <w:t>38</w:t>
        </w:r>
        <w:r>
          <w:rPr>
            <w:noProof/>
            <w:webHidden/>
          </w:rPr>
          <w:fldChar w:fldCharType="end"/>
        </w:r>
      </w:hyperlink>
    </w:p>
    <w:p w14:paraId="12265930" w14:textId="432317A9"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8" w:history="1">
        <w:r w:rsidRPr="003C753A">
          <w:rPr>
            <w:rStyle w:val="Hyperlink"/>
            <w:noProof/>
          </w:rPr>
          <w:t>Table 15: Implementation of recyclability labelling obligations by packaging reform option</w:t>
        </w:r>
        <w:r>
          <w:rPr>
            <w:noProof/>
            <w:webHidden/>
          </w:rPr>
          <w:tab/>
        </w:r>
        <w:r>
          <w:rPr>
            <w:noProof/>
            <w:webHidden/>
          </w:rPr>
          <w:fldChar w:fldCharType="begin"/>
        </w:r>
        <w:r>
          <w:rPr>
            <w:noProof/>
            <w:webHidden/>
          </w:rPr>
          <w:instrText xml:space="preserve"> PAGEREF _Toc178229378 \h </w:instrText>
        </w:r>
        <w:r>
          <w:rPr>
            <w:noProof/>
            <w:webHidden/>
          </w:rPr>
        </w:r>
        <w:r>
          <w:rPr>
            <w:noProof/>
            <w:webHidden/>
          </w:rPr>
          <w:fldChar w:fldCharType="separate"/>
        </w:r>
        <w:r w:rsidR="009A2EC4">
          <w:rPr>
            <w:noProof/>
            <w:webHidden/>
          </w:rPr>
          <w:t>40</w:t>
        </w:r>
        <w:r>
          <w:rPr>
            <w:noProof/>
            <w:webHidden/>
          </w:rPr>
          <w:fldChar w:fldCharType="end"/>
        </w:r>
      </w:hyperlink>
    </w:p>
    <w:p w14:paraId="64384035" w14:textId="6B0D4D40"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79" w:history="1">
        <w:r w:rsidRPr="003C753A">
          <w:rPr>
            <w:rStyle w:val="Hyperlink"/>
            <w:noProof/>
          </w:rPr>
          <w:t>Table 16: Implementation of recycled content obligations by packaging reform option</w:t>
        </w:r>
        <w:r>
          <w:rPr>
            <w:noProof/>
            <w:webHidden/>
          </w:rPr>
          <w:tab/>
        </w:r>
        <w:r>
          <w:rPr>
            <w:noProof/>
            <w:webHidden/>
          </w:rPr>
          <w:fldChar w:fldCharType="begin"/>
        </w:r>
        <w:r>
          <w:rPr>
            <w:noProof/>
            <w:webHidden/>
          </w:rPr>
          <w:instrText xml:space="preserve"> PAGEREF _Toc178229379 \h </w:instrText>
        </w:r>
        <w:r>
          <w:rPr>
            <w:noProof/>
            <w:webHidden/>
          </w:rPr>
        </w:r>
        <w:r>
          <w:rPr>
            <w:noProof/>
            <w:webHidden/>
          </w:rPr>
          <w:fldChar w:fldCharType="separate"/>
        </w:r>
        <w:r w:rsidR="009A2EC4">
          <w:rPr>
            <w:noProof/>
            <w:webHidden/>
          </w:rPr>
          <w:t>41</w:t>
        </w:r>
        <w:r>
          <w:rPr>
            <w:noProof/>
            <w:webHidden/>
          </w:rPr>
          <w:fldChar w:fldCharType="end"/>
        </w:r>
      </w:hyperlink>
    </w:p>
    <w:p w14:paraId="5D040CD1" w14:textId="1C2A84CB"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0" w:history="1">
        <w:r w:rsidRPr="003C753A">
          <w:rPr>
            <w:rStyle w:val="Hyperlink"/>
            <w:noProof/>
          </w:rPr>
          <w:t>Table 17: Proposed minimum post-consumer recycled content thresholds</w:t>
        </w:r>
        <w:r>
          <w:rPr>
            <w:noProof/>
            <w:webHidden/>
          </w:rPr>
          <w:tab/>
        </w:r>
        <w:r>
          <w:rPr>
            <w:noProof/>
            <w:webHidden/>
          </w:rPr>
          <w:fldChar w:fldCharType="begin"/>
        </w:r>
        <w:r>
          <w:rPr>
            <w:noProof/>
            <w:webHidden/>
          </w:rPr>
          <w:instrText xml:space="preserve"> PAGEREF _Toc178229380 \h </w:instrText>
        </w:r>
        <w:r>
          <w:rPr>
            <w:noProof/>
            <w:webHidden/>
          </w:rPr>
        </w:r>
        <w:r>
          <w:rPr>
            <w:noProof/>
            <w:webHidden/>
          </w:rPr>
          <w:fldChar w:fldCharType="separate"/>
        </w:r>
        <w:r w:rsidR="009A2EC4">
          <w:rPr>
            <w:noProof/>
            <w:webHidden/>
          </w:rPr>
          <w:t>42</w:t>
        </w:r>
        <w:r>
          <w:rPr>
            <w:noProof/>
            <w:webHidden/>
          </w:rPr>
          <w:fldChar w:fldCharType="end"/>
        </w:r>
      </w:hyperlink>
    </w:p>
    <w:p w14:paraId="7F6C866A" w14:textId="5F62AA08"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1" w:history="1">
        <w:r w:rsidRPr="003C753A">
          <w:rPr>
            <w:rStyle w:val="Hyperlink"/>
            <w:noProof/>
          </w:rPr>
          <w:t>Table 18: Australia’s current recycled content targets and rates by material</w:t>
        </w:r>
        <w:r>
          <w:rPr>
            <w:noProof/>
            <w:webHidden/>
          </w:rPr>
          <w:tab/>
        </w:r>
        <w:r>
          <w:rPr>
            <w:noProof/>
            <w:webHidden/>
          </w:rPr>
          <w:fldChar w:fldCharType="begin"/>
        </w:r>
        <w:r>
          <w:rPr>
            <w:noProof/>
            <w:webHidden/>
          </w:rPr>
          <w:instrText xml:space="preserve"> PAGEREF _Toc178229381 \h </w:instrText>
        </w:r>
        <w:r>
          <w:rPr>
            <w:noProof/>
            <w:webHidden/>
          </w:rPr>
        </w:r>
        <w:r>
          <w:rPr>
            <w:noProof/>
            <w:webHidden/>
          </w:rPr>
          <w:fldChar w:fldCharType="separate"/>
        </w:r>
        <w:r w:rsidR="009A2EC4">
          <w:rPr>
            <w:noProof/>
            <w:webHidden/>
          </w:rPr>
          <w:t>43</w:t>
        </w:r>
        <w:r>
          <w:rPr>
            <w:noProof/>
            <w:webHidden/>
          </w:rPr>
          <w:fldChar w:fldCharType="end"/>
        </w:r>
      </w:hyperlink>
    </w:p>
    <w:p w14:paraId="016D7E35" w14:textId="16A38B75"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2" w:history="1">
        <w:r w:rsidRPr="003C753A">
          <w:rPr>
            <w:rStyle w:val="Hyperlink"/>
            <w:noProof/>
          </w:rPr>
          <w:t>Table 19: EU proposed minimum post-consumer recycled content thresholds for plastic packaging</w:t>
        </w:r>
        <w:r>
          <w:rPr>
            <w:noProof/>
            <w:webHidden/>
          </w:rPr>
          <w:tab/>
        </w:r>
        <w:r>
          <w:rPr>
            <w:noProof/>
            <w:webHidden/>
          </w:rPr>
          <w:fldChar w:fldCharType="begin"/>
        </w:r>
        <w:r>
          <w:rPr>
            <w:noProof/>
            <w:webHidden/>
          </w:rPr>
          <w:instrText xml:space="preserve"> PAGEREF _Toc178229382 \h </w:instrText>
        </w:r>
        <w:r>
          <w:rPr>
            <w:noProof/>
            <w:webHidden/>
          </w:rPr>
        </w:r>
        <w:r>
          <w:rPr>
            <w:noProof/>
            <w:webHidden/>
          </w:rPr>
          <w:fldChar w:fldCharType="separate"/>
        </w:r>
        <w:r w:rsidR="009A2EC4">
          <w:rPr>
            <w:noProof/>
            <w:webHidden/>
          </w:rPr>
          <w:t>43</w:t>
        </w:r>
        <w:r>
          <w:rPr>
            <w:noProof/>
            <w:webHidden/>
          </w:rPr>
          <w:fldChar w:fldCharType="end"/>
        </w:r>
      </w:hyperlink>
    </w:p>
    <w:p w14:paraId="608F67BB" w14:textId="2EA5D670"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3" w:history="1">
        <w:r w:rsidRPr="003C753A">
          <w:rPr>
            <w:rStyle w:val="Hyperlink"/>
            <w:noProof/>
          </w:rPr>
          <w:t>Table 20: Assessment of base case and options against the principles</w:t>
        </w:r>
        <w:r>
          <w:rPr>
            <w:noProof/>
            <w:webHidden/>
          </w:rPr>
          <w:tab/>
        </w:r>
        <w:r>
          <w:rPr>
            <w:noProof/>
            <w:webHidden/>
          </w:rPr>
          <w:fldChar w:fldCharType="begin"/>
        </w:r>
        <w:r>
          <w:rPr>
            <w:noProof/>
            <w:webHidden/>
          </w:rPr>
          <w:instrText xml:space="preserve"> PAGEREF _Toc178229383 \h </w:instrText>
        </w:r>
        <w:r>
          <w:rPr>
            <w:noProof/>
            <w:webHidden/>
          </w:rPr>
        </w:r>
        <w:r>
          <w:rPr>
            <w:noProof/>
            <w:webHidden/>
          </w:rPr>
          <w:fldChar w:fldCharType="separate"/>
        </w:r>
        <w:r w:rsidR="009A2EC4">
          <w:rPr>
            <w:noProof/>
            <w:webHidden/>
          </w:rPr>
          <w:t>48</w:t>
        </w:r>
        <w:r>
          <w:rPr>
            <w:noProof/>
            <w:webHidden/>
          </w:rPr>
          <w:fldChar w:fldCharType="end"/>
        </w:r>
      </w:hyperlink>
    </w:p>
    <w:p w14:paraId="788B5EC7" w14:textId="12B9BD03"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4" w:history="1">
        <w:r w:rsidRPr="003C753A">
          <w:rPr>
            <w:rStyle w:val="Hyperlink"/>
            <w:noProof/>
          </w:rPr>
          <w:t>Table 21: Option 1 benefits and costs summary by stakeholder group</w:t>
        </w:r>
        <w:r>
          <w:rPr>
            <w:noProof/>
            <w:webHidden/>
          </w:rPr>
          <w:tab/>
        </w:r>
        <w:r>
          <w:rPr>
            <w:noProof/>
            <w:webHidden/>
          </w:rPr>
          <w:fldChar w:fldCharType="begin"/>
        </w:r>
        <w:r>
          <w:rPr>
            <w:noProof/>
            <w:webHidden/>
          </w:rPr>
          <w:instrText xml:space="preserve"> PAGEREF _Toc178229384 \h </w:instrText>
        </w:r>
        <w:r>
          <w:rPr>
            <w:noProof/>
            <w:webHidden/>
          </w:rPr>
        </w:r>
        <w:r>
          <w:rPr>
            <w:noProof/>
            <w:webHidden/>
          </w:rPr>
          <w:fldChar w:fldCharType="separate"/>
        </w:r>
        <w:r w:rsidR="009A2EC4">
          <w:rPr>
            <w:noProof/>
            <w:webHidden/>
          </w:rPr>
          <w:t>51</w:t>
        </w:r>
        <w:r>
          <w:rPr>
            <w:noProof/>
            <w:webHidden/>
          </w:rPr>
          <w:fldChar w:fldCharType="end"/>
        </w:r>
      </w:hyperlink>
    </w:p>
    <w:p w14:paraId="15BFE88A" w14:textId="3CEE1CB0"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5" w:history="1">
        <w:r w:rsidRPr="003C753A">
          <w:rPr>
            <w:rStyle w:val="Hyperlink"/>
            <w:noProof/>
          </w:rPr>
          <w:t>Table 22: Option 2 benefits and costs summary by stakeholder group</w:t>
        </w:r>
        <w:r>
          <w:rPr>
            <w:noProof/>
            <w:webHidden/>
          </w:rPr>
          <w:tab/>
        </w:r>
        <w:r>
          <w:rPr>
            <w:noProof/>
            <w:webHidden/>
          </w:rPr>
          <w:fldChar w:fldCharType="begin"/>
        </w:r>
        <w:r>
          <w:rPr>
            <w:noProof/>
            <w:webHidden/>
          </w:rPr>
          <w:instrText xml:space="preserve"> PAGEREF _Toc178229385 \h </w:instrText>
        </w:r>
        <w:r>
          <w:rPr>
            <w:noProof/>
            <w:webHidden/>
          </w:rPr>
        </w:r>
        <w:r>
          <w:rPr>
            <w:noProof/>
            <w:webHidden/>
          </w:rPr>
          <w:fldChar w:fldCharType="separate"/>
        </w:r>
        <w:r w:rsidR="009A2EC4">
          <w:rPr>
            <w:noProof/>
            <w:webHidden/>
          </w:rPr>
          <w:t>52</w:t>
        </w:r>
        <w:r>
          <w:rPr>
            <w:noProof/>
            <w:webHidden/>
          </w:rPr>
          <w:fldChar w:fldCharType="end"/>
        </w:r>
      </w:hyperlink>
    </w:p>
    <w:p w14:paraId="7E48AD80" w14:textId="51AB4784"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6" w:history="1">
        <w:r w:rsidRPr="003C753A">
          <w:rPr>
            <w:rStyle w:val="Hyperlink"/>
            <w:noProof/>
          </w:rPr>
          <w:t>Table 23: Option 3 benefits and costs summary by stakeholder group</w:t>
        </w:r>
        <w:r>
          <w:rPr>
            <w:noProof/>
            <w:webHidden/>
          </w:rPr>
          <w:tab/>
        </w:r>
        <w:r>
          <w:rPr>
            <w:noProof/>
            <w:webHidden/>
          </w:rPr>
          <w:fldChar w:fldCharType="begin"/>
        </w:r>
        <w:r>
          <w:rPr>
            <w:noProof/>
            <w:webHidden/>
          </w:rPr>
          <w:instrText xml:space="preserve"> PAGEREF _Toc178229386 \h </w:instrText>
        </w:r>
        <w:r>
          <w:rPr>
            <w:noProof/>
            <w:webHidden/>
          </w:rPr>
        </w:r>
        <w:r>
          <w:rPr>
            <w:noProof/>
            <w:webHidden/>
          </w:rPr>
          <w:fldChar w:fldCharType="separate"/>
        </w:r>
        <w:r w:rsidR="009A2EC4">
          <w:rPr>
            <w:noProof/>
            <w:webHidden/>
          </w:rPr>
          <w:t>53</w:t>
        </w:r>
        <w:r>
          <w:rPr>
            <w:noProof/>
            <w:webHidden/>
          </w:rPr>
          <w:fldChar w:fldCharType="end"/>
        </w:r>
      </w:hyperlink>
    </w:p>
    <w:p w14:paraId="06D37F87" w14:textId="4535109E" w:rsidR="002E23F6" w:rsidRPr="00E45508" w:rsidRDefault="002C3946" w:rsidP="002E23F6">
      <w:pPr>
        <w:pStyle w:val="TableofFigures"/>
        <w:tabs>
          <w:tab w:val="right" w:leader="dot" w:pos="9060"/>
        </w:tabs>
        <w:rPr>
          <w:rFonts w:cstheme="minorHAnsi"/>
          <w:noProof/>
          <w:highlight w:val="yellow"/>
        </w:rPr>
      </w:pPr>
      <w:r w:rsidRPr="00E45508">
        <w:rPr>
          <w:rFonts w:cstheme="minorHAnsi"/>
          <w:noProof/>
          <w:highlight w:val="yellow"/>
        </w:rPr>
        <w:fldChar w:fldCharType="end"/>
      </w:r>
    </w:p>
    <w:p w14:paraId="1F52CD12" w14:textId="77777777" w:rsidR="00AB0F63" w:rsidRDefault="00AB0F63">
      <w:pPr>
        <w:spacing w:after="0" w:line="240" w:lineRule="auto"/>
        <w:rPr>
          <w:rFonts w:cstheme="minorHAnsi"/>
          <w:noProof/>
          <w:highlight w:val="yellow"/>
        </w:rPr>
      </w:pPr>
      <w:r>
        <w:rPr>
          <w:rFonts w:cstheme="minorHAnsi"/>
          <w:noProof/>
          <w:highlight w:val="yellow"/>
        </w:rPr>
        <w:br w:type="page"/>
      </w:r>
    </w:p>
    <w:p w14:paraId="3E1FD5E1" w14:textId="7AD00035" w:rsidR="002C3946" w:rsidRPr="00E45508" w:rsidRDefault="002C3946" w:rsidP="002E23F6">
      <w:pPr>
        <w:pStyle w:val="TOCHeading2"/>
        <w:rPr>
          <w:rStyle w:val="Strong"/>
          <w:rFonts w:asciiTheme="minorHAnsi" w:hAnsiTheme="minorHAnsi" w:cstheme="minorHAnsi"/>
        </w:rPr>
      </w:pPr>
      <w:r w:rsidRPr="00E45508">
        <w:rPr>
          <w:rStyle w:val="Strong"/>
          <w:rFonts w:asciiTheme="minorHAnsi" w:hAnsiTheme="minorHAnsi" w:cstheme="minorHAnsi"/>
        </w:rPr>
        <w:t>Figures</w:t>
      </w:r>
    </w:p>
    <w:p w14:paraId="3D930ACE" w14:textId="58C34593" w:rsidR="002316FC" w:rsidRDefault="002C3946">
      <w:pPr>
        <w:pStyle w:val="TableofFigures"/>
        <w:tabs>
          <w:tab w:val="right" w:leader="dot" w:pos="9060"/>
        </w:tabs>
        <w:rPr>
          <w:rFonts w:eastAsiaTheme="minorEastAsia"/>
          <w:noProof/>
          <w:kern w:val="2"/>
          <w:sz w:val="24"/>
          <w:szCs w:val="24"/>
          <w:lang w:eastAsia="en-AU"/>
          <w14:ligatures w14:val="standardContextual"/>
        </w:rPr>
      </w:pPr>
      <w:r w:rsidRPr="00E45508">
        <w:rPr>
          <w:rFonts w:cstheme="minorHAnsi"/>
          <w:highlight w:val="yellow"/>
        </w:rPr>
        <w:fldChar w:fldCharType="begin"/>
      </w:r>
      <w:r w:rsidRPr="00E45508">
        <w:rPr>
          <w:rFonts w:cstheme="minorHAnsi"/>
          <w:highlight w:val="yellow"/>
        </w:rPr>
        <w:instrText xml:space="preserve"> TOC \h \z \c "Figure" </w:instrText>
      </w:r>
      <w:r w:rsidRPr="00E45508">
        <w:rPr>
          <w:rFonts w:cstheme="minorHAnsi"/>
          <w:highlight w:val="yellow"/>
        </w:rPr>
        <w:fldChar w:fldCharType="separate"/>
      </w:r>
      <w:hyperlink w:anchor="_Toc178229387" w:history="1">
        <w:r w:rsidR="002316FC" w:rsidRPr="008A1F92">
          <w:rPr>
            <w:rStyle w:val="Hyperlink"/>
            <w:noProof/>
          </w:rPr>
          <w:t>Figure 1: Packaging placed on market in 2021-22 by material group</w:t>
        </w:r>
        <w:r w:rsidR="002316FC">
          <w:rPr>
            <w:noProof/>
            <w:webHidden/>
          </w:rPr>
          <w:tab/>
        </w:r>
        <w:r w:rsidR="002316FC">
          <w:rPr>
            <w:noProof/>
            <w:webHidden/>
          </w:rPr>
          <w:fldChar w:fldCharType="begin"/>
        </w:r>
        <w:r w:rsidR="002316FC">
          <w:rPr>
            <w:noProof/>
            <w:webHidden/>
          </w:rPr>
          <w:instrText xml:space="preserve"> PAGEREF _Toc178229387 \h </w:instrText>
        </w:r>
        <w:r w:rsidR="002316FC">
          <w:rPr>
            <w:noProof/>
            <w:webHidden/>
          </w:rPr>
        </w:r>
        <w:r w:rsidR="002316FC">
          <w:rPr>
            <w:noProof/>
            <w:webHidden/>
          </w:rPr>
          <w:fldChar w:fldCharType="separate"/>
        </w:r>
        <w:r w:rsidR="009A2EC4">
          <w:rPr>
            <w:noProof/>
            <w:webHidden/>
          </w:rPr>
          <w:t>2</w:t>
        </w:r>
        <w:r w:rsidR="002316FC">
          <w:rPr>
            <w:noProof/>
            <w:webHidden/>
          </w:rPr>
          <w:fldChar w:fldCharType="end"/>
        </w:r>
      </w:hyperlink>
    </w:p>
    <w:p w14:paraId="4D125CFF" w14:textId="7AE88080"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8" w:history="1">
        <w:r w:rsidRPr="008A1F92">
          <w:rPr>
            <w:rStyle w:val="Hyperlink"/>
            <w:noProof/>
          </w:rPr>
          <w:t>Figure 2: Transforming the packaging supply chain</w:t>
        </w:r>
        <w:r>
          <w:rPr>
            <w:noProof/>
            <w:webHidden/>
          </w:rPr>
          <w:tab/>
        </w:r>
        <w:r>
          <w:rPr>
            <w:noProof/>
            <w:webHidden/>
          </w:rPr>
          <w:fldChar w:fldCharType="begin"/>
        </w:r>
        <w:r>
          <w:rPr>
            <w:noProof/>
            <w:webHidden/>
          </w:rPr>
          <w:instrText xml:space="preserve"> PAGEREF _Toc178229388 \h </w:instrText>
        </w:r>
        <w:r>
          <w:rPr>
            <w:noProof/>
            <w:webHidden/>
          </w:rPr>
        </w:r>
        <w:r>
          <w:rPr>
            <w:noProof/>
            <w:webHidden/>
          </w:rPr>
          <w:fldChar w:fldCharType="separate"/>
        </w:r>
        <w:r w:rsidR="009A2EC4">
          <w:rPr>
            <w:noProof/>
            <w:webHidden/>
          </w:rPr>
          <w:t>11</w:t>
        </w:r>
        <w:r>
          <w:rPr>
            <w:noProof/>
            <w:webHidden/>
          </w:rPr>
          <w:fldChar w:fldCharType="end"/>
        </w:r>
      </w:hyperlink>
    </w:p>
    <w:p w14:paraId="54868C82" w14:textId="653A2FCE"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89" w:history="1">
        <w:r w:rsidRPr="008A1F92">
          <w:rPr>
            <w:rStyle w:val="Hyperlink"/>
            <w:noProof/>
          </w:rPr>
          <w:t>Figure 3: Chain of custody approaches</w:t>
        </w:r>
        <w:r>
          <w:rPr>
            <w:noProof/>
            <w:webHidden/>
          </w:rPr>
          <w:tab/>
        </w:r>
        <w:r>
          <w:rPr>
            <w:noProof/>
            <w:webHidden/>
          </w:rPr>
          <w:fldChar w:fldCharType="begin"/>
        </w:r>
        <w:r>
          <w:rPr>
            <w:noProof/>
            <w:webHidden/>
          </w:rPr>
          <w:instrText xml:space="preserve"> PAGEREF _Toc178229389 \h </w:instrText>
        </w:r>
        <w:r>
          <w:rPr>
            <w:noProof/>
            <w:webHidden/>
          </w:rPr>
        </w:r>
        <w:r>
          <w:rPr>
            <w:noProof/>
            <w:webHidden/>
          </w:rPr>
          <w:fldChar w:fldCharType="separate"/>
        </w:r>
        <w:r w:rsidR="009A2EC4">
          <w:rPr>
            <w:noProof/>
            <w:webHidden/>
          </w:rPr>
          <w:t>44</w:t>
        </w:r>
        <w:r>
          <w:rPr>
            <w:noProof/>
            <w:webHidden/>
          </w:rPr>
          <w:fldChar w:fldCharType="end"/>
        </w:r>
      </w:hyperlink>
    </w:p>
    <w:p w14:paraId="48C94A51" w14:textId="7C2FAA2C"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0" w:history="1">
        <w:r w:rsidRPr="008A1F92">
          <w:rPr>
            <w:rStyle w:val="Hyperlink"/>
            <w:noProof/>
          </w:rPr>
          <w:t>Figure 4: Assessment of base case and options against the principles - at a glance</w:t>
        </w:r>
        <w:r>
          <w:rPr>
            <w:noProof/>
            <w:webHidden/>
          </w:rPr>
          <w:tab/>
        </w:r>
        <w:r>
          <w:rPr>
            <w:noProof/>
            <w:webHidden/>
          </w:rPr>
          <w:fldChar w:fldCharType="begin"/>
        </w:r>
        <w:r>
          <w:rPr>
            <w:noProof/>
            <w:webHidden/>
          </w:rPr>
          <w:instrText xml:space="preserve"> PAGEREF _Toc178229390 \h </w:instrText>
        </w:r>
        <w:r>
          <w:rPr>
            <w:noProof/>
            <w:webHidden/>
          </w:rPr>
        </w:r>
        <w:r>
          <w:rPr>
            <w:noProof/>
            <w:webHidden/>
          </w:rPr>
          <w:fldChar w:fldCharType="separate"/>
        </w:r>
        <w:r w:rsidR="009A2EC4">
          <w:rPr>
            <w:noProof/>
            <w:webHidden/>
          </w:rPr>
          <w:t>48</w:t>
        </w:r>
        <w:r>
          <w:rPr>
            <w:noProof/>
            <w:webHidden/>
          </w:rPr>
          <w:fldChar w:fldCharType="end"/>
        </w:r>
      </w:hyperlink>
    </w:p>
    <w:p w14:paraId="68B3222F" w14:textId="6D34DF43" w:rsidR="008737CE" w:rsidRPr="00E45508" w:rsidRDefault="002C3946" w:rsidP="002C3946">
      <w:pPr>
        <w:rPr>
          <w:rFonts w:cstheme="minorHAnsi"/>
          <w:highlight w:val="yellow"/>
        </w:rPr>
      </w:pPr>
      <w:r w:rsidRPr="00E45508">
        <w:rPr>
          <w:rFonts w:cstheme="minorHAnsi"/>
          <w:highlight w:val="yellow"/>
        </w:rPr>
        <w:fldChar w:fldCharType="end"/>
      </w:r>
    </w:p>
    <w:p w14:paraId="071A9213" w14:textId="77777777" w:rsidR="002C3946" w:rsidRPr="00E45508" w:rsidRDefault="002C3946" w:rsidP="002E23F6">
      <w:pPr>
        <w:pStyle w:val="TOCHeading2"/>
        <w:rPr>
          <w:rStyle w:val="Strong"/>
          <w:rFonts w:asciiTheme="minorHAnsi" w:hAnsiTheme="minorHAnsi" w:cstheme="minorHAnsi"/>
        </w:rPr>
      </w:pPr>
      <w:r w:rsidRPr="00E45508">
        <w:rPr>
          <w:rStyle w:val="Strong"/>
          <w:rFonts w:asciiTheme="minorHAnsi" w:hAnsiTheme="minorHAnsi" w:cstheme="minorHAnsi"/>
        </w:rPr>
        <w:t>Boxes</w:t>
      </w:r>
    </w:p>
    <w:p w14:paraId="0949422E" w14:textId="63A7BEA0" w:rsidR="002316FC" w:rsidRDefault="00C64254">
      <w:pPr>
        <w:pStyle w:val="TableofFigures"/>
        <w:tabs>
          <w:tab w:val="right" w:leader="dot" w:pos="9060"/>
        </w:tabs>
        <w:rPr>
          <w:rFonts w:eastAsiaTheme="minorEastAsia"/>
          <w:noProof/>
          <w:kern w:val="2"/>
          <w:sz w:val="24"/>
          <w:szCs w:val="24"/>
          <w:lang w:eastAsia="en-AU"/>
          <w14:ligatures w14:val="standardContextual"/>
        </w:rPr>
      </w:pPr>
      <w:r w:rsidRPr="00E45508">
        <w:rPr>
          <w:highlight w:val="yellow"/>
        </w:rPr>
        <w:fldChar w:fldCharType="begin"/>
      </w:r>
      <w:r w:rsidRPr="00E45508">
        <w:rPr>
          <w:highlight w:val="yellow"/>
        </w:rPr>
        <w:instrText xml:space="preserve"> TOC \h \z \c "Box" </w:instrText>
      </w:r>
      <w:r w:rsidRPr="00E45508">
        <w:rPr>
          <w:highlight w:val="yellow"/>
        </w:rPr>
        <w:fldChar w:fldCharType="separate"/>
      </w:r>
      <w:hyperlink w:anchor="_Toc178229391" w:history="1">
        <w:r w:rsidR="002316FC" w:rsidRPr="00D208BB">
          <w:rPr>
            <w:rStyle w:val="Hyperlink"/>
            <w:noProof/>
          </w:rPr>
          <w:t>Box 1: Case study - Packaging and Packaging Waste Regulation</w:t>
        </w:r>
        <w:r w:rsidR="002316FC">
          <w:rPr>
            <w:noProof/>
            <w:webHidden/>
          </w:rPr>
          <w:tab/>
        </w:r>
        <w:r w:rsidR="002316FC">
          <w:rPr>
            <w:noProof/>
            <w:webHidden/>
          </w:rPr>
          <w:fldChar w:fldCharType="begin"/>
        </w:r>
        <w:r w:rsidR="002316FC">
          <w:rPr>
            <w:noProof/>
            <w:webHidden/>
          </w:rPr>
          <w:instrText xml:space="preserve"> PAGEREF _Toc178229391 \h </w:instrText>
        </w:r>
        <w:r w:rsidR="002316FC">
          <w:rPr>
            <w:noProof/>
            <w:webHidden/>
          </w:rPr>
        </w:r>
        <w:r w:rsidR="002316FC">
          <w:rPr>
            <w:noProof/>
            <w:webHidden/>
          </w:rPr>
          <w:fldChar w:fldCharType="separate"/>
        </w:r>
        <w:r w:rsidR="009A2EC4">
          <w:rPr>
            <w:noProof/>
            <w:webHidden/>
          </w:rPr>
          <w:t>5</w:t>
        </w:r>
        <w:r w:rsidR="002316FC">
          <w:rPr>
            <w:noProof/>
            <w:webHidden/>
          </w:rPr>
          <w:fldChar w:fldCharType="end"/>
        </w:r>
      </w:hyperlink>
    </w:p>
    <w:p w14:paraId="5A7C9735" w14:textId="4A0C25CE"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2" w:history="1">
        <w:r w:rsidRPr="00D208BB">
          <w:rPr>
            <w:rStyle w:val="Hyperlink"/>
            <w:noProof/>
          </w:rPr>
          <w:t>Box 2: Case study - Recycled content and labelling requirements</w:t>
        </w:r>
        <w:r>
          <w:rPr>
            <w:noProof/>
            <w:webHidden/>
          </w:rPr>
          <w:tab/>
        </w:r>
        <w:r>
          <w:rPr>
            <w:noProof/>
            <w:webHidden/>
          </w:rPr>
          <w:fldChar w:fldCharType="begin"/>
        </w:r>
        <w:r>
          <w:rPr>
            <w:noProof/>
            <w:webHidden/>
          </w:rPr>
          <w:instrText xml:space="preserve"> PAGEREF _Toc178229392 \h </w:instrText>
        </w:r>
        <w:r>
          <w:rPr>
            <w:noProof/>
            <w:webHidden/>
          </w:rPr>
        </w:r>
        <w:r>
          <w:rPr>
            <w:noProof/>
            <w:webHidden/>
          </w:rPr>
          <w:fldChar w:fldCharType="separate"/>
        </w:r>
        <w:r w:rsidR="009A2EC4">
          <w:rPr>
            <w:noProof/>
            <w:webHidden/>
          </w:rPr>
          <w:t>5</w:t>
        </w:r>
        <w:r>
          <w:rPr>
            <w:noProof/>
            <w:webHidden/>
          </w:rPr>
          <w:fldChar w:fldCharType="end"/>
        </w:r>
      </w:hyperlink>
    </w:p>
    <w:p w14:paraId="78C1A471" w14:textId="2AD41ECF"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3" w:history="1">
        <w:r w:rsidRPr="00D208BB">
          <w:rPr>
            <w:rStyle w:val="Hyperlink"/>
            <w:noProof/>
          </w:rPr>
          <w:t>Box 3: Case study - soft plastics packaging</w:t>
        </w:r>
        <w:r>
          <w:rPr>
            <w:noProof/>
            <w:webHidden/>
          </w:rPr>
          <w:tab/>
        </w:r>
        <w:r>
          <w:rPr>
            <w:noProof/>
            <w:webHidden/>
          </w:rPr>
          <w:fldChar w:fldCharType="begin"/>
        </w:r>
        <w:r>
          <w:rPr>
            <w:noProof/>
            <w:webHidden/>
          </w:rPr>
          <w:instrText xml:space="preserve"> PAGEREF _Toc178229393 \h </w:instrText>
        </w:r>
        <w:r>
          <w:rPr>
            <w:noProof/>
            <w:webHidden/>
          </w:rPr>
        </w:r>
        <w:r>
          <w:rPr>
            <w:noProof/>
            <w:webHidden/>
          </w:rPr>
          <w:fldChar w:fldCharType="separate"/>
        </w:r>
        <w:r w:rsidR="009A2EC4">
          <w:rPr>
            <w:noProof/>
            <w:webHidden/>
          </w:rPr>
          <w:t>8</w:t>
        </w:r>
        <w:r>
          <w:rPr>
            <w:noProof/>
            <w:webHidden/>
          </w:rPr>
          <w:fldChar w:fldCharType="end"/>
        </w:r>
      </w:hyperlink>
    </w:p>
    <w:p w14:paraId="37CE7B3D" w14:textId="17CD1933"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4" w:history="1">
        <w:r w:rsidRPr="00D208BB">
          <w:rPr>
            <w:rStyle w:val="Hyperlink"/>
            <w:noProof/>
          </w:rPr>
          <w:t>Box 4: Providing regulatory certainty while a reformed scheme is developed and implemented</w:t>
        </w:r>
        <w:r>
          <w:rPr>
            <w:noProof/>
            <w:webHidden/>
          </w:rPr>
          <w:tab/>
        </w:r>
        <w:r>
          <w:rPr>
            <w:noProof/>
            <w:webHidden/>
          </w:rPr>
          <w:fldChar w:fldCharType="begin"/>
        </w:r>
        <w:r>
          <w:rPr>
            <w:noProof/>
            <w:webHidden/>
          </w:rPr>
          <w:instrText xml:space="preserve"> PAGEREF _Toc178229394 \h </w:instrText>
        </w:r>
        <w:r>
          <w:rPr>
            <w:noProof/>
            <w:webHidden/>
          </w:rPr>
        </w:r>
        <w:r>
          <w:rPr>
            <w:noProof/>
            <w:webHidden/>
          </w:rPr>
          <w:fldChar w:fldCharType="separate"/>
        </w:r>
        <w:r w:rsidR="009A2EC4">
          <w:rPr>
            <w:noProof/>
            <w:webHidden/>
          </w:rPr>
          <w:t>16</w:t>
        </w:r>
        <w:r>
          <w:rPr>
            <w:noProof/>
            <w:webHidden/>
          </w:rPr>
          <w:fldChar w:fldCharType="end"/>
        </w:r>
      </w:hyperlink>
    </w:p>
    <w:p w14:paraId="075A9420" w14:textId="390170E8"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5" w:history="1">
        <w:r w:rsidRPr="00D208BB">
          <w:rPr>
            <w:rStyle w:val="Hyperlink"/>
            <w:noProof/>
          </w:rPr>
          <w:t>Box 5: What is Extended Producer Responsibility?</w:t>
        </w:r>
        <w:r>
          <w:rPr>
            <w:noProof/>
            <w:webHidden/>
          </w:rPr>
          <w:tab/>
        </w:r>
        <w:r>
          <w:rPr>
            <w:noProof/>
            <w:webHidden/>
          </w:rPr>
          <w:fldChar w:fldCharType="begin"/>
        </w:r>
        <w:r>
          <w:rPr>
            <w:noProof/>
            <w:webHidden/>
          </w:rPr>
          <w:instrText xml:space="preserve"> PAGEREF _Toc178229395 \h </w:instrText>
        </w:r>
        <w:r>
          <w:rPr>
            <w:noProof/>
            <w:webHidden/>
          </w:rPr>
        </w:r>
        <w:r>
          <w:rPr>
            <w:noProof/>
            <w:webHidden/>
          </w:rPr>
          <w:fldChar w:fldCharType="separate"/>
        </w:r>
        <w:r w:rsidR="009A2EC4">
          <w:rPr>
            <w:noProof/>
            <w:webHidden/>
          </w:rPr>
          <w:t>25</w:t>
        </w:r>
        <w:r>
          <w:rPr>
            <w:noProof/>
            <w:webHidden/>
          </w:rPr>
          <w:fldChar w:fldCharType="end"/>
        </w:r>
      </w:hyperlink>
    </w:p>
    <w:p w14:paraId="38F1559C" w14:textId="6DF374D2"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6" w:history="1">
        <w:r w:rsidRPr="00D208BB">
          <w:rPr>
            <w:rStyle w:val="Hyperlink"/>
            <w:noProof/>
          </w:rPr>
          <w:t>Box 6: Possible approaches to EPR fee modulation using high density polyethylene (HDPE) bottles as an example</w:t>
        </w:r>
        <w:r>
          <w:rPr>
            <w:noProof/>
            <w:webHidden/>
          </w:rPr>
          <w:tab/>
        </w:r>
        <w:r>
          <w:rPr>
            <w:noProof/>
            <w:webHidden/>
          </w:rPr>
          <w:fldChar w:fldCharType="begin"/>
        </w:r>
        <w:r>
          <w:rPr>
            <w:noProof/>
            <w:webHidden/>
          </w:rPr>
          <w:instrText xml:space="preserve"> PAGEREF _Toc178229396 \h </w:instrText>
        </w:r>
        <w:r>
          <w:rPr>
            <w:noProof/>
            <w:webHidden/>
          </w:rPr>
        </w:r>
        <w:r>
          <w:rPr>
            <w:noProof/>
            <w:webHidden/>
          </w:rPr>
          <w:fldChar w:fldCharType="separate"/>
        </w:r>
        <w:r w:rsidR="009A2EC4">
          <w:rPr>
            <w:noProof/>
            <w:webHidden/>
          </w:rPr>
          <w:t>26</w:t>
        </w:r>
        <w:r>
          <w:rPr>
            <w:noProof/>
            <w:webHidden/>
          </w:rPr>
          <w:fldChar w:fldCharType="end"/>
        </w:r>
      </w:hyperlink>
    </w:p>
    <w:p w14:paraId="1D6E0E2D" w14:textId="2E3DDDD7"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7" w:history="1">
        <w:r w:rsidRPr="00D208BB">
          <w:rPr>
            <w:rStyle w:val="Hyperlink"/>
            <w:noProof/>
          </w:rPr>
          <w:t xml:space="preserve">Box 7: </w:t>
        </w:r>
        <w:r w:rsidRPr="00D208BB">
          <w:rPr>
            <w:rStyle w:val="Hyperlink"/>
            <w:noProof/>
            <w:lang w:val="en-US"/>
          </w:rPr>
          <w:t>Container Deposit Schemes (CDS) - case study in effective product stewardship</w:t>
        </w:r>
        <w:r>
          <w:rPr>
            <w:noProof/>
            <w:webHidden/>
          </w:rPr>
          <w:tab/>
        </w:r>
        <w:r>
          <w:rPr>
            <w:noProof/>
            <w:webHidden/>
          </w:rPr>
          <w:fldChar w:fldCharType="begin"/>
        </w:r>
        <w:r>
          <w:rPr>
            <w:noProof/>
            <w:webHidden/>
          </w:rPr>
          <w:instrText xml:space="preserve"> PAGEREF _Toc178229397 \h </w:instrText>
        </w:r>
        <w:r>
          <w:rPr>
            <w:noProof/>
            <w:webHidden/>
          </w:rPr>
        </w:r>
        <w:r>
          <w:rPr>
            <w:noProof/>
            <w:webHidden/>
          </w:rPr>
          <w:fldChar w:fldCharType="separate"/>
        </w:r>
        <w:r w:rsidR="009A2EC4">
          <w:rPr>
            <w:noProof/>
            <w:webHidden/>
          </w:rPr>
          <w:t>27</w:t>
        </w:r>
        <w:r>
          <w:rPr>
            <w:noProof/>
            <w:webHidden/>
          </w:rPr>
          <w:fldChar w:fldCharType="end"/>
        </w:r>
      </w:hyperlink>
    </w:p>
    <w:p w14:paraId="22229949" w14:textId="04681A6A"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8" w:history="1">
        <w:r w:rsidRPr="00D208BB">
          <w:rPr>
            <w:rStyle w:val="Hyperlink"/>
            <w:noProof/>
          </w:rPr>
          <w:t>Box 8: Defining ‘recyclability’</w:t>
        </w:r>
        <w:r>
          <w:rPr>
            <w:noProof/>
            <w:webHidden/>
          </w:rPr>
          <w:tab/>
        </w:r>
        <w:r>
          <w:rPr>
            <w:noProof/>
            <w:webHidden/>
          </w:rPr>
          <w:fldChar w:fldCharType="begin"/>
        </w:r>
        <w:r>
          <w:rPr>
            <w:noProof/>
            <w:webHidden/>
          </w:rPr>
          <w:instrText xml:space="preserve"> PAGEREF _Toc178229398 \h </w:instrText>
        </w:r>
        <w:r>
          <w:rPr>
            <w:noProof/>
            <w:webHidden/>
          </w:rPr>
        </w:r>
        <w:r>
          <w:rPr>
            <w:noProof/>
            <w:webHidden/>
          </w:rPr>
          <w:fldChar w:fldCharType="separate"/>
        </w:r>
        <w:r w:rsidR="009A2EC4">
          <w:rPr>
            <w:noProof/>
            <w:webHidden/>
          </w:rPr>
          <w:t>33</w:t>
        </w:r>
        <w:r>
          <w:rPr>
            <w:noProof/>
            <w:webHidden/>
          </w:rPr>
          <w:fldChar w:fldCharType="end"/>
        </w:r>
      </w:hyperlink>
    </w:p>
    <w:p w14:paraId="245F3D31" w14:textId="6ACEF2A3"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399" w:history="1">
        <w:r w:rsidRPr="00D208BB">
          <w:rPr>
            <w:rStyle w:val="Hyperlink"/>
            <w:noProof/>
          </w:rPr>
          <w:t>Box 9: Design elements under consideration for restriction or to be disincentivised</w:t>
        </w:r>
        <w:r>
          <w:rPr>
            <w:noProof/>
            <w:webHidden/>
          </w:rPr>
          <w:tab/>
        </w:r>
        <w:r>
          <w:rPr>
            <w:noProof/>
            <w:webHidden/>
          </w:rPr>
          <w:fldChar w:fldCharType="begin"/>
        </w:r>
        <w:r>
          <w:rPr>
            <w:noProof/>
            <w:webHidden/>
          </w:rPr>
          <w:instrText xml:space="preserve"> PAGEREF _Toc178229399 \h </w:instrText>
        </w:r>
        <w:r>
          <w:rPr>
            <w:noProof/>
            <w:webHidden/>
          </w:rPr>
        </w:r>
        <w:r>
          <w:rPr>
            <w:noProof/>
            <w:webHidden/>
          </w:rPr>
          <w:fldChar w:fldCharType="separate"/>
        </w:r>
        <w:r w:rsidR="009A2EC4">
          <w:rPr>
            <w:noProof/>
            <w:webHidden/>
          </w:rPr>
          <w:t>34</w:t>
        </w:r>
        <w:r>
          <w:rPr>
            <w:noProof/>
            <w:webHidden/>
          </w:rPr>
          <w:fldChar w:fldCharType="end"/>
        </w:r>
      </w:hyperlink>
    </w:p>
    <w:p w14:paraId="74BB5910" w14:textId="375D28F7"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400" w:history="1">
        <w:r w:rsidRPr="00D208BB">
          <w:rPr>
            <w:rStyle w:val="Hyperlink"/>
            <w:noProof/>
          </w:rPr>
          <w:t>Box 10: Addressing problematic plastic packaging</w:t>
        </w:r>
        <w:r>
          <w:rPr>
            <w:noProof/>
            <w:webHidden/>
          </w:rPr>
          <w:tab/>
        </w:r>
        <w:r>
          <w:rPr>
            <w:noProof/>
            <w:webHidden/>
          </w:rPr>
          <w:fldChar w:fldCharType="begin"/>
        </w:r>
        <w:r>
          <w:rPr>
            <w:noProof/>
            <w:webHidden/>
          </w:rPr>
          <w:instrText xml:space="preserve"> PAGEREF _Toc178229400 \h </w:instrText>
        </w:r>
        <w:r>
          <w:rPr>
            <w:noProof/>
            <w:webHidden/>
          </w:rPr>
        </w:r>
        <w:r>
          <w:rPr>
            <w:noProof/>
            <w:webHidden/>
          </w:rPr>
          <w:fldChar w:fldCharType="separate"/>
        </w:r>
        <w:r w:rsidR="009A2EC4">
          <w:rPr>
            <w:noProof/>
            <w:webHidden/>
          </w:rPr>
          <w:t>34</w:t>
        </w:r>
        <w:r>
          <w:rPr>
            <w:noProof/>
            <w:webHidden/>
          </w:rPr>
          <w:fldChar w:fldCharType="end"/>
        </w:r>
      </w:hyperlink>
    </w:p>
    <w:p w14:paraId="5254B9F7" w14:textId="7608AE42"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401" w:history="1">
        <w:r w:rsidRPr="00D208BB">
          <w:rPr>
            <w:rStyle w:val="Hyperlink"/>
            <w:noProof/>
          </w:rPr>
          <w:t>Box 11: PFAS in packaging</w:t>
        </w:r>
        <w:r>
          <w:rPr>
            <w:noProof/>
            <w:webHidden/>
          </w:rPr>
          <w:tab/>
        </w:r>
        <w:r>
          <w:rPr>
            <w:noProof/>
            <w:webHidden/>
          </w:rPr>
          <w:fldChar w:fldCharType="begin"/>
        </w:r>
        <w:r>
          <w:rPr>
            <w:noProof/>
            <w:webHidden/>
          </w:rPr>
          <w:instrText xml:space="preserve"> PAGEREF _Toc178229401 \h </w:instrText>
        </w:r>
        <w:r>
          <w:rPr>
            <w:noProof/>
            <w:webHidden/>
          </w:rPr>
        </w:r>
        <w:r>
          <w:rPr>
            <w:noProof/>
            <w:webHidden/>
          </w:rPr>
          <w:fldChar w:fldCharType="separate"/>
        </w:r>
        <w:r w:rsidR="009A2EC4">
          <w:rPr>
            <w:noProof/>
            <w:webHidden/>
          </w:rPr>
          <w:t>36</w:t>
        </w:r>
        <w:r>
          <w:rPr>
            <w:noProof/>
            <w:webHidden/>
          </w:rPr>
          <w:fldChar w:fldCharType="end"/>
        </w:r>
      </w:hyperlink>
    </w:p>
    <w:p w14:paraId="176F1C03" w14:textId="3BA934BE" w:rsidR="002316FC" w:rsidRDefault="002316FC">
      <w:pPr>
        <w:pStyle w:val="TableofFigures"/>
        <w:tabs>
          <w:tab w:val="right" w:leader="dot" w:pos="9060"/>
        </w:tabs>
        <w:rPr>
          <w:rFonts w:eastAsiaTheme="minorEastAsia"/>
          <w:noProof/>
          <w:kern w:val="2"/>
          <w:sz w:val="24"/>
          <w:szCs w:val="24"/>
          <w:lang w:eastAsia="en-AU"/>
          <w14:ligatures w14:val="standardContextual"/>
        </w:rPr>
      </w:pPr>
      <w:hyperlink w:anchor="_Toc178229402" w:history="1">
        <w:r w:rsidRPr="00D208BB">
          <w:rPr>
            <w:rStyle w:val="Hyperlink"/>
            <w:noProof/>
          </w:rPr>
          <w:t>Box 12: Example of eco-modulation informed by a recyclability grading framework</w:t>
        </w:r>
        <w:r>
          <w:rPr>
            <w:noProof/>
            <w:webHidden/>
          </w:rPr>
          <w:tab/>
        </w:r>
        <w:r>
          <w:rPr>
            <w:noProof/>
            <w:webHidden/>
          </w:rPr>
          <w:fldChar w:fldCharType="begin"/>
        </w:r>
        <w:r>
          <w:rPr>
            <w:noProof/>
            <w:webHidden/>
          </w:rPr>
          <w:instrText xml:space="preserve"> PAGEREF _Toc178229402 \h </w:instrText>
        </w:r>
        <w:r>
          <w:rPr>
            <w:noProof/>
            <w:webHidden/>
          </w:rPr>
        </w:r>
        <w:r>
          <w:rPr>
            <w:noProof/>
            <w:webHidden/>
          </w:rPr>
          <w:fldChar w:fldCharType="separate"/>
        </w:r>
        <w:r w:rsidR="009A2EC4">
          <w:rPr>
            <w:noProof/>
            <w:webHidden/>
          </w:rPr>
          <w:t>39</w:t>
        </w:r>
        <w:r>
          <w:rPr>
            <w:noProof/>
            <w:webHidden/>
          </w:rPr>
          <w:fldChar w:fldCharType="end"/>
        </w:r>
      </w:hyperlink>
    </w:p>
    <w:p w14:paraId="30E17276" w14:textId="1C926C6B" w:rsidR="004F7E06" w:rsidRPr="00E45508" w:rsidRDefault="00C64254" w:rsidP="004F7E06">
      <w:pPr>
        <w:rPr>
          <w:highlight w:val="yellow"/>
        </w:rPr>
      </w:pPr>
      <w:r w:rsidRPr="00E45508">
        <w:rPr>
          <w:highlight w:val="yellow"/>
        </w:rPr>
        <w:fldChar w:fldCharType="end"/>
      </w:r>
    </w:p>
    <w:p w14:paraId="7996B0FB" w14:textId="0DCE522E" w:rsidR="00FA4E17" w:rsidRPr="00E45508" w:rsidRDefault="00FA4E17">
      <w:pPr>
        <w:spacing w:after="0" w:line="240" w:lineRule="auto"/>
        <w:sectPr w:rsidR="00FA4E17" w:rsidRPr="00E45508">
          <w:headerReference w:type="even" r:id="rId16"/>
          <w:headerReference w:type="default" r:id="rId17"/>
          <w:footerReference w:type="even"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0B55719A" w14:textId="1D75254F" w:rsidR="008F519E" w:rsidRPr="00E45508" w:rsidRDefault="00BC4931" w:rsidP="002A52C1">
      <w:pPr>
        <w:pStyle w:val="Heading2"/>
        <w:numPr>
          <w:ilvl w:val="0"/>
          <w:numId w:val="0"/>
        </w:numPr>
      </w:pPr>
      <w:bookmarkStart w:id="1" w:name="_Toc177126576"/>
      <w:bookmarkStart w:id="2" w:name="_Toc177492987"/>
      <w:bookmarkStart w:id="3" w:name="_Toc178230232"/>
      <w:r w:rsidRPr="00E45508">
        <w:t>Executive summary</w:t>
      </w:r>
      <w:bookmarkEnd w:id="1"/>
      <w:bookmarkEnd w:id="2"/>
      <w:bookmarkEnd w:id="3"/>
    </w:p>
    <w:p w14:paraId="1487FFF3" w14:textId="50C105C4" w:rsidR="008F519E" w:rsidRPr="00E45508" w:rsidRDefault="0FB538BE" w:rsidP="002F53FC">
      <w:r w:rsidRPr="00E45508">
        <w:rPr>
          <w:color w:val="000000" w:themeColor="text1"/>
        </w:rPr>
        <w:t>T</w:t>
      </w:r>
      <w:r w:rsidRPr="00E45508">
        <w:t xml:space="preserve">he Australian Government is </w:t>
      </w:r>
      <w:r w:rsidR="5C97AE37" w:rsidRPr="00E45508">
        <w:t>working</w:t>
      </w:r>
      <w:r w:rsidRPr="00E45508">
        <w:t xml:space="preserve"> to reform Australia’s packaging regulations to minimise packaging waste and pollution and build a circular economy for packaging. Under a circular economy, packaging would be designed to reduce waste</w:t>
      </w:r>
      <w:r w:rsidR="00964A6C">
        <w:t>, be recyclable</w:t>
      </w:r>
      <w:r w:rsidRPr="00E45508">
        <w:t xml:space="preserve"> and use recycled content, and used packaging would be collected and reused, or recycled back into packaging or other valuable products.</w:t>
      </w:r>
    </w:p>
    <w:p w14:paraId="5749706D" w14:textId="13B9EC5A" w:rsidR="008F519E" w:rsidRPr="00E45508" w:rsidRDefault="0FB538BE" w:rsidP="002F53FC">
      <w:pPr>
        <w:rPr>
          <w:color w:val="000000" w:themeColor="text1"/>
        </w:rPr>
      </w:pPr>
      <w:r w:rsidRPr="00E45508">
        <w:t xml:space="preserve">To inform </w:t>
      </w:r>
      <w:r w:rsidR="396054B6" w:rsidRPr="00E45508">
        <w:t xml:space="preserve">how to </w:t>
      </w:r>
      <w:r w:rsidRPr="00E45508">
        <w:t xml:space="preserve">best reform packaging regulations, we are consulting on various options to better understand their impacts, benefits and costs. We </w:t>
      </w:r>
      <w:r w:rsidR="28B607CB" w:rsidRPr="00E45508">
        <w:t>would like</w:t>
      </w:r>
      <w:r w:rsidRPr="00E45508">
        <w:t xml:space="preserve"> to hear from all stakeholders involved or interested in the production, </w:t>
      </w:r>
      <w:r w:rsidR="003E00EF" w:rsidRPr="00E45508">
        <w:t xml:space="preserve">use </w:t>
      </w:r>
      <w:r w:rsidRPr="00E45508">
        <w:t>and recovery of packaging in Australia.</w:t>
      </w:r>
    </w:p>
    <w:p w14:paraId="6F3EE9F0" w14:textId="77A9FA6C" w:rsidR="008F519E" w:rsidRPr="00E45508" w:rsidRDefault="0FB538BE" w:rsidP="002F53FC">
      <w:pPr>
        <w:rPr>
          <w:color w:val="000000" w:themeColor="text1"/>
        </w:rPr>
      </w:pPr>
      <w:r>
        <w:t xml:space="preserve">We know that Australia’s current national co-regulatory framework for packaging </w:t>
      </w:r>
      <w:r w:rsidR="1F79E7C6">
        <w:t>u</w:t>
      </w:r>
      <w:r w:rsidR="1F79E7C6" w:rsidRPr="4B63BB1A">
        <w:rPr>
          <w:color w:val="000000" w:themeColor="text1"/>
        </w:rPr>
        <w:t xml:space="preserve">nder the </w:t>
      </w:r>
      <w:r w:rsidR="1F79E7C6" w:rsidRPr="4B63BB1A">
        <w:rPr>
          <w:i/>
          <w:iCs/>
          <w:color w:val="000000" w:themeColor="text1"/>
        </w:rPr>
        <w:t>National Environment Protection (Used Packaging Materials) Measure</w:t>
      </w:r>
      <w:r w:rsidR="00421651" w:rsidRPr="4B63BB1A">
        <w:rPr>
          <w:i/>
          <w:iCs/>
          <w:color w:val="000000" w:themeColor="text1"/>
        </w:rPr>
        <w:t> 2</w:t>
      </w:r>
      <w:r w:rsidR="1F79E7C6" w:rsidRPr="4B63BB1A">
        <w:rPr>
          <w:i/>
          <w:iCs/>
          <w:color w:val="000000" w:themeColor="text1"/>
        </w:rPr>
        <w:t>011</w:t>
      </w:r>
      <w:r w:rsidR="1F79E7C6" w:rsidRPr="4B63BB1A">
        <w:rPr>
          <w:color w:val="000000" w:themeColor="text1"/>
        </w:rPr>
        <w:t xml:space="preserve"> (NEPM)</w:t>
      </w:r>
      <w:r w:rsidR="1F79E7C6">
        <w:t xml:space="preserve"> </w:t>
      </w:r>
      <w:r>
        <w:t xml:space="preserve">is not effectively managing the impacts of packaging on our </w:t>
      </w:r>
      <w:bookmarkStart w:id="4" w:name="_Int_HWkgXHEF"/>
      <w:r>
        <w:t>environment</w:t>
      </w:r>
      <w:r w:rsidR="2C99C157">
        <w:t>,</w:t>
      </w:r>
      <w:r w:rsidR="7860AFDE">
        <w:t xml:space="preserve"> or</w:t>
      </w:r>
      <w:bookmarkEnd w:id="4"/>
      <w:r w:rsidR="7860AFDE">
        <w:t xml:space="preserve"> delivering an effective system for industry</w:t>
      </w:r>
      <w:r>
        <w:t>.</w:t>
      </w:r>
      <w:r w:rsidRPr="4B63BB1A">
        <w:rPr>
          <w:color w:val="000000" w:themeColor="text1"/>
        </w:rPr>
        <w:t xml:space="preserve"> </w:t>
      </w:r>
      <w:r w:rsidR="5FF162DD" w:rsidRPr="4B63BB1A">
        <w:rPr>
          <w:color w:val="000000" w:themeColor="text1"/>
        </w:rPr>
        <w:t>Currently</w:t>
      </w:r>
      <w:r w:rsidR="33E3977B" w:rsidRPr="4B63BB1A">
        <w:rPr>
          <w:color w:val="000000" w:themeColor="text1"/>
        </w:rPr>
        <w:t>, businesses</w:t>
      </w:r>
      <w:r w:rsidR="50643BBE" w:rsidRPr="4B63BB1A">
        <w:rPr>
          <w:color w:val="000000" w:themeColor="text1"/>
        </w:rPr>
        <w:t xml:space="preserve"> </w:t>
      </w:r>
      <w:r w:rsidRPr="4B63BB1A">
        <w:rPr>
          <w:color w:val="000000" w:themeColor="text1"/>
        </w:rPr>
        <w:t xml:space="preserve">with an annual turnover of $5 million or more that produce or sell packaging or packaged products in Australia can meet their obligations </w:t>
      </w:r>
      <w:r w:rsidR="00534778" w:rsidRPr="4B63BB1A">
        <w:rPr>
          <w:color w:val="000000" w:themeColor="text1"/>
        </w:rPr>
        <w:t>through</w:t>
      </w:r>
      <w:r w:rsidR="00C2732A" w:rsidRPr="4B63BB1A">
        <w:rPr>
          <w:color w:val="000000" w:themeColor="text1"/>
        </w:rPr>
        <w:t xml:space="preserve"> two main pathways</w:t>
      </w:r>
      <w:r w:rsidRPr="4B63BB1A">
        <w:rPr>
          <w:color w:val="000000" w:themeColor="text1"/>
        </w:rPr>
        <w:t>:</w:t>
      </w:r>
    </w:p>
    <w:p w14:paraId="187EDF71" w14:textId="763CE4FB" w:rsidR="008F519E" w:rsidRPr="006D4CBD" w:rsidRDefault="0FB538BE" w:rsidP="009C1F84">
      <w:pPr>
        <w:pStyle w:val="ListBullet"/>
      </w:pPr>
      <w:r w:rsidRPr="006D4CBD">
        <w:t xml:space="preserve">becoming a </w:t>
      </w:r>
      <w:r w:rsidR="003021D1" w:rsidRPr="006D4CBD">
        <w:t>S</w:t>
      </w:r>
      <w:r w:rsidRPr="006D4CBD">
        <w:t>ignatory to the Australian Packaging Covenant (the Covenant) and becoming member of the Australian Packaging Covenant Organisation (APCO)</w:t>
      </w:r>
      <w:r w:rsidR="009B679A">
        <w:t xml:space="preserve"> or</w:t>
      </w:r>
    </w:p>
    <w:p w14:paraId="5A8CC42E" w14:textId="2287DA1D" w:rsidR="008F519E" w:rsidRPr="006D4CBD" w:rsidRDefault="0FB538BE" w:rsidP="009C1F84">
      <w:pPr>
        <w:pStyle w:val="ListBullet"/>
      </w:pPr>
      <w:r w:rsidRPr="006D4CBD">
        <w:t>reporting to their state or territory government agency under the NEPM</w:t>
      </w:r>
      <w:r w:rsidR="009B679A">
        <w:t>.</w:t>
      </w:r>
    </w:p>
    <w:p w14:paraId="2312F4A2" w14:textId="3E40EA91" w:rsidR="008F519E" w:rsidRPr="00E45508" w:rsidRDefault="0FB538BE" w:rsidP="002F53FC">
      <w:pPr>
        <w:rPr>
          <w:color w:val="000000" w:themeColor="text1"/>
        </w:rPr>
      </w:pPr>
      <w:r w:rsidRPr="00E45508">
        <w:t>An independent review in</w:t>
      </w:r>
      <w:r w:rsidR="00421651" w:rsidRPr="00E45508">
        <w:t> 2</w:t>
      </w:r>
      <w:r w:rsidRPr="00E45508">
        <w:t>021 found that while the Covenant operates effectively as a voluntary stewardship initiative, there have been significant failures in the implementation and enforcement of the regulatory arrangements.</w:t>
      </w:r>
      <w:r w:rsidR="7FC984E3" w:rsidRPr="00E45508">
        <w:t xml:space="preserve"> </w:t>
      </w:r>
      <w:r w:rsidR="74E30AD4" w:rsidRPr="00E45508">
        <w:t xml:space="preserve">Furthermore, </w:t>
      </w:r>
      <w:r w:rsidR="3A9C3671" w:rsidRPr="00E45508">
        <w:t xml:space="preserve">APCO </w:t>
      </w:r>
      <w:r w:rsidR="5034EB48" w:rsidRPr="00E45508">
        <w:t>has confirmed</w:t>
      </w:r>
      <w:r w:rsidR="2A660D6A" w:rsidRPr="00E45508">
        <w:t xml:space="preserve"> </w:t>
      </w:r>
      <w:r w:rsidR="3A9C3671" w:rsidRPr="00E45508">
        <w:t xml:space="preserve">that the current industry-led </w:t>
      </w:r>
      <w:r w:rsidR="1C2CF88D" w:rsidRPr="00E45508">
        <w:t>n</w:t>
      </w:r>
      <w:r w:rsidRPr="00E45508">
        <w:t xml:space="preserve">ational packaging targets to </w:t>
      </w:r>
      <w:r w:rsidR="002B4BDA" w:rsidRPr="00E45508">
        <w:t xml:space="preserve">sustainably design, </w:t>
      </w:r>
      <w:r w:rsidR="009618D7" w:rsidRPr="00E45508">
        <w:t>recover</w:t>
      </w:r>
      <w:r w:rsidRPr="00E45508">
        <w:t xml:space="preserve"> and </w:t>
      </w:r>
      <w:r w:rsidR="004B552C" w:rsidRPr="00E45508">
        <w:t>reuse</w:t>
      </w:r>
      <w:r w:rsidRPr="00E45508">
        <w:t xml:space="preserve"> more packaging will not be achieved under the current system.</w:t>
      </w:r>
    </w:p>
    <w:p w14:paraId="71487108" w14:textId="431B7B8A" w:rsidR="008F519E" w:rsidRPr="00E45508" w:rsidRDefault="0FB538BE" w:rsidP="002F53FC">
      <w:r w:rsidRPr="00E45508">
        <w:t>In</w:t>
      </w:r>
      <w:r w:rsidR="00421651" w:rsidRPr="00E45508">
        <w:t> 2</w:t>
      </w:r>
      <w:r w:rsidRPr="00E45508">
        <w:t xml:space="preserve">021-22, just over half of the total packaging placed on market was recovered </w:t>
      </w:r>
      <w:r w:rsidR="54151A06" w:rsidRPr="00E45508">
        <w:t>(recycled</w:t>
      </w:r>
      <w:r w:rsidR="053F9CD3" w:rsidRPr="00E45508">
        <w:t>, composted</w:t>
      </w:r>
      <w:r w:rsidR="54151A06" w:rsidRPr="00E45508">
        <w:t xml:space="preserve"> or used </w:t>
      </w:r>
      <w:r w:rsidR="7CDF0E65" w:rsidRPr="00E45508">
        <w:t>for</w:t>
      </w:r>
      <w:r w:rsidR="54151A06" w:rsidRPr="00E45508">
        <w:t xml:space="preserve"> energy), </w:t>
      </w:r>
      <w:r w:rsidRPr="00E45508">
        <w:t>with the rest</w:t>
      </w:r>
      <w:r w:rsidR="0CFF1128" w:rsidRPr="00E45508">
        <w:t xml:space="preserve"> </w:t>
      </w:r>
      <w:r w:rsidRPr="00E45508">
        <w:t>being sent to landfill. We know that packaging consumption is increasing</w:t>
      </w:r>
      <w:r w:rsidR="51EBB3B2" w:rsidRPr="00E45508">
        <w:t xml:space="preserve"> </w:t>
      </w:r>
      <w:r w:rsidRPr="00E45508">
        <w:t>and, without reforms to Australia’s packaging regulations, the amount of packaging sent to landfill and leaking into the environment is also expected to grow.</w:t>
      </w:r>
      <w:r w:rsidR="2E85DD83" w:rsidRPr="00E45508">
        <w:t xml:space="preserve"> Plastic packaging is particularly problematic, with the lowest recovery rate (20%)</w:t>
      </w:r>
      <w:r w:rsidRPr="00E45508">
        <w:t xml:space="preserve"> </w:t>
      </w:r>
      <w:r w:rsidR="00D94BAA" w:rsidRPr="00E45508">
        <w:t>(APCO 2024a)</w:t>
      </w:r>
      <w:r w:rsidRPr="00E45508">
        <w:t xml:space="preserve"> </w:t>
      </w:r>
      <w:r w:rsidR="4F3B0984" w:rsidRPr="00E45508">
        <w:t>and</w:t>
      </w:r>
      <w:r w:rsidR="09A9ADDB" w:rsidRPr="00E45508">
        <w:t xml:space="preserve"> representing</w:t>
      </w:r>
      <w:r w:rsidR="4F3B0984" w:rsidRPr="00E45508">
        <w:t xml:space="preserve"> a significant portion of </w:t>
      </w:r>
      <w:r w:rsidRPr="00E45508">
        <w:t>the litter collected by Clean Up Australia in</w:t>
      </w:r>
      <w:r w:rsidR="00421651" w:rsidRPr="00E45508">
        <w:t> 2</w:t>
      </w:r>
      <w:r w:rsidRPr="00E45508">
        <w:t xml:space="preserve">022-23. </w:t>
      </w:r>
      <w:r w:rsidR="458382A6" w:rsidRPr="00E45508">
        <w:t>Plastics accounted for over 80% of litter, much of which was plastic packaging.</w:t>
      </w:r>
    </w:p>
    <w:p w14:paraId="7F32CF6A" w14:textId="54403133" w:rsidR="008F519E" w:rsidRPr="00E45508" w:rsidRDefault="3E23BCA4" w:rsidP="002F53FC">
      <w:r w:rsidRPr="00E45508">
        <w:t>While APCO considers 86% of packaging has good recyclability, this varies significantly across packaging types</w:t>
      </w:r>
      <w:r w:rsidR="07919041" w:rsidRPr="00E45508">
        <w:t>. For example, o</w:t>
      </w:r>
      <w:r w:rsidR="0C384403" w:rsidRPr="00E45508">
        <w:t>nly</w:t>
      </w:r>
      <w:r w:rsidRPr="00E45508">
        <w:t xml:space="preserve"> </w:t>
      </w:r>
      <w:r w:rsidR="1207B8EE" w:rsidRPr="00E45508">
        <w:t>4</w:t>
      </w:r>
      <w:r w:rsidR="65CE386E" w:rsidRPr="00E45508">
        <w:t>2</w:t>
      </w:r>
      <w:r w:rsidR="1207B8EE" w:rsidRPr="00E45508">
        <w:t xml:space="preserve">% of plastic packaging </w:t>
      </w:r>
      <w:r w:rsidR="14EF05D8" w:rsidRPr="00E45508">
        <w:t xml:space="preserve">has </w:t>
      </w:r>
      <w:r w:rsidR="1207B8EE" w:rsidRPr="00E45508">
        <w:t>good recyclability.</w:t>
      </w:r>
      <w:r w:rsidR="0FB538BE" w:rsidRPr="00E45508">
        <w:t xml:space="preserve"> </w:t>
      </w:r>
      <w:r w:rsidR="0CC28883" w:rsidRPr="00E45508">
        <w:t xml:space="preserve">Further </w:t>
      </w:r>
      <w:r w:rsidR="003A6750" w:rsidRPr="00E45508">
        <w:t>there is</w:t>
      </w:r>
      <w:r w:rsidR="0CC28883" w:rsidRPr="00E45508">
        <w:t xml:space="preserve"> </w:t>
      </w:r>
      <w:r w:rsidR="1E6AD2C1" w:rsidRPr="00E45508">
        <w:t xml:space="preserve">only 49% </w:t>
      </w:r>
      <w:r w:rsidR="003A6750" w:rsidRPr="00E45508">
        <w:t>average</w:t>
      </w:r>
      <w:r w:rsidR="0CC28883" w:rsidRPr="00E45508">
        <w:t xml:space="preserve"> recycled content</w:t>
      </w:r>
      <w:r w:rsidR="003A6750" w:rsidRPr="00E45508">
        <w:t xml:space="preserve"> in all</w:t>
      </w:r>
      <w:r w:rsidR="4BD0882E" w:rsidRPr="00E45508">
        <w:t xml:space="preserve"> packaging</w:t>
      </w:r>
      <w:r w:rsidR="6F923A90" w:rsidRPr="00E45508">
        <w:t>. Th</w:t>
      </w:r>
      <w:r w:rsidR="5FA60FDC" w:rsidRPr="00E45508">
        <w:t>is drops to</w:t>
      </w:r>
      <w:r w:rsidR="4BD0882E" w:rsidRPr="00E45508">
        <w:t xml:space="preserve"> 8% </w:t>
      </w:r>
      <w:r w:rsidR="7A93BFD1" w:rsidRPr="00E45508">
        <w:t xml:space="preserve">for </w:t>
      </w:r>
      <w:r w:rsidR="4BD0882E" w:rsidRPr="00E45508">
        <w:t>plastics packaging.</w:t>
      </w:r>
      <w:r w:rsidR="2B0A0902" w:rsidRPr="00E45508">
        <w:t xml:space="preserve"> </w:t>
      </w:r>
      <w:r w:rsidR="0C2D4901" w:rsidRPr="00E45508">
        <w:t>D</w:t>
      </w:r>
      <w:r w:rsidR="0FB538BE" w:rsidRPr="00E45508">
        <w:t xml:space="preserve">esign decisions impact recycling and waste management sectors and the environment, and the costs to manage used packaging </w:t>
      </w:r>
      <w:r w:rsidR="1A75AF28" w:rsidRPr="00E45508">
        <w:t xml:space="preserve">and </w:t>
      </w:r>
      <w:r w:rsidR="0204F830" w:rsidRPr="00E45508">
        <w:t>the</w:t>
      </w:r>
      <w:r w:rsidR="1A75AF28" w:rsidRPr="00E45508">
        <w:t xml:space="preserve"> litter</w:t>
      </w:r>
      <w:r w:rsidR="59133AB5" w:rsidRPr="00E45508">
        <w:t xml:space="preserve"> it generates</w:t>
      </w:r>
      <w:r w:rsidR="1A75AF28" w:rsidRPr="00E45508">
        <w:t xml:space="preserve"> </w:t>
      </w:r>
      <w:r w:rsidR="0FB538BE" w:rsidRPr="00E45508">
        <w:t xml:space="preserve">often falls to </w:t>
      </w:r>
      <w:r w:rsidR="75666B71" w:rsidRPr="00E45508">
        <w:t>the taxpayer</w:t>
      </w:r>
      <w:r w:rsidR="1259F5FA" w:rsidRPr="00E45508">
        <w:t>, local governments, waste and recycling industry</w:t>
      </w:r>
      <w:r w:rsidR="003C6473">
        <w:t>,</w:t>
      </w:r>
      <w:r w:rsidR="1259F5FA" w:rsidRPr="00E45508">
        <w:t xml:space="preserve"> and volunteers</w:t>
      </w:r>
      <w:r w:rsidR="45CADB68" w:rsidRPr="00E45508">
        <w:t>.</w:t>
      </w:r>
    </w:p>
    <w:p w14:paraId="4AB4D4B3" w14:textId="5FA07617" w:rsidR="008F519E" w:rsidRPr="00E45508" w:rsidRDefault="539D54B8" w:rsidP="002F53FC">
      <w:pPr>
        <w:rPr>
          <w:strike/>
          <w:color w:val="000000" w:themeColor="text1"/>
        </w:rPr>
      </w:pPr>
      <w:r w:rsidRPr="00E45508">
        <w:t>Re</w:t>
      </w:r>
      <w:r w:rsidR="0FB538BE" w:rsidRPr="00E45508">
        <w:t>cycling</w:t>
      </w:r>
      <w:r w:rsidR="6B40A697" w:rsidRPr="00E45508">
        <w:t xml:space="preserve"> </w:t>
      </w:r>
      <w:r w:rsidR="0FB538BE" w:rsidRPr="00E45508">
        <w:t xml:space="preserve">used packaging is </w:t>
      </w:r>
      <w:r w:rsidR="19DA7D91" w:rsidRPr="00E45508">
        <w:t>also</w:t>
      </w:r>
      <w:r w:rsidR="0FB538BE" w:rsidRPr="00E45508">
        <w:t xml:space="preserve"> hampered by gaps in recycling capacity</w:t>
      </w:r>
      <w:r w:rsidR="0E04BEF0" w:rsidRPr="00E45508">
        <w:t xml:space="preserve"> and a</w:t>
      </w:r>
      <w:r w:rsidR="0FB538BE" w:rsidRPr="00E45508">
        <w:t xml:space="preserve"> lack of end markets for recycled material</w:t>
      </w:r>
      <w:r w:rsidR="4D63073D" w:rsidRPr="00E45508">
        <w:t>s.</w:t>
      </w:r>
      <w:r w:rsidR="0FB538BE" w:rsidRPr="00E45508">
        <w:t xml:space="preserve"> A lack of end markets is a key barrier to investment in recycling infrastructure, with virgin plastic cheaper to use than recycled plastic. Confusion about how to recycle used packaging also leads to a reduction in recycling rates. However, there are no mandatory recycling labelling requirements to inform consumers how they should dispose and recycle used packaging.</w:t>
      </w:r>
    </w:p>
    <w:p w14:paraId="02A83B96" w14:textId="315AEAAF" w:rsidR="008F519E" w:rsidRPr="00E45508" w:rsidRDefault="0FB538BE" w:rsidP="002F53FC">
      <w:pPr>
        <w:rPr>
          <w:color w:val="000000" w:themeColor="text1"/>
        </w:rPr>
      </w:pPr>
      <w:r w:rsidRPr="00E45508">
        <w:rPr>
          <w:color w:val="000000" w:themeColor="text1"/>
        </w:rPr>
        <w:t>While Australian businesses and governments have made significant investments and shown world</w:t>
      </w:r>
      <w:r w:rsidR="24165676" w:rsidRPr="00E45508">
        <w:rPr>
          <w:color w:val="000000" w:themeColor="text1"/>
        </w:rPr>
        <w:t xml:space="preserve"> </w:t>
      </w:r>
      <w:r w:rsidR="008373C3">
        <w:rPr>
          <w:color w:val="000000" w:themeColor="text1"/>
        </w:rPr>
        <w:noBreakHyphen/>
      </w:r>
      <w:r w:rsidRPr="00E45508">
        <w:rPr>
          <w:color w:val="000000" w:themeColor="text1"/>
        </w:rPr>
        <w:t>l</w:t>
      </w:r>
      <w:r w:rsidRPr="00E45508">
        <w:t xml:space="preserve">eading innovation in sustainability by taking responsibility for our waste over recent years, the existing regulatory arrangements for packaging, as currently implemented, cannot deliver the scale of change required to </w:t>
      </w:r>
      <w:r w:rsidR="3888E92D" w:rsidRPr="00E45508">
        <w:t>reduce the environmental impacts of</w:t>
      </w:r>
      <w:r w:rsidR="6A5B6595" w:rsidRPr="00E45508">
        <w:t xml:space="preserve"> packaging</w:t>
      </w:r>
      <w:r w:rsidRPr="00E45508">
        <w:t>.</w:t>
      </w:r>
    </w:p>
    <w:p w14:paraId="1EDE1E7A" w14:textId="7D7EAAD1" w:rsidR="008F519E" w:rsidRPr="00E45508" w:rsidRDefault="0252E25B" w:rsidP="002F53FC">
      <w:r w:rsidRPr="00E45508">
        <w:t>Transitioning Australia to a circular economy for packaging will improve sustainable production and consumption of our packaging, improve end of life man</w:t>
      </w:r>
      <w:r w:rsidR="08F4F1E0" w:rsidRPr="00E45508">
        <w:t>a</w:t>
      </w:r>
      <w:r w:rsidRPr="00E45508">
        <w:t>gement</w:t>
      </w:r>
      <w:r w:rsidR="1BD92760" w:rsidRPr="00E45508">
        <w:t xml:space="preserve"> and reduce the environmental impacts of packaging</w:t>
      </w:r>
      <w:r w:rsidR="3FC59C59" w:rsidRPr="00E45508">
        <w:t>.</w:t>
      </w:r>
      <w:r w:rsidR="1BD92760" w:rsidRPr="00E45508">
        <w:t xml:space="preserve"> </w:t>
      </w:r>
      <w:r w:rsidRPr="00E45508">
        <w:t>Valuable resources would be kept in the economy and out of landfill, with a reduced need for virgin resources.</w:t>
      </w:r>
    </w:p>
    <w:p w14:paraId="5AFC2C4A" w14:textId="127FD4B5" w:rsidR="008F519E" w:rsidRPr="00E45508" w:rsidRDefault="0A6745D1" w:rsidP="002F53FC">
      <w:pPr>
        <w:rPr>
          <w:color w:val="000000" w:themeColor="text1"/>
        </w:rPr>
      </w:pPr>
      <w:r w:rsidRPr="00E45508">
        <w:rPr>
          <w:lang w:eastAsia="ja-JP"/>
        </w:rPr>
        <w:t xml:space="preserve">This reform seeks to support the transition to, and maintenance of, a circular economy for packaging in Australia, where packaging is designed to </w:t>
      </w:r>
      <w:r w:rsidR="004F3ADA">
        <w:rPr>
          <w:lang w:eastAsia="ja-JP"/>
        </w:rPr>
        <w:t>reduce</w:t>
      </w:r>
      <w:r w:rsidRPr="00E45508">
        <w:rPr>
          <w:lang w:eastAsia="ja-JP"/>
        </w:rPr>
        <w:t xml:space="preserve"> waste and be recyclable, is collected and recycled at scale, and circulated in the economy for as long as possible at its highest value and best use.</w:t>
      </w:r>
      <w:r w:rsidRPr="00E45508">
        <w:t xml:space="preserve"> </w:t>
      </w:r>
      <w:r w:rsidR="5C829345" w:rsidRPr="00E45508">
        <w:t xml:space="preserve">Further detail on the </w:t>
      </w:r>
      <w:r w:rsidR="0FB538BE" w:rsidRPr="00E45508">
        <w:t>objective and principles</w:t>
      </w:r>
      <w:r w:rsidR="760752A7" w:rsidRPr="00E45508">
        <w:t xml:space="preserve"> </w:t>
      </w:r>
      <w:r w:rsidR="2312A763" w:rsidRPr="00E45508">
        <w:t xml:space="preserve">for reform are in </w:t>
      </w:r>
      <w:r w:rsidR="009923C2">
        <w:t>s</w:t>
      </w:r>
      <w:r w:rsidR="760752A7" w:rsidRPr="00E45508">
        <w:t>ection</w:t>
      </w:r>
      <w:r w:rsidR="0FB538BE" w:rsidRPr="00E45508">
        <w:t xml:space="preserve"> </w:t>
      </w:r>
      <w:r w:rsidR="007E060A">
        <w:fldChar w:fldCharType="begin"/>
      </w:r>
      <w:r w:rsidR="007E060A">
        <w:instrText xml:space="preserve"> REF _Ref178083742 \r \h </w:instrText>
      </w:r>
      <w:r w:rsidR="007E060A">
        <w:fldChar w:fldCharType="separate"/>
      </w:r>
      <w:r w:rsidR="009A2EC4">
        <w:t>4</w:t>
      </w:r>
      <w:r w:rsidR="007E060A">
        <w:fldChar w:fldCharType="end"/>
      </w:r>
      <w:r w:rsidR="42FC03FD" w:rsidRPr="00E45508">
        <w:t>.</w:t>
      </w:r>
    </w:p>
    <w:p w14:paraId="62BFF532" w14:textId="760849D9" w:rsidR="008F519E" w:rsidRPr="00E45508" w:rsidRDefault="418F6A18" w:rsidP="6C947729">
      <w:pPr>
        <w:spacing w:after="160" w:line="259" w:lineRule="auto"/>
        <w:rPr>
          <w:rFonts w:eastAsiaTheme="minorEastAsia"/>
          <w:color w:val="000000" w:themeColor="text1"/>
        </w:rPr>
      </w:pPr>
      <w:r w:rsidRPr="00E45508">
        <w:rPr>
          <w:rFonts w:eastAsiaTheme="minorEastAsia"/>
        </w:rPr>
        <w:t>W</w:t>
      </w:r>
      <w:r w:rsidR="0FB538BE" w:rsidRPr="00E45508">
        <w:rPr>
          <w:rFonts w:eastAsiaTheme="minorEastAsia"/>
          <w:color w:val="000000" w:themeColor="text1"/>
        </w:rPr>
        <w:t xml:space="preserve">e are seeking views on three </w:t>
      </w:r>
      <w:r w:rsidR="00093A5C" w:rsidRPr="00E45508">
        <w:rPr>
          <w:rFonts w:eastAsiaTheme="minorEastAsia"/>
          <w:color w:val="000000" w:themeColor="text1"/>
        </w:rPr>
        <w:t xml:space="preserve">potential </w:t>
      </w:r>
      <w:r w:rsidR="0FB538BE" w:rsidRPr="00E45508">
        <w:rPr>
          <w:rFonts w:eastAsiaTheme="minorEastAsia"/>
          <w:color w:val="000000" w:themeColor="text1"/>
        </w:rPr>
        <w:t>options for reforming packaging regula</w:t>
      </w:r>
      <w:r w:rsidR="0FB538BE" w:rsidRPr="00E45508">
        <w:rPr>
          <w:rFonts w:eastAsiaTheme="minorEastAsia"/>
        </w:rPr>
        <w:t xml:space="preserve">tions (further detailed in </w:t>
      </w:r>
      <w:r w:rsidR="009923C2">
        <w:rPr>
          <w:rFonts w:eastAsiaTheme="minorEastAsia"/>
        </w:rPr>
        <w:t>s</w:t>
      </w:r>
      <w:r w:rsidR="0FB538BE" w:rsidRPr="00E45508">
        <w:rPr>
          <w:rFonts w:eastAsiaTheme="minorEastAsia"/>
        </w:rPr>
        <w:t xml:space="preserve">ection </w:t>
      </w:r>
      <w:r w:rsidR="00FE3DDD" w:rsidRPr="00E45508">
        <w:rPr>
          <w:rFonts w:eastAsiaTheme="minorEastAsia"/>
        </w:rPr>
        <w:fldChar w:fldCharType="begin"/>
      </w:r>
      <w:r w:rsidR="00FE3DDD" w:rsidRPr="00E45508">
        <w:rPr>
          <w:rFonts w:eastAsiaTheme="minorEastAsia"/>
        </w:rPr>
        <w:instrText xml:space="preserve"> REF _Ref177632239 \r \h </w:instrText>
      </w:r>
      <w:r w:rsidR="00FE3DDD" w:rsidRPr="00E45508">
        <w:rPr>
          <w:rFonts w:eastAsiaTheme="minorEastAsia"/>
        </w:rPr>
      </w:r>
      <w:r w:rsidR="00FE3DDD" w:rsidRPr="00E45508">
        <w:rPr>
          <w:rFonts w:eastAsiaTheme="minorEastAsia"/>
        </w:rPr>
        <w:fldChar w:fldCharType="separate"/>
      </w:r>
      <w:r w:rsidR="009A2EC4">
        <w:rPr>
          <w:rFonts w:eastAsiaTheme="minorEastAsia"/>
        </w:rPr>
        <w:t>5</w:t>
      </w:r>
      <w:r w:rsidR="00FE3DDD" w:rsidRPr="00E45508">
        <w:rPr>
          <w:rFonts w:eastAsiaTheme="minorEastAsia"/>
        </w:rPr>
        <w:fldChar w:fldCharType="end"/>
      </w:r>
      <w:r w:rsidR="0FB538BE" w:rsidRPr="00E45508">
        <w:rPr>
          <w:rFonts w:eastAsiaTheme="minorEastAsia"/>
        </w:rPr>
        <w:t>).</w:t>
      </w:r>
      <w:r w:rsidR="0FB538BE" w:rsidRPr="00E45508">
        <w:rPr>
          <w:rFonts w:eastAsiaTheme="minorEastAsia"/>
          <w:color w:val="000000" w:themeColor="text1"/>
        </w:rPr>
        <w:t xml:space="preserve"> These are:</w:t>
      </w:r>
    </w:p>
    <w:p w14:paraId="66F8D788" w14:textId="5127A400" w:rsidR="008F519E" w:rsidRPr="00E45508" w:rsidRDefault="0FB538BE" w:rsidP="009C1F84">
      <w:pPr>
        <w:pStyle w:val="ListBullet"/>
      </w:pPr>
      <w:r w:rsidRPr="00E45508">
        <w:t>Option</w:t>
      </w:r>
      <w:r w:rsidR="00421651" w:rsidRPr="00E45508">
        <w:t> 1</w:t>
      </w:r>
      <w:r w:rsidRPr="00E45508">
        <w:t xml:space="preserve"> – Strengthen</w:t>
      </w:r>
      <w:r w:rsidR="2A3C3852" w:rsidRPr="00E45508">
        <w:t>ing</w:t>
      </w:r>
      <w:r w:rsidRPr="00E45508">
        <w:t xml:space="preserve"> administration of the co-regulatory arrangement</w:t>
      </w:r>
    </w:p>
    <w:p w14:paraId="1EE55982" w14:textId="025BFC39" w:rsidR="008F519E" w:rsidRPr="00E45508" w:rsidRDefault="0FB538BE" w:rsidP="009C1F84">
      <w:pPr>
        <w:pStyle w:val="ListBullet"/>
      </w:pPr>
      <w:r w:rsidRPr="00E45508">
        <w:t>Option</w:t>
      </w:r>
      <w:r w:rsidR="00421651" w:rsidRPr="00E45508">
        <w:t> 2</w:t>
      </w:r>
      <w:r w:rsidRPr="00E45508">
        <w:t xml:space="preserve"> – National mandatory requirements for packaging</w:t>
      </w:r>
    </w:p>
    <w:p w14:paraId="6D2BEE2D" w14:textId="72555040" w:rsidR="008F519E" w:rsidRPr="00E45508" w:rsidRDefault="0FB538BE" w:rsidP="009C1F84">
      <w:pPr>
        <w:pStyle w:val="ListBullet"/>
      </w:pPr>
      <w:r w:rsidRPr="00E45508">
        <w:t>Option</w:t>
      </w:r>
      <w:r w:rsidR="00421651" w:rsidRPr="00E45508">
        <w:t> 3</w:t>
      </w:r>
      <w:r w:rsidRPr="00E45508">
        <w:t xml:space="preserve"> – An extended producer responsibility scheme for packaging.</w:t>
      </w:r>
    </w:p>
    <w:p w14:paraId="069DBBDF" w14:textId="1AF2C776" w:rsidR="008F519E" w:rsidRPr="00E45508" w:rsidRDefault="0FB538BE" w:rsidP="002F53FC">
      <w:r w:rsidRPr="00E45508">
        <w:t>Option</w:t>
      </w:r>
      <w:r w:rsidR="00421651" w:rsidRPr="00E45508">
        <w:t> 1</w:t>
      </w:r>
      <w:r w:rsidRPr="00E45508">
        <w:t xml:space="preserve"> would improve existing arrangements through stronger compliance and enforcement </w:t>
      </w:r>
      <w:r w:rsidR="5E373392" w:rsidRPr="00E45508">
        <w:t>and education programs</w:t>
      </w:r>
      <w:r w:rsidRPr="00E45508">
        <w:t xml:space="preserve"> to minimise those businesses that are </w:t>
      </w:r>
      <w:r w:rsidR="00FD17AB">
        <w:t>not taking</w:t>
      </w:r>
      <w:r w:rsidRPr="00E45508">
        <w:t xml:space="preserve"> responsibility for their packaging. Options</w:t>
      </w:r>
      <w:r w:rsidR="00421651" w:rsidRPr="00E45508">
        <w:t> 2</w:t>
      </w:r>
      <w:r w:rsidRPr="00E45508">
        <w:t xml:space="preserve"> and</w:t>
      </w:r>
      <w:r w:rsidR="00421651" w:rsidRPr="00E45508">
        <w:t> 3</w:t>
      </w:r>
      <w:r w:rsidRPr="00E45508">
        <w:t xml:space="preserve"> would put in place national legislation to achieve a single set of requirements for all </w:t>
      </w:r>
      <w:r w:rsidR="00DC18EA">
        <w:t>regulated entities</w:t>
      </w:r>
      <w:r w:rsidRPr="00E45508">
        <w:t xml:space="preserve">. </w:t>
      </w:r>
      <w:r w:rsidR="7F5F675B" w:rsidRPr="00E45508">
        <w:t>Option</w:t>
      </w:r>
      <w:r w:rsidR="00421651" w:rsidRPr="00E45508">
        <w:t> 2</w:t>
      </w:r>
      <w:r w:rsidR="7F5F675B" w:rsidRPr="00E45508">
        <w:t xml:space="preserve"> relies</w:t>
      </w:r>
      <w:r w:rsidRPr="00E45508">
        <w:t xml:space="preserve"> on </w:t>
      </w:r>
      <w:r w:rsidR="7F5F675B" w:rsidRPr="00E45508">
        <w:t>mandatory</w:t>
      </w:r>
      <w:r w:rsidRPr="00E45508">
        <w:t xml:space="preserve"> requirements</w:t>
      </w:r>
      <w:r w:rsidR="00BC2663" w:rsidRPr="00E45508">
        <w:t xml:space="preserve"> on </w:t>
      </w:r>
      <w:r w:rsidR="00FA72CE" w:rsidRPr="00E45508">
        <w:t>regulated entities</w:t>
      </w:r>
      <w:r w:rsidR="7F5F675B" w:rsidRPr="00E45508">
        <w:t xml:space="preserve">, </w:t>
      </w:r>
      <w:r w:rsidR="47FA6EF2" w:rsidRPr="00E45508">
        <w:t>whereas</w:t>
      </w:r>
      <w:r w:rsidRPr="00E45508">
        <w:t xml:space="preserve"> Option</w:t>
      </w:r>
      <w:r w:rsidR="00421651" w:rsidRPr="00E45508">
        <w:t> 3</w:t>
      </w:r>
      <w:r w:rsidR="18FF9527" w:rsidRPr="00E45508">
        <w:t xml:space="preserve"> develops</w:t>
      </w:r>
      <w:r w:rsidRPr="00E45508">
        <w:t xml:space="preserve"> an extended producer responsibility scheme</w:t>
      </w:r>
      <w:r w:rsidR="6F2440E6" w:rsidRPr="00E45508">
        <w:t xml:space="preserve"> with financial incentives to drive change</w:t>
      </w:r>
      <w:r w:rsidRPr="00E45508">
        <w:t xml:space="preserve">. This scheme would charge variable fees for packaging placed on the market </w:t>
      </w:r>
      <w:r w:rsidR="25D5F44A" w:rsidRPr="00E45508">
        <w:t>which</w:t>
      </w:r>
      <w:r w:rsidRPr="00E45508">
        <w:t xml:space="preserve"> would </w:t>
      </w:r>
      <w:r w:rsidR="5A567341" w:rsidRPr="00E45508">
        <w:rPr>
          <w:rFonts w:ascii="Calibri" w:eastAsia="Calibri" w:hAnsi="Calibri" w:cs="Calibri"/>
        </w:rPr>
        <w:t>increase the government’s fiscal capacity to consider further funding</w:t>
      </w:r>
      <w:r w:rsidRPr="00E45508">
        <w:t xml:space="preserve"> to support </w:t>
      </w:r>
      <w:r w:rsidR="369C2C1F" w:rsidRPr="00E45508">
        <w:t xml:space="preserve">system-wide improvements to transition to </w:t>
      </w:r>
      <w:r w:rsidRPr="00E45508">
        <w:t>a circular economy for packaging.</w:t>
      </w:r>
    </w:p>
    <w:p w14:paraId="1768CC30" w14:textId="7EC720E9" w:rsidR="008F519E" w:rsidRPr="00E45508" w:rsidRDefault="0FB538BE" w:rsidP="002F53FC">
      <w:r w:rsidRPr="00E45508">
        <w:t xml:space="preserve">Section </w:t>
      </w:r>
      <w:r w:rsidR="000F6320">
        <w:fldChar w:fldCharType="begin"/>
      </w:r>
      <w:r w:rsidR="000F6320">
        <w:instrText xml:space="preserve"> REF _Ref178083802 \r \h </w:instrText>
      </w:r>
      <w:r w:rsidR="000F6320">
        <w:fldChar w:fldCharType="separate"/>
      </w:r>
      <w:r w:rsidR="009A2EC4">
        <w:t>5.8</w:t>
      </w:r>
      <w:r w:rsidR="000F6320">
        <w:fldChar w:fldCharType="end"/>
      </w:r>
      <w:r w:rsidR="000F6320">
        <w:t xml:space="preserve"> </w:t>
      </w:r>
      <w:r w:rsidRPr="00E45508">
        <w:t xml:space="preserve">of the </w:t>
      </w:r>
      <w:r w:rsidR="001F0235">
        <w:t>c</w:t>
      </w:r>
      <w:r w:rsidRPr="00E45508">
        <w:t xml:space="preserve">onsultation </w:t>
      </w:r>
      <w:r w:rsidR="001F0235">
        <w:t>p</w:t>
      </w:r>
      <w:r w:rsidRPr="00E45508">
        <w:t xml:space="preserve">aper outlines the packaging obligations that </w:t>
      </w:r>
      <w:r w:rsidR="009B093A">
        <w:t>c</w:t>
      </w:r>
      <w:r w:rsidRPr="00E45508">
        <w:t xml:space="preserve">ould apply to </w:t>
      </w:r>
      <w:r w:rsidR="0DC2F804" w:rsidRPr="00E45508">
        <w:t>varying extents</w:t>
      </w:r>
      <w:r w:rsidRPr="00E45508">
        <w:t xml:space="preserve"> </w:t>
      </w:r>
      <w:r w:rsidR="3C8462E0" w:rsidRPr="00E45508">
        <w:t>across the options</w:t>
      </w:r>
      <w:r w:rsidRPr="00E45508">
        <w:t xml:space="preserve"> to regulated entities</w:t>
      </w:r>
      <w:r w:rsidR="00D42E0E">
        <w:t>, including</w:t>
      </w:r>
      <w:r w:rsidR="1AF7B67C">
        <w:t xml:space="preserve"> to</w:t>
      </w:r>
      <w:r w:rsidR="00DA4BDA">
        <w:t>:</w:t>
      </w:r>
    </w:p>
    <w:p w14:paraId="35B667A8" w14:textId="27E1AFEE" w:rsidR="00C322D7" w:rsidRPr="00E45508" w:rsidRDefault="00C322D7" w:rsidP="009C1F84">
      <w:pPr>
        <w:pStyle w:val="ListBullet"/>
      </w:pPr>
      <w:r w:rsidRPr="00E45508">
        <w:t>Improve packaging design</w:t>
      </w:r>
      <w:r w:rsidR="00584184">
        <w:t xml:space="preserve"> </w:t>
      </w:r>
      <w:r w:rsidRPr="00E45508">
        <w:t>– to make packaging safer, reduce waste and improve recyclability.</w:t>
      </w:r>
    </w:p>
    <w:p w14:paraId="31B3631C" w14:textId="5E5F43ED" w:rsidR="00C322D7" w:rsidRPr="00E45508" w:rsidRDefault="00C322D7" w:rsidP="009C1F84">
      <w:pPr>
        <w:pStyle w:val="ListBullet"/>
      </w:pPr>
      <w:r w:rsidRPr="00E45508">
        <w:t>Improve recycl</w:t>
      </w:r>
      <w:r w:rsidR="00D246B3">
        <w:t>ability</w:t>
      </w:r>
      <w:r w:rsidRPr="00E45508">
        <w:t xml:space="preserve"> labelling – so consumers understand what can and cannot be recycled and businesses are accountable for their packaging choices.</w:t>
      </w:r>
    </w:p>
    <w:p w14:paraId="51E2853A" w14:textId="3DBE7A5D" w:rsidR="008F519E" w:rsidRPr="00E45508" w:rsidRDefault="00C322D7" w:rsidP="009C1F84">
      <w:pPr>
        <w:pStyle w:val="ListBullet"/>
      </w:pPr>
      <w:r w:rsidRPr="00E45508">
        <w:t>Recycled content thresholds – to support increased take up of recycled content and create markets for recovered materials.</w:t>
      </w:r>
    </w:p>
    <w:p w14:paraId="18C15A42" w14:textId="0222FD6C" w:rsidR="008F519E" w:rsidRPr="00E45508" w:rsidRDefault="5C94DF51" w:rsidP="002F53FC">
      <w:r w:rsidRPr="00E45508">
        <w:t xml:space="preserve">Section </w:t>
      </w:r>
      <w:r w:rsidR="00FE3DDD" w:rsidRPr="00E45508">
        <w:fldChar w:fldCharType="begin"/>
      </w:r>
      <w:r w:rsidR="00FE3DDD" w:rsidRPr="00E45508">
        <w:instrText xml:space="preserve"> REF _Ref177632211 \r \h </w:instrText>
      </w:r>
      <w:r w:rsidR="00FE3DDD" w:rsidRPr="00E45508">
        <w:fldChar w:fldCharType="separate"/>
      </w:r>
      <w:r w:rsidR="009A2EC4">
        <w:t>6</w:t>
      </w:r>
      <w:r w:rsidR="00FE3DDD" w:rsidRPr="00E45508">
        <w:fldChar w:fldCharType="end"/>
      </w:r>
      <w:r w:rsidRPr="00E45508">
        <w:t xml:space="preserve"> provides a preliminary assessment of the options by considering how they meet the reform principles, and the expected costs and benefits for each key stakeholder group. Section </w:t>
      </w:r>
      <w:r w:rsidR="00FE3DDD" w:rsidRPr="00E45508">
        <w:fldChar w:fldCharType="begin"/>
      </w:r>
      <w:r w:rsidR="00FE3DDD" w:rsidRPr="00E45508">
        <w:instrText xml:space="preserve"> REF _Ref177632221 \r \h </w:instrText>
      </w:r>
      <w:r w:rsidR="00FE3DDD" w:rsidRPr="00E45508">
        <w:fldChar w:fldCharType="separate"/>
      </w:r>
      <w:r w:rsidR="009A2EC4">
        <w:t>7</w:t>
      </w:r>
      <w:r w:rsidR="00FE3DDD" w:rsidRPr="00E45508">
        <w:fldChar w:fldCharType="end"/>
      </w:r>
      <w:r w:rsidRPr="00E45508">
        <w:t xml:space="preserve"> outlines the questions we are seeking particular feedback on.</w:t>
      </w:r>
    </w:p>
    <w:p w14:paraId="3653934B" w14:textId="2C0CBBA0" w:rsidR="00F32780" w:rsidRPr="00E45508" w:rsidRDefault="0FB538BE" w:rsidP="002F53FC">
      <w:pPr>
        <w:rPr>
          <w:color w:val="000000" w:themeColor="text1"/>
        </w:rPr>
        <w:sectPr w:rsidR="00F32780" w:rsidRPr="00E45508" w:rsidSect="00F32780">
          <w:headerReference w:type="even" r:id="rId21"/>
          <w:headerReference w:type="default" r:id="rId22"/>
          <w:headerReference w:type="first" r:id="rId23"/>
          <w:pgSz w:w="11906" w:h="16838"/>
          <w:pgMar w:top="1418" w:right="1418" w:bottom="1418" w:left="1418" w:header="567" w:footer="283" w:gutter="0"/>
          <w:pgNumType w:fmt="lowerRoman"/>
          <w:cols w:space="708"/>
          <w:docGrid w:linePitch="360"/>
        </w:sectPr>
      </w:pPr>
      <w:r w:rsidRPr="00E45508">
        <w:t xml:space="preserve">We </w:t>
      </w:r>
      <w:r w:rsidR="00896DCC" w:rsidRPr="00E45508">
        <w:t>are seeking</w:t>
      </w:r>
      <w:r w:rsidRPr="00E45508">
        <w:t xml:space="preserve"> your feedback </w:t>
      </w:r>
      <w:r w:rsidR="5C94DF51" w:rsidRPr="00E45508">
        <w:t>to</w:t>
      </w:r>
      <w:r w:rsidRPr="00E45508">
        <w:t xml:space="preserve"> better understand how reform </w:t>
      </w:r>
      <w:r w:rsidR="002870B5" w:rsidRPr="00E45508">
        <w:t xml:space="preserve">of </w:t>
      </w:r>
      <w:r w:rsidRPr="00E45508">
        <w:t xml:space="preserve">Australia’s packaging regulations </w:t>
      </w:r>
      <w:r w:rsidR="00543389">
        <w:t>can</w:t>
      </w:r>
      <w:r w:rsidRPr="00E45508">
        <w:t xml:space="preserve"> minimise w</w:t>
      </w:r>
      <w:r w:rsidRPr="00E45508">
        <w:rPr>
          <w:color w:val="000000" w:themeColor="text1"/>
        </w:rPr>
        <w:t>aste and pollution and build a circular economy for packaging.</w:t>
      </w:r>
    </w:p>
    <w:p w14:paraId="392EE6EF" w14:textId="076E53C4" w:rsidR="00764D6A" w:rsidRPr="00E45508" w:rsidRDefault="00F72A2B" w:rsidP="005E16D6">
      <w:pPr>
        <w:pStyle w:val="Heading2"/>
      </w:pPr>
      <w:bookmarkStart w:id="5" w:name="_Toc176450510"/>
      <w:bookmarkStart w:id="6" w:name="_Toc177126578"/>
      <w:bookmarkStart w:id="7" w:name="_Toc177492988"/>
      <w:bookmarkStart w:id="8" w:name="_Toc178230233"/>
      <w:r w:rsidRPr="00E45508">
        <w:t>Introduction</w:t>
      </w:r>
      <w:bookmarkEnd w:id="5"/>
      <w:bookmarkEnd w:id="6"/>
      <w:bookmarkEnd w:id="7"/>
      <w:bookmarkEnd w:id="8"/>
    </w:p>
    <w:p w14:paraId="3F0C3716" w14:textId="3AA88330" w:rsidR="008F3858" w:rsidRPr="00E45508" w:rsidRDefault="35CE6899" w:rsidP="002A52C1">
      <w:r w:rsidRPr="00E45508">
        <w:rPr>
          <w:rFonts w:eastAsiaTheme="minorEastAsia"/>
        </w:rPr>
        <w:t xml:space="preserve">This consultation paper invites interested parties to provide feedback on options to reform Australia’s packaging regulation. </w:t>
      </w:r>
      <w:r w:rsidR="008F3858" w:rsidRPr="00E45508">
        <w:t xml:space="preserve">The aim of the reform is to </w:t>
      </w:r>
      <w:r w:rsidR="432132E7" w:rsidRPr="00E45508">
        <w:t>reduce</w:t>
      </w:r>
      <w:r w:rsidR="008F3858" w:rsidRPr="00E45508">
        <w:t xml:space="preserve"> the environmental impacts of packaging by minimising waste and pollution through a circular economy for packaging.</w:t>
      </w:r>
    </w:p>
    <w:p w14:paraId="51ECC7C0" w14:textId="322374D2" w:rsidR="00827EF4" w:rsidRPr="00E45508" w:rsidRDefault="35CE6899" w:rsidP="002A52C1">
      <w:r w:rsidRPr="00E45508">
        <w:rPr>
          <w:rFonts w:eastAsiaTheme="minorEastAsia"/>
        </w:rPr>
        <w:t xml:space="preserve">The Department of </w:t>
      </w:r>
      <w:r w:rsidR="4E328A3A" w:rsidRPr="00E45508">
        <w:rPr>
          <w:rFonts w:eastAsiaTheme="minorEastAsia"/>
        </w:rPr>
        <w:t xml:space="preserve">Climate Change, Energy, the Environment and Water (the department) </w:t>
      </w:r>
      <w:r w:rsidR="330F2A15" w:rsidRPr="00E45508">
        <w:rPr>
          <w:rFonts w:eastAsiaTheme="minorEastAsia"/>
        </w:rPr>
        <w:t xml:space="preserve">is seeking </w:t>
      </w:r>
      <w:r w:rsidR="30D16E03" w:rsidRPr="00E45508">
        <w:rPr>
          <w:rFonts w:eastAsiaTheme="minorEastAsia"/>
        </w:rPr>
        <w:t xml:space="preserve">views </w:t>
      </w:r>
      <w:r w:rsidR="39A7769B" w:rsidRPr="00E45508">
        <w:rPr>
          <w:rFonts w:eastAsiaTheme="minorEastAsia"/>
        </w:rPr>
        <w:t xml:space="preserve">on reforming packaging regulation in Australia </w:t>
      </w:r>
      <w:r w:rsidR="330F2A15" w:rsidRPr="00E45508">
        <w:rPr>
          <w:rFonts w:eastAsiaTheme="minorEastAsia"/>
        </w:rPr>
        <w:t>from a wide range of groups and individuals</w:t>
      </w:r>
      <w:r w:rsidR="5295E608" w:rsidRPr="00E45508">
        <w:rPr>
          <w:rFonts w:eastAsiaTheme="minorEastAsia"/>
        </w:rPr>
        <w:t xml:space="preserve"> across the packaging system</w:t>
      </w:r>
      <w:r w:rsidR="330F2A15" w:rsidRPr="00E45508">
        <w:rPr>
          <w:rFonts w:eastAsiaTheme="minorEastAsia"/>
        </w:rPr>
        <w:t xml:space="preserve">, including </w:t>
      </w:r>
      <w:r w:rsidR="328549E7" w:rsidRPr="00E45508">
        <w:rPr>
          <w:rFonts w:eastAsiaTheme="minorEastAsia"/>
        </w:rPr>
        <w:t>producer</w:t>
      </w:r>
      <w:r w:rsidR="330F2A15" w:rsidRPr="00E45508">
        <w:rPr>
          <w:rFonts w:eastAsiaTheme="minorEastAsia"/>
        </w:rPr>
        <w:t xml:space="preserve">s, </w:t>
      </w:r>
      <w:r w:rsidR="71D7A7D0" w:rsidRPr="00E45508">
        <w:rPr>
          <w:rFonts w:eastAsiaTheme="minorEastAsia"/>
        </w:rPr>
        <w:t>brand</w:t>
      </w:r>
      <w:r w:rsidR="00771A60" w:rsidRPr="00E45508">
        <w:rPr>
          <w:rFonts w:eastAsiaTheme="minorEastAsia"/>
        </w:rPr>
        <w:t xml:space="preserve"> owners, </w:t>
      </w:r>
      <w:r w:rsidR="1FA966F9" w:rsidRPr="00E45508">
        <w:rPr>
          <w:rFonts w:eastAsiaTheme="minorEastAsia"/>
        </w:rPr>
        <w:t xml:space="preserve">packaging importers and retailers, </w:t>
      </w:r>
      <w:r w:rsidR="42884389" w:rsidRPr="00E45508">
        <w:rPr>
          <w:rFonts w:eastAsiaTheme="minorEastAsia"/>
        </w:rPr>
        <w:t xml:space="preserve">and </w:t>
      </w:r>
      <w:r w:rsidR="1FA966F9" w:rsidRPr="00E45508">
        <w:rPr>
          <w:rFonts w:eastAsiaTheme="minorEastAsia"/>
        </w:rPr>
        <w:t xml:space="preserve">waste collection and resource recovery businesses, </w:t>
      </w:r>
      <w:r w:rsidR="23F9C4D7" w:rsidRPr="00E45508">
        <w:rPr>
          <w:rFonts w:eastAsiaTheme="minorEastAsia"/>
        </w:rPr>
        <w:t xml:space="preserve">as well as </w:t>
      </w:r>
      <w:r w:rsidR="51B957B5" w:rsidRPr="00E45508">
        <w:rPr>
          <w:rFonts w:eastAsiaTheme="minorEastAsia"/>
        </w:rPr>
        <w:t xml:space="preserve">state and </w:t>
      </w:r>
      <w:r w:rsidR="1FA966F9" w:rsidRPr="00E45508">
        <w:rPr>
          <w:rFonts w:eastAsiaTheme="minorEastAsia"/>
        </w:rPr>
        <w:t>local governments</w:t>
      </w:r>
      <w:r w:rsidR="19142C44" w:rsidRPr="00E45508">
        <w:rPr>
          <w:rFonts w:eastAsiaTheme="minorEastAsia"/>
        </w:rPr>
        <w:t xml:space="preserve">, </w:t>
      </w:r>
      <w:r w:rsidR="35882372" w:rsidRPr="00E45508">
        <w:rPr>
          <w:rFonts w:eastAsiaTheme="minorEastAsia"/>
        </w:rPr>
        <w:t>small businesses</w:t>
      </w:r>
      <w:r w:rsidR="6E367185" w:rsidRPr="00E45508">
        <w:rPr>
          <w:rFonts w:eastAsiaTheme="minorEastAsia"/>
        </w:rPr>
        <w:t xml:space="preserve">, </w:t>
      </w:r>
      <w:r w:rsidR="35882372" w:rsidRPr="00E45508">
        <w:rPr>
          <w:rFonts w:eastAsiaTheme="minorEastAsia"/>
        </w:rPr>
        <w:t>consumers</w:t>
      </w:r>
      <w:r w:rsidR="5D54C365" w:rsidRPr="00E45508">
        <w:rPr>
          <w:rFonts w:eastAsiaTheme="minorEastAsia"/>
        </w:rPr>
        <w:t xml:space="preserve"> and advocacy groups</w:t>
      </w:r>
      <w:r w:rsidR="22966064" w:rsidRPr="00E45508">
        <w:rPr>
          <w:rFonts w:eastAsiaTheme="minorEastAsia"/>
        </w:rPr>
        <w:t>.</w:t>
      </w:r>
    </w:p>
    <w:p w14:paraId="0C4B806E" w14:textId="5F46BC8B" w:rsidR="00827EF4" w:rsidRPr="00E45508" w:rsidRDefault="102B1952" w:rsidP="146DC098">
      <w:pPr>
        <w:rPr>
          <w:rFonts w:eastAsiaTheme="minorEastAsia"/>
        </w:rPr>
      </w:pPr>
      <w:r w:rsidRPr="00E45508">
        <w:rPr>
          <w:rFonts w:eastAsiaTheme="minorEastAsia"/>
        </w:rPr>
        <w:t xml:space="preserve">This </w:t>
      </w:r>
      <w:r w:rsidR="414F17A5" w:rsidRPr="00E45508">
        <w:rPr>
          <w:rFonts w:eastAsiaTheme="minorEastAsia"/>
        </w:rPr>
        <w:t xml:space="preserve">consultation will inform </w:t>
      </w:r>
      <w:r w:rsidR="6ADF970C" w:rsidRPr="00E45508">
        <w:rPr>
          <w:rFonts w:eastAsiaTheme="minorEastAsia"/>
        </w:rPr>
        <w:t xml:space="preserve">further </w:t>
      </w:r>
      <w:r w:rsidR="7D6FE7BE" w:rsidRPr="00E45508">
        <w:rPr>
          <w:rFonts w:eastAsiaTheme="minorEastAsia"/>
        </w:rPr>
        <w:t xml:space="preserve">government consideration and decisions, including </w:t>
      </w:r>
      <w:r w:rsidR="414F17A5" w:rsidRPr="00E45508">
        <w:rPr>
          <w:rFonts w:eastAsiaTheme="minorEastAsia"/>
        </w:rPr>
        <w:t xml:space="preserve">an </w:t>
      </w:r>
      <w:r w:rsidR="72AE9374" w:rsidRPr="00E45508">
        <w:rPr>
          <w:rFonts w:eastAsiaTheme="minorEastAsia"/>
        </w:rPr>
        <w:t>i</w:t>
      </w:r>
      <w:r w:rsidR="414F17A5" w:rsidRPr="00E45508">
        <w:rPr>
          <w:rFonts w:eastAsiaTheme="minorEastAsia"/>
        </w:rPr>
        <w:t xml:space="preserve">mpact </w:t>
      </w:r>
      <w:r w:rsidR="5AF87E5B" w:rsidRPr="00E45508">
        <w:rPr>
          <w:rFonts w:eastAsiaTheme="minorEastAsia"/>
        </w:rPr>
        <w:t>a</w:t>
      </w:r>
      <w:r w:rsidR="414F17A5" w:rsidRPr="00E45508">
        <w:rPr>
          <w:rFonts w:eastAsiaTheme="minorEastAsia"/>
        </w:rPr>
        <w:t>nalysis</w:t>
      </w:r>
      <w:r w:rsidR="2215B507" w:rsidRPr="00E45508">
        <w:rPr>
          <w:rFonts w:eastAsiaTheme="minorEastAsia"/>
        </w:rPr>
        <w:t>,</w:t>
      </w:r>
      <w:r w:rsidR="414F17A5" w:rsidRPr="00E45508">
        <w:rPr>
          <w:rFonts w:eastAsiaTheme="minorEastAsia"/>
        </w:rPr>
        <w:t xml:space="preserve"> </w:t>
      </w:r>
      <w:r w:rsidR="51D9F767" w:rsidRPr="00E45508">
        <w:rPr>
          <w:rFonts w:eastAsiaTheme="minorEastAsia"/>
        </w:rPr>
        <w:t xml:space="preserve">and will </w:t>
      </w:r>
      <w:r w:rsidR="25C2EFA2" w:rsidRPr="00E45508">
        <w:rPr>
          <w:rFonts w:eastAsiaTheme="minorEastAsia"/>
        </w:rPr>
        <w:t>help</w:t>
      </w:r>
      <w:r w:rsidR="08A88BA1" w:rsidRPr="00E45508">
        <w:rPr>
          <w:rFonts w:eastAsiaTheme="minorEastAsia"/>
        </w:rPr>
        <w:t xml:space="preserve"> ensure</w:t>
      </w:r>
      <w:r w:rsidR="71C141A6" w:rsidRPr="00E45508">
        <w:rPr>
          <w:rFonts w:eastAsiaTheme="minorEastAsia"/>
        </w:rPr>
        <w:t xml:space="preserve"> advice to </w:t>
      </w:r>
      <w:r w:rsidR="77796B55" w:rsidRPr="00E45508">
        <w:rPr>
          <w:rFonts w:eastAsiaTheme="minorEastAsia"/>
        </w:rPr>
        <w:t>the Australian G</w:t>
      </w:r>
      <w:r w:rsidR="71C141A6" w:rsidRPr="00E45508">
        <w:rPr>
          <w:rFonts w:eastAsiaTheme="minorEastAsia"/>
        </w:rPr>
        <w:t xml:space="preserve">overnment </w:t>
      </w:r>
      <w:r w:rsidR="00A81BEE">
        <w:rPr>
          <w:rFonts w:eastAsiaTheme="minorEastAsia"/>
        </w:rPr>
        <w:t xml:space="preserve">(the government) </w:t>
      </w:r>
      <w:r w:rsidR="08A88BA1" w:rsidRPr="00E45508">
        <w:rPr>
          <w:rFonts w:eastAsiaTheme="minorEastAsia"/>
        </w:rPr>
        <w:t xml:space="preserve">on packaging regulatory reform </w:t>
      </w:r>
      <w:r w:rsidR="71C141A6" w:rsidRPr="00E45508">
        <w:rPr>
          <w:rFonts w:eastAsiaTheme="minorEastAsia"/>
        </w:rPr>
        <w:t>is accompanied by robust analysis, data and an accurate overview of the effects of proposed policies</w:t>
      </w:r>
      <w:r w:rsidR="0DBEE932" w:rsidRPr="00E45508">
        <w:rPr>
          <w:rFonts w:eastAsiaTheme="minorEastAsia"/>
        </w:rPr>
        <w:t xml:space="preserve"> </w:t>
      </w:r>
      <w:r w:rsidR="71C141A6" w:rsidRPr="00E45508">
        <w:rPr>
          <w:rFonts w:eastAsiaTheme="minorEastAsia"/>
        </w:rPr>
        <w:t xml:space="preserve">on </w:t>
      </w:r>
      <w:r w:rsidR="1182E74B" w:rsidRPr="00E45508">
        <w:rPr>
          <w:rFonts w:eastAsiaTheme="minorEastAsia"/>
        </w:rPr>
        <w:t>the</w:t>
      </w:r>
      <w:r w:rsidR="71C141A6" w:rsidRPr="00E45508">
        <w:rPr>
          <w:rFonts w:eastAsiaTheme="minorEastAsia"/>
        </w:rPr>
        <w:t xml:space="preserve"> community. It</w:t>
      </w:r>
      <w:r w:rsidR="0DBEE932" w:rsidRPr="00E45508">
        <w:rPr>
          <w:rFonts w:eastAsiaTheme="minorEastAsia"/>
        </w:rPr>
        <w:t xml:space="preserve"> will</w:t>
      </w:r>
      <w:r w:rsidR="71C141A6" w:rsidRPr="00E45508">
        <w:rPr>
          <w:rFonts w:eastAsiaTheme="minorEastAsia"/>
        </w:rPr>
        <w:t xml:space="preserve"> assist in identifying the costs and benefits of policy changes and </w:t>
      </w:r>
      <w:r w:rsidR="45BB34D0" w:rsidRPr="00E45508">
        <w:rPr>
          <w:rFonts w:eastAsiaTheme="minorEastAsia"/>
        </w:rPr>
        <w:t>impacts on different groups.</w:t>
      </w:r>
    </w:p>
    <w:p w14:paraId="7E76A9D6" w14:textId="3A4924A5" w:rsidR="221D6285" w:rsidRPr="00E45508" w:rsidRDefault="221D6285" w:rsidP="002A52C1">
      <w:r w:rsidRPr="00E45508">
        <w:t xml:space="preserve">The consultation </w:t>
      </w:r>
      <w:r w:rsidR="1136493B" w:rsidRPr="00E45508">
        <w:t>paper</w:t>
      </w:r>
      <w:r w:rsidRPr="00E45508">
        <w:t xml:space="preserve"> </w:t>
      </w:r>
      <w:r w:rsidR="004F4E28" w:rsidRPr="00E45508">
        <w:t xml:space="preserve">builds on the department’s previous stakeholder engagement and </w:t>
      </w:r>
      <w:r w:rsidRPr="00E45508">
        <w:t>seeks views on reform objectives and areas of focus including</w:t>
      </w:r>
      <w:r w:rsidR="00941B73" w:rsidRPr="00E45508">
        <w:t xml:space="preserve"> d</w:t>
      </w:r>
      <w:r w:rsidRPr="00E45508">
        <w:t>esigning packaging</w:t>
      </w:r>
      <w:r w:rsidR="0062697C">
        <w:t xml:space="preserve"> to reduce waste and</w:t>
      </w:r>
      <w:r w:rsidRPr="00E45508">
        <w:t xml:space="preserve"> for recyclability</w:t>
      </w:r>
      <w:r w:rsidR="0062697C">
        <w:t>,</w:t>
      </w:r>
      <w:r w:rsidR="00941B73" w:rsidRPr="00E45508">
        <w:t xml:space="preserve"> </w:t>
      </w:r>
      <w:r w:rsidR="00111643">
        <w:t xml:space="preserve">recyclability labelling </w:t>
      </w:r>
      <w:r w:rsidR="00941B73" w:rsidRPr="00E45508">
        <w:t>and r</w:t>
      </w:r>
      <w:r w:rsidRPr="00E45508">
        <w:t>ecycled content thresholds</w:t>
      </w:r>
      <w:r w:rsidR="00941B73" w:rsidRPr="00E45508">
        <w:t xml:space="preserve">. </w:t>
      </w:r>
      <w:r w:rsidR="00164CF9" w:rsidRPr="00E45508">
        <w:t>It</w:t>
      </w:r>
      <w:r w:rsidR="00D55A76" w:rsidRPr="00E45508">
        <w:t xml:space="preserve"> </w:t>
      </w:r>
      <w:r w:rsidR="00941B73" w:rsidRPr="00E45508">
        <w:t xml:space="preserve">presents </w:t>
      </w:r>
      <w:r w:rsidRPr="00E45508">
        <w:t xml:space="preserve">three </w:t>
      </w:r>
      <w:r w:rsidR="00C16DE3">
        <w:t>potential reform</w:t>
      </w:r>
      <w:r w:rsidR="00314855" w:rsidRPr="00E45508">
        <w:t xml:space="preserve"> </w:t>
      </w:r>
      <w:r w:rsidRPr="00E45508">
        <w:t>options:</w:t>
      </w:r>
    </w:p>
    <w:p w14:paraId="6135CA7C" w14:textId="7FD9EBC8" w:rsidR="000F334D" w:rsidRPr="00E45508" w:rsidRDefault="66C397AC" w:rsidP="009C1F84">
      <w:pPr>
        <w:pStyle w:val="ListBullet"/>
      </w:pPr>
      <w:r w:rsidRPr="00E45508">
        <w:t>Option</w:t>
      </w:r>
      <w:r w:rsidR="00421651" w:rsidRPr="00E45508">
        <w:t> 1</w:t>
      </w:r>
      <w:r w:rsidRPr="00E45508">
        <w:t>: Strengthen</w:t>
      </w:r>
      <w:r w:rsidR="5F7B82A8" w:rsidRPr="00E45508">
        <w:t>ing</w:t>
      </w:r>
      <w:r w:rsidRPr="00E45508">
        <w:t xml:space="preserve"> </w:t>
      </w:r>
      <w:r w:rsidR="000B2C30" w:rsidRPr="00E45508">
        <w:t xml:space="preserve">administration of the </w:t>
      </w:r>
      <w:r w:rsidR="00B20851" w:rsidRPr="00E45508">
        <w:t>co-regulatory arrangement</w:t>
      </w:r>
    </w:p>
    <w:p w14:paraId="67A5F24D" w14:textId="64492DAA" w:rsidR="000F334D" w:rsidRPr="00E45508" w:rsidRDefault="5A9948FD" w:rsidP="009C1F84">
      <w:pPr>
        <w:pStyle w:val="ListBullet"/>
      </w:pPr>
      <w:r w:rsidRPr="00E45508">
        <w:t>Option</w:t>
      </w:r>
      <w:r w:rsidR="00421651" w:rsidRPr="00E45508">
        <w:t> 2</w:t>
      </w:r>
      <w:r w:rsidRPr="00E45508">
        <w:t>: National mandatory requirements for packaging</w:t>
      </w:r>
    </w:p>
    <w:p w14:paraId="3D33E77C" w14:textId="6E37E963" w:rsidR="00DC2003" w:rsidRPr="00E45508" w:rsidRDefault="5A9948FD" w:rsidP="009C1F84">
      <w:pPr>
        <w:pStyle w:val="ListBullet"/>
      </w:pPr>
      <w:r w:rsidRPr="00E45508">
        <w:t>Option</w:t>
      </w:r>
      <w:r w:rsidR="00421651" w:rsidRPr="00E45508">
        <w:t> 3</w:t>
      </w:r>
      <w:r w:rsidRPr="00E45508">
        <w:t>: An extended producer responsibility scheme for packaging.</w:t>
      </w:r>
    </w:p>
    <w:p w14:paraId="6412D3C9" w14:textId="13B64466" w:rsidR="00151C4E" w:rsidRPr="00E45508" w:rsidRDefault="3192A405" w:rsidP="002A52C1">
      <w:r w:rsidRPr="00E45508">
        <w:t>Th</w:t>
      </w:r>
      <w:r w:rsidR="21C1D66D" w:rsidRPr="00E45508">
        <w:t>e</w:t>
      </w:r>
      <w:r w:rsidRPr="00E45508">
        <w:t xml:space="preserve"> </w:t>
      </w:r>
      <w:r w:rsidR="00984062" w:rsidRPr="00E45508">
        <w:t>department</w:t>
      </w:r>
      <w:r w:rsidR="662D0B95" w:rsidRPr="00E45508">
        <w:t xml:space="preserve"> is seeking t</w:t>
      </w:r>
      <w:r w:rsidR="1DC4BF70" w:rsidRPr="00E45508">
        <w:t xml:space="preserve">he </w:t>
      </w:r>
      <w:r w:rsidR="33C2149B" w:rsidRPr="00E45508">
        <w:t xml:space="preserve">views and technical expertise of stakeholders </w:t>
      </w:r>
      <w:r w:rsidR="1003883E" w:rsidRPr="00E45508">
        <w:t>to</w:t>
      </w:r>
      <w:r w:rsidR="33C2149B" w:rsidRPr="00E45508">
        <w:t>:</w:t>
      </w:r>
    </w:p>
    <w:p w14:paraId="2A26BD6A" w14:textId="398F527F" w:rsidR="00151C4E" w:rsidRPr="00E45508" w:rsidRDefault="41B68CA0" w:rsidP="009C1F84">
      <w:pPr>
        <w:pStyle w:val="ListBullet"/>
      </w:pPr>
      <w:r w:rsidRPr="00E45508">
        <w:t>E</w:t>
      </w:r>
      <w:r w:rsidR="67220611" w:rsidRPr="00E45508">
        <w:t xml:space="preserve">nsure </w:t>
      </w:r>
      <w:r w:rsidR="4CB6FA69" w:rsidRPr="00E45508">
        <w:t>reform</w:t>
      </w:r>
      <w:r w:rsidR="67220611" w:rsidRPr="00E45508">
        <w:t xml:space="preserve"> objectives and obligations are ambitious and feasible, with consideration of impacts to businesses, governments and communities, as well as material flows, system capacity, and infrastructure.</w:t>
      </w:r>
    </w:p>
    <w:p w14:paraId="5DF8E2B8" w14:textId="230F9C05" w:rsidR="00151C4E" w:rsidRPr="00E45508" w:rsidRDefault="34184473" w:rsidP="009C1F84">
      <w:pPr>
        <w:pStyle w:val="ListBullet"/>
      </w:pPr>
      <w:r w:rsidRPr="00E45508">
        <w:t xml:space="preserve">Inform the assessment of </w:t>
      </w:r>
      <w:r w:rsidR="003C13A0" w:rsidRPr="00E45508">
        <w:t>p</w:t>
      </w:r>
      <w:r w:rsidR="003C13A0">
        <w:t>otential</w:t>
      </w:r>
      <w:r w:rsidR="003C13A0" w:rsidRPr="00E45508">
        <w:t xml:space="preserve"> </w:t>
      </w:r>
      <w:r w:rsidRPr="00E45508">
        <w:t>reform options, including benefits and costs.</w:t>
      </w:r>
    </w:p>
    <w:p w14:paraId="73677607" w14:textId="54DFA628" w:rsidR="00151C4E" w:rsidRPr="00E45508" w:rsidRDefault="41B68CA0" w:rsidP="009C1F84">
      <w:pPr>
        <w:pStyle w:val="ListBullet"/>
      </w:pPr>
      <w:r w:rsidRPr="00E45508">
        <w:t>I</w:t>
      </w:r>
      <w:r w:rsidR="67220611" w:rsidRPr="00E45508">
        <w:t xml:space="preserve">nform the development of </w:t>
      </w:r>
      <w:r w:rsidR="00B23905" w:rsidRPr="00E45508">
        <w:t xml:space="preserve">potential </w:t>
      </w:r>
      <w:r w:rsidR="67220611" w:rsidRPr="00E45508">
        <w:t xml:space="preserve">mandatory obligations, thresholds, design </w:t>
      </w:r>
      <w:r w:rsidR="728D3A17" w:rsidRPr="00E45508">
        <w:t>requirements</w:t>
      </w:r>
      <w:r w:rsidR="67220611" w:rsidRPr="00E45508">
        <w:t>, and</w:t>
      </w:r>
      <w:r w:rsidR="2567E565" w:rsidRPr="00E45508" w:rsidDel="67220611">
        <w:t xml:space="preserve"> </w:t>
      </w:r>
      <w:r w:rsidR="04ED09BF" w:rsidRPr="00E45508">
        <w:t xml:space="preserve">reform </w:t>
      </w:r>
      <w:r w:rsidR="67220611" w:rsidRPr="00E45508">
        <w:t>implementation</w:t>
      </w:r>
      <w:r w:rsidR="669B2145" w:rsidRPr="00E45508">
        <w:t>, including timeframes</w:t>
      </w:r>
      <w:r w:rsidR="67220611" w:rsidRPr="00E45508">
        <w:t>.</w:t>
      </w:r>
    </w:p>
    <w:p w14:paraId="53E7E9E7" w14:textId="34986927" w:rsidR="00151C4E" w:rsidRPr="00E45508" w:rsidRDefault="41B68CA0" w:rsidP="009C1F84">
      <w:pPr>
        <w:pStyle w:val="ListBullet"/>
      </w:pPr>
      <w:r w:rsidRPr="00E45508">
        <w:t>I</w:t>
      </w:r>
      <w:r w:rsidR="67220611" w:rsidRPr="00E45508">
        <w:t xml:space="preserve">nform appropriate roles and obligations </w:t>
      </w:r>
      <w:r w:rsidR="0D2A0608" w:rsidRPr="00E45508">
        <w:t xml:space="preserve">for industry </w:t>
      </w:r>
      <w:r w:rsidR="67220611" w:rsidRPr="00E45508">
        <w:t>along the whole supply chain.</w:t>
      </w:r>
    </w:p>
    <w:p w14:paraId="3E4D2C1C" w14:textId="60550038" w:rsidR="009B118C" w:rsidRPr="00E45508" w:rsidRDefault="135FE938" w:rsidP="009C1F84">
      <w:pPr>
        <w:pStyle w:val="ListBullet"/>
      </w:pPr>
      <w:r w:rsidRPr="00E45508">
        <w:t>I</w:t>
      </w:r>
      <w:r w:rsidR="4BE23D57" w:rsidRPr="00E45508">
        <w:t>nform economic modelling and analysis ahead of a</w:t>
      </w:r>
      <w:r w:rsidR="6CC3A5AF" w:rsidRPr="00E45508">
        <w:t xml:space="preserve"> </w:t>
      </w:r>
      <w:r w:rsidR="000834BB" w:rsidRPr="00E45508">
        <w:t>final</w:t>
      </w:r>
      <w:r w:rsidR="6CC3A5AF" w:rsidRPr="00E45508">
        <w:t xml:space="preserve"> </w:t>
      </w:r>
      <w:r w:rsidR="008E3CF5" w:rsidRPr="00E45508">
        <w:t>impact analysis</w:t>
      </w:r>
      <w:r w:rsidR="4BE23D57" w:rsidRPr="00E45508">
        <w:t>.</w:t>
      </w:r>
    </w:p>
    <w:p w14:paraId="61D35BE0" w14:textId="0F9156D3" w:rsidR="00E10060" w:rsidRPr="00E45508" w:rsidRDefault="08D7F4B2" w:rsidP="002A52C1">
      <w:r w:rsidRPr="00E45508">
        <w:t>A summary of feedback from this consultation will be published on the department's website</w:t>
      </w:r>
      <w:r w:rsidR="7BF4A7CE" w:rsidRPr="00E45508">
        <w:t>.</w:t>
      </w:r>
      <w:r w:rsidR="00602CE5" w:rsidRPr="00E45508">
        <w:t xml:space="preserve"> </w:t>
      </w:r>
      <w:r w:rsidR="004A1D89" w:rsidRPr="00E45508">
        <w:t xml:space="preserve">This </w:t>
      </w:r>
      <w:r w:rsidR="00602CE5" w:rsidRPr="00E45508">
        <w:t xml:space="preserve">feedback </w:t>
      </w:r>
      <w:r w:rsidR="004A1D89" w:rsidRPr="00E45508">
        <w:t>along with</w:t>
      </w:r>
      <w:r w:rsidR="00602CE5" w:rsidRPr="00E45508">
        <w:t xml:space="preserve"> further analysis </w:t>
      </w:r>
      <w:r w:rsidR="004A1D89" w:rsidRPr="00E45508">
        <w:t>will inform the development of</w:t>
      </w:r>
      <w:r w:rsidR="004E1FD4" w:rsidRPr="00E45508">
        <w:t xml:space="preserve"> </w:t>
      </w:r>
      <w:r w:rsidR="00602CE5" w:rsidRPr="00E45508">
        <w:t>a</w:t>
      </w:r>
      <w:r w:rsidR="00412FEA">
        <w:t>n</w:t>
      </w:r>
      <w:r w:rsidR="10F9B52F" w:rsidRPr="00E45508">
        <w:t xml:space="preserve"> </w:t>
      </w:r>
      <w:r w:rsidR="008E3CF5" w:rsidRPr="00E45508">
        <w:t>impact analysis</w:t>
      </w:r>
      <w:r w:rsidR="005332DF" w:rsidRPr="00E45508">
        <w:t xml:space="preserve"> </w:t>
      </w:r>
      <w:r w:rsidR="10F9B52F" w:rsidRPr="00E45508">
        <w:t>on the options for packaging reform for consideration by government.</w:t>
      </w:r>
    </w:p>
    <w:p w14:paraId="570DC477" w14:textId="51C15237" w:rsidR="00862EDE" w:rsidRPr="00E45508" w:rsidRDefault="5E76A5D1" w:rsidP="00F32780">
      <w:pPr>
        <w:pStyle w:val="Heading2"/>
      </w:pPr>
      <w:bookmarkStart w:id="9" w:name="_Toc176450511"/>
      <w:bookmarkStart w:id="10" w:name="_Toc177126579"/>
      <w:bookmarkStart w:id="11" w:name="_Toc177492989"/>
      <w:bookmarkStart w:id="12" w:name="_Toc178230234"/>
      <w:r w:rsidRPr="00E45508">
        <w:t>Background</w:t>
      </w:r>
      <w:bookmarkEnd w:id="9"/>
      <w:bookmarkEnd w:id="10"/>
      <w:bookmarkEnd w:id="11"/>
      <w:bookmarkEnd w:id="12"/>
    </w:p>
    <w:p w14:paraId="15581C0D" w14:textId="5B5E60A0" w:rsidR="4690D792" w:rsidRPr="00E45508" w:rsidRDefault="4690D792" w:rsidP="009C7010">
      <w:pPr>
        <w:pStyle w:val="Heading3"/>
      </w:pPr>
      <w:bookmarkStart w:id="13" w:name="_Toc176450512"/>
      <w:bookmarkStart w:id="14" w:name="_Toc177126580"/>
      <w:bookmarkStart w:id="15" w:name="_Toc177492990"/>
      <w:bookmarkStart w:id="16" w:name="_Toc178230235"/>
      <w:r w:rsidRPr="00E45508">
        <w:t>Packaging in Australia</w:t>
      </w:r>
      <w:bookmarkEnd w:id="13"/>
      <w:bookmarkEnd w:id="14"/>
      <w:bookmarkEnd w:id="15"/>
      <w:bookmarkEnd w:id="16"/>
    </w:p>
    <w:p w14:paraId="3B609519" w14:textId="62DD6A91" w:rsidR="0009362A" w:rsidRPr="00E45508" w:rsidRDefault="35E4645F" w:rsidP="002A52C1">
      <w:r w:rsidRPr="00E45508">
        <w:t>Packaging is prevalent in our economy and play</w:t>
      </w:r>
      <w:r w:rsidR="73E22A82" w:rsidRPr="00E45508">
        <w:t>s</w:t>
      </w:r>
      <w:r w:rsidRPr="00E45508">
        <w:t xml:space="preserve"> a critical role in </w:t>
      </w:r>
      <w:r w:rsidR="6DD2B48F" w:rsidRPr="00E45508">
        <w:t xml:space="preserve">the </w:t>
      </w:r>
      <w:r w:rsidRPr="00E45508">
        <w:t xml:space="preserve">everyday lives </w:t>
      </w:r>
      <w:r w:rsidR="6DD2B48F" w:rsidRPr="00E45508">
        <w:t xml:space="preserve">of </w:t>
      </w:r>
      <w:r w:rsidRPr="00E45508">
        <w:t>Australia</w:t>
      </w:r>
      <w:r w:rsidR="6DD2B48F" w:rsidRPr="00E45508">
        <w:t>ns</w:t>
      </w:r>
      <w:r w:rsidRPr="00E45508">
        <w:t xml:space="preserve">. </w:t>
      </w:r>
      <w:r w:rsidR="60A59FDC" w:rsidRPr="00E45508">
        <w:t>For</w:t>
      </w:r>
      <w:r w:rsidRPr="00E45508">
        <w:t xml:space="preserve"> </w:t>
      </w:r>
      <w:r w:rsidR="60A59FDC" w:rsidRPr="00E45508">
        <w:t>example, packaging is vital to the transport, sale and storage of food and helps minimise food waste by preserving the shelf life of pr</w:t>
      </w:r>
      <w:r w:rsidR="7730AB1B" w:rsidRPr="00E45508">
        <w:t>oducts</w:t>
      </w:r>
      <w:r w:rsidR="60A59FDC" w:rsidRPr="00E45508">
        <w:t xml:space="preserve">. </w:t>
      </w:r>
      <w:r w:rsidRPr="00E45508">
        <w:t xml:space="preserve">Most </w:t>
      </w:r>
      <w:r w:rsidR="00BC7949" w:rsidRPr="00E45508">
        <w:t xml:space="preserve">consumer </w:t>
      </w:r>
      <w:r w:rsidRPr="00E45508">
        <w:t>products come in some form of packaging and most industries rel</w:t>
      </w:r>
      <w:r w:rsidR="64AC857B" w:rsidRPr="00E45508">
        <w:t>y</w:t>
      </w:r>
      <w:r w:rsidRPr="00E45508">
        <w:t xml:space="preserve"> on packaging to move materials and products within supply chains and to consumers.</w:t>
      </w:r>
      <w:r w:rsidR="49C74DE6" w:rsidRPr="00E45508">
        <w:t xml:space="preserve"> Packaging also helps to provide consumers important information about the products it contains.</w:t>
      </w:r>
    </w:p>
    <w:p w14:paraId="18A59D81" w14:textId="6AF40CD8" w:rsidR="4777CBBC" w:rsidRPr="00E45508" w:rsidRDefault="35E4645F" w:rsidP="002A52C1">
      <w:r w:rsidRPr="00E45508">
        <w:t>In</w:t>
      </w:r>
      <w:r w:rsidR="00421651" w:rsidRPr="00E45508">
        <w:t> 2</w:t>
      </w:r>
      <w:r w:rsidRPr="00E45508">
        <w:t>021</w:t>
      </w:r>
      <w:r w:rsidR="4B5E9E06" w:rsidRPr="00E45508">
        <w:t>–</w:t>
      </w:r>
      <w:r w:rsidRPr="00E45508">
        <w:t>22, 6.98</w:t>
      </w:r>
      <w:r w:rsidR="006A3A74" w:rsidRPr="00E45508">
        <w:t> </w:t>
      </w:r>
      <w:r w:rsidRPr="00E45508">
        <w:t xml:space="preserve">million tonnes of packaging was placed on the </w:t>
      </w:r>
      <w:r w:rsidR="60D8F76A" w:rsidRPr="00E45508">
        <w:t xml:space="preserve">Australian </w:t>
      </w:r>
      <w:r w:rsidRPr="00E45508">
        <w:t>market</w:t>
      </w:r>
      <w:r w:rsidR="3EC2F922" w:rsidRPr="00E45508">
        <w:t xml:space="preserve"> (refer </w:t>
      </w:r>
      <w:r w:rsidR="00136A48" w:rsidRPr="00E45508">
        <w:fldChar w:fldCharType="begin"/>
      </w:r>
      <w:r w:rsidR="00136A48" w:rsidRPr="00E45508">
        <w:instrText xml:space="preserve"> REF _Ref177632315 \h </w:instrText>
      </w:r>
      <w:r w:rsidR="00136A48" w:rsidRPr="00E45508">
        <w:fldChar w:fldCharType="separate"/>
      </w:r>
      <w:r w:rsidR="009A2EC4" w:rsidRPr="00E45508">
        <w:t xml:space="preserve">Figure </w:t>
      </w:r>
      <w:r w:rsidR="009A2EC4">
        <w:rPr>
          <w:noProof/>
        </w:rPr>
        <w:t>1</w:t>
      </w:r>
      <w:r w:rsidR="00136A48" w:rsidRPr="00E45508">
        <w:fldChar w:fldCharType="end"/>
      </w:r>
      <w:r w:rsidR="3EC2F922" w:rsidRPr="00E45508">
        <w:t>)</w:t>
      </w:r>
      <w:r w:rsidRPr="00E45508">
        <w:t>.</w:t>
      </w:r>
      <w:r w:rsidR="6F9D1E08" w:rsidRPr="00E45508">
        <w:t xml:space="preserve"> </w:t>
      </w:r>
      <w:r w:rsidR="63B417A8" w:rsidRPr="00E45508">
        <w:t xml:space="preserve">Around half was paper </w:t>
      </w:r>
      <w:r w:rsidR="0002036E" w:rsidRPr="00E45508">
        <w:t>and</w:t>
      </w:r>
      <w:r w:rsidR="63B417A8" w:rsidRPr="00E45508">
        <w:t xml:space="preserve"> paperboard packaging (52.3%)</w:t>
      </w:r>
      <w:r w:rsidR="741E67A5" w:rsidRPr="00E45508">
        <w:t>. T</w:t>
      </w:r>
      <w:r w:rsidR="0477EC74" w:rsidRPr="00E45508">
        <w:t>he next most preva</w:t>
      </w:r>
      <w:r w:rsidR="1D43B7F3" w:rsidRPr="00E45508">
        <w:t xml:space="preserve">lent packaging </w:t>
      </w:r>
      <w:r w:rsidR="00617A7E" w:rsidRPr="00E45508">
        <w:t>wa</w:t>
      </w:r>
      <w:r w:rsidR="741E67A5" w:rsidRPr="00E45508">
        <w:t xml:space="preserve">s </w:t>
      </w:r>
      <w:r w:rsidR="63B417A8" w:rsidRPr="00E45508">
        <w:t xml:space="preserve">plastic (18.3%), </w:t>
      </w:r>
      <w:r w:rsidR="1D43B7F3" w:rsidRPr="00E45508">
        <w:t xml:space="preserve">followed by </w:t>
      </w:r>
      <w:r w:rsidR="63B417A8" w:rsidRPr="00E45508">
        <w:t>glass (16.4%), wood (8.8%), and metal packaging (4.3%)</w:t>
      </w:r>
      <w:r w:rsidR="77DEB8CA" w:rsidRPr="00E45508">
        <w:t xml:space="preserve"> </w:t>
      </w:r>
      <w:r w:rsidR="51949051" w:rsidRPr="00E45508">
        <w:t>(</w:t>
      </w:r>
      <w:r w:rsidR="74EB07F1" w:rsidRPr="00E45508">
        <w:t>APCO</w:t>
      </w:r>
      <w:r w:rsidR="00421651" w:rsidRPr="00E45508">
        <w:t> 2</w:t>
      </w:r>
      <w:r w:rsidR="51949051" w:rsidRPr="00E45508">
        <w:t>024a)</w:t>
      </w:r>
      <w:r w:rsidR="63B417A8" w:rsidRPr="00E45508">
        <w:t>.</w:t>
      </w:r>
      <w:r w:rsidR="4D65BBC9" w:rsidRPr="00E45508">
        <w:t xml:space="preserve"> </w:t>
      </w:r>
      <w:r w:rsidR="1240D3B8" w:rsidRPr="00E45508">
        <w:t>O</w:t>
      </w:r>
      <w:r w:rsidR="4A6E7C74" w:rsidRPr="00E45508">
        <w:t xml:space="preserve">ver half </w:t>
      </w:r>
      <w:r w:rsidR="7F809E13" w:rsidRPr="00E45508">
        <w:t xml:space="preserve">of the packaging placed on </w:t>
      </w:r>
      <w:r w:rsidR="5293955F" w:rsidRPr="00E45508">
        <w:t>the</w:t>
      </w:r>
      <w:r w:rsidR="7F809E13" w:rsidRPr="00E45508">
        <w:t xml:space="preserve"> market</w:t>
      </w:r>
      <w:r w:rsidR="18408C2A" w:rsidRPr="00E45508">
        <w:t xml:space="preserve"> was </w:t>
      </w:r>
      <w:r w:rsidR="1FE020C6" w:rsidRPr="00E45508">
        <w:t xml:space="preserve">manufactured </w:t>
      </w:r>
      <w:r w:rsidR="18408C2A" w:rsidRPr="00E45508">
        <w:t>locally</w:t>
      </w:r>
      <w:r w:rsidR="1240D3B8" w:rsidRPr="00E45508">
        <w:t xml:space="preserve"> from a combination of locally sourced and imported materials</w:t>
      </w:r>
      <w:r w:rsidR="77DEB8CA" w:rsidRPr="00E45508">
        <w:t xml:space="preserve"> (APCO</w:t>
      </w:r>
      <w:r w:rsidR="00421651" w:rsidRPr="00E45508">
        <w:t> 2</w:t>
      </w:r>
      <w:r w:rsidR="77DEB8CA" w:rsidRPr="00E45508">
        <w:t>024b)</w:t>
      </w:r>
      <w:r w:rsidR="2EE14BA7" w:rsidRPr="00E45508">
        <w:t>.</w:t>
      </w:r>
    </w:p>
    <w:p w14:paraId="20170442" w14:textId="38C0DD0E" w:rsidR="00061436" w:rsidRPr="00E45508" w:rsidRDefault="00061436" w:rsidP="00C915A5">
      <w:pPr>
        <w:pStyle w:val="Caption"/>
      </w:pPr>
      <w:bookmarkStart w:id="17" w:name="_Ref177632315"/>
      <w:bookmarkStart w:id="18" w:name="_Toc177126695"/>
      <w:bookmarkStart w:id="19" w:name="_Toc178229387"/>
      <w:r w:rsidRPr="00E45508">
        <w:t xml:space="preserve">Figure </w:t>
      </w:r>
      <w:r w:rsidRPr="00E45508">
        <w:fldChar w:fldCharType="begin"/>
      </w:r>
      <w:r w:rsidRPr="00E45508">
        <w:instrText xml:space="preserve"> SEQ Figure \* ARABIC </w:instrText>
      </w:r>
      <w:r w:rsidRPr="00E45508">
        <w:fldChar w:fldCharType="separate"/>
      </w:r>
      <w:r w:rsidR="009A2EC4">
        <w:rPr>
          <w:noProof/>
        </w:rPr>
        <w:t>1</w:t>
      </w:r>
      <w:r w:rsidRPr="00E45508">
        <w:fldChar w:fldCharType="end"/>
      </w:r>
      <w:bookmarkEnd w:id="17"/>
      <w:r w:rsidR="00BE39ED" w:rsidRPr="00E45508">
        <w:t xml:space="preserve">: </w:t>
      </w:r>
      <w:r w:rsidRPr="00E45508">
        <w:t>Packaging placed on market in</w:t>
      </w:r>
      <w:r w:rsidR="00421651" w:rsidRPr="00E45508">
        <w:t> 2</w:t>
      </w:r>
      <w:r w:rsidRPr="00E45508">
        <w:t>021-22 by material group</w:t>
      </w:r>
      <w:bookmarkEnd w:id="18"/>
      <w:bookmarkEnd w:id="19"/>
    </w:p>
    <w:p w14:paraId="182D68EE" w14:textId="02B3A75B" w:rsidR="003B2643" w:rsidRDefault="003B2643" w:rsidP="62F7D09E">
      <w:r w:rsidRPr="00E45508">
        <w:rPr>
          <w:noProof/>
        </w:rPr>
        <w:drawing>
          <wp:inline distT="0" distB="0" distL="0" distR="0" wp14:anchorId="72E7EFA9" wp14:editId="42E8ADC0">
            <wp:extent cx="3914115" cy="2433099"/>
            <wp:effectExtent l="0" t="0" r="0" b="5715"/>
            <wp:docPr id="325961236" name="Picture 1" descr="A graph of packaging placed on market in 2021-22 by materia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3914115" cy="2433099"/>
                    </a:xfrm>
                    <a:prstGeom prst="rect">
                      <a:avLst/>
                    </a:prstGeom>
                  </pic:spPr>
                </pic:pic>
              </a:graphicData>
            </a:graphic>
          </wp:inline>
        </w:drawing>
      </w:r>
    </w:p>
    <w:p w14:paraId="5CDA851A" w14:textId="538D5D49" w:rsidR="00A14725" w:rsidRPr="00C46FEA" w:rsidRDefault="00A14725" w:rsidP="00C46FEA">
      <w:pPr>
        <w:pStyle w:val="BoxSource"/>
      </w:pPr>
      <w:r w:rsidRPr="00C46FEA">
        <w:t>Source: APCO 2024a</w:t>
      </w:r>
      <w:r w:rsidR="00965A40" w:rsidRPr="00C46FEA">
        <w:t>,</w:t>
      </w:r>
      <w:r w:rsidR="008C4E98" w:rsidRPr="00C46FEA">
        <w:t xml:space="preserve"> p.</w:t>
      </w:r>
      <w:r w:rsidRPr="00C46FEA">
        <w:t>26</w:t>
      </w:r>
    </w:p>
    <w:p w14:paraId="48773759" w14:textId="27B59E07" w:rsidR="001C4DF9" w:rsidRPr="00E45508" w:rsidRDefault="5FA4ED55" w:rsidP="00C44B4B">
      <w:pPr>
        <w:pStyle w:val="Heading3"/>
      </w:pPr>
      <w:bookmarkStart w:id="20" w:name="_Toc176450513"/>
      <w:bookmarkStart w:id="21" w:name="_Toc177126581"/>
      <w:bookmarkStart w:id="22" w:name="_Toc177492991"/>
      <w:bookmarkStart w:id="23" w:name="_Ref178128094"/>
      <w:bookmarkStart w:id="24" w:name="_Toc178230236"/>
      <w:bookmarkStart w:id="25" w:name="_Ref178241018"/>
      <w:r w:rsidRPr="00E45508">
        <w:t>Current regulation of packaging in Australia</w:t>
      </w:r>
      <w:bookmarkEnd w:id="20"/>
      <w:bookmarkEnd w:id="21"/>
      <w:bookmarkEnd w:id="22"/>
      <w:bookmarkEnd w:id="23"/>
      <w:bookmarkEnd w:id="24"/>
      <w:bookmarkEnd w:id="25"/>
    </w:p>
    <w:p w14:paraId="312A6681" w14:textId="27F6CB8A" w:rsidR="002A5C3F" w:rsidRPr="00E45508" w:rsidRDefault="21D9DDED" w:rsidP="002A52C1">
      <w:r w:rsidRPr="00E45508">
        <w:t>Since</w:t>
      </w:r>
      <w:r w:rsidR="00421651" w:rsidRPr="00E45508">
        <w:t> 1</w:t>
      </w:r>
      <w:r w:rsidRPr="00E45508">
        <w:t>999, Australia has had a</w:t>
      </w:r>
      <w:r w:rsidR="00D21E3D" w:rsidRPr="00E45508">
        <w:t xml:space="preserve"> </w:t>
      </w:r>
      <w:r w:rsidRPr="00E45508">
        <w:t xml:space="preserve">national co-regulatory arrangement </w:t>
      </w:r>
      <w:r w:rsidRPr="00E45508" w:rsidDel="003571C7">
        <w:t xml:space="preserve">that </w:t>
      </w:r>
      <w:r w:rsidR="00E00587" w:rsidRPr="00E45508">
        <w:t xml:space="preserve">sets out how governments and </w:t>
      </w:r>
      <w:r w:rsidRPr="00E45508">
        <w:t xml:space="preserve">businesses </w:t>
      </w:r>
      <w:r w:rsidR="00E00587" w:rsidRPr="00E45508">
        <w:t>across Australia share the responsibility for managing the environmental impacts of</w:t>
      </w:r>
      <w:r w:rsidRPr="00E45508">
        <w:t xml:space="preserve"> packaging</w:t>
      </w:r>
      <w:r w:rsidR="00E00587" w:rsidRPr="00E45508">
        <w:t>.</w:t>
      </w:r>
    </w:p>
    <w:p w14:paraId="3D4444B0" w14:textId="3EF6E9C3" w:rsidR="000F50F5" w:rsidRPr="00E45508" w:rsidRDefault="54C8E505" w:rsidP="002A52C1">
      <w:r w:rsidRPr="00E45508">
        <w:t xml:space="preserve">The </w:t>
      </w:r>
      <w:r w:rsidR="335E96ED" w:rsidRPr="00E45508">
        <w:t>arrangement</w:t>
      </w:r>
      <w:r w:rsidR="09A4F30D" w:rsidRPr="00E45508">
        <w:t>,</w:t>
      </w:r>
      <w:r w:rsidR="1BFE1EA9" w:rsidRPr="00E45508">
        <w:t xml:space="preserve"> </w:t>
      </w:r>
      <w:r w:rsidR="77CFC7FF" w:rsidRPr="00E45508">
        <w:t>established under the</w:t>
      </w:r>
      <w:r w:rsidR="7FB39223" w:rsidRPr="00E45508">
        <w:t xml:space="preserve"> </w:t>
      </w:r>
      <w:r w:rsidR="7236F166" w:rsidRPr="00E45508">
        <w:rPr>
          <w:i/>
          <w:iCs/>
        </w:rPr>
        <w:t>National Environmental Pro</w:t>
      </w:r>
      <w:r w:rsidR="54A22FD3" w:rsidRPr="00E45508">
        <w:rPr>
          <w:i/>
          <w:iCs/>
        </w:rPr>
        <w:t>tection</w:t>
      </w:r>
      <w:r w:rsidR="7BBECEA0" w:rsidRPr="00E45508">
        <w:rPr>
          <w:i/>
          <w:iCs/>
        </w:rPr>
        <w:t xml:space="preserve"> (Used Packaging</w:t>
      </w:r>
      <w:r w:rsidR="09211C0F" w:rsidRPr="00E45508">
        <w:rPr>
          <w:i/>
          <w:iCs/>
        </w:rPr>
        <w:t xml:space="preserve"> Materials)</w:t>
      </w:r>
      <w:r w:rsidR="54A22FD3" w:rsidRPr="00E45508">
        <w:rPr>
          <w:i/>
          <w:iCs/>
        </w:rPr>
        <w:t xml:space="preserve"> Measure</w:t>
      </w:r>
      <w:r w:rsidR="36F14B88" w:rsidRPr="00E45508">
        <w:rPr>
          <w:i/>
          <w:iCs/>
        </w:rPr>
        <w:t> 2</w:t>
      </w:r>
      <w:r w:rsidR="3B1DAD05" w:rsidRPr="00E45508">
        <w:rPr>
          <w:i/>
          <w:iCs/>
        </w:rPr>
        <w:t>011</w:t>
      </w:r>
      <w:r w:rsidR="220B572A" w:rsidRPr="00E45508">
        <w:t xml:space="preserve"> (NEPM)</w:t>
      </w:r>
      <w:r w:rsidR="1723D9DC" w:rsidRPr="00E45508">
        <w:t xml:space="preserve">, requires businesses with an annual turnover of $5 million or more </w:t>
      </w:r>
      <w:r w:rsidR="2B373C08" w:rsidRPr="00E45508">
        <w:t xml:space="preserve">that produce or sell packaging and/or packaged products in Australia </w:t>
      </w:r>
      <w:r w:rsidR="1723D9DC" w:rsidRPr="00E45508">
        <w:t>to:</w:t>
      </w:r>
    </w:p>
    <w:p w14:paraId="1AF1BDD3" w14:textId="23C91B4E" w:rsidR="66AA621B" w:rsidRDefault="00A70477" w:rsidP="009C1F84">
      <w:pPr>
        <w:pStyle w:val="ListBullet"/>
      </w:pPr>
      <w:r w:rsidRPr="00520B87">
        <w:t>B</w:t>
      </w:r>
      <w:r w:rsidR="3AF692FF" w:rsidRPr="00520B87">
        <w:t>ecom</w:t>
      </w:r>
      <w:r w:rsidR="00E02584" w:rsidRPr="00520B87">
        <w:t>e</w:t>
      </w:r>
      <w:r w:rsidR="3AF692FF" w:rsidRPr="00520B87">
        <w:t xml:space="preserve"> a Signatory to the</w:t>
      </w:r>
      <w:r w:rsidR="003D25CF" w:rsidRPr="00520B87">
        <w:t xml:space="preserve"> </w:t>
      </w:r>
      <w:hyperlink r:id="rId25" w:history="1">
        <w:r w:rsidR="76B37355" w:rsidRPr="00520B87">
          <w:rPr>
            <w:rStyle w:val="Hyperlink"/>
            <w:color w:val="auto"/>
            <w:u w:val="none"/>
          </w:rPr>
          <w:t>Australian Packaging Covenant</w:t>
        </w:r>
      </w:hyperlink>
      <w:r w:rsidR="76B37355" w:rsidRPr="00520B87">
        <w:t xml:space="preserve"> (the Covenant)</w:t>
      </w:r>
      <w:r w:rsidR="001702DF" w:rsidRPr="00520B87">
        <w:t xml:space="preserve"> (APCO</w:t>
      </w:r>
      <w:r w:rsidR="00421651" w:rsidRPr="00520B87">
        <w:t> 2</w:t>
      </w:r>
      <w:r w:rsidR="001702DF" w:rsidRPr="00520B87">
        <w:t>024</w:t>
      </w:r>
      <w:r w:rsidR="00C81FEE">
        <w:t>g</w:t>
      </w:r>
      <w:r w:rsidR="76B37355" w:rsidRPr="00520B87">
        <w:t xml:space="preserve">), </w:t>
      </w:r>
      <w:r w:rsidR="009451E0" w:rsidRPr="00520B87">
        <w:t xml:space="preserve">the </w:t>
      </w:r>
      <w:r w:rsidR="00DF6764" w:rsidRPr="00520B87">
        <w:t>voluntary</w:t>
      </w:r>
      <w:r w:rsidR="2C8BC81C" w:rsidRPr="00520B87">
        <w:t xml:space="preserve"> industry-led packaging product stewardship scheme administered by the Australian Packaging Covenant Organisation (APCO)</w:t>
      </w:r>
      <w:r w:rsidR="3D6D9702" w:rsidRPr="00520B87">
        <w:t>.</w:t>
      </w:r>
      <w:r w:rsidR="2C8BC81C" w:rsidRPr="00520B87">
        <w:t xml:space="preserve"> </w:t>
      </w:r>
      <w:r w:rsidR="00CA7D8D" w:rsidRPr="00520B87">
        <w:t>Businesses</w:t>
      </w:r>
      <w:r w:rsidR="72CC081F" w:rsidRPr="00520B87">
        <w:t xml:space="preserve"> that </w:t>
      </w:r>
      <w:r w:rsidR="00CA7D8D" w:rsidRPr="00520B87">
        <w:t>cho</w:t>
      </w:r>
      <w:r w:rsidR="09E0F856" w:rsidRPr="00520B87">
        <w:t>o</w:t>
      </w:r>
      <w:r w:rsidR="00CA7D8D" w:rsidRPr="00520B87">
        <w:t xml:space="preserve">se to </w:t>
      </w:r>
      <w:r w:rsidR="3AF692FF" w:rsidRPr="00520B87">
        <w:t>sign up as a</w:t>
      </w:r>
      <w:r w:rsidR="722BA6AF" w:rsidRPr="00520B87">
        <w:t>n APCO</w:t>
      </w:r>
      <w:r w:rsidR="3AF692FF" w:rsidRPr="00520B87">
        <w:t xml:space="preserve"> member a</w:t>
      </w:r>
      <w:r w:rsidR="00046028" w:rsidRPr="00520B87">
        <w:t>re</w:t>
      </w:r>
      <w:r w:rsidR="3AF692FF" w:rsidRPr="00520B87">
        <w:t xml:space="preserve"> subject to obligations </w:t>
      </w:r>
      <w:r w:rsidR="2037329C" w:rsidRPr="00520B87">
        <w:t xml:space="preserve">set out </w:t>
      </w:r>
      <w:r w:rsidR="3AF692FF" w:rsidRPr="00520B87">
        <w:t>under the Covenant</w:t>
      </w:r>
      <w:r w:rsidR="108B2E38" w:rsidRPr="00520B87">
        <w:t xml:space="preserve"> </w:t>
      </w:r>
      <w:r w:rsidR="00031FEB" w:rsidRPr="00520B87">
        <w:t>that contribute</w:t>
      </w:r>
      <w:r w:rsidR="3EA7D516" w:rsidRPr="00520B87">
        <w:t xml:space="preserve"> to </w:t>
      </w:r>
      <w:r w:rsidR="00D73082" w:rsidRPr="00520B87">
        <w:t>collective national effor</w:t>
      </w:r>
      <w:r w:rsidR="005D6A20" w:rsidRPr="00520B87">
        <w:t>t</w:t>
      </w:r>
      <w:r w:rsidR="00D73082" w:rsidRPr="00520B87">
        <w:t>s in managing used packaging</w:t>
      </w:r>
      <w:r w:rsidRPr="00520B87">
        <w:t>.</w:t>
      </w:r>
      <w:r w:rsidR="009A122C" w:rsidRPr="00520B87">
        <w:t xml:space="preserve"> </w:t>
      </w:r>
      <w:r w:rsidRPr="00520B87">
        <w:t>O</w:t>
      </w:r>
      <w:r w:rsidR="009A122C" w:rsidRPr="00520B87">
        <w:t>r</w:t>
      </w:r>
      <w:r w:rsidRPr="00520B87">
        <w:t>,</w:t>
      </w:r>
    </w:p>
    <w:p w14:paraId="21A13106" w14:textId="205E966B" w:rsidR="008321FD" w:rsidRDefault="00A70477" w:rsidP="008631FB">
      <w:pPr>
        <w:pStyle w:val="ListBullet"/>
      </w:pPr>
      <w:r w:rsidRPr="00520B87">
        <w:t>M</w:t>
      </w:r>
      <w:r w:rsidR="1DD5EDB6" w:rsidRPr="00520B87">
        <w:t xml:space="preserve">eet obligations </w:t>
      </w:r>
      <w:r w:rsidR="00E2193F" w:rsidRPr="00520B87">
        <w:t>required</w:t>
      </w:r>
      <w:r w:rsidR="1DD5EDB6" w:rsidRPr="00520B87">
        <w:t xml:space="preserve"> by laws and other arrangements of participating </w:t>
      </w:r>
      <w:r w:rsidR="001F46F8" w:rsidRPr="00520B87">
        <w:t>states and territories</w:t>
      </w:r>
      <w:r w:rsidR="1DD5EDB6" w:rsidRPr="00520B87">
        <w:t xml:space="preserve"> </w:t>
      </w:r>
      <w:r w:rsidR="00214B03" w:rsidRPr="00520B87">
        <w:t>implement</w:t>
      </w:r>
      <w:r w:rsidR="00456124" w:rsidRPr="00520B87">
        <w:t>ing</w:t>
      </w:r>
      <w:r w:rsidR="00214B03" w:rsidRPr="00520B87">
        <w:t xml:space="preserve"> </w:t>
      </w:r>
      <w:r w:rsidR="1DD5EDB6" w:rsidRPr="00520B87">
        <w:t>the NEPM</w:t>
      </w:r>
      <w:r w:rsidRPr="00520B87">
        <w:t>.</w:t>
      </w:r>
    </w:p>
    <w:p w14:paraId="1581B78C" w14:textId="21ECF782" w:rsidR="00C444DA" w:rsidRPr="00E45508" w:rsidRDefault="008D4F2D" w:rsidP="004D1800">
      <w:r w:rsidRPr="00E45508">
        <w:t>M</w:t>
      </w:r>
      <w:r w:rsidR="00C444DA" w:rsidRPr="00E45508">
        <w:t xml:space="preserve">ore information on the </w:t>
      </w:r>
      <w:r w:rsidR="00D54EF6" w:rsidRPr="00E45508">
        <w:t xml:space="preserve">co-regulatory arrangement for packaging </w:t>
      </w:r>
      <w:r w:rsidRPr="00E45508">
        <w:t>is at</w:t>
      </w:r>
      <w:r w:rsidR="005E528B" w:rsidRPr="00E45508">
        <w:t xml:space="preserve"> </w:t>
      </w:r>
      <w:r w:rsidR="002E23F6" w:rsidRPr="008631FB">
        <w:rPr>
          <w:u w:val="single"/>
        </w:rPr>
        <w:fldChar w:fldCharType="begin"/>
      </w:r>
      <w:r w:rsidR="002E23F6" w:rsidRPr="00E45508">
        <w:instrText xml:space="preserve"> REF _Ref177121758 \n \h </w:instrText>
      </w:r>
      <w:r w:rsidR="004D1800">
        <w:rPr>
          <w:u w:val="single"/>
        </w:rPr>
        <w:instrText xml:space="preserve"> \* MERGEFORMAT </w:instrText>
      </w:r>
      <w:r w:rsidR="002E23F6" w:rsidRPr="008631FB">
        <w:rPr>
          <w:u w:val="single"/>
        </w:rPr>
      </w:r>
      <w:r w:rsidR="002E23F6" w:rsidRPr="008631FB">
        <w:rPr>
          <w:u w:val="single"/>
        </w:rPr>
        <w:fldChar w:fldCharType="separate"/>
      </w:r>
      <w:r w:rsidR="009A2EC4">
        <w:t>Appendix A</w:t>
      </w:r>
      <w:r w:rsidR="002E23F6" w:rsidRPr="008631FB">
        <w:rPr>
          <w:u w:val="single"/>
        </w:rPr>
        <w:fldChar w:fldCharType="end"/>
      </w:r>
      <w:r w:rsidR="005E528B" w:rsidRPr="00E45508">
        <w:t>.</w:t>
      </w:r>
    </w:p>
    <w:p w14:paraId="6C369F7D" w14:textId="1D61CE1E" w:rsidR="001C4DF9" w:rsidRPr="00E45508" w:rsidRDefault="5FA4ED55" w:rsidP="00C44B4B">
      <w:pPr>
        <w:pStyle w:val="Heading3"/>
      </w:pPr>
      <w:bookmarkStart w:id="26" w:name="_Toc176450514"/>
      <w:bookmarkStart w:id="27" w:name="_Toc177126582"/>
      <w:bookmarkStart w:id="28" w:name="_Toc177492992"/>
      <w:bookmarkStart w:id="29" w:name="_Toc178230237"/>
      <w:r w:rsidRPr="00E45508">
        <w:t xml:space="preserve">Review of the </w:t>
      </w:r>
      <w:r w:rsidR="00DD3390" w:rsidRPr="00E45508">
        <w:t>n</w:t>
      </w:r>
      <w:r w:rsidRPr="00E45508">
        <w:t xml:space="preserve">ational </w:t>
      </w:r>
      <w:r w:rsidR="00DD3390" w:rsidRPr="00E45508">
        <w:t>c</w:t>
      </w:r>
      <w:r w:rsidRPr="00E45508">
        <w:t xml:space="preserve">o-regulatory </w:t>
      </w:r>
      <w:r w:rsidR="00DD3390" w:rsidRPr="00E45508">
        <w:t>a</w:t>
      </w:r>
      <w:r w:rsidRPr="00E45508">
        <w:t>rrangement</w:t>
      </w:r>
      <w:bookmarkEnd w:id="26"/>
      <w:bookmarkEnd w:id="27"/>
      <w:bookmarkEnd w:id="28"/>
      <w:bookmarkEnd w:id="29"/>
    </w:p>
    <w:p w14:paraId="032A0D98" w14:textId="14A431BC" w:rsidR="001C4DF9" w:rsidRPr="00E45508" w:rsidRDefault="001C4DF9" w:rsidP="000B0380">
      <w:r w:rsidRPr="00E45508">
        <w:t>In</w:t>
      </w:r>
      <w:r w:rsidR="00421651" w:rsidRPr="00E45508">
        <w:t> 2</w:t>
      </w:r>
      <w:r w:rsidRPr="00E45508">
        <w:t xml:space="preserve">021, the </w:t>
      </w:r>
      <w:r w:rsidR="003A377F" w:rsidRPr="00E45508">
        <w:t>d</w:t>
      </w:r>
      <w:r w:rsidRPr="00E45508">
        <w:t xml:space="preserve">epartment </w:t>
      </w:r>
      <w:r w:rsidR="32557CA1" w:rsidRPr="00E45508">
        <w:t>commissioned</w:t>
      </w:r>
      <w:r w:rsidRPr="00E45508">
        <w:t xml:space="preserve"> </w:t>
      </w:r>
      <w:r w:rsidR="00AE76D2" w:rsidRPr="00E45508">
        <w:t xml:space="preserve">the first </w:t>
      </w:r>
      <w:r w:rsidR="00F301A0" w:rsidRPr="00E45508">
        <w:t>i</w:t>
      </w:r>
      <w:r w:rsidRPr="00E45508">
        <w:t xml:space="preserve">ndependent </w:t>
      </w:r>
      <w:r w:rsidR="00C373A0" w:rsidRPr="00E45508">
        <w:t xml:space="preserve">statutory </w:t>
      </w:r>
      <w:r w:rsidRPr="00E45508">
        <w:t>review</w:t>
      </w:r>
      <w:r w:rsidR="00110B4F" w:rsidRPr="00E45508">
        <w:t xml:space="preserve"> </w:t>
      </w:r>
      <w:r w:rsidRPr="00E45508">
        <w:t xml:space="preserve">of the </w:t>
      </w:r>
      <w:r w:rsidR="00A81760" w:rsidRPr="00E45508">
        <w:t>co-regulatory arrangement</w:t>
      </w:r>
      <w:r w:rsidR="00C373A0" w:rsidRPr="00E45508">
        <w:t>,</w:t>
      </w:r>
      <w:r w:rsidRPr="00E45508">
        <w:t xml:space="preserve"> to evaluate and report on whether the environmental protection goals</w:t>
      </w:r>
      <w:r w:rsidR="4C0F03B0" w:rsidRPr="00E45508">
        <w:t xml:space="preserve"> </w:t>
      </w:r>
      <w:r w:rsidR="00AE76D2" w:rsidRPr="00E45508">
        <w:t>were being achieved</w:t>
      </w:r>
      <w:r w:rsidR="4C0F03B0" w:rsidRPr="00E45508">
        <w:t xml:space="preserve"> (</w:t>
      </w:r>
      <w:hyperlink r:id="rId26" w:anchor="download" w:history="1">
        <w:r w:rsidR="4C0F03B0" w:rsidRPr="00E45508">
          <w:rPr>
            <w:rStyle w:val="Hyperlink"/>
          </w:rPr>
          <w:t xml:space="preserve">the </w:t>
        </w:r>
        <w:r w:rsidR="0069068B" w:rsidRPr="00E45508">
          <w:rPr>
            <w:rStyle w:val="Hyperlink"/>
          </w:rPr>
          <w:t>Independent</w:t>
        </w:r>
        <w:r w:rsidR="4C0F03B0" w:rsidRPr="00E45508">
          <w:rPr>
            <w:rStyle w:val="Hyperlink"/>
          </w:rPr>
          <w:t xml:space="preserve"> Review</w:t>
        </w:r>
      </w:hyperlink>
      <w:r w:rsidR="4C0F03B0" w:rsidRPr="00E45508">
        <w:t>).</w:t>
      </w:r>
      <w:r w:rsidR="2C8BC81C" w:rsidRPr="00E45508">
        <w:t xml:space="preserve"> </w:t>
      </w:r>
      <w:r w:rsidR="3B1004E9" w:rsidRPr="00E45508">
        <w:t>A</w:t>
      </w:r>
      <w:r w:rsidR="2C8BC81C" w:rsidRPr="00E45508">
        <w:t xml:space="preserve"> final written report was provided to the </w:t>
      </w:r>
      <w:r w:rsidR="008074EB" w:rsidRPr="00E45508">
        <w:t>Australian G</w:t>
      </w:r>
      <w:r w:rsidR="2C8BC81C" w:rsidRPr="00E45508">
        <w:t>overnment on 6</w:t>
      </w:r>
      <w:r w:rsidR="008074EB" w:rsidRPr="00E45508">
        <w:t> </w:t>
      </w:r>
      <w:r w:rsidR="2C8BC81C" w:rsidRPr="00E45508">
        <w:t>September</w:t>
      </w:r>
      <w:r w:rsidR="00421651" w:rsidRPr="00E45508">
        <w:t> 2</w:t>
      </w:r>
      <w:r w:rsidR="2C8BC81C" w:rsidRPr="00E45508">
        <w:t>021</w:t>
      </w:r>
      <w:r w:rsidR="69B3F47C" w:rsidRPr="00E45508">
        <w:t xml:space="preserve"> (</w:t>
      </w:r>
      <w:r w:rsidR="00C71FB5" w:rsidRPr="00E45508">
        <w:t>mpc</w:t>
      </w:r>
      <w:r w:rsidR="005E4527" w:rsidRPr="00E45508">
        <w:t>onsulting</w:t>
      </w:r>
      <w:r w:rsidR="00421651" w:rsidRPr="00E45508">
        <w:t> 2</w:t>
      </w:r>
      <w:r w:rsidR="005E4527" w:rsidRPr="00E45508">
        <w:t>021).</w:t>
      </w:r>
    </w:p>
    <w:p w14:paraId="5BA3DD81" w14:textId="48D42086" w:rsidR="001C4DF9" w:rsidRPr="00E45508" w:rsidRDefault="794629CE" w:rsidP="000B0380">
      <w:r w:rsidRPr="00E45508">
        <w:t xml:space="preserve">The </w:t>
      </w:r>
      <w:r w:rsidR="2F2210BC" w:rsidRPr="00E45508">
        <w:t>Independent</w:t>
      </w:r>
      <w:r w:rsidR="4FE1D3B4" w:rsidRPr="00E45508">
        <w:t xml:space="preserve"> </w:t>
      </w:r>
      <w:r w:rsidR="5FA78450" w:rsidRPr="00E45508">
        <w:t>R</w:t>
      </w:r>
      <w:r w:rsidRPr="00E45508">
        <w:t xml:space="preserve">eview found that while the Covenant operates effectively as a voluntary stewardship initiative, there have been significant failures in the implementation and enforcement of the </w:t>
      </w:r>
      <w:r w:rsidR="3DDF081D" w:rsidRPr="00E45508">
        <w:t>regulatory arrangements</w:t>
      </w:r>
      <w:r w:rsidRPr="00E45508">
        <w:t xml:space="preserve">. </w:t>
      </w:r>
      <w:r w:rsidR="45064F3C" w:rsidRPr="00E45508">
        <w:t>This has created a lack of clarity for brand owners regarding their liability and obligations, enabled free riders, reduced industry confidence and participation</w:t>
      </w:r>
      <w:r w:rsidR="1EDFB704" w:rsidRPr="00E45508">
        <w:t>,</w:t>
      </w:r>
      <w:r w:rsidR="45064F3C" w:rsidRPr="00E45508">
        <w:t xml:space="preserve"> and resulted in limited or no data collection to measure and report on performance. The Independent Review made </w:t>
      </w:r>
      <w:r w:rsidR="3811C891" w:rsidRPr="00E45508">
        <w:t>nine</w:t>
      </w:r>
      <w:r w:rsidR="45064F3C" w:rsidRPr="00E45508">
        <w:t xml:space="preserve"> recommendations to address these </w:t>
      </w:r>
      <w:r w:rsidR="4C389E76" w:rsidRPr="00E45508">
        <w:t>issues</w:t>
      </w:r>
      <w:r w:rsidR="45064F3C" w:rsidRPr="00E45508">
        <w:t xml:space="preserve"> </w:t>
      </w:r>
      <w:r w:rsidR="678BE324" w:rsidRPr="00E45508">
        <w:t>as part of a reformed scheme.</w:t>
      </w:r>
    </w:p>
    <w:p w14:paraId="1D7E6F4D" w14:textId="01D79F49" w:rsidR="001C4DF9" w:rsidRPr="00E45508" w:rsidRDefault="5762FD31" w:rsidP="000B0380">
      <w:r w:rsidRPr="00E45508">
        <w:t>In December</w:t>
      </w:r>
      <w:r w:rsidR="36F14B88" w:rsidRPr="00E45508">
        <w:t> 2</w:t>
      </w:r>
      <w:r w:rsidRPr="00E45508">
        <w:t xml:space="preserve">022, the </w:t>
      </w:r>
      <w:r w:rsidR="1FDA5F26" w:rsidRPr="00E45508">
        <w:t>Australian G</w:t>
      </w:r>
      <w:r w:rsidR="301E2843" w:rsidRPr="00E45508">
        <w:t>overnment</w:t>
      </w:r>
      <w:r w:rsidR="41C48974" w:rsidRPr="00E45508">
        <w:t xml:space="preserve"> (2022)</w:t>
      </w:r>
      <w:r w:rsidR="301E2843" w:rsidRPr="00E45508">
        <w:t xml:space="preserve"> </w:t>
      </w:r>
      <w:r w:rsidR="49E9F10E" w:rsidRPr="00E45508">
        <w:t xml:space="preserve">provided a </w:t>
      </w:r>
      <w:hyperlink r:id="rId27">
        <w:r w:rsidR="301E2843" w:rsidRPr="00E45508">
          <w:rPr>
            <w:rStyle w:val="Hyperlink"/>
          </w:rPr>
          <w:t>respon</w:t>
        </w:r>
        <w:r w:rsidR="49E9F10E" w:rsidRPr="00E45508">
          <w:rPr>
            <w:rStyle w:val="Hyperlink"/>
          </w:rPr>
          <w:t>se</w:t>
        </w:r>
      </w:hyperlink>
      <w:r w:rsidR="301E2843" w:rsidRPr="00E45508">
        <w:t xml:space="preserve"> to the</w:t>
      </w:r>
      <w:r w:rsidR="0798A612" w:rsidRPr="00E45508">
        <w:t xml:space="preserve"> </w:t>
      </w:r>
      <w:r w:rsidR="24816682" w:rsidRPr="00E45508">
        <w:t>Independent</w:t>
      </w:r>
      <w:r w:rsidR="301E2843" w:rsidRPr="00E45508">
        <w:t xml:space="preserve"> </w:t>
      </w:r>
      <w:r w:rsidR="05A6BDB5" w:rsidRPr="00E45508">
        <w:t>R</w:t>
      </w:r>
      <w:r w:rsidR="301E2843" w:rsidRPr="00E45508">
        <w:t xml:space="preserve">eview </w:t>
      </w:r>
      <w:r w:rsidR="2871145B" w:rsidRPr="00E45508">
        <w:t xml:space="preserve">and </w:t>
      </w:r>
      <w:r w:rsidR="301E2843" w:rsidRPr="00E45508">
        <w:t>endorsed the need for reform of Australia’s packaging regulation</w:t>
      </w:r>
      <w:r w:rsidR="2871145B" w:rsidRPr="00E45508">
        <w:t>.</w:t>
      </w:r>
    </w:p>
    <w:p w14:paraId="2160B9DC" w14:textId="1DCA30E6" w:rsidR="5E9D548E" w:rsidRPr="00E45508" w:rsidRDefault="3E75A7DB" w:rsidP="000B0380">
      <w:r w:rsidRPr="00E45508">
        <w:t>M</w:t>
      </w:r>
      <w:r w:rsidR="4498BBCF" w:rsidRPr="00E45508">
        <w:t>or</w:t>
      </w:r>
      <w:r w:rsidR="1DF28232" w:rsidRPr="00E45508">
        <w:t>e infor</w:t>
      </w:r>
      <w:r w:rsidR="4498BBCF" w:rsidRPr="00E45508">
        <w:t xml:space="preserve">mation on the Independent Review and </w:t>
      </w:r>
      <w:r w:rsidR="000E1409" w:rsidRPr="00E45508">
        <w:t>the g</w:t>
      </w:r>
      <w:r w:rsidR="4498BBCF" w:rsidRPr="00E45508">
        <w:t>overnment</w:t>
      </w:r>
      <w:r w:rsidR="000E1409" w:rsidRPr="00E45508">
        <w:t>’s</w:t>
      </w:r>
      <w:r w:rsidR="4498BBCF" w:rsidRPr="00E45508">
        <w:t xml:space="preserve"> </w:t>
      </w:r>
      <w:r w:rsidR="000E1409" w:rsidRPr="00E45508">
        <w:t>r</w:t>
      </w:r>
      <w:r w:rsidR="4498BBCF" w:rsidRPr="00E45508">
        <w:t>esponse</w:t>
      </w:r>
      <w:r w:rsidR="00EA5769" w:rsidRPr="00E45508">
        <w:t xml:space="preserve"> </w:t>
      </w:r>
      <w:r w:rsidR="1DF28232" w:rsidRPr="00E45508">
        <w:t>is at</w:t>
      </w:r>
      <w:r w:rsidR="002E23F6" w:rsidRPr="00E45508">
        <w:t xml:space="preserve"> </w:t>
      </w:r>
      <w:r w:rsidR="002E23F6" w:rsidRPr="00E45508">
        <w:rPr>
          <w:u w:val="single"/>
        </w:rPr>
        <w:fldChar w:fldCharType="begin"/>
      </w:r>
      <w:r w:rsidR="002E23F6" w:rsidRPr="00E45508">
        <w:instrText xml:space="preserve"> REF _Ref177121758 \n \h </w:instrText>
      </w:r>
      <w:r w:rsidR="002E23F6" w:rsidRPr="00E45508">
        <w:rPr>
          <w:u w:val="single"/>
        </w:rPr>
      </w:r>
      <w:r w:rsidR="002E23F6" w:rsidRPr="00E45508">
        <w:rPr>
          <w:u w:val="single"/>
        </w:rPr>
        <w:fldChar w:fldCharType="separate"/>
      </w:r>
      <w:r w:rsidR="009A2EC4">
        <w:t>Appendix A</w:t>
      </w:r>
      <w:r w:rsidR="002E23F6" w:rsidRPr="00E45508">
        <w:rPr>
          <w:u w:val="single"/>
        </w:rPr>
        <w:fldChar w:fldCharType="end"/>
      </w:r>
      <w:r w:rsidR="4498BBCF" w:rsidRPr="00E45508">
        <w:t>.</w:t>
      </w:r>
    </w:p>
    <w:p w14:paraId="59C9C5BB" w14:textId="4C2D07C6" w:rsidR="00F20FF0" w:rsidRPr="00E45508" w:rsidRDefault="259504F8" w:rsidP="00C44B4B">
      <w:pPr>
        <w:pStyle w:val="Heading3"/>
      </w:pPr>
      <w:bookmarkStart w:id="30" w:name="_Toc176450515"/>
      <w:bookmarkStart w:id="31" w:name="_Toc177126583"/>
      <w:bookmarkStart w:id="32" w:name="_Toc177492993"/>
      <w:bookmarkStart w:id="33" w:name="_Toc178230238"/>
      <w:r w:rsidRPr="00E45508">
        <w:t>R</w:t>
      </w:r>
      <w:r w:rsidR="35E775C0" w:rsidRPr="00E45508">
        <w:t xml:space="preserve">elated </w:t>
      </w:r>
      <w:r w:rsidR="0208F833" w:rsidRPr="00E45508">
        <w:t>domestic</w:t>
      </w:r>
      <w:r w:rsidR="0EBBBD5C" w:rsidRPr="00E45508">
        <w:t xml:space="preserve"> and </w:t>
      </w:r>
      <w:r w:rsidR="1C4584BA" w:rsidRPr="00E45508">
        <w:t>i</w:t>
      </w:r>
      <w:r w:rsidR="0EBBBD5C" w:rsidRPr="00E45508">
        <w:t xml:space="preserve">nternational </w:t>
      </w:r>
      <w:r w:rsidR="35E775C0" w:rsidRPr="00E45508">
        <w:t>initiatives</w:t>
      </w:r>
      <w:bookmarkEnd w:id="30"/>
      <w:bookmarkEnd w:id="31"/>
      <w:bookmarkEnd w:id="32"/>
      <w:bookmarkEnd w:id="33"/>
    </w:p>
    <w:p w14:paraId="7B6B126D" w14:textId="57A852DA" w:rsidR="000E0F10" w:rsidRPr="00E45508" w:rsidRDefault="00C33555" w:rsidP="00571F1E">
      <w:r w:rsidRPr="00E45508">
        <w:t xml:space="preserve">Several interventions are being </w:t>
      </w:r>
      <w:r w:rsidR="00093A6A" w:rsidRPr="00E45508">
        <w:t>led by the Australian</w:t>
      </w:r>
      <w:r w:rsidR="006F2F99" w:rsidRPr="00E45508">
        <w:t xml:space="preserve"> and</w:t>
      </w:r>
      <w:r w:rsidR="00093A6A" w:rsidRPr="00E45508">
        <w:t xml:space="preserve"> state and territory governments </w:t>
      </w:r>
      <w:r w:rsidR="007301DE" w:rsidRPr="00E45508">
        <w:t xml:space="preserve">that will </w:t>
      </w:r>
      <w:r w:rsidR="00B824E3" w:rsidRPr="00E45508">
        <w:t xml:space="preserve">complement reform of packaging </w:t>
      </w:r>
      <w:r w:rsidR="00321B6A" w:rsidRPr="00E45508">
        <w:t>regulation</w:t>
      </w:r>
      <w:r w:rsidR="00B824E3" w:rsidRPr="00E45508">
        <w:t xml:space="preserve"> in Australia. </w:t>
      </w:r>
      <w:r w:rsidR="00711335" w:rsidRPr="00E45508">
        <w:t>Together</w:t>
      </w:r>
      <w:r w:rsidR="002A4008" w:rsidRPr="00E45508">
        <w:t xml:space="preserve">, with the packaging reforms, </w:t>
      </w:r>
      <w:r w:rsidR="00711335" w:rsidRPr="00E45508">
        <w:t>these will help</w:t>
      </w:r>
      <w:r w:rsidR="00B824E3" w:rsidRPr="00E45508">
        <w:t xml:space="preserve"> deliver a comprehensive systems-based approach </w:t>
      </w:r>
      <w:r w:rsidR="007E33BB" w:rsidRPr="00E45508">
        <w:t xml:space="preserve">to managing </w:t>
      </w:r>
      <w:r w:rsidR="00620E38">
        <w:t xml:space="preserve">the </w:t>
      </w:r>
      <w:r w:rsidR="006565B0" w:rsidRPr="00E45508">
        <w:t>environmental impacts of packaging</w:t>
      </w:r>
      <w:r w:rsidR="00711335" w:rsidRPr="00E45508">
        <w:t xml:space="preserve"> and include</w:t>
      </w:r>
      <w:r w:rsidR="000E0F10" w:rsidRPr="00E45508">
        <w:t>:</w:t>
      </w:r>
    </w:p>
    <w:p w14:paraId="6FB11BDC" w14:textId="320C9DD9" w:rsidR="009E7417" w:rsidRPr="00E45508" w:rsidRDefault="00C33555" w:rsidP="009C1F84">
      <w:pPr>
        <w:pStyle w:val="ListBullet"/>
      </w:pPr>
      <w:r w:rsidRPr="00E45508">
        <w:t>the harmonisation of kerbside recycling collections</w:t>
      </w:r>
      <w:r w:rsidR="429411EA" w:rsidRPr="00E45508">
        <w:t>, including actions to remove soft plastics from landfill and recycle them at scale</w:t>
      </w:r>
    </w:p>
    <w:p w14:paraId="69A0DD32" w14:textId="77423DC8" w:rsidR="009E7417" w:rsidRPr="00E45508" w:rsidRDefault="009E7417" w:rsidP="009C1F84">
      <w:pPr>
        <w:pStyle w:val="ListBullet"/>
      </w:pPr>
      <w:r w:rsidRPr="00E45508">
        <w:t xml:space="preserve">the harmonisation of </w:t>
      </w:r>
      <w:r w:rsidR="00C33555" w:rsidRPr="00E45508">
        <w:t>state and territory Container Deposit Schemes</w:t>
      </w:r>
    </w:p>
    <w:p w14:paraId="656035AD" w14:textId="0D5114C6" w:rsidR="6A84AB36" w:rsidRPr="00E45508" w:rsidRDefault="76A17513" w:rsidP="009C1F84">
      <w:pPr>
        <w:pStyle w:val="ListBullet"/>
      </w:pPr>
      <w:r w:rsidRPr="00E45508">
        <w:t>the harmonisation of problematic single use plastic product phase-outs</w:t>
      </w:r>
    </w:p>
    <w:p w14:paraId="7A516338" w14:textId="0AB8396D" w:rsidR="009E7417" w:rsidRPr="00E45508" w:rsidRDefault="009E7417" w:rsidP="009C1F84">
      <w:pPr>
        <w:pStyle w:val="ListBullet"/>
      </w:pPr>
      <w:r w:rsidRPr="00E45508">
        <w:t>t</w:t>
      </w:r>
      <w:r w:rsidR="00F31B44" w:rsidRPr="00E45508">
        <w:t xml:space="preserve">he promotion of the </w:t>
      </w:r>
      <w:r w:rsidR="00C33555" w:rsidRPr="00E45508">
        <w:t>use of recycled content in new products.</w:t>
      </w:r>
    </w:p>
    <w:p w14:paraId="187CFAFE" w14:textId="221B3F2D" w:rsidR="005F7281" w:rsidRPr="00E45508" w:rsidRDefault="005F7281" w:rsidP="00571F1E">
      <w:r w:rsidRPr="00E45508">
        <w:t xml:space="preserve">The Australian Government is </w:t>
      </w:r>
      <w:r w:rsidR="00F31B44" w:rsidRPr="00E45508">
        <w:t xml:space="preserve">also </w:t>
      </w:r>
      <w:r w:rsidRPr="00E45508">
        <w:t xml:space="preserve">working with key stakeholders across the packaging </w:t>
      </w:r>
      <w:r w:rsidR="00894E54">
        <w:t>supply</w:t>
      </w:r>
      <w:r w:rsidR="00894E54" w:rsidRPr="00E45508">
        <w:t xml:space="preserve"> </w:t>
      </w:r>
      <w:r w:rsidRPr="00E45508">
        <w:t>chain on initiatives to increase Australia’s domestic recycling capacity</w:t>
      </w:r>
      <w:r w:rsidR="00F31B44" w:rsidRPr="00E45508">
        <w:t>.</w:t>
      </w:r>
    </w:p>
    <w:p w14:paraId="134BDC2F" w14:textId="7CA4EF3F" w:rsidR="00D80DC5" w:rsidRPr="00E45508" w:rsidRDefault="00D80DC5" w:rsidP="00AE7443">
      <w:pPr>
        <w:pStyle w:val="Heading4"/>
      </w:pPr>
      <w:r w:rsidRPr="00E45508">
        <w:t>Circular economy</w:t>
      </w:r>
    </w:p>
    <w:p w14:paraId="59ECABD5" w14:textId="638041DA" w:rsidR="00BA4140" w:rsidRPr="00E45508" w:rsidRDefault="001A4203" w:rsidP="00571F1E">
      <w:r w:rsidRPr="00E45508">
        <w:t>Globally, governments, businesses, and communities have also recognised the need to take responsibility for waste and transition from a linear economy (take, make and dispose) to one that is circular</w:t>
      </w:r>
      <w:r w:rsidR="00D80DC5" w:rsidRPr="00E45508">
        <w:t>, where the value of resources is maintained for as long as possible</w:t>
      </w:r>
      <w:r w:rsidR="00995DD1" w:rsidRPr="00E45508">
        <w:t xml:space="preserve"> to reduce waste</w:t>
      </w:r>
      <w:r w:rsidR="00CC6E5E" w:rsidRPr="00E45508">
        <w:t>, carbon emissions</w:t>
      </w:r>
      <w:r w:rsidR="00995DD1" w:rsidRPr="00E45508">
        <w:t xml:space="preserve"> and increase material efficiency</w:t>
      </w:r>
      <w:r w:rsidR="00183D96" w:rsidRPr="00E45508">
        <w:t xml:space="preserve">. </w:t>
      </w:r>
      <w:r w:rsidR="006572FF" w:rsidRPr="00E45508">
        <w:t>Australia is also transitioning to a more circular economy</w:t>
      </w:r>
      <w:r w:rsidR="4C150CCE" w:rsidRPr="00E45508">
        <w:t>.</w:t>
      </w:r>
      <w:r w:rsidR="00454C6D" w:rsidRPr="00E45508">
        <w:t xml:space="preserve"> </w:t>
      </w:r>
      <w:r w:rsidR="6658C0EF" w:rsidRPr="00E45508">
        <w:t>As well as state and territory action on circularity, t</w:t>
      </w:r>
      <w:r w:rsidR="006572FF" w:rsidRPr="00E45508">
        <w:t>he</w:t>
      </w:r>
      <w:r w:rsidR="0096614A" w:rsidRPr="00E45508">
        <w:t xml:space="preserve"> Australian</w:t>
      </w:r>
      <w:r w:rsidR="00183D96" w:rsidRPr="00E45508">
        <w:t xml:space="preserve"> </w:t>
      </w:r>
      <w:r w:rsidR="0096614A" w:rsidRPr="00E45508">
        <w:t>G</w:t>
      </w:r>
      <w:r w:rsidR="00183D96" w:rsidRPr="00E45508">
        <w:t>overnment</w:t>
      </w:r>
      <w:r w:rsidR="00815114" w:rsidRPr="00E45508">
        <w:t xml:space="preserve"> </w:t>
      </w:r>
      <w:r w:rsidR="5B74B358" w:rsidRPr="00E45508">
        <w:t>is developing a National Circular Economy Framework to set the pace and direction for Australia’s transition.</w:t>
      </w:r>
      <w:r w:rsidR="7FC9C474" w:rsidRPr="00E45508">
        <w:t xml:space="preserve"> </w:t>
      </w:r>
      <w:r w:rsidR="69C55A38" w:rsidRPr="00E45508">
        <w:t>This will help drive our net zero, nature positive and economic growth agendas.</w:t>
      </w:r>
    </w:p>
    <w:p w14:paraId="00F89C35" w14:textId="7BE98BC8" w:rsidR="0096614A" w:rsidRPr="00E45508" w:rsidRDefault="0096614A" w:rsidP="007A0B5B">
      <w:pPr>
        <w:pStyle w:val="Heading4"/>
      </w:pPr>
      <w:r w:rsidRPr="00E45508">
        <w:t>Plastics</w:t>
      </w:r>
    </w:p>
    <w:p w14:paraId="05D08202" w14:textId="61DFADE0" w:rsidR="7167BF52" w:rsidRPr="00E45508" w:rsidRDefault="3511F200" w:rsidP="7167BF52">
      <w:r w:rsidRPr="00E45508">
        <w:t>A reformed packaging system is an important contributor to Australia’s efforts to address plastic pollution</w:t>
      </w:r>
      <w:r w:rsidR="249E0EB7" w:rsidRPr="00E45508">
        <w:t>. Packaging</w:t>
      </w:r>
      <w:r w:rsidR="6E19D159" w:rsidRPr="00E45508">
        <w:t>, including plastic packaging,</w:t>
      </w:r>
      <w:r w:rsidR="249E0EB7" w:rsidRPr="00E45508">
        <w:t xml:space="preserve"> represents a </w:t>
      </w:r>
      <w:r w:rsidR="19EDC55B" w:rsidRPr="00E45508">
        <w:t>significant</w:t>
      </w:r>
      <w:r w:rsidR="249E0EB7" w:rsidRPr="00E45508">
        <w:t xml:space="preserve"> proportion of our litter</w:t>
      </w:r>
      <w:r w:rsidR="0F6EC1E9" w:rsidRPr="00E45508">
        <w:t>.</w:t>
      </w:r>
    </w:p>
    <w:p w14:paraId="23BD9323" w14:textId="414D2988" w:rsidR="3511F200" w:rsidRPr="00E45508" w:rsidRDefault="575422B9" w:rsidP="3511F200">
      <w:r w:rsidRPr="00E45508">
        <w:t xml:space="preserve">The </w:t>
      </w:r>
      <w:r w:rsidR="5C60DDE2" w:rsidRPr="00E45508">
        <w:t>Australia</w:t>
      </w:r>
      <w:r w:rsidR="120C1D3D" w:rsidRPr="00E45508">
        <w:t>n</w:t>
      </w:r>
      <w:r w:rsidR="7D667442" w:rsidRPr="00E45508">
        <w:t xml:space="preserve"> Government is also working closely with other national governments to negotiate an international legally binding instrument to end plastic pollution, including in the marine environment (the instrument). Through these negotiations, the </w:t>
      </w:r>
      <w:r w:rsidR="1A5DAA23" w:rsidRPr="00E45508">
        <w:t>government</w:t>
      </w:r>
      <w:r w:rsidR="7D667442" w:rsidRPr="00E45508">
        <w:t xml:space="preserve"> seeks an instrument that covers the full lifecycle of plastics, promotes a safe circular economy, accelerates international efforts to remove harmful chemicals from plastics, and includes globally binding obligations to complement Australia’s national-level actions.</w:t>
      </w:r>
    </w:p>
    <w:p w14:paraId="5CB86C13" w14:textId="19CE2903" w:rsidR="0050525C" w:rsidRDefault="3511F200">
      <w:r w:rsidRPr="00E45508">
        <w:t>Globally binding obligations will be important to ensure all nations play their part, and alongside a nationally reformed packaging system, will provide regulatory certainty for Australia’s circular economy.</w:t>
      </w:r>
    </w:p>
    <w:p w14:paraId="465D5DF3" w14:textId="7554ECFB" w:rsidR="7B9B9848" w:rsidRPr="00E45508" w:rsidRDefault="7B9B9848">
      <w:r w:rsidRPr="00E45508">
        <w:t xml:space="preserve">For more information on related domestic actions underway to transition Australia to a circular economy see </w:t>
      </w:r>
      <w:r w:rsidR="002E23F6" w:rsidRPr="00E45508">
        <w:rPr>
          <w:u w:val="single"/>
        </w:rPr>
        <w:fldChar w:fldCharType="begin"/>
      </w:r>
      <w:r w:rsidR="002E23F6" w:rsidRPr="00E45508">
        <w:instrText xml:space="preserve"> REF _Ref177633503 \n \h </w:instrText>
      </w:r>
      <w:r w:rsidR="002E23F6" w:rsidRPr="00E45508">
        <w:rPr>
          <w:u w:val="single"/>
        </w:rPr>
      </w:r>
      <w:r w:rsidR="002E23F6" w:rsidRPr="00E45508">
        <w:rPr>
          <w:u w:val="single"/>
        </w:rPr>
        <w:fldChar w:fldCharType="separate"/>
      </w:r>
      <w:r w:rsidR="009A2EC4">
        <w:t>Appendix B</w:t>
      </w:r>
      <w:r w:rsidR="002E23F6" w:rsidRPr="00E45508">
        <w:rPr>
          <w:u w:val="single"/>
        </w:rPr>
        <w:fldChar w:fldCharType="end"/>
      </w:r>
      <w:r w:rsidRPr="00E45508">
        <w:t>.</w:t>
      </w:r>
    </w:p>
    <w:p w14:paraId="4068ED4C" w14:textId="77777777" w:rsidR="00AA77D0" w:rsidRPr="00E45508" w:rsidRDefault="00AA77D0" w:rsidP="007A0B5B">
      <w:pPr>
        <w:pStyle w:val="Heading4"/>
      </w:pPr>
      <w:r w:rsidRPr="00E45508">
        <w:t>International best practice</w:t>
      </w:r>
    </w:p>
    <w:p w14:paraId="7F8C2040" w14:textId="4B9AF3B0" w:rsidR="003E4F9A" w:rsidRPr="00E45508" w:rsidRDefault="00A01346" w:rsidP="00736A92">
      <w:pPr>
        <w:spacing w:after="120"/>
      </w:pPr>
      <w:r w:rsidRPr="00E45508">
        <w:t xml:space="preserve">In </w:t>
      </w:r>
      <w:r w:rsidR="00F73BF6" w:rsidRPr="00E45508">
        <w:t xml:space="preserve">considering reforms for packaging </w:t>
      </w:r>
      <w:r w:rsidR="00321B6A" w:rsidRPr="00E45508">
        <w:t>regulation</w:t>
      </w:r>
      <w:r w:rsidR="00F73BF6" w:rsidRPr="00E45508">
        <w:t xml:space="preserve"> in Australia, we</w:t>
      </w:r>
      <w:r w:rsidR="001651AB" w:rsidRPr="00E45508">
        <w:t xml:space="preserve"> </w:t>
      </w:r>
      <w:r w:rsidR="00B10C80" w:rsidRPr="00E45508">
        <w:t>are</w:t>
      </w:r>
      <w:r w:rsidR="00626014" w:rsidRPr="00E45508">
        <w:t xml:space="preserve"> a</w:t>
      </w:r>
      <w:r w:rsidR="002D5F61" w:rsidRPr="00E45508">
        <w:t>ssess</w:t>
      </w:r>
      <w:r w:rsidR="00626014" w:rsidRPr="00E45508">
        <w:t>ing</w:t>
      </w:r>
      <w:r w:rsidR="002D5F61" w:rsidRPr="00E45508">
        <w:t xml:space="preserve"> the relevance of </w:t>
      </w:r>
      <w:r w:rsidR="00D84660" w:rsidRPr="00E45508">
        <w:t>a</w:t>
      </w:r>
      <w:r w:rsidR="003E4F9A" w:rsidRPr="00E45508">
        <w:t xml:space="preserve"> variety of tools being considered and implemented around the world</w:t>
      </w:r>
      <w:r w:rsidR="00D84660" w:rsidRPr="00E45508">
        <w:t xml:space="preserve">. These tools </w:t>
      </w:r>
      <w:r w:rsidR="00DD274E" w:rsidRPr="00E45508">
        <w:t>have been designed</w:t>
      </w:r>
      <w:r w:rsidR="003E4F9A" w:rsidRPr="00E45508">
        <w:t xml:space="preserve"> to achieve the objective of a circular economy</w:t>
      </w:r>
      <w:r w:rsidR="00B37F79" w:rsidRPr="00E45508">
        <w:t>,</w:t>
      </w:r>
      <w:r w:rsidR="003E4F9A" w:rsidRPr="00E45508">
        <w:t xml:space="preserve"> reduction</w:t>
      </w:r>
      <w:r w:rsidR="00B37F79" w:rsidRPr="00E45508">
        <w:t>s in</w:t>
      </w:r>
      <w:r w:rsidR="003E4F9A" w:rsidRPr="00E45508">
        <w:t xml:space="preserve"> packaging materials going to landfill, and increase</w:t>
      </w:r>
      <w:r w:rsidR="00B37F79" w:rsidRPr="00E45508">
        <w:t>s</w:t>
      </w:r>
      <w:r w:rsidR="003E4F9A" w:rsidRPr="00E45508">
        <w:t xml:space="preserve"> in recycling, including:</w:t>
      </w:r>
    </w:p>
    <w:p w14:paraId="3DBE3355" w14:textId="1E4178A1" w:rsidR="003E4F9A" w:rsidRPr="00E45508" w:rsidRDefault="00736A92" w:rsidP="009C1F84">
      <w:pPr>
        <w:pStyle w:val="ListBullet"/>
      </w:pPr>
      <w:r w:rsidRPr="00E45508">
        <w:t>i</w:t>
      </w:r>
      <w:r w:rsidR="003E4F9A" w:rsidRPr="00E45508">
        <w:t>ncentivising sustainable design, including the use of eco</w:t>
      </w:r>
      <w:r w:rsidR="0054143F" w:rsidRPr="00E45508">
        <w:t>-</w:t>
      </w:r>
      <w:r w:rsidR="003E4F9A" w:rsidRPr="00E45508">
        <w:t>modulated fees</w:t>
      </w:r>
    </w:p>
    <w:p w14:paraId="44C415ED" w14:textId="423BA61C" w:rsidR="003E4F9A" w:rsidRPr="00E45508" w:rsidRDefault="00736A92" w:rsidP="009C1F84">
      <w:pPr>
        <w:pStyle w:val="ListBullet"/>
      </w:pPr>
      <w:r w:rsidRPr="00E45508">
        <w:t>p</w:t>
      </w:r>
      <w:r w:rsidR="003E4F9A" w:rsidRPr="00E45508">
        <w:t xml:space="preserve">romoting recyclability and use of recycled materials </w:t>
      </w:r>
    </w:p>
    <w:p w14:paraId="3189FAF7" w14:textId="169B318F" w:rsidR="003E4F9A" w:rsidRPr="00E45508" w:rsidRDefault="00736A92" w:rsidP="009C1F84">
      <w:pPr>
        <w:pStyle w:val="ListBullet"/>
      </w:pPr>
      <w:r w:rsidRPr="00E45508">
        <w:t>m</w:t>
      </w:r>
      <w:r w:rsidR="003E4F9A" w:rsidRPr="00E45508">
        <w:t>andating recovery and recycling</w:t>
      </w:r>
    </w:p>
    <w:p w14:paraId="156DB5B7" w14:textId="3E472FB8" w:rsidR="003E4F9A" w:rsidRPr="00E45508" w:rsidRDefault="00736A92" w:rsidP="009C1F84">
      <w:pPr>
        <w:pStyle w:val="ListBullet"/>
      </w:pPr>
      <w:r w:rsidRPr="00E45508">
        <w:t>r</w:t>
      </w:r>
      <w:r w:rsidR="003E4F9A" w:rsidRPr="00E45508">
        <w:t xml:space="preserve">equiring uptake of reuse </w:t>
      </w:r>
      <w:r w:rsidR="00C53A93">
        <w:t>and refill</w:t>
      </w:r>
      <w:r w:rsidR="003E4F9A">
        <w:t xml:space="preserve"> </w:t>
      </w:r>
      <w:r w:rsidR="003E4F9A" w:rsidRPr="00E45508">
        <w:t>systems</w:t>
      </w:r>
    </w:p>
    <w:p w14:paraId="2CE0FB1C" w14:textId="3AB353DC" w:rsidR="003E4F9A" w:rsidRPr="00E45508" w:rsidRDefault="00736A92" w:rsidP="009C1F84">
      <w:pPr>
        <w:pStyle w:val="ListBullet"/>
      </w:pPr>
      <w:r w:rsidRPr="00E45508">
        <w:t>t</w:t>
      </w:r>
      <w:r w:rsidR="003E4F9A" w:rsidRPr="00E45508">
        <w:t>axing the use of virgin materials</w:t>
      </w:r>
    </w:p>
    <w:p w14:paraId="4E0E1B8A" w14:textId="5D6F779C" w:rsidR="003E4F9A" w:rsidRPr="00E45508" w:rsidRDefault="00736A92" w:rsidP="009C1F84">
      <w:pPr>
        <w:pStyle w:val="ListBullet"/>
      </w:pPr>
      <w:r w:rsidRPr="00E45508">
        <w:t>b</w:t>
      </w:r>
      <w:r w:rsidR="003E4F9A" w:rsidRPr="00E45508">
        <w:t>anning certain materials or packaging types</w:t>
      </w:r>
      <w:r w:rsidRPr="00E45508">
        <w:t>.</w:t>
      </w:r>
    </w:p>
    <w:p w14:paraId="4F4AAA4A" w14:textId="666F30A5" w:rsidR="00657A37" w:rsidRPr="00E45508" w:rsidRDefault="003E4F9A" w:rsidP="008839D3">
      <w:r w:rsidRPr="00E45508">
        <w:t>Best practice approaches</w:t>
      </w:r>
      <w:r w:rsidR="00C978B4" w:rsidRPr="00E45508">
        <w:t xml:space="preserve"> being adopted</w:t>
      </w:r>
      <w:r w:rsidRPr="00E45508">
        <w:t xml:space="preserve"> involve Extended Producer Responsibility (EPR) schemes that shift financial responsibility for waste packaging from taxpayers to the businesses who produce and profit from those products.</w:t>
      </w:r>
    </w:p>
    <w:p w14:paraId="0ED54700" w14:textId="0CBD0B4F" w:rsidR="0051227D" w:rsidRPr="00E45508" w:rsidRDefault="0051227D" w:rsidP="008839D3">
      <w:r>
        <w:fldChar w:fldCharType="begin"/>
      </w:r>
      <w:r>
        <w:instrText xml:space="preserve"> REF _Ref178173989 \h </w:instrText>
      </w:r>
      <w:r>
        <w:fldChar w:fldCharType="separate"/>
      </w:r>
      <w:r w:rsidR="009A2EC4" w:rsidRPr="00E45508">
        <w:t xml:space="preserve">Box </w:t>
      </w:r>
      <w:r w:rsidR="009A2EC4">
        <w:rPr>
          <w:noProof/>
        </w:rPr>
        <w:t>1</w:t>
      </w:r>
      <w:r>
        <w:fldChar w:fldCharType="end"/>
      </w:r>
      <w:r>
        <w:t xml:space="preserve"> and </w:t>
      </w:r>
      <w:r>
        <w:fldChar w:fldCharType="begin"/>
      </w:r>
      <w:r>
        <w:instrText xml:space="preserve"> REF _Ref178179230 \h </w:instrText>
      </w:r>
      <w:r>
        <w:fldChar w:fldCharType="separate"/>
      </w:r>
      <w:r w:rsidR="009A2EC4" w:rsidRPr="00E45508">
        <w:t xml:space="preserve">Box </w:t>
      </w:r>
      <w:r w:rsidR="009A2EC4">
        <w:rPr>
          <w:noProof/>
        </w:rPr>
        <w:t>2</w:t>
      </w:r>
      <w:r>
        <w:fldChar w:fldCharType="end"/>
      </w:r>
      <w:r>
        <w:t xml:space="preserve"> </w:t>
      </w:r>
      <w:r w:rsidR="00087C67">
        <w:t>provide case studies of</w:t>
      </w:r>
      <w:r w:rsidR="00A30F2F">
        <w:t xml:space="preserve"> approaches being taken in the European Union and Canada</w:t>
      </w:r>
      <w:r w:rsidR="00087C67">
        <w:t>, respectively.</w:t>
      </w:r>
    </w:p>
    <w:tbl>
      <w:tblPr>
        <w:tblStyle w:val="TableGrid"/>
        <w:tblW w:w="0" w:type="auto"/>
        <w:tblLook w:val="04A0" w:firstRow="1" w:lastRow="0" w:firstColumn="1" w:lastColumn="0" w:noHBand="0" w:noVBand="1"/>
      </w:tblPr>
      <w:tblGrid>
        <w:gridCol w:w="9060"/>
      </w:tblGrid>
      <w:tr w:rsidR="00BE39ED" w:rsidRPr="00E45508" w14:paraId="2B6C4BA8" w14:textId="77777777" w:rsidTr="008C7607">
        <w:tc>
          <w:tcPr>
            <w:tcW w:w="9060" w:type="dxa"/>
            <w:shd w:val="clear" w:color="auto" w:fill="F2F2F2" w:themeFill="background1" w:themeFillShade="F2"/>
          </w:tcPr>
          <w:p w14:paraId="53668458" w14:textId="70C169BB" w:rsidR="00BE39ED" w:rsidRPr="00E45508" w:rsidRDefault="00BE39ED" w:rsidP="00C915A5">
            <w:pPr>
              <w:pStyle w:val="Caption"/>
            </w:pPr>
            <w:bookmarkStart w:id="34" w:name="_Ref178173989"/>
            <w:bookmarkStart w:id="35" w:name="_Toc178229391"/>
            <w:r w:rsidRPr="00E45508">
              <w:t xml:space="preserve">Box </w:t>
            </w:r>
            <w:r w:rsidRPr="00E45508">
              <w:fldChar w:fldCharType="begin"/>
            </w:r>
            <w:r w:rsidRPr="00E45508">
              <w:instrText>SEQ Box \* ARABIC</w:instrText>
            </w:r>
            <w:r w:rsidRPr="00E45508">
              <w:fldChar w:fldCharType="separate"/>
            </w:r>
            <w:r w:rsidR="009A2EC4">
              <w:rPr>
                <w:noProof/>
              </w:rPr>
              <w:t>1</w:t>
            </w:r>
            <w:r w:rsidRPr="00E45508">
              <w:fldChar w:fldCharType="end"/>
            </w:r>
            <w:bookmarkEnd w:id="34"/>
            <w:r w:rsidRPr="00E45508">
              <w:t>: Case study - Packaging and Packaging Waste Regulation</w:t>
            </w:r>
            <w:bookmarkEnd w:id="35"/>
          </w:p>
          <w:p w14:paraId="1EF00DFF" w14:textId="1FA31452" w:rsidR="00BE39ED" w:rsidRPr="00E45508" w:rsidRDefault="00BE39ED" w:rsidP="00764062">
            <w:pPr>
              <w:pStyle w:val="BoxText"/>
            </w:pPr>
            <w:r w:rsidRPr="00E45508">
              <w:t xml:space="preserve">This year, the European Parliament </w:t>
            </w:r>
            <w:r w:rsidR="006C1D73">
              <w:t>(20</w:t>
            </w:r>
            <w:r w:rsidR="00004402">
              <w:t xml:space="preserve">24) </w:t>
            </w:r>
            <w:r w:rsidRPr="00E45508">
              <w:t>adopted new measures to make packaging more sustainable and reduce packaging waste in the European Union. The Packaging and Packaging Waste Regulation (PPWR) promotes sustainable packaging through EPR systems, with eco-modulated fees that incentivise packaging design for recyclability.</w:t>
            </w:r>
          </w:p>
          <w:p w14:paraId="7A55A3EF" w14:textId="77777777" w:rsidR="00BE39ED" w:rsidRPr="00E45508" w:rsidRDefault="00BE39ED" w:rsidP="00764062">
            <w:pPr>
              <w:pStyle w:val="BoxText"/>
            </w:pPr>
            <w:r w:rsidRPr="00E45508">
              <w:t>Measures under the PPWR aim to:</w:t>
            </w:r>
          </w:p>
          <w:p w14:paraId="427EFFC9" w14:textId="77777777" w:rsidR="00BE39ED" w:rsidRPr="00E45508" w:rsidRDefault="00BE39ED" w:rsidP="00DF2EE1">
            <w:pPr>
              <w:pStyle w:val="BoxTextBullet"/>
            </w:pPr>
            <w:r w:rsidRPr="00E45508">
              <w:t>Reduce the amount of packaging placed on the market.</w:t>
            </w:r>
          </w:p>
          <w:p w14:paraId="1D279485" w14:textId="77777777" w:rsidR="00BE39ED" w:rsidRPr="00E45508" w:rsidRDefault="00BE39ED" w:rsidP="00DF2EE1">
            <w:pPr>
              <w:pStyle w:val="BoxTextBullet"/>
            </w:pPr>
            <w:r w:rsidRPr="00E45508">
              <w:t>Prevent the generation of packaging waste, through packaging minimisation and increased reuse.</w:t>
            </w:r>
          </w:p>
          <w:p w14:paraId="12796545" w14:textId="77777777" w:rsidR="00BE39ED" w:rsidRPr="00E45508" w:rsidRDefault="00BE39ED" w:rsidP="00DF2EE1">
            <w:pPr>
              <w:pStyle w:val="BoxTextBullet"/>
            </w:pPr>
            <w:r w:rsidRPr="00E45508">
              <w:t>Increase the use of recycled content in plastic packaging.</w:t>
            </w:r>
          </w:p>
          <w:p w14:paraId="562ECF52" w14:textId="77777777" w:rsidR="00BE39ED" w:rsidRPr="00E45508" w:rsidRDefault="00BE39ED" w:rsidP="00764062">
            <w:pPr>
              <w:pStyle w:val="BoxText"/>
            </w:pPr>
            <w:r w:rsidRPr="00E45508">
              <w:t>The regulation sets mandatory targets for packaging reduction, recyclability, recycling rates, reuse, and the use of recycled content.</w:t>
            </w:r>
          </w:p>
          <w:p w14:paraId="71A03DB5" w14:textId="60BAC3C7" w:rsidR="00BE39ED" w:rsidRPr="00E45508" w:rsidRDefault="00BE39ED" w:rsidP="00764062">
            <w:pPr>
              <w:pStyle w:val="BoxText"/>
            </w:pPr>
            <w:r w:rsidRPr="00E45508">
              <w:t>Packaging recyclability will be assessed against performance grades A, B, and C. From</w:t>
            </w:r>
            <w:r w:rsidR="00421651" w:rsidRPr="00E45508">
              <w:t> 2</w:t>
            </w:r>
            <w:r w:rsidRPr="00E45508">
              <w:t>030, recyclability performance will be based on design for recycling criteria, and from</w:t>
            </w:r>
            <w:r w:rsidR="00421651" w:rsidRPr="00E45508">
              <w:t> 2</w:t>
            </w:r>
            <w:r w:rsidRPr="00E45508">
              <w:t>035, packaging will also be assessed on whether it is ‘recycled at scale’. From</w:t>
            </w:r>
            <w:r w:rsidR="00421651" w:rsidRPr="00E45508">
              <w:t> 2</w:t>
            </w:r>
            <w:r w:rsidRPr="00E45508">
              <w:t>030, packaging that is rated as technically non-recyclable (below performance grade C) cannot be placed on the market. From</w:t>
            </w:r>
            <w:r w:rsidR="00421651" w:rsidRPr="00E45508">
              <w:t> 2</w:t>
            </w:r>
            <w:r w:rsidRPr="00E45508">
              <w:t>038, this restriction will include performance grade C.</w:t>
            </w:r>
          </w:p>
        </w:tc>
      </w:tr>
    </w:tbl>
    <w:p w14:paraId="41EE05B2" w14:textId="74AEF479" w:rsidR="00BE39ED" w:rsidRPr="00E45508" w:rsidRDefault="00BE39ED" w:rsidP="00C915A5">
      <w:pPr>
        <w:pStyle w:val="Caption"/>
      </w:pPr>
    </w:p>
    <w:tbl>
      <w:tblPr>
        <w:tblStyle w:val="TableGrid"/>
        <w:tblW w:w="0" w:type="auto"/>
        <w:tblLook w:val="04A0" w:firstRow="1" w:lastRow="0" w:firstColumn="1" w:lastColumn="0" w:noHBand="0" w:noVBand="1"/>
      </w:tblPr>
      <w:tblGrid>
        <w:gridCol w:w="9060"/>
      </w:tblGrid>
      <w:tr w:rsidR="00BE39ED" w:rsidRPr="00E45508" w14:paraId="388F4C95" w14:textId="77777777" w:rsidTr="008C7607">
        <w:tc>
          <w:tcPr>
            <w:tcW w:w="9060" w:type="dxa"/>
            <w:shd w:val="clear" w:color="auto" w:fill="F2F2F2" w:themeFill="background1" w:themeFillShade="F2"/>
          </w:tcPr>
          <w:p w14:paraId="212BEF0F" w14:textId="26A6FF78" w:rsidR="00BE39ED" w:rsidRPr="00E45508" w:rsidRDefault="00BE39ED" w:rsidP="00C915A5">
            <w:pPr>
              <w:pStyle w:val="Caption"/>
            </w:pPr>
            <w:bookmarkStart w:id="36" w:name="_Ref178179230"/>
            <w:bookmarkStart w:id="37" w:name="_Toc178229392"/>
            <w:r w:rsidRPr="00E45508">
              <w:t xml:space="preserve">Box </w:t>
            </w:r>
            <w:r w:rsidRPr="00E45508">
              <w:fldChar w:fldCharType="begin"/>
            </w:r>
            <w:r w:rsidRPr="00E45508">
              <w:instrText>SEQ Box \* ARABIC</w:instrText>
            </w:r>
            <w:r w:rsidRPr="00E45508">
              <w:fldChar w:fldCharType="separate"/>
            </w:r>
            <w:r w:rsidR="009A2EC4">
              <w:rPr>
                <w:noProof/>
              </w:rPr>
              <w:t>2</w:t>
            </w:r>
            <w:r w:rsidRPr="00E45508">
              <w:fldChar w:fldCharType="end"/>
            </w:r>
            <w:bookmarkEnd w:id="36"/>
            <w:r w:rsidRPr="00E45508">
              <w:t>: Case study - Recycled content and labelling requirements</w:t>
            </w:r>
            <w:bookmarkEnd w:id="37"/>
            <w:r w:rsidRPr="00E45508">
              <w:t xml:space="preserve"> </w:t>
            </w:r>
          </w:p>
          <w:p w14:paraId="2D7ECFBE" w14:textId="393DDDF6" w:rsidR="00BE39ED" w:rsidRPr="00E45508" w:rsidRDefault="00BE39ED" w:rsidP="00764062">
            <w:pPr>
              <w:pStyle w:val="BoxText"/>
            </w:pPr>
            <w:r w:rsidRPr="00E45508">
              <w:t xml:space="preserve">To increase recycling and reduce the impacts of plastic packaging, the Government </w:t>
            </w:r>
            <w:r w:rsidR="00D2415E">
              <w:t xml:space="preserve">of Canada (2023) </w:t>
            </w:r>
            <w:r w:rsidRPr="00E45508">
              <w:t>is proposing requirements for the use of recycled content in plastic packaging, and recyclability labelling rules for plastic packaging.</w:t>
            </w:r>
          </w:p>
          <w:p w14:paraId="74F475D3" w14:textId="3EC7FD19" w:rsidR="00BE39ED" w:rsidRPr="00E45508" w:rsidRDefault="00BE39ED" w:rsidP="00764062">
            <w:pPr>
              <w:pStyle w:val="BoxText"/>
            </w:pPr>
            <w:r w:rsidRPr="00E45508">
              <w:t>Under the new rules, liable businesses will need to meet minimum thresholds for recycled content in their plastic packaging by</w:t>
            </w:r>
            <w:r w:rsidR="00421651" w:rsidRPr="00E45508">
              <w:t> 2</w:t>
            </w:r>
            <w:r w:rsidRPr="00E45508">
              <w:t>030.</w:t>
            </w:r>
          </w:p>
          <w:p w14:paraId="61591CA2" w14:textId="77777777" w:rsidR="00BE39ED" w:rsidRPr="00E45508" w:rsidRDefault="00BE39ED" w:rsidP="00764062">
            <w:pPr>
              <w:pStyle w:val="BoxText"/>
            </w:pPr>
            <w:r w:rsidRPr="00E45508">
              <w:t>Mandatory requirements for recyclability labelling on plastic and compostable packaging will be set. Plastic packaging will need to meet collection, sorting, and reprocessing thresholds before displaying a ‘recyclable’ label. Packaging will not be able to make claims of compostability unless certified.</w:t>
            </w:r>
          </w:p>
          <w:p w14:paraId="009A3FD4" w14:textId="32AC4BCB" w:rsidR="00BE39ED" w:rsidRPr="00E45508" w:rsidRDefault="00BE39ED" w:rsidP="00764062">
            <w:pPr>
              <w:pStyle w:val="BoxText"/>
            </w:pPr>
            <w:r w:rsidRPr="00E45508">
              <w:t>These new requirements will exist alongside and complement existing local EPR policies in Canada.</w:t>
            </w:r>
          </w:p>
        </w:tc>
      </w:tr>
    </w:tbl>
    <w:p w14:paraId="20135616" w14:textId="77777777" w:rsidR="00A825F3" w:rsidRPr="00E45508" w:rsidRDefault="00A825F3">
      <w:pPr>
        <w:spacing w:after="0" w:line="240" w:lineRule="auto"/>
      </w:pPr>
      <w:r w:rsidRPr="00E45508">
        <w:br w:type="page"/>
      </w:r>
    </w:p>
    <w:p w14:paraId="2C7D00BC" w14:textId="73DED0E6" w:rsidR="003104CD" w:rsidRPr="00E45508" w:rsidRDefault="0EB023AA" w:rsidP="002A52C1">
      <w:pPr>
        <w:pStyle w:val="Heading2"/>
      </w:pPr>
      <w:bookmarkStart w:id="38" w:name="_Toc176450516"/>
      <w:bookmarkStart w:id="39" w:name="_Toc177126584"/>
      <w:bookmarkStart w:id="40" w:name="_Toc177492994"/>
      <w:bookmarkStart w:id="41" w:name="_Toc178230239"/>
      <w:r w:rsidRPr="00E45508">
        <w:t>What is the problem</w:t>
      </w:r>
      <w:r w:rsidR="3E901BB1" w:rsidRPr="00E45508">
        <w:t>?</w:t>
      </w:r>
      <w:bookmarkStart w:id="42" w:name="_Hlk112083541"/>
      <w:bookmarkEnd w:id="38"/>
      <w:bookmarkEnd w:id="39"/>
      <w:bookmarkEnd w:id="40"/>
      <w:bookmarkEnd w:id="41"/>
    </w:p>
    <w:p w14:paraId="7222A1B9" w14:textId="11D2C3B9" w:rsidR="00AC2CF4" w:rsidRPr="00E45508" w:rsidRDefault="005D7312" w:rsidP="00571F1E">
      <w:r w:rsidRPr="00E45508">
        <w:t xml:space="preserve">The current </w:t>
      </w:r>
      <w:r w:rsidR="00226C74" w:rsidRPr="00E45508">
        <w:t>co</w:t>
      </w:r>
      <w:r w:rsidR="0031563A" w:rsidRPr="00E45508">
        <w:t>-</w:t>
      </w:r>
      <w:r w:rsidR="00556422" w:rsidRPr="00E45508">
        <w:t>regulatory arrangement for packaging in Australia ha</w:t>
      </w:r>
      <w:r w:rsidR="5770574B" w:rsidRPr="00E45508">
        <w:t>s</w:t>
      </w:r>
      <w:r w:rsidR="00556422" w:rsidRPr="00E45508">
        <w:t xml:space="preserve"> been proven to be ineffective</w:t>
      </w:r>
      <w:r w:rsidR="00085086" w:rsidRPr="00E45508">
        <w:t xml:space="preserve"> (</w:t>
      </w:r>
      <w:r w:rsidR="00C71FB5" w:rsidRPr="00E45508">
        <w:t>mpc</w:t>
      </w:r>
      <w:r w:rsidR="00085086" w:rsidRPr="00E45508">
        <w:t>onsulting</w:t>
      </w:r>
      <w:r w:rsidR="00421651" w:rsidRPr="00E45508">
        <w:t> 2</w:t>
      </w:r>
      <w:r w:rsidR="00085086" w:rsidRPr="00E45508">
        <w:t>021</w:t>
      </w:r>
      <w:r w:rsidR="00BF203C" w:rsidRPr="00E45508">
        <w:t>;</w:t>
      </w:r>
      <w:r w:rsidR="00AF1485" w:rsidRPr="00E45508">
        <w:t xml:space="preserve"> APCO</w:t>
      </w:r>
      <w:r w:rsidR="00421651" w:rsidRPr="00E45508">
        <w:t> 2</w:t>
      </w:r>
      <w:r w:rsidR="00AF1485" w:rsidRPr="00E45508">
        <w:t>023</w:t>
      </w:r>
      <w:r w:rsidR="009852C8">
        <w:t>b</w:t>
      </w:r>
      <w:r w:rsidR="00085086" w:rsidRPr="00E45508">
        <w:t>)</w:t>
      </w:r>
      <w:r w:rsidR="00B55EC9" w:rsidRPr="00E45508">
        <w:t xml:space="preserve">. </w:t>
      </w:r>
      <w:r w:rsidR="00F539B3" w:rsidRPr="00E45508">
        <w:t xml:space="preserve">This coupled with the </w:t>
      </w:r>
      <w:r w:rsidR="00AC2CF4" w:rsidRPr="00E45508">
        <w:t xml:space="preserve">predominately linear economy model for packaging (take, make and dispose) </w:t>
      </w:r>
      <w:r w:rsidR="00437913" w:rsidRPr="00E45508">
        <w:t xml:space="preserve">in Australia </w:t>
      </w:r>
      <w:r w:rsidR="00AC2CF4" w:rsidRPr="00E45508">
        <w:t xml:space="preserve">is </w:t>
      </w:r>
      <w:r w:rsidR="009D6400" w:rsidRPr="00E45508">
        <w:t>adversely</w:t>
      </w:r>
      <w:r w:rsidR="00AC2CF4" w:rsidRPr="00E45508">
        <w:t xml:space="preserve"> impacting the environment, human health and the economy through:</w:t>
      </w:r>
    </w:p>
    <w:p w14:paraId="1F748063" w14:textId="2CE3C0B5" w:rsidR="00AC2CF4" w:rsidRPr="00E45508" w:rsidRDefault="00F2142F" w:rsidP="009C1F84">
      <w:pPr>
        <w:pStyle w:val="ListBullet"/>
      </w:pPr>
      <w:r w:rsidRPr="00E45508">
        <w:t>H</w:t>
      </w:r>
      <w:r w:rsidR="56DAD7FD" w:rsidRPr="00E45508">
        <w:t xml:space="preserve">igh volumes of packaging </w:t>
      </w:r>
      <w:r w:rsidR="00C155FD" w:rsidRPr="00E45508">
        <w:t>going</w:t>
      </w:r>
      <w:r w:rsidR="56DAD7FD" w:rsidRPr="00E45508">
        <w:t xml:space="preserve"> to landfill and leakage into the environment, causing harm to wildlife, marine life and ecosystems</w:t>
      </w:r>
      <w:r w:rsidR="00F115EC" w:rsidRPr="00E45508">
        <w:t>.</w:t>
      </w:r>
    </w:p>
    <w:p w14:paraId="35A3398F" w14:textId="6DFD9A36" w:rsidR="00AC2CF4" w:rsidRPr="00E45508" w:rsidRDefault="00F2142F" w:rsidP="009C1F84">
      <w:pPr>
        <w:pStyle w:val="ListBullet"/>
      </w:pPr>
      <w:r w:rsidRPr="00E45508">
        <w:t>T</w:t>
      </w:r>
      <w:r w:rsidR="097D8B72" w:rsidRPr="00E45508">
        <w:t>he inefficient use of natural resources and generation of significant waste</w:t>
      </w:r>
      <w:r w:rsidR="00F115EC" w:rsidRPr="00E45508">
        <w:t>.</w:t>
      </w:r>
    </w:p>
    <w:p w14:paraId="33183AA2" w14:textId="38566E48" w:rsidR="00474418" w:rsidRPr="00E45508" w:rsidRDefault="67B1FAAD" w:rsidP="002C3946">
      <w:r w:rsidRPr="00E45508">
        <w:rPr>
          <w:lang w:eastAsia="ja-JP"/>
        </w:rPr>
        <w:t>In</w:t>
      </w:r>
      <w:r w:rsidR="23273803" w:rsidRPr="00E45508">
        <w:rPr>
          <w:lang w:eastAsia="ja-JP"/>
        </w:rPr>
        <w:t>act</w:t>
      </w:r>
      <w:r w:rsidR="07EAE6DC" w:rsidRPr="00E45508">
        <w:rPr>
          <w:lang w:eastAsia="ja-JP"/>
        </w:rPr>
        <w:t>ion</w:t>
      </w:r>
      <w:r w:rsidR="23273803" w:rsidRPr="00E45508">
        <w:rPr>
          <w:lang w:eastAsia="ja-JP"/>
        </w:rPr>
        <w:t xml:space="preserve"> will mean that a</w:t>
      </w:r>
      <w:r w:rsidR="23273803" w:rsidRPr="00E45508">
        <w:rPr>
          <w:rFonts w:ascii="Calibri" w:eastAsia="Calibri" w:hAnsi="Calibri" w:cs="Calibri"/>
          <w:color w:val="000000" w:themeColor="text1"/>
        </w:rPr>
        <w:t>s packaging volumes continue to grow</w:t>
      </w:r>
      <w:r w:rsidR="003A2A7F" w:rsidRPr="00E45508">
        <w:rPr>
          <w:rFonts w:ascii="Calibri" w:eastAsia="Calibri" w:hAnsi="Calibri" w:cs="Calibri"/>
          <w:color w:val="000000" w:themeColor="text1"/>
        </w:rPr>
        <w:t>,</w:t>
      </w:r>
      <w:r w:rsidR="23273803" w:rsidRPr="00E45508">
        <w:rPr>
          <w:rFonts w:ascii="Calibri" w:eastAsia="Calibri" w:hAnsi="Calibri" w:cs="Calibri"/>
          <w:color w:val="000000" w:themeColor="text1"/>
        </w:rPr>
        <w:t xml:space="preserve"> the</w:t>
      </w:r>
      <w:r w:rsidR="362F643B" w:rsidRPr="00E45508">
        <w:rPr>
          <w:rFonts w:ascii="Calibri" w:eastAsia="Calibri" w:hAnsi="Calibri" w:cs="Calibri"/>
          <w:color w:val="000000" w:themeColor="text1"/>
        </w:rPr>
        <w:t>se</w:t>
      </w:r>
      <w:r w:rsidR="23273803" w:rsidRPr="00E45508">
        <w:rPr>
          <w:rFonts w:ascii="Calibri" w:eastAsia="Calibri" w:hAnsi="Calibri" w:cs="Calibri"/>
          <w:color w:val="000000" w:themeColor="text1"/>
        </w:rPr>
        <w:t xml:space="preserve"> environmental impacts will increase. </w:t>
      </w:r>
      <w:r w:rsidR="00693052" w:rsidRPr="00E45508">
        <w:t xml:space="preserve">Applying </w:t>
      </w:r>
      <w:r w:rsidR="0054398B" w:rsidRPr="00E45508">
        <w:t>APCO</w:t>
      </w:r>
      <w:r w:rsidR="008B1275" w:rsidRPr="00E45508">
        <w:t>’s projected</w:t>
      </w:r>
      <w:r w:rsidR="00421651" w:rsidRPr="00E45508">
        <w:t xml:space="preserve"> 3</w:t>
      </w:r>
      <w:r w:rsidR="3ED19E4F" w:rsidRPr="00E45508">
        <w:t>.6%</w:t>
      </w:r>
      <w:r w:rsidR="00421651" w:rsidRPr="00E45508">
        <w:t> </w:t>
      </w:r>
      <w:r w:rsidR="008B1275" w:rsidRPr="00E45508">
        <w:t xml:space="preserve">annual growth rates </w:t>
      </w:r>
      <w:r w:rsidR="004A6836" w:rsidRPr="00E45508">
        <w:t>for</w:t>
      </w:r>
      <w:r w:rsidR="008B1275" w:rsidRPr="00E45508">
        <w:t xml:space="preserve"> packaging f</w:t>
      </w:r>
      <w:r w:rsidR="004A6836" w:rsidRPr="00E45508">
        <w:t>rom</w:t>
      </w:r>
      <w:r w:rsidR="00421651" w:rsidRPr="00E45508">
        <w:t xml:space="preserve"> 2</w:t>
      </w:r>
      <w:r w:rsidR="003903C2" w:rsidRPr="00E45508">
        <w:t>020</w:t>
      </w:r>
      <w:r w:rsidR="00421651" w:rsidRPr="00E45508">
        <w:noBreakHyphen/>
      </w:r>
      <w:r w:rsidR="003903C2" w:rsidRPr="00E45508">
        <w:t xml:space="preserve">2025 </w:t>
      </w:r>
      <w:r w:rsidR="002C344C" w:rsidRPr="00E45508">
        <w:t>(</w:t>
      </w:r>
      <w:r w:rsidR="00421651" w:rsidRPr="00E45508">
        <w:t>2</w:t>
      </w:r>
      <w:r w:rsidR="002C344C" w:rsidRPr="00E45508">
        <w:t>02</w:t>
      </w:r>
      <w:r w:rsidR="003B0DC8" w:rsidRPr="00E45508">
        <w:t>3</w:t>
      </w:r>
      <w:r w:rsidR="0053100A">
        <w:t>a</w:t>
      </w:r>
      <w:r w:rsidR="003B0DC8" w:rsidRPr="00E45508">
        <w:t>)</w:t>
      </w:r>
      <w:r w:rsidR="2D8B2274" w:rsidRPr="00E45508">
        <w:t xml:space="preserve">, </w:t>
      </w:r>
      <w:r w:rsidR="000C79DC" w:rsidRPr="00E45508">
        <w:t xml:space="preserve">there could be </w:t>
      </w:r>
      <w:r w:rsidR="00977909" w:rsidRPr="00E45508">
        <w:t>more than</w:t>
      </w:r>
      <w:r w:rsidR="00421651" w:rsidRPr="00E45508">
        <w:t> 1</w:t>
      </w:r>
      <w:r w:rsidR="00431C7F" w:rsidRPr="00E45508">
        <w:t>2</w:t>
      </w:r>
      <w:r w:rsidR="000C79DC" w:rsidRPr="00E45508">
        <w:t xml:space="preserve"> million tonnes of packaging </w:t>
      </w:r>
      <w:r w:rsidR="00A32406" w:rsidRPr="00E45508">
        <w:t xml:space="preserve">placed on the market </w:t>
      </w:r>
      <w:r w:rsidR="004A6836" w:rsidRPr="00E45508">
        <w:t>each year by</w:t>
      </w:r>
      <w:r w:rsidR="00421651" w:rsidRPr="00E45508">
        <w:t> 2</w:t>
      </w:r>
      <w:r w:rsidR="004A6836" w:rsidRPr="00E45508">
        <w:t>04</w:t>
      </w:r>
      <w:r w:rsidR="00431C7F" w:rsidRPr="00E45508">
        <w:t>0</w:t>
      </w:r>
      <w:r w:rsidR="00BD6C94" w:rsidRPr="00E45508">
        <w:t xml:space="preserve"> (</w:t>
      </w:r>
      <w:r w:rsidR="008175BE" w:rsidRPr="00E45508">
        <w:t>DCCEEW</w:t>
      </w:r>
      <w:r w:rsidR="00421651" w:rsidRPr="00E45508">
        <w:t> 2</w:t>
      </w:r>
      <w:r w:rsidR="008175BE" w:rsidRPr="00E45508">
        <w:t>024c)</w:t>
      </w:r>
      <w:r w:rsidR="004A6836" w:rsidRPr="00E45508">
        <w:t>.</w:t>
      </w:r>
      <w:r w:rsidR="003903C2" w:rsidRPr="00E45508">
        <w:t xml:space="preserve"> </w:t>
      </w:r>
      <w:r w:rsidR="23273803" w:rsidRPr="00E45508">
        <w:t xml:space="preserve">This growth </w:t>
      </w:r>
      <w:r w:rsidR="003A2A7F" w:rsidRPr="00E45508">
        <w:t>will be</w:t>
      </w:r>
      <w:r w:rsidR="23273803" w:rsidRPr="00E45508">
        <w:t xml:space="preserve"> driven by population growth and the continuation of existing consumption habits, which favour convenience and fast-moving goods.</w:t>
      </w:r>
      <w:bookmarkStart w:id="43" w:name="_Toc177126696"/>
      <w:bookmarkEnd w:id="43"/>
    </w:p>
    <w:p w14:paraId="7862F35D" w14:textId="76901D94" w:rsidR="56859370" w:rsidRPr="00E45508" w:rsidRDefault="579E7A02" w:rsidP="00C44B4B">
      <w:pPr>
        <w:pStyle w:val="Heading3"/>
      </w:pPr>
      <w:bookmarkStart w:id="44" w:name="_Toc176450517"/>
      <w:bookmarkStart w:id="45" w:name="_Toc177126585"/>
      <w:bookmarkStart w:id="46" w:name="_Toc177492995"/>
      <w:bookmarkStart w:id="47" w:name="_Toc178230240"/>
      <w:r w:rsidRPr="00E45508">
        <w:t>L</w:t>
      </w:r>
      <w:r w:rsidR="24767E9F" w:rsidRPr="00E45508">
        <w:t>andfilled</w:t>
      </w:r>
      <w:r w:rsidR="4943B37C" w:rsidRPr="00E45508">
        <w:t xml:space="preserve"> </w:t>
      </w:r>
      <w:r w:rsidR="24767E9F" w:rsidRPr="00E45508">
        <w:t>packaging</w:t>
      </w:r>
      <w:r w:rsidR="6AD6E659" w:rsidRPr="00E45508">
        <w:t xml:space="preserve"> </w:t>
      </w:r>
      <w:r w:rsidR="4943B37C" w:rsidRPr="00E45508">
        <w:t>and litter</w:t>
      </w:r>
      <w:r w:rsidR="5621A0D8" w:rsidRPr="00E45508">
        <w:t xml:space="preserve"> are impacting </w:t>
      </w:r>
      <w:r w:rsidR="69598161" w:rsidRPr="00E45508">
        <w:t>our environment</w:t>
      </w:r>
      <w:bookmarkEnd w:id="44"/>
      <w:bookmarkEnd w:id="45"/>
      <w:bookmarkEnd w:id="46"/>
      <w:bookmarkEnd w:id="47"/>
    </w:p>
    <w:p w14:paraId="6EE8525B" w14:textId="7481305B" w:rsidR="00F93217" w:rsidRPr="00E45508" w:rsidRDefault="5B44EC85" w:rsidP="1EC2C0DA">
      <w:pPr>
        <w:rPr>
          <w:rFonts w:eastAsia="Calibri"/>
        </w:rPr>
      </w:pPr>
      <w:r w:rsidRPr="00E45508">
        <w:t>In Australia, in</w:t>
      </w:r>
      <w:r w:rsidR="002F49B9">
        <w:t xml:space="preserve"> </w:t>
      </w:r>
      <w:r w:rsidR="00421651" w:rsidRPr="00E45508">
        <w:t>2</w:t>
      </w:r>
      <w:r w:rsidRPr="00E45508">
        <w:t>021</w:t>
      </w:r>
      <w:r w:rsidR="002F49B9">
        <w:rPr>
          <w:rFonts w:ascii="Symbol" w:eastAsia="Symbol" w:hAnsi="Symbol" w:cs="Symbol"/>
        </w:rPr>
        <w:noBreakHyphen/>
      </w:r>
      <w:r w:rsidRPr="00E45508">
        <w:t>22, only 56% of the 6.98</w:t>
      </w:r>
      <w:r w:rsidR="002F49B9">
        <w:t> </w:t>
      </w:r>
      <w:r w:rsidRPr="00E45508">
        <w:t>million tonnes of packaging placed on the market was recovered (recycled, composted or used for energy)</w:t>
      </w:r>
      <w:r w:rsidR="300D5472" w:rsidRPr="00E45508">
        <w:t>. For plastic packaging, o</w:t>
      </w:r>
      <w:r w:rsidRPr="00E45508">
        <w:t>nly</w:t>
      </w:r>
      <w:r w:rsidR="00421651" w:rsidRPr="00E45508">
        <w:t> 2</w:t>
      </w:r>
      <w:r w:rsidRPr="00E45508">
        <w:t>0% was recovered.</w:t>
      </w:r>
      <w:r w:rsidR="00597AC1">
        <w:t xml:space="preserve"> </w:t>
      </w:r>
      <w:r w:rsidR="00421651" w:rsidRPr="00E45508">
        <w:t>3</w:t>
      </w:r>
      <w:r w:rsidR="002F49B9">
        <w:t> </w:t>
      </w:r>
      <w:r w:rsidRPr="00E45508">
        <w:t>million tonnes of packaging went to landfill</w:t>
      </w:r>
      <w:r w:rsidR="665885DC" w:rsidRPr="00E45508">
        <w:t xml:space="preserve"> (APCO</w:t>
      </w:r>
      <w:r w:rsidR="00421651" w:rsidRPr="00E45508">
        <w:t> 2</w:t>
      </w:r>
      <w:r w:rsidR="665885DC" w:rsidRPr="00E45508">
        <w:t>024a)</w:t>
      </w:r>
      <w:r w:rsidRPr="00E45508">
        <w:t>.</w:t>
      </w:r>
    </w:p>
    <w:p w14:paraId="1F4C445E" w14:textId="7115342D" w:rsidR="00F93217" w:rsidRPr="00E45508" w:rsidRDefault="40FFC0B2" w:rsidP="1EC2C0DA">
      <w:pPr>
        <w:rPr>
          <w:rFonts w:eastAsiaTheme="minorEastAsia"/>
        </w:rPr>
      </w:pPr>
      <w:r w:rsidRPr="00E45508">
        <w:t>O</w:t>
      </w:r>
      <w:r w:rsidR="00543F9F" w:rsidRPr="00E45508">
        <w:t>ur analysis suggests that c</w:t>
      </w:r>
      <w:r w:rsidR="00BE2631" w:rsidRPr="00E45508">
        <w:t>urrently l</w:t>
      </w:r>
      <w:r w:rsidR="00BC7D59" w:rsidRPr="00E45508">
        <w:t>andfilled packaging generates $340</w:t>
      </w:r>
      <w:r w:rsidR="002F49B9">
        <w:t> </w:t>
      </w:r>
      <w:r w:rsidR="00BC7D59" w:rsidRPr="00E45508">
        <w:t>million in environmental costs a year, in the form of emissions, energy usage, water usage, soil contamination and water pollution</w:t>
      </w:r>
      <w:r w:rsidR="00B87FB6" w:rsidRPr="00E45508">
        <w:t xml:space="preserve"> (DCCEEW</w:t>
      </w:r>
      <w:r w:rsidR="00421651" w:rsidRPr="00E45508">
        <w:t> 2</w:t>
      </w:r>
      <w:r w:rsidR="00B87FB6" w:rsidRPr="00E45508">
        <w:t>024c)</w:t>
      </w:r>
      <w:r w:rsidR="00BC7D59" w:rsidRPr="00E45508">
        <w:t xml:space="preserve">. </w:t>
      </w:r>
      <w:r w:rsidR="0084466C" w:rsidRPr="00E45508">
        <w:rPr>
          <w:rFonts w:eastAsiaTheme="minorEastAsia"/>
        </w:rPr>
        <w:t>Packaging waste sent to landfill has been estimated to have a potential unrealised value of $900 million</w:t>
      </w:r>
      <w:r w:rsidR="00863E7C" w:rsidRPr="00E45508">
        <w:rPr>
          <w:rFonts w:eastAsiaTheme="minorEastAsia"/>
        </w:rPr>
        <w:t xml:space="preserve"> (APCO</w:t>
      </w:r>
      <w:r w:rsidR="00421651" w:rsidRPr="00E45508">
        <w:rPr>
          <w:rFonts w:eastAsiaTheme="minorEastAsia"/>
        </w:rPr>
        <w:t> 2</w:t>
      </w:r>
      <w:r w:rsidR="001F50CA" w:rsidRPr="00E45508">
        <w:rPr>
          <w:rFonts w:eastAsiaTheme="minorEastAsia"/>
        </w:rPr>
        <w:t>024</w:t>
      </w:r>
      <w:r w:rsidR="00D8392F">
        <w:rPr>
          <w:rFonts w:eastAsiaTheme="minorEastAsia"/>
        </w:rPr>
        <w:t>a</w:t>
      </w:r>
      <w:r w:rsidR="001F50CA" w:rsidRPr="00E45508">
        <w:rPr>
          <w:rFonts w:eastAsiaTheme="minorEastAsia"/>
        </w:rPr>
        <w:t>)</w:t>
      </w:r>
      <w:r w:rsidR="001809B8" w:rsidRPr="00E45508">
        <w:rPr>
          <w:rFonts w:eastAsiaTheme="minorEastAsia"/>
        </w:rPr>
        <w:t>.</w:t>
      </w:r>
    </w:p>
    <w:p w14:paraId="3B164DF1" w14:textId="4372B522" w:rsidR="004A0782" w:rsidRPr="00E45508" w:rsidRDefault="36568D01" w:rsidP="00E14723">
      <w:pPr>
        <w:rPr>
          <w:rFonts w:eastAsiaTheme="minorEastAsia"/>
        </w:rPr>
      </w:pPr>
      <w:r w:rsidRPr="00E45508">
        <w:rPr>
          <w:rFonts w:eastAsiaTheme="minorEastAsia"/>
        </w:rPr>
        <w:t xml:space="preserve">Packaging is a significant contributor to litter. </w:t>
      </w:r>
      <w:r w:rsidR="004A0782" w:rsidRPr="00E45508">
        <w:rPr>
          <w:rFonts w:eastAsiaTheme="minorEastAsia"/>
        </w:rPr>
        <w:t>Clean Up Australia</w:t>
      </w:r>
      <w:r w:rsidR="00121B6A" w:rsidRPr="00E45508">
        <w:rPr>
          <w:rFonts w:eastAsiaTheme="minorEastAsia"/>
        </w:rPr>
        <w:t>’s Litter Report FY23</w:t>
      </w:r>
      <w:r w:rsidR="004A0782" w:rsidRPr="00E45508">
        <w:rPr>
          <w:rFonts w:eastAsiaTheme="minorEastAsia"/>
        </w:rPr>
        <w:t xml:space="preserve"> found packaging accounted for over 55% of litter reported during</w:t>
      </w:r>
      <w:r w:rsidR="00421651" w:rsidRPr="00E45508">
        <w:rPr>
          <w:rFonts w:eastAsiaTheme="minorEastAsia"/>
        </w:rPr>
        <w:t> 2</w:t>
      </w:r>
      <w:r w:rsidR="004A0782" w:rsidRPr="00E45508">
        <w:rPr>
          <w:rFonts w:eastAsiaTheme="minorEastAsia"/>
        </w:rPr>
        <w:t>022-23.</w:t>
      </w:r>
      <w:r w:rsidR="00D5375D" w:rsidRPr="00E45508">
        <w:rPr>
          <w:rFonts w:eastAsiaTheme="minorEastAsia"/>
        </w:rPr>
        <w:t xml:space="preserve"> It is also a si</w:t>
      </w:r>
      <w:r w:rsidR="006E4A54" w:rsidRPr="00E45508">
        <w:rPr>
          <w:rFonts w:eastAsiaTheme="minorEastAsia"/>
        </w:rPr>
        <w:t>gnificant contributor to plastic pollution.</w:t>
      </w:r>
      <w:r w:rsidR="006E4A54" w:rsidRPr="00E45508">
        <w:t xml:space="preserve"> </w:t>
      </w:r>
      <w:r w:rsidR="490B70B0" w:rsidRPr="00E45508">
        <w:t>Just under a third of plastic consumed in Australia in</w:t>
      </w:r>
      <w:r w:rsidR="00421651" w:rsidRPr="00E45508">
        <w:t> 2</w:t>
      </w:r>
      <w:r w:rsidR="490B70B0" w:rsidRPr="00E45508">
        <w:t>021-22 (31%) was in the form of packaging (</w:t>
      </w:r>
      <w:r w:rsidR="00362CC4" w:rsidRPr="00E45508">
        <w:t>O’Farrell et al.</w:t>
      </w:r>
      <w:r w:rsidR="00421651" w:rsidRPr="00E45508">
        <w:t> 2</w:t>
      </w:r>
      <w:r w:rsidR="00362CC4" w:rsidRPr="00E45508">
        <w:t>024</w:t>
      </w:r>
      <w:r w:rsidR="490B70B0" w:rsidRPr="00E45508">
        <w:t>)</w:t>
      </w:r>
      <w:r w:rsidR="0B65CF6E" w:rsidRPr="00E45508">
        <w:t>.</w:t>
      </w:r>
      <w:r w:rsidR="34EE1EB2" w:rsidRPr="00E45508">
        <w:t xml:space="preserve"> </w:t>
      </w:r>
      <w:r w:rsidR="3A3DD6B4" w:rsidRPr="00E45508">
        <w:t>Further,</w:t>
      </w:r>
      <w:r w:rsidR="490B70B0" w:rsidRPr="00E45508">
        <w:t xml:space="preserve"> </w:t>
      </w:r>
      <w:r w:rsidR="0EECC271" w:rsidRPr="00E45508">
        <w:t xml:space="preserve">Clean Up Australia </w:t>
      </w:r>
      <w:r w:rsidR="3F7A0D0F" w:rsidRPr="00E45508">
        <w:t xml:space="preserve">found </w:t>
      </w:r>
      <w:r w:rsidR="490B70B0" w:rsidRPr="00E45508">
        <w:t>p</w:t>
      </w:r>
      <w:r w:rsidR="004A0782" w:rsidRPr="00E45508">
        <w:rPr>
          <w:rFonts w:eastAsiaTheme="minorEastAsia"/>
        </w:rPr>
        <w:t xml:space="preserve">lastics accounted for </w:t>
      </w:r>
      <w:r w:rsidR="6BAD8006" w:rsidRPr="00E45508">
        <w:rPr>
          <w:rFonts w:eastAsiaTheme="minorEastAsia"/>
        </w:rPr>
        <w:t>8</w:t>
      </w:r>
      <w:r w:rsidR="42210360" w:rsidRPr="00E45508">
        <w:rPr>
          <w:rFonts w:eastAsiaTheme="minorEastAsia"/>
        </w:rPr>
        <w:t>1</w:t>
      </w:r>
      <w:r w:rsidR="67183113" w:rsidRPr="00E45508">
        <w:rPr>
          <w:rFonts w:eastAsiaTheme="minorEastAsia"/>
        </w:rPr>
        <w:t>%</w:t>
      </w:r>
      <w:r w:rsidR="6BAD8006" w:rsidRPr="00E45508">
        <w:rPr>
          <w:rFonts w:eastAsiaTheme="minorEastAsia"/>
        </w:rPr>
        <w:t xml:space="preserve"> of litter</w:t>
      </w:r>
      <w:r w:rsidR="4A34B533" w:rsidRPr="00E45508">
        <w:t xml:space="preserve"> in</w:t>
      </w:r>
      <w:r w:rsidR="00421651" w:rsidRPr="00E45508">
        <w:t> 2</w:t>
      </w:r>
      <w:r w:rsidR="4A34B533" w:rsidRPr="00E45508">
        <w:t>022-23</w:t>
      </w:r>
      <w:r w:rsidR="6BAD8006" w:rsidRPr="00E45508">
        <w:rPr>
          <w:rFonts w:eastAsiaTheme="minorEastAsia"/>
        </w:rPr>
        <w:t xml:space="preserve">, </w:t>
      </w:r>
      <w:r w:rsidR="00CD22B3" w:rsidRPr="00E45508">
        <w:rPr>
          <w:rFonts w:eastAsiaTheme="minorEastAsia"/>
        </w:rPr>
        <w:t xml:space="preserve">much </w:t>
      </w:r>
      <w:r w:rsidR="6BAD8006" w:rsidRPr="00E45508">
        <w:rPr>
          <w:rFonts w:eastAsiaTheme="minorEastAsia"/>
        </w:rPr>
        <w:t xml:space="preserve">of which </w:t>
      </w:r>
      <w:r w:rsidR="0BCCC3E5" w:rsidRPr="00E45508">
        <w:rPr>
          <w:rFonts w:eastAsiaTheme="minorEastAsia"/>
        </w:rPr>
        <w:t>was plastic packaging (</w:t>
      </w:r>
      <w:r w:rsidR="01DF48D6" w:rsidRPr="00E45508">
        <w:rPr>
          <w:rFonts w:eastAsiaTheme="minorEastAsia"/>
        </w:rPr>
        <w:t xml:space="preserve">soft plastics, </w:t>
      </w:r>
      <w:r w:rsidR="00E02250" w:rsidRPr="00E45508">
        <w:rPr>
          <w:rFonts w:eastAsiaTheme="minorEastAsia"/>
        </w:rPr>
        <w:t xml:space="preserve">food </w:t>
      </w:r>
      <w:r w:rsidR="0BCCC3E5" w:rsidRPr="00E45508">
        <w:rPr>
          <w:rFonts w:eastAsiaTheme="minorEastAsia"/>
        </w:rPr>
        <w:t>packaging</w:t>
      </w:r>
      <w:r w:rsidR="23D13D3D" w:rsidRPr="00E45508">
        <w:rPr>
          <w:rFonts w:eastAsiaTheme="minorEastAsia"/>
        </w:rPr>
        <w:t xml:space="preserve"> and </w:t>
      </w:r>
      <w:r w:rsidR="0BCCC3E5" w:rsidRPr="00E45508">
        <w:rPr>
          <w:rFonts w:eastAsiaTheme="minorEastAsia"/>
        </w:rPr>
        <w:t>beverage containers</w:t>
      </w:r>
      <w:r w:rsidR="006E4A54" w:rsidRPr="00E45508">
        <w:rPr>
          <w:rFonts w:eastAsiaTheme="minorEastAsia"/>
        </w:rPr>
        <w:t>) (Clean Up Australia</w:t>
      </w:r>
      <w:r w:rsidR="00421651" w:rsidRPr="00E45508">
        <w:rPr>
          <w:rFonts w:eastAsiaTheme="minorEastAsia"/>
        </w:rPr>
        <w:t> 2</w:t>
      </w:r>
      <w:r w:rsidR="006E4A54" w:rsidRPr="00E45508">
        <w:rPr>
          <w:rFonts w:eastAsiaTheme="minorEastAsia"/>
        </w:rPr>
        <w:t>023).</w:t>
      </w:r>
      <w:r w:rsidR="001472F2" w:rsidRPr="00E45508">
        <w:rPr>
          <w:rFonts w:eastAsiaTheme="minorEastAsia"/>
        </w:rPr>
        <w:t xml:space="preserve"> </w:t>
      </w:r>
      <w:r w:rsidR="490B70B0" w:rsidRPr="00E45508">
        <w:t>Reducing the environmental impacts of packaging is</w:t>
      </w:r>
      <w:r w:rsidR="69B46036" w:rsidRPr="00E45508">
        <w:t xml:space="preserve"> </w:t>
      </w:r>
      <w:r w:rsidR="490B70B0" w:rsidRPr="00E45508">
        <w:t>critical to address plastic pollution.</w:t>
      </w:r>
    </w:p>
    <w:p w14:paraId="502C6EA4" w14:textId="4CD6D236" w:rsidR="004A0782" w:rsidRPr="00E45508" w:rsidRDefault="07150D96" w:rsidP="00E14723">
      <w:pPr>
        <w:rPr>
          <w:rFonts w:eastAsiaTheme="minorEastAsia"/>
        </w:rPr>
      </w:pPr>
      <w:r w:rsidRPr="00E45508">
        <w:t>P</w:t>
      </w:r>
      <w:r w:rsidR="71AEB863" w:rsidRPr="00E45508">
        <w:t>lastic</w:t>
      </w:r>
      <w:r w:rsidR="004A0782" w:rsidRPr="00E45508">
        <w:t xml:space="preserve"> is largely made from fossil fuels and can take hundreds of years to break</w:t>
      </w:r>
      <w:r w:rsidR="00FF1A52" w:rsidRPr="00E45508">
        <w:t xml:space="preserve"> </w:t>
      </w:r>
      <w:r w:rsidR="004A0782" w:rsidRPr="00E45508">
        <w:t>down in our environment.</w:t>
      </w:r>
      <w:r w:rsidR="004A0782" w:rsidRPr="00E45508">
        <w:rPr>
          <w:rFonts w:eastAsiaTheme="minorEastAsia"/>
        </w:rPr>
        <w:t xml:space="preserve"> Over 800 animal species are already known to be affected by marine plastic pollution</w:t>
      </w:r>
      <w:r w:rsidR="00B277FB" w:rsidRPr="00E45508">
        <w:rPr>
          <w:rFonts w:eastAsiaTheme="minorEastAsia"/>
        </w:rPr>
        <w:t xml:space="preserve"> </w:t>
      </w:r>
      <w:r w:rsidR="00FC0A23" w:rsidRPr="00E45508">
        <w:rPr>
          <w:rFonts w:eastAsiaTheme="minorEastAsia"/>
        </w:rPr>
        <w:t>(</w:t>
      </w:r>
      <w:r w:rsidR="005F057E" w:rsidRPr="00E45508">
        <w:rPr>
          <w:rFonts w:eastAsiaTheme="minorEastAsia"/>
        </w:rPr>
        <w:t>Convention on Biological Biodiversity</w:t>
      </w:r>
      <w:r w:rsidR="00421651" w:rsidRPr="00E45508">
        <w:rPr>
          <w:rFonts w:eastAsiaTheme="minorEastAsia"/>
        </w:rPr>
        <w:t> 2</w:t>
      </w:r>
      <w:r w:rsidR="005F057E" w:rsidRPr="00E45508">
        <w:rPr>
          <w:rFonts w:eastAsiaTheme="minorEastAsia"/>
        </w:rPr>
        <w:t>016)</w:t>
      </w:r>
      <w:r w:rsidR="004A0782" w:rsidRPr="00E45508">
        <w:rPr>
          <w:rFonts w:eastAsiaTheme="minorEastAsia"/>
        </w:rPr>
        <w:t xml:space="preserve">, with the impact of litter on Australia’s marine wildlife identified as a key threatening process under the </w:t>
      </w:r>
      <w:r w:rsidR="004A0782" w:rsidRPr="00E45508">
        <w:rPr>
          <w:rFonts w:eastAsiaTheme="minorEastAsia"/>
          <w:i/>
          <w:iCs/>
        </w:rPr>
        <w:t>Environmental Protection and Biodiversity Conservation Act</w:t>
      </w:r>
      <w:r w:rsidR="00421651" w:rsidRPr="00E45508">
        <w:rPr>
          <w:rFonts w:eastAsiaTheme="minorEastAsia"/>
          <w:i/>
          <w:iCs/>
        </w:rPr>
        <w:t> 1</w:t>
      </w:r>
      <w:r w:rsidR="004A0782" w:rsidRPr="00E45508">
        <w:rPr>
          <w:rFonts w:eastAsiaTheme="minorEastAsia"/>
          <w:i/>
          <w:iCs/>
        </w:rPr>
        <w:t>999</w:t>
      </w:r>
      <w:r w:rsidR="004A0782" w:rsidRPr="00E45508">
        <w:rPr>
          <w:rFonts w:eastAsiaTheme="minorEastAsia"/>
        </w:rPr>
        <w:t>.</w:t>
      </w:r>
    </w:p>
    <w:p w14:paraId="4DC0FBF0" w14:textId="59F1E482" w:rsidR="00884E2A" w:rsidRPr="00E45508" w:rsidRDefault="00884E2A" w:rsidP="00A34504">
      <w:r w:rsidRPr="00E45508">
        <w:t>Almost all Australians (91%) agree they</w:t>
      </w:r>
      <w:r w:rsidR="009F668F" w:rsidRPr="00E45508">
        <w:t xml:space="preserve"> a</w:t>
      </w:r>
      <w:r w:rsidRPr="00E45508">
        <w:t>re concerned about the environmental impact of packaging</w:t>
      </w:r>
      <w:r w:rsidR="00181519" w:rsidRPr="00E45508">
        <w:t xml:space="preserve"> (Pact</w:t>
      </w:r>
      <w:r w:rsidR="00421651" w:rsidRPr="00E45508">
        <w:t> 2</w:t>
      </w:r>
      <w:r w:rsidR="00181519" w:rsidRPr="00E45508">
        <w:t>021)</w:t>
      </w:r>
      <w:r w:rsidR="00C33414">
        <w:t xml:space="preserve"> while</w:t>
      </w:r>
      <w:r w:rsidR="00BF6D44" w:rsidRPr="00E45508">
        <w:t>:</w:t>
      </w:r>
    </w:p>
    <w:p w14:paraId="7F8DFD53" w14:textId="28DFFD7A" w:rsidR="00884E2A" w:rsidRPr="00E45508" w:rsidRDefault="00884E2A" w:rsidP="009C1F84">
      <w:pPr>
        <w:pStyle w:val="ListBullet"/>
      </w:pPr>
      <w:r w:rsidRPr="00E45508">
        <w:t>78% of Australians support banning plastic which cannot be recycled in a kerbside bin</w:t>
      </w:r>
      <w:r w:rsidR="00181519" w:rsidRPr="00E45508">
        <w:t xml:space="preserve"> (</w:t>
      </w:r>
      <w:r w:rsidR="00346339" w:rsidRPr="00E45508">
        <w:t>Anderson &amp; Gbor</w:t>
      </w:r>
      <w:r w:rsidR="00421651" w:rsidRPr="00E45508">
        <w:t> 2</w:t>
      </w:r>
      <w:r w:rsidR="006520B0" w:rsidRPr="00E45508">
        <w:t>024)</w:t>
      </w:r>
    </w:p>
    <w:p w14:paraId="053C62E0" w14:textId="4AD60F6E" w:rsidR="00884E2A" w:rsidRPr="00E45508" w:rsidRDefault="00884E2A" w:rsidP="009C1F84">
      <w:pPr>
        <w:pStyle w:val="ListBullet"/>
      </w:pPr>
      <w:r w:rsidRPr="00E45508">
        <w:t>82% of Australians value sustainable packaging</w:t>
      </w:r>
      <w:r w:rsidR="006520B0" w:rsidRPr="00E45508">
        <w:t xml:space="preserve"> (Toluna</w:t>
      </w:r>
      <w:r w:rsidR="00421651" w:rsidRPr="00E45508">
        <w:t> 2</w:t>
      </w:r>
      <w:r w:rsidR="006520B0" w:rsidRPr="00E45508">
        <w:t>021)</w:t>
      </w:r>
    </w:p>
    <w:p w14:paraId="78A9D974" w14:textId="4E4DD2D9" w:rsidR="00884E2A" w:rsidRPr="00E45508" w:rsidRDefault="00884E2A" w:rsidP="009C1F84">
      <w:pPr>
        <w:pStyle w:val="ListBullet"/>
      </w:pPr>
      <w:r w:rsidRPr="00E45508">
        <w:t>52% of online shoppers in Australia would be happy for items they order to arrive without added delivery packaging because they think it’s better for the planet</w:t>
      </w:r>
      <w:r w:rsidR="006520B0" w:rsidRPr="00E45508">
        <w:t xml:space="preserve"> (Amazon</w:t>
      </w:r>
      <w:r w:rsidR="00421651" w:rsidRPr="00E45508">
        <w:t> 2</w:t>
      </w:r>
      <w:r w:rsidR="006520B0" w:rsidRPr="00E45508">
        <w:t>023)</w:t>
      </w:r>
    </w:p>
    <w:p w14:paraId="27082C2E" w14:textId="53AE20AC" w:rsidR="00884E2A" w:rsidRPr="00E45508" w:rsidRDefault="00B24D6C" w:rsidP="009C1F84">
      <w:pPr>
        <w:pStyle w:val="ListBullet"/>
      </w:pPr>
      <w:r w:rsidRPr="00E45508">
        <w:t>80% of</w:t>
      </w:r>
      <w:r w:rsidR="58F21C1F" w:rsidRPr="00E45508">
        <w:t xml:space="preserve"> Australians believe that businesses that produce/use plastic packaging should be responsible for reducing plastic waste</w:t>
      </w:r>
      <w:r w:rsidR="006520B0" w:rsidRPr="00E45508">
        <w:t xml:space="preserve"> (</w:t>
      </w:r>
      <w:r w:rsidR="00346339" w:rsidRPr="00E45508">
        <w:t>Anderson &amp; Gbor</w:t>
      </w:r>
      <w:r w:rsidR="00421651" w:rsidRPr="00E45508">
        <w:t> 2</w:t>
      </w:r>
      <w:r w:rsidR="006520B0" w:rsidRPr="00E45508">
        <w:t>024)</w:t>
      </w:r>
      <w:r w:rsidR="58F21C1F" w:rsidRPr="00E45508">
        <w:t>.</w:t>
      </w:r>
    </w:p>
    <w:p w14:paraId="67E0F199" w14:textId="11CBB120" w:rsidR="00D4505C" w:rsidRPr="00E45508" w:rsidRDefault="002E1796" w:rsidP="00C44B4B">
      <w:pPr>
        <w:pStyle w:val="Heading3"/>
        <w:rPr>
          <w:rFonts w:eastAsia="Calibri"/>
        </w:rPr>
      </w:pPr>
      <w:bookmarkStart w:id="48" w:name="_Toc176450518"/>
      <w:bookmarkStart w:id="49" w:name="_Toc177126586"/>
      <w:bookmarkStart w:id="50" w:name="_Toc177492996"/>
      <w:bookmarkStart w:id="51" w:name="_Toc178230241"/>
      <w:r w:rsidRPr="00E45508">
        <w:rPr>
          <w:rFonts w:eastAsia="Calibri"/>
        </w:rPr>
        <w:t>Too much packaging is placed on the market and not enough is designed for recyclability</w:t>
      </w:r>
      <w:bookmarkEnd w:id="48"/>
      <w:bookmarkEnd w:id="49"/>
      <w:bookmarkEnd w:id="50"/>
      <w:bookmarkEnd w:id="51"/>
    </w:p>
    <w:p w14:paraId="60CAFC9F" w14:textId="2119C62F" w:rsidR="0056015D" w:rsidRPr="00E45508" w:rsidRDefault="003B7A02" w:rsidP="00A34504">
      <w:r w:rsidRPr="00E45508">
        <w:t xml:space="preserve">Packaging producers, brand owners and retailers </w:t>
      </w:r>
      <w:r w:rsidR="0037470F">
        <w:t xml:space="preserve">usually </w:t>
      </w:r>
      <w:r w:rsidR="006907E3">
        <w:t>design</w:t>
      </w:r>
      <w:r w:rsidR="00780572">
        <w:t xml:space="preserve"> their</w:t>
      </w:r>
      <w:r w:rsidRPr="00E45508">
        <w:t xml:space="preserve"> packaging to be attractive, convenient</w:t>
      </w:r>
      <w:r w:rsidR="00106761" w:rsidRPr="00E45508">
        <w:t xml:space="preserve">, </w:t>
      </w:r>
      <w:r w:rsidR="00A4592A" w:rsidRPr="00E45508">
        <w:t xml:space="preserve">durable and to </w:t>
      </w:r>
      <w:r w:rsidR="00106761" w:rsidRPr="00E45508">
        <w:t xml:space="preserve">protect </w:t>
      </w:r>
      <w:r w:rsidR="00FA4163" w:rsidRPr="00E45508">
        <w:t>the product</w:t>
      </w:r>
      <w:r w:rsidR="00835396">
        <w:t xml:space="preserve"> </w:t>
      </w:r>
      <w:r w:rsidR="00DB5933">
        <w:t>rather than focussing on</w:t>
      </w:r>
      <w:r w:rsidR="00835396">
        <w:t xml:space="preserve"> </w:t>
      </w:r>
      <w:r w:rsidR="0037470F">
        <w:t>end</w:t>
      </w:r>
      <w:r w:rsidR="00AE1A93">
        <w:t>-</w:t>
      </w:r>
      <w:r w:rsidR="0037470F">
        <w:t>of</w:t>
      </w:r>
      <w:r w:rsidR="00AE1A93">
        <w:t>-</w:t>
      </w:r>
      <w:r w:rsidR="0037470F">
        <w:t xml:space="preserve">life </w:t>
      </w:r>
      <w:r w:rsidR="00DB5933">
        <w:t>considerations</w:t>
      </w:r>
      <w:r w:rsidR="00A4592A" w:rsidRPr="00E45508">
        <w:t>.</w:t>
      </w:r>
      <w:r w:rsidRPr="00E45508">
        <w:t xml:space="preserve"> </w:t>
      </w:r>
      <w:bookmarkStart w:id="52" w:name="_Hlk176787034"/>
      <w:r w:rsidR="008E4D10" w:rsidRPr="00E45508">
        <w:t xml:space="preserve">Some of these </w:t>
      </w:r>
      <w:r w:rsidR="00780572">
        <w:t xml:space="preserve">design </w:t>
      </w:r>
      <w:r w:rsidR="008E4D10" w:rsidRPr="00E45508">
        <w:t>functions and properties add economic benefit or are cosmetic, while others may be performance requirements outlined by public and worker health and safety legislation.</w:t>
      </w:r>
      <w:bookmarkEnd w:id="52"/>
      <w:r w:rsidR="00F977C9" w:rsidRPr="00E45508">
        <w:t xml:space="preserve"> </w:t>
      </w:r>
      <w:r w:rsidR="006E4F19" w:rsidRPr="00E45508">
        <w:t>In 2021</w:t>
      </w:r>
      <w:r w:rsidR="006E4F19" w:rsidRPr="00E45508">
        <w:rPr>
          <w:rFonts w:ascii="Symbol" w:eastAsia="Symbol" w:hAnsi="Symbol" w:cs="Symbol"/>
        </w:rPr>
        <w:t>-</w:t>
      </w:r>
      <w:r w:rsidR="006E4F19" w:rsidRPr="00E45508">
        <w:t>22, while 86% of packaging placed on market was classified as having good recycling potential, this varie</w:t>
      </w:r>
      <w:r w:rsidR="006E4F19">
        <w:t>d</w:t>
      </w:r>
      <w:r w:rsidR="006E4F19" w:rsidRPr="00E45508">
        <w:t xml:space="preserve"> significantly across material types. For plastic packaging only 42% placed on the market was classified as having good recycling potential (APCO 2024a).</w:t>
      </w:r>
    </w:p>
    <w:p w14:paraId="0BC66490" w14:textId="7D28F277" w:rsidR="003C6C16" w:rsidRPr="00E45508" w:rsidRDefault="001B4AA5" w:rsidP="00984DEE">
      <w:pPr>
        <w:pStyle w:val="ListBullet"/>
        <w:numPr>
          <w:ilvl w:val="0"/>
          <w:numId w:val="0"/>
        </w:numPr>
      </w:pPr>
      <w:r>
        <w:t xml:space="preserve">Poor </w:t>
      </w:r>
      <w:r w:rsidR="00E938A8">
        <w:t>design</w:t>
      </w:r>
      <w:r w:rsidR="45E83E2E" w:rsidRPr="00E45508">
        <w:t xml:space="preserve"> lead</w:t>
      </w:r>
      <w:r w:rsidR="001A021C">
        <w:t>s</w:t>
      </w:r>
      <w:r w:rsidR="45E83E2E" w:rsidRPr="00E45508">
        <w:t xml:space="preserve"> to excess</w:t>
      </w:r>
      <w:r w:rsidR="00CA434D" w:rsidRPr="00E45508">
        <w:t xml:space="preserve"> packaging</w:t>
      </w:r>
      <w:r w:rsidR="45E83E2E" w:rsidRPr="00E45508">
        <w:t xml:space="preserve">, </w:t>
      </w:r>
      <w:r w:rsidR="00AE7B5E">
        <w:t>or</w:t>
      </w:r>
      <w:r w:rsidR="45E83E2E" w:rsidRPr="00E45508">
        <w:t xml:space="preserve"> unnecessary and problematic packaging formats which pose significant difficulty for the downstream </w:t>
      </w:r>
      <w:r w:rsidR="00774BF4" w:rsidRPr="00E45508">
        <w:t xml:space="preserve">recycling and </w:t>
      </w:r>
      <w:r w:rsidR="45E83E2E" w:rsidRPr="00E45508">
        <w:t>waste management sector</w:t>
      </w:r>
      <w:r w:rsidR="00774BF4" w:rsidRPr="00E45508">
        <w:t>s</w:t>
      </w:r>
      <w:r w:rsidR="45E83E2E" w:rsidRPr="00E45508">
        <w:t xml:space="preserve"> and a high burden on the environment. </w:t>
      </w:r>
      <w:r w:rsidR="4145B613" w:rsidRPr="00E45508">
        <w:t xml:space="preserve">The costs of managing the packaging at its end-of-life are seldom considered, leading to environmental externalities and </w:t>
      </w:r>
      <w:r w:rsidR="00CD4F2D">
        <w:t>a lack</w:t>
      </w:r>
      <w:r w:rsidR="4145B613" w:rsidRPr="00E45508">
        <w:t xml:space="preserve"> of incentive to design packaging to reduce its environmental burden. </w:t>
      </w:r>
      <w:r w:rsidR="00955ECF" w:rsidRPr="00E45508">
        <w:t>It can also impact the value of recyclate generated from these materials.</w:t>
      </w:r>
      <w:r w:rsidR="4145B613" w:rsidRPr="00E45508">
        <w:t xml:space="preserve"> These costs include the collection, sorting, transport</w:t>
      </w:r>
      <w:r w:rsidR="1FA79C73" w:rsidRPr="00E45508">
        <w:t xml:space="preserve">, </w:t>
      </w:r>
      <w:r w:rsidR="4145B613" w:rsidRPr="00E45508">
        <w:t xml:space="preserve">reprocessing </w:t>
      </w:r>
      <w:r w:rsidR="58246163" w:rsidRPr="00E45508">
        <w:t>and landfill</w:t>
      </w:r>
      <w:r w:rsidR="4145B613" w:rsidRPr="00E45508">
        <w:t xml:space="preserve">ing of packaging waste, which in Australia are typically borne by </w:t>
      </w:r>
      <w:r w:rsidR="5D31899E" w:rsidRPr="00E45508">
        <w:t>taxpayers</w:t>
      </w:r>
      <w:r w:rsidR="60F3167F" w:rsidRPr="00E45508">
        <w:t xml:space="preserve"> through </w:t>
      </w:r>
      <w:r w:rsidR="4145B613" w:rsidRPr="00E45508">
        <w:t>local governments</w:t>
      </w:r>
      <w:r w:rsidR="37AC36DD" w:rsidRPr="00E45508">
        <w:t>’ administration of</w:t>
      </w:r>
      <w:r w:rsidR="4145B613" w:rsidRPr="00E45508">
        <w:t xml:space="preserve"> the kerbside collection system, and litter</w:t>
      </w:r>
      <w:r w:rsidR="4145B613" w:rsidRPr="00E45508">
        <w:rPr>
          <w:b/>
          <w:bCs/>
        </w:rPr>
        <w:t xml:space="preserve"> </w:t>
      </w:r>
      <w:r w:rsidR="4145B613" w:rsidRPr="00E45508">
        <w:t>clean-ups.</w:t>
      </w:r>
    </w:p>
    <w:p w14:paraId="18370119" w14:textId="4E56E3ED" w:rsidR="46A1764E" w:rsidRPr="00E45508" w:rsidRDefault="46A1764E" w:rsidP="00C44B4B">
      <w:pPr>
        <w:pStyle w:val="Heading3"/>
      </w:pPr>
      <w:bookmarkStart w:id="53" w:name="_Toc176450519"/>
      <w:bookmarkStart w:id="54" w:name="_Toc177126587"/>
      <w:bookmarkStart w:id="55" w:name="_Toc177492997"/>
      <w:bookmarkStart w:id="56" w:name="_Toc178230242"/>
      <w:r w:rsidRPr="00E45508">
        <w:t>More collection and recycling capacity is needed</w:t>
      </w:r>
      <w:bookmarkEnd w:id="53"/>
      <w:bookmarkEnd w:id="54"/>
      <w:bookmarkEnd w:id="55"/>
      <w:bookmarkEnd w:id="56"/>
    </w:p>
    <w:p w14:paraId="17397EAA" w14:textId="67EAD8D9" w:rsidR="46A1764E" w:rsidRPr="00E45508" w:rsidRDefault="46A1764E" w:rsidP="00A34504">
      <w:pPr>
        <w:rPr>
          <w:rFonts w:eastAsia="Calibri"/>
        </w:rPr>
      </w:pPr>
      <w:r w:rsidRPr="00E45508">
        <w:t>The government has taken steps to generate investment in processing and recycling capacity, including the $250 million Recycling Modernisation Fund</w:t>
      </w:r>
      <w:r w:rsidR="2DA44343" w:rsidRPr="00E45508">
        <w:t xml:space="preserve"> </w:t>
      </w:r>
      <w:r w:rsidR="003C7EEF" w:rsidRPr="00E45508">
        <w:t>(RMF). The RMF is expected to see over $1</w:t>
      </w:r>
      <w:r w:rsidR="00421651" w:rsidRPr="00E45508">
        <w:t> </w:t>
      </w:r>
      <w:r w:rsidR="003C7EEF" w:rsidRPr="00E45508">
        <w:t>billion of investment in recycling infrastructure with contributions from the states and territories and industry, however</w:t>
      </w:r>
      <w:r w:rsidR="2DA44343" w:rsidRPr="00E45508">
        <w:t xml:space="preserve"> </w:t>
      </w:r>
      <w:r w:rsidRPr="00E45508">
        <w:t xml:space="preserve">capacity gaps remain. </w:t>
      </w:r>
      <w:r w:rsidRPr="00E45508">
        <w:rPr>
          <w:rFonts w:ascii="Calibri" w:eastAsia="Calibri" w:hAnsi="Calibri" w:cs="Calibri"/>
        </w:rPr>
        <w:t>For plastics alone (packaging and non-packaging plastics) the estimated reprocessing gap between plastics placed on market and current and anticipated capacity coming online in</w:t>
      </w:r>
      <w:r w:rsidR="00421651" w:rsidRPr="00E45508">
        <w:rPr>
          <w:rFonts w:ascii="Calibri" w:eastAsia="Calibri" w:hAnsi="Calibri" w:cs="Calibri"/>
        </w:rPr>
        <w:t> 2</w:t>
      </w:r>
      <w:r w:rsidRPr="00E45508">
        <w:rPr>
          <w:rFonts w:ascii="Calibri" w:eastAsia="Calibri" w:hAnsi="Calibri" w:cs="Calibri"/>
        </w:rPr>
        <w:t>026</w:t>
      </w:r>
      <w:r w:rsidR="00421651" w:rsidRPr="00E45508">
        <w:rPr>
          <w:rFonts w:ascii="Calibri" w:eastAsia="Calibri" w:hAnsi="Calibri" w:cs="Calibri"/>
        </w:rPr>
        <w:noBreakHyphen/>
      </w:r>
      <w:r w:rsidRPr="00E45508">
        <w:rPr>
          <w:rFonts w:ascii="Calibri" w:eastAsia="Calibri" w:hAnsi="Calibri" w:cs="Calibri"/>
        </w:rPr>
        <w:t>27 is 61%</w:t>
      </w:r>
      <w:r w:rsidR="002C1BC1">
        <w:rPr>
          <w:rFonts w:ascii="Calibri" w:eastAsia="Calibri" w:hAnsi="Calibri" w:cs="Calibri"/>
        </w:rPr>
        <w:t>. T</w:t>
      </w:r>
      <w:r w:rsidRPr="00E45508">
        <w:rPr>
          <w:rFonts w:ascii="Calibri" w:eastAsia="Calibri" w:hAnsi="Calibri" w:cs="Calibri"/>
        </w:rPr>
        <w:t>his figure includes capacity from anticipated advanced recycling projects identified in</w:t>
      </w:r>
      <w:r w:rsidR="00421651" w:rsidRPr="00E45508">
        <w:rPr>
          <w:rFonts w:ascii="Calibri" w:eastAsia="Calibri" w:hAnsi="Calibri" w:cs="Calibri"/>
        </w:rPr>
        <w:t> 2</w:t>
      </w:r>
      <w:r w:rsidRPr="00E45508">
        <w:rPr>
          <w:rFonts w:ascii="Calibri" w:eastAsia="Calibri" w:hAnsi="Calibri" w:cs="Calibri"/>
        </w:rPr>
        <w:t>021-22 that are yet to come online</w:t>
      </w:r>
      <w:r w:rsidR="3981DC33" w:rsidRPr="00E45508">
        <w:rPr>
          <w:rFonts w:ascii="Calibri" w:eastAsia="Calibri" w:hAnsi="Calibri" w:cs="Calibri"/>
        </w:rPr>
        <w:t xml:space="preserve">, </w:t>
      </w:r>
      <w:r w:rsidR="6C4571AF" w:rsidRPr="00E45508">
        <w:rPr>
          <w:rFonts w:ascii="Calibri" w:eastAsia="Calibri" w:hAnsi="Calibri" w:cs="Calibri"/>
        </w:rPr>
        <w:t>meaning th</w:t>
      </w:r>
      <w:r w:rsidR="1BEB5D7D" w:rsidRPr="00E45508">
        <w:rPr>
          <w:rFonts w:ascii="Calibri" w:eastAsia="Calibri" w:hAnsi="Calibri" w:cs="Calibri"/>
        </w:rPr>
        <w:t>is</w:t>
      </w:r>
      <w:r w:rsidR="3981DC33" w:rsidRPr="00E45508">
        <w:rPr>
          <w:rFonts w:ascii="Calibri" w:eastAsia="Calibri" w:hAnsi="Calibri" w:cs="Calibri"/>
        </w:rPr>
        <w:t xml:space="preserve"> capacity gap</w:t>
      </w:r>
      <w:r w:rsidR="7DCA0F80" w:rsidRPr="00E45508">
        <w:rPr>
          <w:rFonts w:ascii="Calibri" w:eastAsia="Calibri" w:hAnsi="Calibri" w:cs="Calibri"/>
        </w:rPr>
        <w:t xml:space="preserve"> </w:t>
      </w:r>
      <w:r w:rsidR="5DA6ADC6" w:rsidRPr="00E45508">
        <w:rPr>
          <w:rFonts w:ascii="Calibri" w:eastAsia="Calibri" w:hAnsi="Calibri" w:cs="Calibri"/>
        </w:rPr>
        <w:t>in reality is likely</w:t>
      </w:r>
      <w:r w:rsidR="7DCA0F80" w:rsidRPr="00E45508">
        <w:rPr>
          <w:rFonts w:ascii="Calibri" w:eastAsia="Calibri" w:hAnsi="Calibri" w:cs="Calibri"/>
        </w:rPr>
        <w:t xml:space="preserve"> to be greater</w:t>
      </w:r>
      <w:r w:rsidR="002B1159" w:rsidRPr="00E45508">
        <w:rPr>
          <w:rFonts w:ascii="Calibri" w:eastAsia="Calibri" w:hAnsi="Calibri" w:cs="Calibri"/>
        </w:rPr>
        <w:t xml:space="preserve"> (</w:t>
      </w:r>
      <w:r w:rsidR="00362CC4" w:rsidRPr="00E45508">
        <w:rPr>
          <w:rFonts w:ascii="Calibri" w:eastAsia="Calibri" w:hAnsi="Calibri" w:cs="Calibri"/>
        </w:rPr>
        <w:t>O’Farrell et al.</w:t>
      </w:r>
      <w:r w:rsidR="00421651" w:rsidRPr="00E45508">
        <w:rPr>
          <w:rFonts w:ascii="Calibri" w:eastAsia="Calibri" w:hAnsi="Calibri" w:cs="Calibri"/>
        </w:rPr>
        <w:t> 2</w:t>
      </w:r>
      <w:r w:rsidR="00362CC4" w:rsidRPr="00E45508">
        <w:rPr>
          <w:rFonts w:ascii="Calibri" w:eastAsia="Calibri" w:hAnsi="Calibri" w:cs="Calibri"/>
        </w:rPr>
        <w:t>024</w:t>
      </w:r>
      <w:r w:rsidR="002B1159" w:rsidRPr="00E45508">
        <w:rPr>
          <w:rFonts w:ascii="Calibri" w:eastAsia="Calibri" w:hAnsi="Calibri" w:cs="Calibri"/>
        </w:rPr>
        <w:t>)</w:t>
      </w:r>
      <w:r w:rsidRPr="00E45508">
        <w:rPr>
          <w:rFonts w:ascii="Calibri" w:eastAsia="Calibri" w:hAnsi="Calibri" w:cs="Calibri"/>
        </w:rPr>
        <w:t xml:space="preserve">. </w:t>
      </w:r>
      <w:r w:rsidRPr="00E45508">
        <w:t>APCO</w:t>
      </w:r>
      <w:r w:rsidR="007759EB" w:rsidRPr="00E45508">
        <w:t xml:space="preserve"> (2024b)</w:t>
      </w:r>
      <w:r w:rsidR="00835A51" w:rsidRPr="00E45508">
        <w:t xml:space="preserve"> estimates</w:t>
      </w:r>
      <w:r w:rsidR="4459746F" w:rsidRPr="00E45508">
        <w:t xml:space="preserve"> </w:t>
      </w:r>
      <w:r w:rsidRPr="00E45508">
        <w:t>$810</w:t>
      </w:r>
      <w:r w:rsidR="002B1621">
        <w:t> </w:t>
      </w:r>
      <w:r w:rsidRPr="00E45508">
        <w:t>million in investment is required to achieve the infrastructure needs associated with achieving National Packaging Target</w:t>
      </w:r>
      <w:r w:rsidR="00421651" w:rsidRPr="00E45508">
        <w:t> 2</w:t>
      </w:r>
      <w:r w:rsidRPr="00E45508">
        <w:t xml:space="preserve"> for 70% of plastic packaging to be recycled or composted.</w:t>
      </w:r>
    </w:p>
    <w:p w14:paraId="700C6109" w14:textId="77777777" w:rsidR="00CB3CA2" w:rsidRDefault="46A1764E" w:rsidP="00A34504">
      <w:pPr>
        <w:rPr>
          <w:rFonts w:eastAsia="Calibri"/>
        </w:rPr>
      </w:pPr>
      <w:r w:rsidRPr="00E45508">
        <w:rPr>
          <w:rFonts w:eastAsia="Calibri"/>
        </w:rPr>
        <w:t xml:space="preserve">The recycling industry has </w:t>
      </w:r>
      <w:r w:rsidR="79544672" w:rsidRPr="00E45508">
        <w:rPr>
          <w:rFonts w:eastAsia="Calibri"/>
        </w:rPr>
        <w:t xml:space="preserve">also </w:t>
      </w:r>
      <w:r w:rsidRPr="00E45508">
        <w:rPr>
          <w:rFonts w:eastAsia="Calibri"/>
        </w:rPr>
        <w:t>identified a lack of end markets for recycled material as a barrier to securing investment in recycling infrastructure.</w:t>
      </w:r>
      <w:r w:rsidR="00A14BA8">
        <w:rPr>
          <w:rFonts w:eastAsia="Calibri"/>
        </w:rPr>
        <w:t xml:space="preserve"> </w:t>
      </w:r>
    </w:p>
    <w:p w14:paraId="4EE83B05" w14:textId="373D0FCE" w:rsidR="46A1764E" w:rsidRPr="00E45508" w:rsidRDefault="00A14BA8" w:rsidP="00A34504">
      <w:pPr>
        <w:rPr>
          <w:rFonts w:eastAsia="Calibri"/>
        </w:rPr>
      </w:pPr>
      <w:r>
        <w:rPr>
          <w:rFonts w:eastAsia="Calibri"/>
        </w:rPr>
        <w:fldChar w:fldCharType="begin"/>
      </w:r>
      <w:r>
        <w:rPr>
          <w:rFonts w:eastAsia="Calibri"/>
        </w:rPr>
        <w:instrText xml:space="preserve"> REF _Ref178179453 \h </w:instrText>
      </w:r>
      <w:r>
        <w:rPr>
          <w:rFonts w:eastAsia="Calibri"/>
        </w:rPr>
      </w:r>
      <w:r>
        <w:rPr>
          <w:rFonts w:eastAsia="Calibri"/>
        </w:rPr>
        <w:fldChar w:fldCharType="separate"/>
      </w:r>
      <w:r w:rsidR="009A2EC4" w:rsidRPr="00E45508">
        <w:t xml:space="preserve">Box </w:t>
      </w:r>
      <w:r w:rsidR="009A2EC4">
        <w:rPr>
          <w:noProof/>
        </w:rPr>
        <w:t>3</w:t>
      </w:r>
      <w:r>
        <w:rPr>
          <w:rFonts w:eastAsia="Calibri"/>
        </w:rPr>
        <w:fldChar w:fldCharType="end"/>
      </w:r>
      <w:r>
        <w:rPr>
          <w:rFonts w:eastAsia="Calibri"/>
        </w:rPr>
        <w:t xml:space="preserve"> provides </w:t>
      </w:r>
      <w:r w:rsidR="006F430E">
        <w:rPr>
          <w:rFonts w:eastAsia="Calibri"/>
        </w:rPr>
        <w:t xml:space="preserve">a case study </w:t>
      </w:r>
      <w:r w:rsidR="00CB3CA2">
        <w:rPr>
          <w:rFonts w:eastAsia="Calibri"/>
        </w:rPr>
        <w:t xml:space="preserve">of </w:t>
      </w:r>
      <w:r w:rsidR="00B3041C">
        <w:rPr>
          <w:rFonts w:eastAsia="Calibri"/>
        </w:rPr>
        <w:t>the challenges</w:t>
      </w:r>
      <w:r w:rsidR="00CB3CA2">
        <w:rPr>
          <w:rFonts w:eastAsia="Calibri"/>
        </w:rPr>
        <w:t xml:space="preserve"> for soft plastics packaging.</w:t>
      </w:r>
    </w:p>
    <w:tbl>
      <w:tblPr>
        <w:tblStyle w:val="TableGrid"/>
        <w:tblW w:w="0" w:type="auto"/>
        <w:tblLayout w:type="fixed"/>
        <w:tblLook w:val="06A0" w:firstRow="1" w:lastRow="0" w:firstColumn="1" w:lastColumn="0" w:noHBand="1" w:noVBand="1"/>
      </w:tblPr>
      <w:tblGrid>
        <w:gridCol w:w="9060"/>
      </w:tblGrid>
      <w:tr w:rsidR="1CEDCFBA" w:rsidRPr="00E45508" w14:paraId="5603F933" w14:textId="77777777" w:rsidTr="00764062">
        <w:trPr>
          <w:trHeight w:val="20"/>
        </w:trPr>
        <w:tc>
          <w:tcPr>
            <w:tcW w:w="9060" w:type="dxa"/>
            <w:shd w:val="clear" w:color="auto" w:fill="F2F2F2" w:themeFill="background1" w:themeFillShade="F2"/>
          </w:tcPr>
          <w:p w14:paraId="240BC9F6" w14:textId="0F1E0C3B" w:rsidR="256C582C" w:rsidRPr="00E45508" w:rsidRDefault="00BE39ED" w:rsidP="00C915A5">
            <w:pPr>
              <w:pStyle w:val="Caption"/>
            </w:pPr>
            <w:bookmarkStart w:id="57" w:name="_Ref178179453"/>
            <w:bookmarkStart w:id="58" w:name="_Toc178229393"/>
            <w:r w:rsidRPr="00E45508">
              <w:t xml:space="preserve">Box </w:t>
            </w:r>
            <w:r w:rsidRPr="00E45508">
              <w:fldChar w:fldCharType="begin"/>
            </w:r>
            <w:r w:rsidRPr="00E45508">
              <w:instrText>SEQ Box \* ARABIC</w:instrText>
            </w:r>
            <w:r w:rsidRPr="00E45508">
              <w:fldChar w:fldCharType="separate"/>
            </w:r>
            <w:r w:rsidR="009A2EC4">
              <w:rPr>
                <w:noProof/>
              </w:rPr>
              <w:t>3</w:t>
            </w:r>
            <w:r w:rsidRPr="00E45508">
              <w:fldChar w:fldCharType="end"/>
            </w:r>
            <w:bookmarkEnd w:id="57"/>
            <w:r w:rsidRPr="00E45508">
              <w:t xml:space="preserve">: </w:t>
            </w:r>
            <w:r w:rsidR="256C582C" w:rsidRPr="00E45508">
              <w:t>Case study</w:t>
            </w:r>
            <w:r w:rsidRPr="00E45508">
              <w:t xml:space="preserve"> -</w:t>
            </w:r>
            <w:r w:rsidR="256C582C" w:rsidRPr="00E45508">
              <w:t xml:space="preserve"> soft plastics packaging</w:t>
            </w:r>
            <w:bookmarkEnd w:id="58"/>
          </w:p>
          <w:p w14:paraId="72A74CD3" w14:textId="6584A06D" w:rsidR="256C582C" w:rsidRPr="00E45508" w:rsidRDefault="256C582C" w:rsidP="00764062">
            <w:pPr>
              <w:pStyle w:val="BoxText"/>
            </w:pPr>
            <w:r w:rsidRPr="00E45508">
              <w:t xml:space="preserve">Soft plastics, or flexible plastics, from consumers </w:t>
            </w:r>
            <w:r w:rsidR="00B34EA4" w:rsidRPr="00E45508">
              <w:t>are</w:t>
            </w:r>
            <w:r w:rsidRPr="00E45508">
              <w:t xml:space="preserve"> challenging to recycle. They can be recycled, but the system is complex and not yet available at scale.</w:t>
            </w:r>
          </w:p>
          <w:p w14:paraId="54A36078" w14:textId="7CD9D5B6" w:rsidR="6B830613" w:rsidRPr="00E45508" w:rsidRDefault="256C582C" w:rsidP="00764062">
            <w:pPr>
              <w:pStyle w:val="BoxText"/>
            </w:pPr>
            <w:r w:rsidRPr="00E45508">
              <w:t>In</w:t>
            </w:r>
            <w:r w:rsidR="00421651" w:rsidRPr="00E45508">
              <w:t> 2</w:t>
            </w:r>
            <w:r w:rsidRPr="00E45508">
              <w:t>021</w:t>
            </w:r>
            <w:r w:rsidRPr="00E45508">
              <w:rPr>
                <w:rFonts w:ascii="Symbol" w:eastAsia="Symbol" w:hAnsi="Symbol" w:cs="Symbol"/>
              </w:rPr>
              <w:t>-</w:t>
            </w:r>
            <w:r w:rsidRPr="00E45508">
              <w:t xml:space="preserve">22, 528,000 tonnes of </w:t>
            </w:r>
            <w:r w:rsidR="005959F9" w:rsidRPr="00E45508">
              <w:t xml:space="preserve">flexible </w:t>
            </w:r>
            <w:r w:rsidRPr="00E45508">
              <w:t>plastic packaging, representing 41% of all plastic packaging, was placed on the Australian market. In the same year, only 62,000 tonnes (11</w:t>
            </w:r>
            <w:r w:rsidR="00EE6FBF" w:rsidRPr="00E45508">
              <w:t>.7</w:t>
            </w:r>
            <w:r w:rsidRPr="00E45508">
              <w:t xml:space="preserve">%) of flexible plastic packaging was </w:t>
            </w:r>
            <w:r w:rsidR="00F1405B" w:rsidRPr="00E45508">
              <w:t>recovered, dominated</w:t>
            </w:r>
            <w:r w:rsidRPr="00E45508">
              <w:t xml:space="preserve"> by film recovery from business-to-business applications</w:t>
            </w:r>
            <w:r w:rsidR="005959F9" w:rsidRPr="00E45508">
              <w:t xml:space="preserve"> (APCO</w:t>
            </w:r>
            <w:r w:rsidR="00421651" w:rsidRPr="00E45508">
              <w:t> 2</w:t>
            </w:r>
            <w:r w:rsidR="005959F9" w:rsidRPr="00E45508">
              <w:t>024a)</w:t>
            </w:r>
            <w:r w:rsidRPr="00E45508">
              <w:t>.</w:t>
            </w:r>
          </w:p>
          <w:p w14:paraId="29EDBF49" w14:textId="6177B8FD" w:rsidR="256C582C" w:rsidRPr="00E45508" w:rsidRDefault="11E4A91A" w:rsidP="00764062">
            <w:pPr>
              <w:pStyle w:val="BoxText"/>
            </w:pPr>
            <w:r w:rsidRPr="00E45508">
              <w:t>These low recovery rates are due to several factors. Soft plastics are frequently contaminated with food and the complexity and variability of soft plastic feedstocks makes the material less suitable for established mechanical recycling pathways. There is also no national collection system, as soft plastics are not widely collected in kerbside recycling systems.</w:t>
            </w:r>
            <w:r w:rsidR="007E3653" w:rsidRPr="00E45508">
              <w:t xml:space="preserve"> Australia previously had a voluntary industry scheme called REDcycle which collected soft plastics for recycling primarily through in-store drop offs at major supermarkets.</w:t>
            </w:r>
            <w:r w:rsidRPr="00E45508">
              <w:t xml:space="preserve"> The collapse of REDcycle</w:t>
            </w:r>
            <w:r w:rsidR="00741123" w:rsidRPr="00E45508">
              <w:t xml:space="preserve"> </w:t>
            </w:r>
            <w:r w:rsidRPr="00E45508">
              <w:t>in</w:t>
            </w:r>
            <w:r w:rsidR="00421651" w:rsidRPr="00E45508">
              <w:t> 2</w:t>
            </w:r>
            <w:r w:rsidRPr="00E45508">
              <w:t xml:space="preserve">022 highlighted several issues across the </w:t>
            </w:r>
            <w:r w:rsidR="00DB5B88">
              <w:t xml:space="preserve">supply </w:t>
            </w:r>
            <w:r w:rsidRPr="00E45508">
              <w:t>chain including limited reprocessing and recycling capacity and limited end markets.</w:t>
            </w:r>
          </w:p>
          <w:p w14:paraId="5C81F26B" w14:textId="67D787B2" w:rsidR="256C582C" w:rsidRPr="00E45508" w:rsidRDefault="256C582C" w:rsidP="00764062">
            <w:pPr>
              <w:pStyle w:val="BoxText"/>
            </w:pPr>
            <w:r w:rsidRPr="00E45508">
              <w:t>Advanced chemical recycling presents an opportunity to recycle soft plastics at scale while maintaining their value (such as applications in food-grade packaging), however there is no commercial-scale advanced recycling capacity currently operating in Australia. In</w:t>
            </w:r>
            <w:r w:rsidR="00421651" w:rsidRPr="00E45508">
              <w:t> 2</w:t>
            </w:r>
            <w:r w:rsidRPr="00E45508">
              <w:t>022, industry reported an expected capacity of 545,000 tonnes of advanced recycling across five projects in development, but these are yet to come online</w:t>
            </w:r>
            <w:r w:rsidR="0075559F" w:rsidRPr="00E45508">
              <w:t xml:space="preserve"> (</w:t>
            </w:r>
            <w:r w:rsidR="00362CC4" w:rsidRPr="00E45508">
              <w:rPr>
                <w:rFonts w:ascii="Calibri" w:eastAsia="Calibri" w:hAnsi="Calibri" w:cs="Calibri"/>
              </w:rPr>
              <w:t>O’Farrell et al.</w:t>
            </w:r>
            <w:r w:rsidR="00421651" w:rsidRPr="00E45508">
              <w:rPr>
                <w:rFonts w:ascii="Calibri" w:eastAsia="Calibri" w:hAnsi="Calibri" w:cs="Calibri"/>
              </w:rPr>
              <w:t> 2</w:t>
            </w:r>
            <w:r w:rsidR="0075559F" w:rsidRPr="00E45508">
              <w:rPr>
                <w:rFonts w:ascii="Calibri" w:eastAsia="Calibri" w:hAnsi="Calibri" w:cs="Calibri"/>
              </w:rPr>
              <w:t>024</w:t>
            </w:r>
            <w:r w:rsidR="0075559F" w:rsidRPr="00E45508">
              <w:t>)</w:t>
            </w:r>
            <w:r w:rsidRPr="00E45508">
              <w:t>.</w:t>
            </w:r>
          </w:p>
          <w:p w14:paraId="36532E33" w14:textId="14A9B746" w:rsidR="256C582C" w:rsidRPr="00E45508" w:rsidRDefault="256C582C" w:rsidP="00764062">
            <w:pPr>
              <w:pStyle w:val="BoxText"/>
            </w:pPr>
            <w:r w:rsidRPr="00E45508">
              <w:t>Significant capital requirements, absence of at-scale collection pathways, and under-developed end-markets for recycled polymers combine to reduce investment confidence. The high costs of recyclate and lack of recycling capacity results in virgin resin being far cheaper and more readily available in comparison.</w:t>
            </w:r>
          </w:p>
          <w:p w14:paraId="28B7BF9D" w14:textId="014B6431" w:rsidR="256C582C" w:rsidRPr="00E45508" w:rsidRDefault="256C582C" w:rsidP="00764062">
            <w:pPr>
              <w:pStyle w:val="BoxText"/>
            </w:pPr>
            <w:r w:rsidRPr="00E45508">
              <w:t xml:space="preserve">Whole of supply chain requirements needed to drive soft plastics collection and recycling at scale will be considered as part of a soft plastics pathway, commissioned by all </w:t>
            </w:r>
            <w:r w:rsidR="00DF3437" w:rsidRPr="00E45508">
              <w:t>e</w:t>
            </w:r>
            <w:r w:rsidRPr="00E45508">
              <w:t xml:space="preserve">nvironment </w:t>
            </w:r>
            <w:r w:rsidR="00DF3437" w:rsidRPr="00E45508">
              <w:t>m</w:t>
            </w:r>
            <w:r w:rsidRPr="00E45508">
              <w:t>inisters in June</w:t>
            </w:r>
            <w:r w:rsidR="00421651" w:rsidRPr="00E45508">
              <w:t> 2</w:t>
            </w:r>
            <w:r w:rsidRPr="00E45508">
              <w:t>024</w:t>
            </w:r>
            <w:r w:rsidR="004977BC" w:rsidRPr="00E45508">
              <w:t xml:space="preserve"> </w:t>
            </w:r>
            <w:r w:rsidR="005703A6">
              <w:t xml:space="preserve">as part of the kerbside harmonisation roadmap </w:t>
            </w:r>
            <w:r w:rsidRPr="00E45508">
              <w:t>to be developed by the end of</w:t>
            </w:r>
            <w:r w:rsidR="00421651" w:rsidRPr="00E45508">
              <w:t> 2</w:t>
            </w:r>
            <w:r w:rsidRPr="00E45508">
              <w:t>024</w:t>
            </w:r>
            <w:r w:rsidR="00762E3C">
              <w:t xml:space="preserve"> </w:t>
            </w:r>
            <w:r w:rsidR="00762E3C" w:rsidRPr="00E45508">
              <w:t>(DCCEEW 2024</w:t>
            </w:r>
            <w:r w:rsidR="00762E3C">
              <w:t>b</w:t>
            </w:r>
            <w:r w:rsidR="00762E3C" w:rsidRPr="00E45508">
              <w:t>)</w:t>
            </w:r>
            <w:r w:rsidRPr="00E45508">
              <w:t>.</w:t>
            </w:r>
          </w:p>
        </w:tc>
      </w:tr>
    </w:tbl>
    <w:p w14:paraId="19B50B6C" w14:textId="7672E9FD" w:rsidR="003C6C16" w:rsidRPr="00E45508" w:rsidRDefault="003C6C16" w:rsidP="009C7010">
      <w:pPr>
        <w:pStyle w:val="Heading3"/>
        <w:rPr>
          <w:rFonts w:eastAsia="Calibri"/>
        </w:rPr>
      </w:pPr>
      <w:bookmarkStart w:id="59" w:name="_Toc176450520"/>
      <w:bookmarkStart w:id="60" w:name="_Toc177126588"/>
      <w:bookmarkStart w:id="61" w:name="_Toc177492998"/>
      <w:bookmarkStart w:id="62" w:name="_Toc178230243"/>
      <w:r w:rsidRPr="00E45508">
        <w:t>Market development for used packaging materials is slow</w:t>
      </w:r>
      <w:bookmarkEnd w:id="59"/>
      <w:bookmarkEnd w:id="60"/>
      <w:bookmarkEnd w:id="61"/>
      <w:bookmarkEnd w:id="62"/>
    </w:p>
    <w:p w14:paraId="56CC33C1" w14:textId="4CE024B6" w:rsidR="3421D4CA" w:rsidRPr="00E45508" w:rsidRDefault="3421D4CA" w:rsidP="1EC2C0DA">
      <w:pPr>
        <w:rPr>
          <w:rFonts w:eastAsia="Calibri"/>
        </w:rPr>
      </w:pPr>
      <w:r w:rsidRPr="00E45508">
        <w:t>In</w:t>
      </w:r>
      <w:r w:rsidR="00421651" w:rsidRPr="00E45508">
        <w:t> 2</w:t>
      </w:r>
      <w:r w:rsidRPr="00E45508">
        <w:t>021</w:t>
      </w:r>
      <w:r w:rsidRPr="00E45508">
        <w:rPr>
          <w:rFonts w:ascii="Symbol" w:eastAsia="Symbol" w:hAnsi="Symbol" w:cs="Symbol"/>
        </w:rPr>
        <w:t>-</w:t>
      </w:r>
      <w:r w:rsidRPr="00E45508">
        <w:t xml:space="preserve">22, 49% of packaging placed on the market in Australia was produced with virgin material, with 60% sourced from overseas, either as raw materials or finished product. Plastic packaging has the highest usage of virgin materials, </w:t>
      </w:r>
      <w:r w:rsidRPr="00E45508">
        <w:rPr>
          <w:rFonts w:eastAsia="Calibri"/>
        </w:rPr>
        <w:t>comprising 92% of the total plastic packaging placed on the market</w:t>
      </w:r>
      <w:r w:rsidR="6B04E997" w:rsidRPr="00E45508">
        <w:t xml:space="preserve"> (APCO</w:t>
      </w:r>
      <w:r w:rsidR="00421651" w:rsidRPr="00E45508">
        <w:t> 2</w:t>
      </w:r>
      <w:r w:rsidR="6B04E997" w:rsidRPr="00E45508">
        <w:t>024a)</w:t>
      </w:r>
      <w:r w:rsidRPr="00E45508">
        <w:rPr>
          <w:rFonts w:eastAsia="Calibri"/>
        </w:rPr>
        <w:t>.</w:t>
      </w:r>
    </w:p>
    <w:p w14:paraId="1F0DE69B" w14:textId="1FD810B6" w:rsidR="00E24A62" w:rsidRPr="00E45508" w:rsidRDefault="6768B0A0" w:rsidP="00A34504">
      <w:r w:rsidRPr="00E45508">
        <w:t xml:space="preserve">In the current linear economy, recycled materials struggle to compete with virgin feedstocks due to their comparatively high cost and lower availability. For many materials, the costs of collection, sorting and reprocessing outweigh the value of the recycled product. </w:t>
      </w:r>
      <w:r w:rsidR="001A79D8" w:rsidRPr="00E45508">
        <w:t xml:space="preserve">Consultation with industry has </w:t>
      </w:r>
      <w:r w:rsidR="00EC0545" w:rsidRPr="00E45508">
        <w:t>indicated tha</w:t>
      </w:r>
      <w:r w:rsidR="00C53954" w:rsidRPr="00E45508">
        <w:t xml:space="preserve">t for the majority of materials, virgin </w:t>
      </w:r>
      <w:r w:rsidR="00D907D1" w:rsidRPr="00E45508">
        <w:t xml:space="preserve">materials </w:t>
      </w:r>
      <w:r w:rsidR="585B76D9" w:rsidRPr="00E45508">
        <w:t xml:space="preserve">are cheaper than </w:t>
      </w:r>
      <w:r w:rsidR="00D907D1" w:rsidRPr="00E45508">
        <w:t>recyclate.</w:t>
      </w:r>
      <w:r w:rsidR="000C610F" w:rsidRPr="00E45508">
        <w:t xml:space="preserve"> </w:t>
      </w:r>
      <w:r w:rsidR="00D907D1" w:rsidRPr="00E45508">
        <w:t>Stakeholders have raised the cost difference between recycled and virgin plastics as a barrier to the take up of recycled plastics, with recycled</w:t>
      </w:r>
      <w:r w:rsidR="00272074" w:rsidRPr="00E45508">
        <w:t xml:space="preserve"> plastic</w:t>
      </w:r>
      <w:r w:rsidR="00D907D1" w:rsidRPr="00E45508">
        <w:t xml:space="preserve"> resin being</w:t>
      </w:r>
      <w:r w:rsidR="00A21638" w:rsidRPr="00E45508">
        <w:t xml:space="preserve"> </w:t>
      </w:r>
      <w:r w:rsidR="000461C8" w:rsidRPr="00E45508">
        <w:t>over</w:t>
      </w:r>
      <w:r w:rsidR="00A21638" w:rsidRPr="00E45508">
        <w:t xml:space="preserve"> 50% more expensive in some cases</w:t>
      </w:r>
      <w:r w:rsidR="00272074" w:rsidRPr="00E45508">
        <w:t xml:space="preserve"> (DCCEEW</w:t>
      </w:r>
      <w:r w:rsidR="00421651" w:rsidRPr="00E45508">
        <w:t> 2</w:t>
      </w:r>
      <w:r w:rsidR="002E5B21" w:rsidRPr="00E45508">
        <w:t>024</w:t>
      </w:r>
      <w:r w:rsidR="00AC4099" w:rsidRPr="00E45508">
        <w:t>c)</w:t>
      </w:r>
      <w:r w:rsidR="00D907D1" w:rsidRPr="00E45508">
        <w:t>.</w:t>
      </w:r>
    </w:p>
    <w:p w14:paraId="08CBECF4" w14:textId="4FAD78F5" w:rsidR="00E24A62" w:rsidRPr="00E45508" w:rsidRDefault="00392834" w:rsidP="00A34504">
      <w:r w:rsidRPr="00E45508">
        <w:t>Global demand for recyclate is increasing</w:t>
      </w:r>
      <w:r w:rsidR="00C504A5" w:rsidRPr="00E45508">
        <w:t xml:space="preserve"> </w:t>
      </w:r>
      <w:r w:rsidR="007B6DFA" w:rsidRPr="00E45508">
        <w:t xml:space="preserve">in recognition of </w:t>
      </w:r>
      <w:r w:rsidR="48BF72F6" w:rsidRPr="00E45508">
        <w:t xml:space="preserve">the </w:t>
      </w:r>
      <w:r w:rsidR="0070730A" w:rsidRPr="00E45508">
        <w:t>environmental</w:t>
      </w:r>
      <w:r w:rsidR="00805D23" w:rsidRPr="00E45508">
        <w:t xml:space="preserve"> benefits of using recyclate</w:t>
      </w:r>
      <w:r w:rsidR="5395FAAB" w:rsidRPr="00E45508">
        <w:t>,</w:t>
      </w:r>
      <w:r w:rsidR="00805D23" w:rsidRPr="00E45508">
        <w:t xml:space="preserve"> such as reduced emissions</w:t>
      </w:r>
      <w:r w:rsidR="00844240" w:rsidRPr="00E45508">
        <w:t xml:space="preserve"> (</w:t>
      </w:r>
      <w:r w:rsidR="001D37BF" w:rsidRPr="00E45508">
        <w:t>AMCS WWF Blue Environment</w:t>
      </w:r>
      <w:r w:rsidR="00421651" w:rsidRPr="00E45508">
        <w:t> 2</w:t>
      </w:r>
      <w:r w:rsidR="001D37BF" w:rsidRPr="00E45508">
        <w:t>023)</w:t>
      </w:r>
      <w:r w:rsidR="007B6DFA" w:rsidRPr="00E45508">
        <w:t xml:space="preserve">. This demand can be expected to continue to grow given a range of commitments to </w:t>
      </w:r>
      <w:r w:rsidR="00324F85" w:rsidRPr="00E45508">
        <w:t xml:space="preserve">bring in </w:t>
      </w:r>
      <w:r w:rsidR="007B6DFA" w:rsidRPr="00E45508">
        <w:t xml:space="preserve">recycled content </w:t>
      </w:r>
      <w:r w:rsidR="00324F85" w:rsidRPr="00E45508">
        <w:t>mandates</w:t>
      </w:r>
      <w:r w:rsidR="007B6DFA" w:rsidRPr="00E45508">
        <w:t xml:space="preserve"> in other jurisdictions</w:t>
      </w:r>
      <w:r w:rsidR="00713D9B" w:rsidRPr="00E45508">
        <w:t xml:space="preserve"> (</w:t>
      </w:r>
      <w:r w:rsidR="009601A1" w:rsidRPr="00E45508">
        <w:t>EU</w:t>
      </w:r>
      <w:r w:rsidR="00421651" w:rsidRPr="00E45508">
        <w:t> 2</w:t>
      </w:r>
      <w:r w:rsidR="009601A1" w:rsidRPr="00E45508">
        <w:t>019</w:t>
      </w:r>
      <w:r w:rsidR="007C01FE" w:rsidRPr="00E45508">
        <w:t>;</w:t>
      </w:r>
      <w:r w:rsidR="009601A1" w:rsidRPr="00E45508">
        <w:t xml:space="preserve"> UK Government</w:t>
      </w:r>
      <w:r w:rsidR="00421651" w:rsidRPr="00E45508">
        <w:t> 2</w:t>
      </w:r>
      <w:r w:rsidR="009601A1" w:rsidRPr="00E45508">
        <w:t>021</w:t>
      </w:r>
      <w:r w:rsidR="00B97872" w:rsidRPr="00E45508">
        <w:t>;</w:t>
      </w:r>
      <w:r w:rsidR="009601A1" w:rsidRPr="00E45508">
        <w:t xml:space="preserve"> </w:t>
      </w:r>
      <w:r w:rsidR="003D01BD" w:rsidRPr="00E45508">
        <w:t>CA Government</w:t>
      </w:r>
      <w:r w:rsidR="00421651" w:rsidRPr="00E45508">
        <w:t> 2</w:t>
      </w:r>
      <w:r w:rsidR="003D01BD" w:rsidRPr="00E45508">
        <w:t>020</w:t>
      </w:r>
      <w:r w:rsidR="00B97872" w:rsidRPr="00E45508">
        <w:t>;</w:t>
      </w:r>
      <w:r w:rsidR="003D01BD" w:rsidRPr="00E45508">
        <w:t xml:space="preserve"> Maine Government</w:t>
      </w:r>
      <w:r w:rsidR="00421651" w:rsidRPr="00E45508">
        <w:t> 2</w:t>
      </w:r>
      <w:r w:rsidR="003D01BD" w:rsidRPr="00E45508">
        <w:t>022)</w:t>
      </w:r>
      <w:r w:rsidR="00805D23" w:rsidRPr="00E45508">
        <w:t>.</w:t>
      </w:r>
      <w:r w:rsidR="00F25A6A" w:rsidRPr="00E45508">
        <w:t xml:space="preserve"> Australia</w:t>
      </w:r>
      <w:r w:rsidR="00740FA2" w:rsidRPr="00E45508">
        <w:t xml:space="preserve">’s packaging system needs to be ready to </w:t>
      </w:r>
      <w:r w:rsidR="00A44B2D" w:rsidRPr="00E45508">
        <w:t>respond to</w:t>
      </w:r>
      <w:r w:rsidR="00740FA2" w:rsidRPr="00E45508">
        <w:t xml:space="preserve"> these global</w:t>
      </w:r>
      <w:r w:rsidR="00A44B2D" w:rsidRPr="00E45508">
        <w:t xml:space="preserve"> regulatory and</w:t>
      </w:r>
      <w:r w:rsidR="00740FA2" w:rsidRPr="00E45508">
        <w:t xml:space="preserve"> market developments.</w:t>
      </w:r>
    </w:p>
    <w:p w14:paraId="79AB074D" w14:textId="6932342A" w:rsidR="003B7A02" w:rsidRPr="00E45508" w:rsidRDefault="6768B0A0" w:rsidP="00A34504">
      <w:pPr>
        <w:rPr>
          <w:rFonts w:eastAsia="Calibri"/>
        </w:rPr>
      </w:pPr>
      <w:r w:rsidRPr="00E45508">
        <w:t>Data on prices in the packaging supply chain is lacking and would help identify and monitor market imbalances</w:t>
      </w:r>
      <w:r w:rsidR="00655B99" w:rsidRPr="00E45508">
        <w:t>. For example,</w:t>
      </w:r>
      <w:r w:rsidR="00AC44AF" w:rsidRPr="00E45508">
        <w:t xml:space="preserve"> the market </w:t>
      </w:r>
      <w:r w:rsidR="00036627" w:rsidRPr="00E45508">
        <w:t xml:space="preserve">for recycled plastic resin </w:t>
      </w:r>
      <w:r w:rsidR="00655B99" w:rsidRPr="00E45508">
        <w:t xml:space="preserve">has fluctuated </w:t>
      </w:r>
      <w:r w:rsidR="00E24A62" w:rsidRPr="00E45508">
        <w:t xml:space="preserve">in response to </w:t>
      </w:r>
      <w:r w:rsidR="007703C0" w:rsidRPr="00E45508">
        <w:t xml:space="preserve">demand and supply </w:t>
      </w:r>
      <w:r w:rsidR="00E24A62" w:rsidRPr="00E45508">
        <w:t>changes</w:t>
      </w:r>
      <w:r w:rsidR="00110872" w:rsidRPr="00E45508">
        <w:t xml:space="preserve"> in recent years</w:t>
      </w:r>
      <w:r w:rsidR="62993002" w:rsidRPr="00E45508">
        <w:t xml:space="preserve"> (</w:t>
      </w:r>
      <w:r w:rsidR="00096890" w:rsidRPr="00E45508">
        <w:t>Staub</w:t>
      </w:r>
      <w:r w:rsidR="00421651" w:rsidRPr="00E45508">
        <w:t> 2</w:t>
      </w:r>
      <w:r w:rsidR="304D206E" w:rsidRPr="00E45508">
        <w:t>024)</w:t>
      </w:r>
      <w:r w:rsidR="00E24A62" w:rsidRPr="00E45508">
        <w:t>.</w:t>
      </w:r>
      <w:r w:rsidR="009350C5" w:rsidRPr="00E45508">
        <w:t xml:space="preserve"> </w:t>
      </w:r>
      <w:r w:rsidR="0080630C" w:rsidRPr="00E45508">
        <w:t>We anticipate</w:t>
      </w:r>
      <w:r w:rsidR="004A3257" w:rsidRPr="00E45508">
        <w:t xml:space="preserve"> </w:t>
      </w:r>
      <w:r w:rsidR="00387C0C" w:rsidRPr="00E45508">
        <w:t>plastic</w:t>
      </w:r>
      <w:r w:rsidR="004A3257" w:rsidRPr="00E45508">
        <w:t xml:space="preserve"> recy</w:t>
      </w:r>
      <w:r w:rsidR="00651252" w:rsidRPr="00E45508">
        <w:t>c</w:t>
      </w:r>
      <w:r w:rsidR="004A3257" w:rsidRPr="00E45508">
        <w:t xml:space="preserve">late costs </w:t>
      </w:r>
      <w:r w:rsidR="0080630C" w:rsidRPr="00E45508">
        <w:t>to</w:t>
      </w:r>
      <w:r w:rsidR="004A3257" w:rsidRPr="00E45508">
        <w:t xml:space="preserve"> reduce over </w:t>
      </w:r>
      <w:r w:rsidR="00BE06D6" w:rsidRPr="00E45508">
        <w:t>the long term</w:t>
      </w:r>
      <w:r w:rsidR="004A3257" w:rsidRPr="00E45508">
        <w:t xml:space="preserve"> as markets stabilise</w:t>
      </w:r>
      <w:r w:rsidR="00717E3C" w:rsidRPr="00E45508">
        <w:t xml:space="preserve"> and </w:t>
      </w:r>
      <w:r w:rsidR="0018619D" w:rsidRPr="00E45508">
        <w:t>system capability increases.</w:t>
      </w:r>
    </w:p>
    <w:p w14:paraId="2990501B" w14:textId="420EAA9E" w:rsidR="00DD2FB8" w:rsidRPr="00E45508" w:rsidRDefault="0783B694" w:rsidP="00A34504">
      <w:pPr>
        <w:rPr>
          <w:rFonts w:eastAsiaTheme="minorEastAsia"/>
        </w:rPr>
      </w:pPr>
      <w:r w:rsidRPr="00E45508">
        <w:rPr>
          <w:rFonts w:eastAsiaTheme="minorEastAsia"/>
        </w:rPr>
        <w:t xml:space="preserve">Together with </w:t>
      </w:r>
      <w:r w:rsidR="73D93F47" w:rsidRPr="00E45508">
        <w:rPr>
          <w:rFonts w:eastAsiaTheme="minorEastAsia"/>
        </w:rPr>
        <w:t>fluctuations</w:t>
      </w:r>
      <w:r w:rsidRPr="00E45508">
        <w:rPr>
          <w:rFonts w:eastAsiaTheme="minorEastAsia"/>
        </w:rPr>
        <w:t xml:space="preserve"> in the supply of recycled con</w:t>
      </w:r>
      <w:r w:rsidR="3C1F1BF6" w:rsidRPr="00E45508">
        <w:rPr>
          <w:rFonts w:eastAsiaTheme="minorEastAsia"/>
        </w:rPr>
        <w:t>tent, and challenges in tracing recycled content origins and quality, h</w:t>
      </w:r>
      <w:r w:rsidR="03FD4070" w:rsidRPr="00E45508">
        <w:t xml:space="preserve">igh levels of contamination can </w:t>
      </w:r>
      <w:r w:rsidR="00ED37B5" w:rsidRPr="00E45508">
        <w:t>reduce</w:t>
      </w:r>
      <w:r w:rsidR="03FD4070" w:rsidRPr="00E45508">
        <w:t xml:space="preserve"> the quality</w:t>
      </w:r>
      <w:r w:rsidR="00ED37B5" w:rsidRPr="00E45508">
        <w:t xml:space="preserve">, </w:t>
      </w:r>
      <w:r w:rsidR="03FD4070" w:rsidRPr="00E45508">
        <w:t>consistency</w:t>
      </w:r>
      <w:r w:rsidR="00ED37B5" w:rsidRPr="00E45508">
        <w:t>, and value</w:t>
      </w:r>
      <w:r w:rsidR="03FD4070" w:rsidRPr="00E45508">
        <w:t xml:space="preserve"> of recycled materials, contributing to poor market outcomes.</w:t>
      </w:r>
      <w:r w:rsidR="460597D1" w:rsidRPr="00E45508">
        <w:t xml:space="preserve"> </w:t>
      </w:r>
      <w:r w:rsidR="3807785E" w:rsidRPr="00E45508">
        <w:rPr>
          <w:rFonts w:ascii="Calibri" w:eastAsia="Calibri" w:hAnsi="Calibri" w:cs="Calibri"/>
        </w:rPr>
        <w:t xml:space="preserve">Kerbside </w:t>
      </w:r>
      <w:r w:rsidR="20F27E93" w:rsidRPr="00E45508">
        <w:rPr>
          <w:rFonts w:ascii="Calibri" w:eastAsia="Calibri" w:hAnsi="Calibri" w:cs="Calibri"/>
        </w:rPr>
        <w:t>recycling</w:t>
      </w:r>
      <w:r w:rsidR="3807785E" w:rsidRPr="00E45508">
        <w:rPr>
          <w:rFonts w:ascii="Calibri" w:eastAsia="Calibri" w:hAnsi="Calibri" w:cs="Calibri"/>
        </w:rPr>
        <w:t xml:space="preserve"> systems represent the largest collection pathway for post-consumer packaging waste in Australia.</w:t>
      </w:r>
      <w:r w:rsidR="460597D1" w:rsidRPr="00E45508">
        <w:t xml:space="preserve"> </w:t>
      </w:r>
      <w:r w:rsidR="460597D1" w:rsidRPr="00E45508">
        <w:rPr>
          <w:rFonts w:eastAsiaTheme="minorEastAsia"/>
        </w:rPr>
        <w:t>A</w:t>
      </w:r>
      <w:r w:rsidR="00421651" w:rsidRPr="00E45508">
        <w:rPr>
          <w:rFonts w:eastAsiaTheme="minorEastAsia"/>
        </w:rPr>
        <w:t> 2</w:t>
      </w:r>
      <w:r w:rsidR="460597D1" w:rsidRPr="00E45508">
        <w:rPr>
          <w:rFonts w:eastAsiaTheme="minorEastAsia"/>
        </w:rPr>
        <w:t>022 audit of kerbside recycling bins found an average contamination level of</w:t>
      </w:r>
      <w:r w:rsidR="00421651" w:rsidRPr="00E45508">
        <w:rPr>
          <w:rFonts w:eastAsiaTheme="minorEastAsia"/>
        </w:rPr>
        <w:t> 1</w:t>
      </w:r>
      <w:r w:rsidR="460597D1" w:rsidRPr="00E45508">
        <w:rPr>
          <w:rFonts w:eastAsiaTheme="minorEastAsia"/>
        </w:rPr>
        <w:t>4%</w:t>
      </w:r>
      <w:r w:rsidR="195C4D62" w:rsidRPr="00E45508">
        <w:rPr>
          <w:rFonts w:eastAsiaTheme="minorEastAsia"/>
        </w:rPr>
        <w:t xml:space="preserve"> (</w:t>
      </w:r>
      <w:r w:rsidR="0082102A" w:rsidRPr="00E45508">
        <w:rPr>
          <w:rFonts w:eastAsiaTheme="minorEastAsia"/>
        </w:rPr>
        <w:t xml:space="preserve">Pickin </w:t>
      </w:r>
      <w:r w:rsidR="006927B2" w:rsidRPr="00E45508">
        <w:rPr>
          <w:rFonts w:eastAsiaTheme="minorEastAsia"/>
        </w:rPr>
        <w:t>et al.</w:t>
      </w:r>
      <w:r w:rsidR="00421651" w:rsidRPr="00E45508">
        <w:rPr>
          <w:rFonts w:eastAsiaTheme="minorEastAsia"/>
        </w:rPr>
        <w:t> 2</w:t>
      </w:r>
      <w:r w:rsidR="006927B2" w:rsidRPr="00E45508">
        <w:rPr>
          <w:rFonts w:eastAsiaTheme="minorEastAsia"/>
        </w:rPr>
        <w:t>022).</w:t>
      </w:r>
      <w:r w:rsidR="3053282F" w:rsidRPr="00E45508">
        <w:rPr>
          <w:rFonts w:eastAsiaTheme="minorEastAsia"/>
        </w:rPr>
        <w:t xml:space="preserve"> Nevertheless, s</w:t>
      </w:r>
      <w:r w:rsidR="00DB3420" w:rsidRPr="00E45508">
        <w:rPr>
          <w:rFonts w:eastAsiaTheme="minorEastAsia"/>
        </w:rPr>
        <w:t xml:space="preserve">takeholders have indicated that </w:t>
      </w:r>
      <w:r w:rsidR="008526B6" w:rsidRPr="00E45508">
        <w:rPr>
          <w:rFonts w:eastAsiaTheme="minorEastAsia"/>
        </w:rPr>
        <w:t>domestic</w:t>
      </w:r>
      <w:r w:rsidR="0000428E" w:rsidRPr="00E45508">
        <w:rPr>
          <w:rFonts w:eastAsiaTheme="minorEastAsia"/>
        </w:rPr>
        <w:t xml:space="preserve"> recycling</w:t>
      </w:r>
      <w:r w:rsidR="777D9502" w:rsidRPr="00E45508">
        <w:rPr>
          <w:rFonts w:eastAsiaTheme="minorEastAsia"/>
        </w:rPr>
        <w:t>,</w:t>
      </w:r>
      <w:r w:rsidR="0000428E" w:rsidRPr="00E45508">
        <w:rPr>
          <w:rFonts w:eastAsiaTheme="minorEastAsia"/>
        </w:rPr>
        <w:t xml:space="preserve"> </w:t>
      </w:r>
      <w:r w:rsidR="00502FC5" w:rsidRPr="00E45508">
        <w:rPr>
          <w:rFonts w:eastAsiaTheme="minorEastAsia"/>
        </w:rPr>
        <w:t>with shorter and less complex supply chains</w:t>
      </w:r>
      <w:r w:rsidR="7922BD7C" w:rsidRPr="00E45508">
        <w:rPr>
          <w:rFonts w:eastAsiaTheme="minorEastAsia"/>
        </w:rPr>
        <w:t>,</w:t>
      </w:r>
      <w:r w:rsidR="00502FC5" w:rsidRPr="00E45508">
        <w:rPr>
          <w:rFonts w:eastAsiaTheme="minorEastAsia"/>
        </w:rPr>
        <w:t xml:space="preserve"> </w:t>
      </w:r>
      <w:r w:rsidR="00F1534D" w:rsidRPr="00E45508">
        <w:rPr>
          <w:rFonts w:eastAsiaTheme="minorEastAsia"/>
        </w:rPr>
        <w:t xml:space="preserve">has </w:t>
      </w:r>
      <w:r w:rsidR="00C93ACA" w:rsidRPr="00E45508">
        <w:rPr>
          <w:rFonts w:eastAsiaTheme="minorEastAsia"/>
        </w:rPr>
        <w:t>greater</w:t>
      </w:r>
      <w:r w:rsidR="003B0DE8" w:rsidRPr="00E45508">
        <w:rPr>
          <w:rFonts w:eastAsiaTheme="minorEastAsia"/>
        </w:rPr>
        <w:t xml:space="preserve"> </w:t>
      </w:r>
      <w:r w:rsidR="00910684" w:rsidRPr="00E45508">
        <w:rPr>
          <w:rFonts w:eastAsiaTheme="minorEastAsia"/>
        </w:rPr>
        <w:t>transparency</w:t>
      </w:r>
      <w:r w:rsidR="000C613C" w:rsidRPr="00E45508">
        <w:rPr>
          <w:rFonts w:eastAsiaTheme="minorEastAsia"/>
        </w:rPr>
        <w:t xml:space="preserve"> </w:t>
      </w:r>
      <w:r w:rsidR="316F85E7" w:rsidRPr="00E45508">
        <w:rPr>
          <w:rFonts w:eastAsiaTheme="minorEastAsia"/>
        </w:rPr>
        <w:t>and provides</w:t>
      </w:r>
      <w:r w:rsidR="00FE22CB" w:rsidRPr="00E45508">
        <w:rPr>
          <w:rFonts w:eastAsiaTheme="minorEastAsia"/>
        </w:rPr>
        <w:t xml:space="preserve"> increased</w:t>
      </w:r>
      <w:r w:rsidR="333928A9" w:rsidRPr="00E45508">
        <w:rPr>
          <w:rFonts w:eastAsiaTheme="minorEastAsia"/>
        </w:rPr>
        <w:t xml:space="preserve"> </w:t>
      </w:r>
      <w:r w:rsidR="00D91768" w:rsidRPr="00E45508">
        <w:rPr>
          <w:rFonts w:eastAsiaTheme="minorEastAsia"/>
        </w:rPr>
        <w:t>industry</w:t>
      </w:r>
      <w:r w:rsidR="00081DB6" w:rsidRPr="00E45508">
        <w:rPr>
          <w:rFonts w:eastAsiaTheme="minorEastAsia"/>
        </w:rPr>
        <w:t xml:space="preserve"> </w:t>
      </w:r>
      <w:r w:rsidR="002E5452" w:rsidRPr="00E45508">
        <w:rPr>
          <w:rFonts w:eastAsiaTheme="minorEastAsia"/>
        </w:rPr>
        <w:t xml:space="preserve">confidence in </w:t>
      </w:r>
      <w:r w:rsidR="00E7046C" w:rsidRPr="00E45508">
        <w:rPr>
          <w:rFonts w:eastAsiaTheme="minorEastAsia"/>
        </w:rPr>
        <w:t xml:space="preserve">the </w:t>
      </w:r>
      <w:r w:rsidR="002E5452" w:rsidRPr="00E45508">
        <w:rPr>
          <w:rFonts w:eastAsiaTheme="minorEastAsia"/>
        </w:rPr>
        <w:t xml:space="preserve">quality </w:t>
      </w:r>
      <w:r w:rsidR="00265068" w:rsidRPr="00E45508">
        <w:rPr>
          <w:rFonts w:eastAsiaTheme="minorEastAsia"/>
        </w:rPr>
        <w:t>of recycled materials</w:t>
      </w:r>
      <w:r w:rsidR="462F22F7" w:rsidRPr="00E45508">
        <w:rPr>
          <w:rFonts w:eastAsiaTheme="minorEastAsia"/>
        </w:rPr>
        <w:t>, over other internationally sourced materials</w:t>
      </w:r>
      <w:r w:rsidR="00241BD7" w:rsidRPr="00E45508">
        <w:rPr>
          <w:rFonts w:eastAsiaTheme="minorEastAsia"/>
        </w:rPr>
        <w:t>.</w:t>
      </w:r>
    </w:p>
    <w:p w14:paraId="401B8AAC" w14:textId="75D7CC13" w:rsidR="00F14802" w:rsidRPr="00E45508" w:rsidRDefault="00F14802" w:rsidP="00C44B4B">
      <w:pPr>
        <w:pStyle w:val="Heading3"/>
        <w:rPr>
          <w:rFonts w:eastAsia="Calibri"/>
        </w:rPr>
      </w:pPr>
      <w:bookmarkStart w:id="63" w:name="_Toc177126589"/>
      <w:bookmarkStart w:id="64" w:name="_Toc177492999"/>
      <w:bookmarkStart w:id="65" w:name="_Toc178230244"/>
      <w:r w:rsidRPr="00E45508">
        <w:t>Recycling outcomes are impacted by complex and opaque information</w:t>
      </w:r>
      <w:bookmarkEnd w:id="63"/>
      <w:bookmarkEnd w:id="64"/>
      <w:bookmarkEnd w:id="65"/>
    </w:p>
    <w:p w14:paraId="0673935A" w14:textId="6C3F05C0" w:rsidR="00A45B6B" w:rsidRPr="00E45508" w:rsidRDefault="00A45B6B" w:rsidP="00A34504">
      <w:r w:rsidRPr="00E45508">
        <w:t>Cleanaway’s Recycling Behaviours Report (</w:t>
      </w:r>
      <w:r w:rsidR="00D01FDC" w:rsidRPr="00E45508">
        <w:t>Cleanaway</w:t>
      </w:r>
      <w:r w:rsidR="00421651" w:rsidRPr="00E45508">
        <w:t> 2</w:t>
      </w:r>
      <w:r w:rsidRPr="00E45508">
        <w:t xml:space="preserve">024) found that consumer knowledge around recycling remains a major issue. </w:t>
      </w:r>
      <w:r w:rsidR="00D220E9" w:rsidRPr="00E45508">
        <w:t>The survey</w:t>
      </w:r>
      <w:r w:rsidRPr="00E45508">
        <w:t xml:space="preserve"> </w:t>
      </w:r>
      <w:r w:rsidR="00997447" w:rsidRPr="00E45508">
        <w:t>found</w:t>
      </w:r>
      <w:r w:rsidR="00AC75CD" w:rsidRPr="00E45508">
        <w:t>:</w:t>
      </w:r>
    </w:p>
    <w:p w14:paraId="1AE8A3C3" w14:textId="77777777" w:rsidR="00A45B6B" w:rsidRPr="00E45508" w:rsidRDefault="00A45B6B" w:rsidP="009C1F84">
      <w:pPr>
        <w:pStyle w:val="ListBullet"/>
      </w:pPr>
      <w:r w:rsidRPr="00E45508">
        <w:t>28% of Australians said they find recycling confusing</w:t>
      </w:r>
    </w:p>
    <w:p w14:paraId="69DF2EED" w14:textId="77777777" w:rsidR="00A45B6B" w:rsidRPr="00E45508" w:rsidRDefault="00A45B6B" w:rsidP="009C1F84">
      <w:pPr>
        <w:pStyle w:val="ListBullet"/>
      </w:pPr>
      <w:r w:rsidRPr="00E45508">
        <w:t>35% believe it is difficult to find clear recycling instructions</w:t>
      </w:r>
    </w:p>
    <w:p w14:paraId="3218380E" w14:textId="0DEC7A53" w:rsidR="00A45B6B" w:rsidRPr="00E45508" w:rsidRDefault="00A45B6B" w:rsidP="009C1F84">
      <w:pPr>
        <w:pStyle w:val="ListBullet"/>
      </w:pPr>
      <w:r w:rsidRPr="00E45508">
        <w:t>40% indicated they want clearer product labelling</w:t>
      </w:r>
      <w:r w:rsidR="00623D75" w:rsidRPr="00E45508">
        <w:t>.</w:t>
      </w:r>
    </w:p>
    <w:p w14:paraId="48B3B1F9" w14:textId="025DEC2D" w:rsidR="1F563DC0" w:rsidRPr="00E45508" w:rsidRDefault="1F563DC0" w:rsidP="00A34504">
      <w:r w:rsidRPr="00E45508">
        <w:t xml:space="preserve">In Australia there are currently no mandatory recycling labelling requirements for consumer packaging. The Australasian Recycling Label (ARL) is a voluntary label available to </w:t>
      </w:r>
      <w:r w:rsidR="00C0394E" w:rsidRPr="00E45508">
        <w:t>APCO</w:t>
      </w:r>
      <w:r w:rsidRPr="00E45508">
        <w:t xml:space="preserve"> members.</w:t>
      </w:r>
    </w:p>
    <w:p w14:paraId="619EAFDA" w14:textId="204B498A" w:rsidR="00F14802" w:rsidRPr="00E45508" w:rsidRDefault="00F14802" w:rsidP="00A34504">
      <w:r>
        <w:t>There are also concerns that a significant proportion of the claims made by businesses may be ‘greenwashing’ and based on false</w:t>
      </w:r>
      <w:r w:rsidR="00806C5C">
        <w:t xml:space="preserve"> or</w:t>
      </w:r>
      <w:r>
        <w:t xml:space="preserve"> misleading</w:t>
      </w:r>
      <w:r w:rsidR="00806C5C">
        <w:t xml:space="preserve"> information</w:t>
      </w:r>
      <w:r>
        <w:t xml:space="preserve"> or have no reasonable basis. </w:t>
      </w:r>
      <w:bookmarkStart w:id="66" w:name="_Int_Iu3W0nPu"/>
      <w:r>
        <w:t>An</w:t>
      </w:r>
      <w:bookmarkEnd w:id="66"/>
      <w:r>
        <w:t xml:space="preserve"> </w:t>
      </w:r>
      <w:hyperlink r:id="rId28">
        <w:r w:rsidRPr="33662F04">
          <w:rPr>
            <w:rStyle w:val="Hyperlink"/>
          </w:rPr>
          <w:t>internet review</w:t>
        </w:r>
      </w:hyperlink>
      <w:r>
        <w:t xml:space="preserve"> conducted by the </w:t>
      </w:r>
      <w:r w:rsidR="00451CF5">
        <w:t>Australian Competition and Consumer Commission (</w:t>
      </w:r>
      <w:r>
        <w:t>ACCC</w:t>
      </w:r>
      <w:r w:rsidR="00421651">
        <w:t> 2</w:t>
      </w:r>
      <w:r w:rsidR="000031DC">
        <w:t>023</w:t>
      </w:r>
      <w:r w:rsidR="0092479E">
        <w:t>a</w:t>
      </w:r>
      <w:r w:rsidR="00451CF5">
        <w:t>)</w:t>
      </w:r>
      <w:r>
        <w:t xml:space="preserve"> on greenwashing found that of the</w:t>
      </w:r>
      <w:r w:rsidR="00421651">
        <w:t> 2</w:t>
      </w:r>
      <w:r>
        <w:t>47 businesses reviewed, 57% were identified as having made concerning claims about their environmental credentials. Greenwashing of packaging may include incorrect labelling of an item as “100% recyclable” or “100% plastic free”, leading to incorrect disposal and the contamination of waste streams.</w:t>
      </w:r>
    </w:p>
    <w:p w14:paraId="7A36E36C" w14:textId="0CCF1CE2" w:rsidR="2B0A201B" w:rsidRPr="00E45508" w:rsidRDefault="4A22C37A" w:rsidP="00A34504">
      <w:r w:rsidRPr="00E45508">
        <w:t>A lack of national harmonisation in Australia's kerbside collection system is also a contributor to this issue. In</w:t>
      </w:r>
      <w:r w:rsidR="00292A22" w:rsidRPr="00E45508">
        <w:t>sufficient or in</w:t>
      </w:r>
      <w:r w:rsidRPr="00E45508">
        <w:t>consisten</w:t>
      </w:r>
      <w:r w:rsidR="0048599F" w:rsidRPr="00E45508">
        <w:t>t</w:t>
      </w:r>
      <w:r w:rsidRPr="00E45508">
        <w:t xml:space="preserve"> information around what can be accepted in the kerbside mixed recycling bin leads to the incorrect disposal of waste </w:t>
      </w:r>
      <w:r w:rsidR="002C7014" w:rsidRPr="00E45508">
        <w:t>causing the contamination</w:t>
      </w:r>
      <w:r w:rsidRPr="00E45508">
        <w:t xml:space="preserve"> of </w:t>
      </w:r>
      <w:r w:rsidR="002C7014" w:rsidRPr="00E45508">
        <w:t xml:space="preserve">other </w:t>
      </w:r>
      <w:r w:rsidRPr="00E45508">
        <w:t xml:space="preserve">recyclable material and </w:t>
      </w:r>
      <w:r w:rsidR="002C7014" w:rsidRPr="00E45508">
        <w:t>material is los</w:t>
      </w:r>
      <w:r w:rsidR="00315993" w:rsidRPr="00E45508">
        <w:t>t</w:t>
      </w:r>
      <w:r w:rsidRPr="00E45508">
        <w:t xml:space="preserve"> to landfill.</w:t>
      </w:r>
      <w:r w:rsidR="2F301D76" w:rsidRPr="00E45508">
        <w:t xml:space="preserve"> </w:t>
      </w:r>
      <w:r w:rsidR="007DE8E0" w:rsidRPr="00E45508">
        <w:t xml:space="preserve">A national roadmap </w:t>
      </w:r>
      <w:r w:rsidR="071952B4" w:rsidRPr="00E45508">
        <w:t>to</w:t>
      </w:r>
      <w:r w:rsidR="2EB292FB" w:rsidRPr="00E45508">
        <w:t xml:space="preserve"> </w:t>
      </w:r>
      <w:r w:rsidR="00C22EEA" w:rsidRPr="00E45508">
        <w:t>improve the consistency of</w:t>
      </w:r>
      <w:r w:rsidR="2EB292FB" w:rsidRPr="00E45508">
        <w:t xml:space="preserve"> </w:t>
      </w:r>
      <w:r w:rsidR="007DE8E0" w:rsidRPr="00E45508">
        <w:t>kerbside collections will be considered by environment ministers in</w:t>
      </w:r>
      <w:r w:rsidR="00421651" w:rsidRPr="00E45508">
        <w:t> 2</w:t>
      </w:r>
      <w:r w:rsidR="007DE8E0" w:rsidRPr="00E45508">
        <w:t>024.</w:t>
      </w:r>
    </w:p>
    <w:p w14:paraId="202F1FAD" w14:textId="51B18483" w:rsidR="00F72A2B" w:rsidRPr="00E45508" w:rsidRDefault="55CB201A" w:rsidP="002A52C1">
      <w:pPr>
        <w:pStyle w:val="Heading2"/>
      </w:pPr>
      <w:bookmarkStart w:id="67" w:name="_Toc177126590"/>
      <w:bookmarkStart w:id="68" w:name="_Toc177493000"/>
      <w:bookmarkStart w:id="69" w:name="_Ref177635449"/>
      <w:bookmarkStart w:id="70" w:name="_Ref178083742"/>
      <w:bookmarkStart w:id="71" w:name="_Toc178230245"/>
      <w:bookmarkEnd w:id="42"/>
      <w:r w:rsidRPr="00E45508">
        <w:t>O</w:t>
      </w:r>
      <w:r w:rsidR="210E0FF7" w:rsidRPr="00E45508">
        <w:t>bjectives and</w:t>
      </w:r>
      <w:r w:rsidR="719A7300" w:rsidRPr="00E45508">
        <w:t xml:space="preserve"> </w:t>
      </w:r>
      <w:r w:rsidRPr="00E45508">
        <w:t xml:space="preserve">need for </w:t>
      </w:r>
      <w:r w:rsidR="719A7300" w:rsidRPr="00E45508">
        <w:t xml:space="preserve">government </w:t>
      </w:r>
      <w:bookmarkEnd w:id="67"/>
      <w:bookmarkEnd w:id="68"/>
      <w:bookmarkEnd w:id="69"/>
      <w:r w:rsidR="00E70FA7" w:rsidRPr="00E45508">
        <w:t>intervention</w:t>
      </w:r>
      <w:bookmarkEnd w:id="70"/>
      <w:bookmarkEnd w:id="71"/>
    </w:p>
    <w:p w14:paraId="124DF31F" w14:textId="17CE606B" w:rsidR="0095131E" w:rsidRPr="00E45508" w:rsidRDefault="67A80417" w:rsidP="00C44B4B">
      <w:pPr>
        <w:pStyle w:val="Heading3"/>
      </w:pPr>
      <w:bookmarkStart w:id="72" w:name="_Toc177126591"/>
      <w:bookmarkStart w:id="73" w:name="_Toc177493001"/>
      <w:bookmarkStart w:id="74" w:name="_Ref177648863"/>
      <w:bookmarkStart w:id="75" w:name="_Toc178230246"/>
      <w:r w:rsidRPr="00E45508">
        <w:t>Objective</w:t>
      </w:r>
      <w:bookmarkEnd w:id="72"/>
      <w:bookmarkEnd w:id="73"/>
      <w:bookmarkEnd w:id="74"/>
      <w:bookmarkEnd w:id="75"/>
    </w:p>
    <w:p w14:paraId="4A1E24F3" w14:textId="5FBDD538" w:rsidR="00753321" w:rsidRPr="00E45508" w:rsidRDefault="78E3A862" w:rsidP="007F0EB9">
      <w:r w:rsidRPr="00E45508">
        <w:t>T</w:t>
      </w:r>
      <w:r w:rsidR="5C1E69B6" w:rsidRPr="00E45508">
        <w:t xml:space="preserve">he </w:t>
      </w:r>
      <w:r w:rsidR="55CB201A" w:rsidRPr="00E45508">
        <w:t xml:space="preserve">objective of the reform </w:t>
      </w:r>
      <w:r w:rsidR="3C7881E4" w:rsidRPr="00E45508">
        <w:t>is</w:t>
      </w:r>
      <w:r w:rsidR="6D73508F" w:rsidRPr="00E45508">
        <w:t xml:space="preserve"> to reduce the environmental impacts of packaging by</w:t>
      </w:r>
      <w:r w:rsidR="253D54AF" w:rsidRPr="00E45508">
        <w:t xml:space="preserve"> </w:t>
      </w:r>
      <w:r w:rsidR="74C99870" w:rsidRPr="00E45508">
        <w:t>establish</w:t>
      </w:r>
      <w:r w:rsidR="65026EDE" w:rsidRPr="00E45508">
        <w:t>ing</w:t>
      </w:r>
      <w:r w:rsidR="74C99870" w:rsidRPr="00E45508">
        <w:t xml:space="preserve"> a</w:t>
      </w:r>
      <w:r w:rsidR="007B1107" w:rsidRPr="00E45508">
        <w:t>n</w:t>
      </w:r>
      <w:r w:rsidR="74C99870" w:rsidRPr="00E45508">
        <w:t xml:space="preserve"> approach</w:t>
      </w:r>
      <w:r w:rsidR="408A4F9F" w:rsidRPr="00E45508">
        <w:t xml:space="preserve"> that</w:t>
      </w:r>
      <w:r w:rsidR="55CB201A" w:rsidRPr="00E45508">
        <w:t>:</w:t>
      </w:r>
    </w:p>
    <w:p w14:paraId="2DD91E7C" w14:textId="57551E6C" w:rsidR="00E84596" w:rsidRPr="00E45508" w:rsidRDefault="00F667FF" w:rsidP="009C1F84">
      <w:pPr>
        <w:pStyle w:val="ListBullet"/>
      </w:pPr>
      <w:r w:rsidRPr="009C1F84">
        <w:t>S</w:t>
      </w:r>
      <w:r w:rsidR="15F1C528" w:rsidRPr="009C1F84">
        <w:t>upports</w:t>
      </w:r>
      <w:r w:rsidR="15F1C528" w:rsidRPr="00E45508">
        <w:t xml:space="preserve"> the transition to, and maintenance of, a circular economy for packaging in Australia</w:t>
      </w:r>
      <w:r w:rsidR="6917C15D" w:rsidRPr="00E45508">
        <w:t>:</w:t>
      </w:r>
      <w:r w:rsidR="7A49657B" w:rsidRPr="00E45508">
        <w:t xml:space="preserve"> packaging is designed to </w:t>
      </w:r>
      <w:r w:rsidR="00A544A1">
        <w:t>reduce</w:t>
      </w:r>
      <w:r w:rsidR="7A49657B" w:rsidRPr="00E45508">
        <w:t xml:space="preserve"> waste and </w:t>
      </w:r>
      <w:r w:rsidR="5BECE76F" w:rsidRPr="00E45508">
        <w:t>be recyclable</w:t>
      </w:r>
      <w:r w:rsidR="7A49657B" w:rsidRPr="00E45508">
        <w:t>, is</w:t>
      </w:r>
      <w:r w:rsidR="5FCBA689" w:rsidRPr="00E45508">
        <w:t xml:space="preserve"> collected and recycled at scale, and</w:t>
      </w:r>
      <w:r w:rsidR="7A49657B" w:rsidRPr="00E45508">
        <w:t xml:space="preserve"> circulated in the economy for as long as possible at its highest value and best use</w:t>
      </w:r>
      <w:r w:rsidRPr="00E45508">
        <w:t>.</w:t>
      </w:r>
    </w:p>
    <w:p w14:paraId="68929399" w14:textId="2C7EC02E" w:rsidR="00E84596" w:rsidRPr="00E45508" w:rsidRDefault="00F667FF" w:rsidP="009C1F84">
      <w:pPr>
        <w:pStyle w:val="ListBullet"/>
      </w:pPr>
      <w:r w:rsidRPr="00E45508">
        <w:t>H</w:t>
      </w:r>
      <w:r w:rsidR="047E4EE2" w:rsidRPr="00E45508">
        <w:t>as</w:t>
      </w:r>
      <w:r w:rsidR="1028C0A9" w:rsidRPr="00E45508">
        <w:t xml:space="preserve"> </w:t>
      </w:r>
      <w:r w:rsidR="26468DFD" w:rsidRPr="00E45508">
        <w:t>clear</w:t>
      </w:r>
      <w:r w:rsidR="32B97407" w:rsidRPr="00E45508">
        <w:t xml:space="preserve"> obligations</w:t>
      </w:r>
      <w:r w:rsidR="1B48C015" w:rsidRPr="00E45508">
        <w:t>, is</w:t>
      </w:r>
      <w:r w:rsidR="26468DFD" w:rsidRPr="00E45508">
        <w:t xml:space="preserve"> </w:t>
      </w:r>
      <w:r w:rsidR="006FC8D0" w:rsidRPr="00E45508">
        <w:t xml:space="preserve">consistently operationalised </w:t>
      </w:r>
      <w:r w:rsidR="280C70D7" w:rsidRPr="00E45508">
        <w:t>nationally</w:t>
      </w:r>
      <w:r w:rsidR="4719070B" w:rsidRPr="00E45508">
        <w:t xml:space="preserve"> and requires all </w:t>
      </w:r>
      <w:r w:rsidR="00FA7B5F" w:rsidRPr="00E45508">
        <w:t xml:space="preserve">regulated entities </w:t>
      </w:r>
      <w:r w:rsidR="26812182" w:rsidRPr="00E45508">
        <w:t>to participat</w:t>
      </w:r>
      <w:r w:rsidR="27D61111" w:rsidRPr="00E45508">
        <w:t>e</w:t>
      </w:r>
      <w:r w:rsidRPr="00E45508">
        <w:t>.</w:t>
      </w:r>
    </w:p>
    <w:p w14:paraId="5DB15959" w14:textId="46DA15F6" w:rsidR="00CC53C3" w:rsidRPr="00E45508" w:rsidRDefault="00F667FF" w:rsidP="009C1F84">
      <w:pPr>
        <w:pStyle w:val="ListBullet"/>
      </w:pPr>
      <w:r w:rsidRPr="00E45508">
        <w:t>I</w:t>
      </w:r>
      <w:r w:rsidR="1A17E1C2" w:rsidRPr="00E45508">
        <w:t>s supported by</w:t>
      </w:r>
      <w:r w:rsidR="678B000D" w:rsidRPr="00E45508">
        <w:t xml:space="preserve"> </w:t>
      </w:r>
      <w:r w:rsidR="231F3AAE" w:rsidRPr="00E45508">
        <w:t xml:space="preserve">administrative and reporting </w:t>
      </w:r>
      <w:r w:rsidR="4AE0F93C" w:rsidRPr="00E45508">
        <w:t xml:space="preserve">systems that </w:t>
      </w:r>
      <w:r w:rsidR="21E2B2CA" w:rsidRPr="00E45508">
        <w:t xml:space="preserve">minimise regulatory burden on </w:t>
      </w:r>
      <w:r w:rsidR="585B685F" w:rsidRPr="00E45508">
        <w:t>the</w:t>
      </w:r>
      <w:r w:rsidR="21E2B2CA" w:rsidRPr="00E45508">
        <w:t xml:space="preserve"> </w:t>
      </w:r>
      <w:r w:rsidR="008E654F" w:rsidRPr="00E45508">
        <w:t xml:space="preserve">regulated </w:t>
      </w:r>
      <w:r w:rsidR="2ACA38FC" w:rsidRPr="00E45508">
        <w:t>community</w:t>
      </w:r>
      <w:r w:rsidR="21E2B2CA" w:rsidRPr="00E45508">
        <w:t xml:space="preserve"> and can provide </w:t>
      </w:r>
      <w:r w:rsidR="76B0B752" w:rsidRPr="00E45508">
        <w:t>relevant information on the impact of the regulation.</w:t>
      </w:r>
    </w:p>
    <w:p w14:paraId="7F1458E7" w14:textId="33E6B00A" w:rsidR="20F7B82B" w:rsidRPr="00E45508" w:rsidRDefault="228ADB11" w:rsidP="009A2D0B">
      <w:r w:rsidRPr="00E45508">
        <w:t>A circular economy for packaging is a way of achieving sustainable production and consumption of our packaging.</w:t>
      </w:r>
      <w:r w:rsidR="00147B5E">
        <w:t xml:space="preserve"> </w:t>
      </w:r>
      <w:r w:rsidR="009C1DE5">
        <w:t>R</w:t>
      </w:r>
      <w:r w:rsidR="00C95982">
        <w:t xml:space="preserve">emoving problematic and unnecessary packaging, </w:t>
      </w:r>
      <w:r w:rsidR="002F7518">
        <w:t>re</w:t>
      </w:r>
      <w:r w:rsidR="00F24532">
        <w:t>ducing excessive packaging and s</w:t>
      </w:r>
      <w:r w:rsidR="1D340A1B" w:rsidRPr="00E45508">
        <w:t xml:space="preserve">ustainably designed packaging and stronger </w:t>
      </w:r>
      <w:r w:rsidR="004C69F5" w:rsidRPr="00E45508">
        <w:t>collection and</w:t>
      </w:r>
      <w:r w:rsidR="1D340A1B" w:rsidRPr="00E45508">
        <w:t xml:space="preserve"> recycling system</w:t>
      </w:r>
      <w:r w:rsidR="004C69F5" w:rsidRPr="00E45508">
        <w:t>s</w:t>
      </w:r>
      <w:r w:rsidR="00FD0C72" w:rsidRPr="00E45508">
        <w:t xml:space="preserve"> would</w:t>
      </w:r>
      <w:r w:rsidR="1D340A1B" w:rsidRPr="00E45508">
        <w:t xml:space="preserve"> allow us to reduce the environmental impacts of packaging and our carbon footprint</w:t>
      </w:r>
      <w:r w:rsidR="1F948AEC" w:rsidRPr="00E45508">
        <w:t xml:space="preserve">, and sustainably manage packaging at </w:t>
      </w:r>
      <w:r w:rsidR="00FD0C72" w:rsidRPr="00E45508">
        <w:t>the</w:t>
      </w:r>
      <w:r w:rsidR="1F948AEC" w:rsidRPr="00E45508">
        <w:t xml:space="preserve"> end of </w:t>
      </w:r>
      <w:r w:rsidR="00FD0C72" w:rsidRPr="00E45508">
        <w:t xml:space="preserve">its </w:t>
      </w:r>
      <w:r w:rsidR="1F948AEC" w:rsidRPr="00E45508">
        <w:t>life</w:t>
      </w:r>
      <w:r w:rsidR="1D340A1B" w:rsidRPr="00E45508">
        <w:t xml:space="preserve">. Valuable resources </w:t>
      </w:r>
      <w:r w:rsidR="000B2589" w:rsidRPr="00E45508">
        <w:t>would be</w:t>
      </w:r>
      <w:r w:rsidR="1D340A1B" w:rsidRPr="00E45508">
        <w:t xml:space="preserve"> kept in the economy and out of landfill, with </w:t>
      </w:r>
      <w:r w:rsidR="000B2589" w:rsidRPr="00E45508">
        <w:t>a reduced</w:t>
      </w:r>
      <w:r w:rsidR="1D340A1B" w:rsidRPr="00E45508">
        <w:t xml:space="preserve"> need for virgin resources.</w:t>
      </w:r>
    </w:p>
    <w:p w14:paraId="1DC64EA2" w14:textId="538A5F4C" w:rsidR="00447604" w:rsidRPr="00E45508" w:rsidRDefault="007E69E1" w:rsidP="009A2D0B">
      <w:r w:rsidRPr="00E45508">
        <w:fldChar w:fldCharType="begin"/>
      </w:r>
      <w:r w:rsidRPr="00E45508">
        <w:instrText xml:space="preserve"> REF _Ref177639936 \h </w:instrText>
      </w:r>
      <w:r w:rsidRPr="00E45508">
        <w:fldChar w:fldCharType="separate"/>
      </w:r>
      <w:r w:rsidR="009A2EC4" w:rsidRPr="00E45508">
        <w:t xml:space="preserve">Figure </w:t>
      </w:r>
      <w:r w:rsidR="009A2EC4">
        <w:rPr>
          <w:noProof/>
        </w:rPr>
        <w:t>2</w:t>
      </w:r>
      <w:r w:rsidRPr="00E45508">
        <w:fldChar w:fldCharType="end"/>
      </w:r>
      <w:r w:rsidRPr="00E45508">
        <w:t xml:space="preserve"> </w:t>
      </w:r>
      <w:r w:rsidR="228ADB11" w:rsidRPr="00E45508">
        <w:t>below</w:t>
      </w:r>
      <w:r w:rsidR="7DAAA7E2" w:rsidRPr="00E45508">
        <w:t xml:space="preserve">, </w:t>
      </w:r>
      <w:r w:rsidR="228ADB11" w:rsidRPr="00E45508">
        <w:t>from APCO’s vision for Australia’s packaging future</w:t>
      </w:r>
      <w:r w:rsidR="000B2589" w:rsidRPr="00E45508">
        <w:t>,</w:t>
      </w:r>
      <w:r w:rsidR="228ADB11" w:rsidRPr="00E45508">
        <w:t xml:space="preserve"> highlights what a circular economy for packaging would mean across the packaging </w:t>
      </w:r>
      <w:r w:rsidR="00DB5B88">
        <w:t>supply</w:t>
      </w:r>
      <w:r w:rsidR="228ADB11" w:rsidRPr="00E45508">
        <w:t xml:space="preserve"> chain.</w:t>
      </w:r>
    </w:p>
    <w:p w14:paraId="747663A8" w14:textId="1B4E83D3" w:rsidR="20F7B82B" w:rsidRPr="00E45508" w:rsidRDefault="00447604" w:rsidP="00D6721B">
      <w:pPr>
        <w:pStyle w:val="Caption"/>
      </w:pPr>
      <w:bookmarkStart w:id="76" w:name="_Ref177639936"/>
      <w:bookmarkStart w:id="77" w:name="_Toc177126697"/>
      <w:bookmarkStart w:id="78" w:name="_Toc178229388"/>
      <w:r w:rsidRPr="00E45508">
        <w:t xml:space="preserve">Figure </w:t>
      </w:r>
      <w:r w:rsidRPr="00E45508">
        <w:fldChar w:fldCharType="begin"/>
      </w:r>
      <w:r w:rsidRPr="00E45508">
        <w:instrText xml:space="preserve"> SEQ Figure \* ARABIC </w:instrText>
      </w:r>
      <w:r w:rsidRPr="00E45508">
        <w:fldChar w:fldCharType="separate"/>
      </w:r>
      <w:r w:rsidR="009A2EC4">
        <w:rPr>
          <w:noProof/>
        </w:rPr>
        <w:t>2</w:t>
      </w:r>
      <w:r w:rsidRPr="00E45508">
        <w:fldChar w:fldCharType="end"/>
      </w:r>
      <w:bookmarkEnd w:id="76"/>
      <w:r w:rsidR="00BE39ED" w:rsidRPr="00E45508">
        <w:t>:</w:t>
      </w:r>
      <w:r w:rsidRPr="00E45508">
        <w:t xml:space="preserve"> Transforming the packaging </w:t>
      </w:r>
      <w:r w:rsidR="00862ABC">
        <w:t xml:space="preserve">supply </w:t>
      </w:r>
      <w:r w:rsidRPr="00E45508">
        <w:t>chain</w:t>
      </w:r>
      <w:bookmarkEnd w:id="77"/>
      <w:bookmarkEnd w:id="78"/>
    </w:p>
    <w:p w14:paraId="2DAD829A" w14:textId="56213E71" w:rsidR="20F7B82B" w:rsidRDefault="228ADB11" w:rsidP="1327BFE0">
      <w:pPr>
        <w:rPr>
          <w:b/>
          <w:bCs/>
        </w:rPr>
      </w:pPr>
      <w:r w:rsidRPr="00E45508">
        <w:rPr>
          <w:noProof/>
        </w:rPr>
        <w:drawing>
          <wp:inline distT="0" distB="0" distL="0" distR="0" wp14:anchorId="609A3FFD" wp14:editId="6B4CAED4">
            <wp:extent cx="5762625" cy="2380131"/>
            <wp:effectExtent l="0" t="0" r="3810" b="2540"/>
            <wp:docPr id="1523700244" name="Picture 7" descr="The Australian Packaging Covenant Organisation's diagram of how circular economy for packaging is expected to transform Australia's packaging supply ch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5762625" cy="2380131"/>
                    </a:xfrm>
                    <a:prstGeom prst="rect">
                      <a:avLst/>
                    </a:prstGeom>
                  </pic:spPr>
                </pic:pic>
              </a:graphicData>
            </a:graphic>
          </wp:inline>
        </w:drawing>
      </w:r>
    </w:p>
    <w:p w14:paraId="696EF586" w14:textId="0B6B9081" w:rsidR="006718D0" w:rsidRPr="006718D0" w:rsidRDefault="006718D0" w:rsidP="006718D0">
      <w:pPr>
        <w:pStyle w:val="BoxSource"/>
      </w:pPr>
      <w:r w:rsidRPr="00C46FEA">
        <w:t>Source: APCO 202</w:t>
      </w:r>
      <w:r w:rsidR="00F310E5">
        <w:t>0</w:t>
      </w:r>
      <w:r w:rsidR="007D6968">
        <w:t>a</w:t>
      </w:r>
      <w:r w:rsidRPr="00C46FEA">
        <w:t>, p.</w:t>
      </w:r>
      <w:r w:rsidR="00F310E5">
        <w:t>10</w:t>
      </w:r>
    </w:p>
    <w:p w14:paraId="31740F99" w14:textId="20E4A080" w:rsidR="20F7B82B" w:rsidRPr="00DA5F3B" w:rsidRDefault="3C99C3DE" w:rsidP="007A0B5B">
      <w:pPr>
        <w:pStyle w:val="Heading4"/>
      </w:pPr>
      <w:r w:rsidRPr="00E45508">
        <w:t>Principles for reform</w:t>
      </w:r>
    </w:p>
    <w:p w14:paraId="112059C2" w14:textId="1132AD8C" w:rsidR="20F7B82B" w:rsidRPr="00E45508" w:rsidRDefault="3C99C3DE" w:rsidP="009A2D0B">
      <w:r w:rsidRPr="00E45508">
        <w:t>To underpin a strong and effective circular economy for packaging that is accepted and trusted both domestically and internationally, reform should deliver:</w:t>
      </w:r>
    </w:p>
    <w:p w14:paraId="000599F4" w14:textId="653A8DD2" w:rsidR="20F7B82B" w:rsidRPr="00E45508" w:rsidRDefault="3C99C3DE" w:rsidP="009C1F84">
      <w:pPr>
        <w:pStyle w:val="ListBullet"/>
      </w:pPr>
      <w:r w:rsidRPr="00E45508">
        <w:t>Nationally consistent obligations and requirements to ensure a level playing field and increase certainty</w:t>
      </w:r>
      <w:r w:rsidR="00D55434" w:rsidRPr="00E45508">
        <w:t xml:space="preserve"> for</w:t>
      </w:r>
      <w:r w:rsidR="00047C1A" w:rsidRPr="00E45508">
        <w:t xml:space="preserve"> businesses</w:t>
      </w:r>
      <w:r w:rsidR="00507EAC" w:rsidRPr="00E45508">
        <w:t xml:space="preserve"> producing packaging and placing it on the market</w:t>
      </w:r>
      <w:r w:rsidRPr="00E45508">
        <w:t>.</w:t>
      </w:r>
    </w:p>
    <w:p w14:paraId="0AF16194" w14:textId="1E109161" w:rsidR="20F7B82B" w:rsidRPr="00E45508" w:rsidRDefault="3C99C3DE" w:rsidP="009C1F84">
      <w:pPr>
        <w:pStyle w:val="ListBullet"/>
      </w:pPr>
      <w:r w:rsidRPr="00E45508">
        <w:t>Clear obligations for industry to support effective action and investment</w:t>
      </w:r>
      <w:r w:rsidR="00507EAC" w:rsidRPr="00E45508">
        <w:t xml:space="preserve"> across the packaging life cycle</w:t>
      </w:r>
      <w:r w:rsidRPr="00E45508">
        <w:t>.</w:t>
      </w:r>
    </w:p>
    <w:p w14:paraId="7010127F" w14:textId="508723C1" w:rsidR="20F7B82B" w:rsidRPr="00E45508" w:rsidRDefault="17A9546F" w:rsidP="009C1F84">
      <w:pPr>
        <w:pStyle w:val="ListBullet"/>
      </w:pPr>
      <w:r w:rsidRPr="00E45508">
        <w:t xml:space="preserve">A </w:t>
      </w:r>
      <w:r w:rsidR="3C99C3DE" w:rsidRPr="00E45508">
        <w:t xml:space="preserve">system where industry takes responsibility for the packaging </w:t>
      </w:r>
      <w:r w:rsidR="00507EAC" w:rsidRPr="00E45508">
        <w:t>it places</w:t>
      </w:r>
      <w:r w:rsidR="3C99C3DE" w:rsidRPr="00E45508">
        <w:t xml:space="preserve"> on market.</w:t>
      </w:r>
    </w:p>
    <w:p w14:paraId="0F059A9E" w14:textId="39391271" w:rsidR="20F7B82B" w:rsidRPr="00E45508" w:rsidRDefault="00D55434" w:rsidP="009C1F84">
      <w:pPr>
        <w:pStyle w:val="ListBullet"/>
      </w:pPr>
      <w:r w:rsidRPr="00E45508">
        <w:t>F</w:t>
      </w:r>
      <w:r w:rsidR="3C99C3DE" w:rsidRPr="00E45508">
        <w:t xml:space="preserve">lexibility to accommodate </w:t>
      </w:r>
      <w:r w:rsidR="00113435" w:rsidRPr="00E45508">
        <w:t>innovation in</w:t>
      </w:r>
      <w:r w:rsidR="3C99C3DE" w:rsidRPr="00E45508" w:rsidDel="00113435">
        <w:t xml:space="preserve"> </w:t>
      </w:r>
      <w:r w:rsidR="3C99C3DE" w:rsidRPr="00E45508">
        <w:t>packaging design and recycling technologies.</w:t>
      </w:r>
    </w:p>
    <w:p w14:paraId="7845C81D" w14:textId="5D855729" w:rsidR="20F7B82B" w:rsidRPr="00E45508" w:rsidRDefault="3C99C3DE" w:rsidP="009C1F84">
      <w:pPr>
        <w:pStyle w:val="ListBullet"/>
      </w:pPr>
      <w:r w:rsidRPr="00E45508">
        <w:t>Measurable</w:t>
      </w:r>
      <w:r w:rsidR="00621730" w:rsidRPr="00E45508">
        <w:t>, enforceable</w:t>
      </w:r>
      <w:r w:rsidRPr="00E45508">
        <w:t xml:space="preserve"> and enforced obligations to sustain industry and community confidence.</w:t>
      </w:r>
    </w:p>
    <w:p w14:paraId="717D8159" w14:textId="5F6D9F20" w:rsidR="20F7B82B" w:rsidRPr="00E45508" w:rsidRDefault="3C99C3DE" w:rsidP="009C1F84">
      <w:pPr>
        <w:pStyle w:val="ListBullet"/>
      </w:pPr>
      <w:r w:rsidRPr="00E45508">
        <w:t>A system that contributes to Australia meeting its international obligations.</w:t>
      </w:r>
    </w:p>
    <w:p w14:paraId="7BB4078D" w14:textId="0E23FFA0" w:rsidR="20F7B82B" w:rsidRPr="00E45508" w:rsidRDefault="3C99C3DE" w:rsidP="009C1F84">
      <w:pPr>
        <w:pStyle w:val="ListBullet"/>
      </w:pPr>
      <w:r w:rsidRPr="00E45508">
        <w:t>A system that is based on global best practice, while accounting for Australia’s geographic and market context.</w:t>
      </w:r>
    </w:p>
    <w:p w14:paraId="3EB956BA" w14:textId="0B7E89A9" w:rsidR="20F7B82B" w:rsidRPr="00E45508" w:rsidRDefault="3C99C3DE" w:rsidP="009C1F84">
      <w:pPr>
        <w:pStyle w:val="ListBullet"/>
      </w:pPr>
      <w:r w:rsidRPr="00E45508">
        <w:t>A system aligned with global standards to maintain and increase industry access to global markets and alignment with global supply chains.</w:t>
      </w:r>
    </w:p>
    <w:p w14:paraId="1EAE7A81" w14:textId="34C4D209" w:rsidR="00047564" w:rsidRPr="00E45508" w:rsidRDefault="00047564" w:rsidP="009C7010">
      <w:pPr>
        <w:pStyle w:val="Heading4"/>
      </w:pPr>
      <w:r w:rsidRPr="00E45508">
        <w:t>Outcomes for reform</w:t>
      </w:r>
    </w:p>
    <w:p w14:paraId="5CAF7D09" w14:textId="0F9AFB28" w:rsidR="20F7B82B" w:rsidRPr="00E45508" w:rsidRDefault="74CBAF29" w:rsidP="009A2D0B">
      <w:r w:rsidRPr="00E45508">
        <w:t>The</w:t>
      </w:r>
      <w:r w:rsidR="54B29D5D" w:rsidRPr="00E45508">
        <w:t xml:space="preserve"> reform will seek to achieve the</w:t>
      </w:r>
      <w:r w:rsidRPr="00E45508">
        <w:t xml:space="preserve"> following outcomes </w:t>
      </w:r>
      <w:r w:rsidR="088B2857" w:rsidRPr="00E45508">
        <w:t>to deliver</w:t>
      </w:r>
      <w:r w:rsidRPr="00E45508">
        <w:t xml:space="preserve"> a fit-for-purpose </w:t>
      </w:r>
      <w:r w:rsidR="56FFE148" w:rsidRPr="00E45508">
        <w:t xml:space="preserve">circular </w:t>
      </w:r>
      <w:r w:rsidRPr="00E45508">
        <w:t>packaging system</w:t>
      </w:r>
      <w:r w:rsidR="215A51C1" w:rsidRPr="00E45508">
        <w:t xml:space="preserve"> (</w:t>
      </w:r>
      <w:r w:rsidR="008D239E" w:rsidRPr="00E45508">
        <w:fldChar w:fldCharType="begin"/>
      </w:r>
      <w:r w:rsidR="008D239E" w:rsidRPr="00E45508">
        <w:instrText xml:space="preserve"> REF _Ref177492543 \h </w:instrText>
      </w:r>
      <w:r w:rsidR="008D239E" w:rsidRPr="00E45508">
        <w:fldChar w:fldCharType="separate"/>
      </w:r>
      <w:r w:rsidR="009A2EC4" w:rsidRPr="00E45508">
        <w:t xml:space="preserve">Table </w:t>
      </w:r>
      <w:r w:rsidR="009A2EC4">
        <w:rPr>
          <w:noProof/>
        </w:rPr>
        <w:t>1</w:t>
      </w:r>
      <w:r w:rsidR="008D239E" w:rsidRPr="00E45508">
        <w:fldChar w:fldCharType="end"/>
      </w:r>
      <w:r w:rsidR="215A51C1" w:rsidRPr="00E45508">
        <w:t>)</w:t>
      </w:r>
      <w:r w:rsidR="1BF1D073" w:rsidRPr="00E45508">
        <w:t>:</w:t>
      </w:r>
    </w:p>
    <w:p w14:paraId="28C062CA" w14:textId="2EB57D06" w:rsidR="00BE39ED" w:rsidRPr="00E45508" w:rsidRDefault="00BE39ED" w:rsidP="00C915A5">
      <w:pPr>
        <w:pStyle w:val="Caption"/>
        <w:rPr>
          <w:highlight w:val="yellow"/>
        </w:rPr>
      </w:pPr>
      <w:bookmarkStart w:id="79" w:name="_Ref177492543"/>
      <w:bookmarkStart w:id="80" w:name="_Toc178229364"/>
      <w:r w:rsidRPr="00E45508">
        <w:t xml:space="preserve">Table </w:t>
      </w:r>
      <w:r w:rsidRPr="00E45508">
        <w:fldChar w:fldCharType="begin"/>
      </w:r>
      <w:r w:rsidRPr="00E45508">
        <w:instrText xml:space="preserve"> SEQ Table \* ARABIC </w:instrText>
      </w:r>
      <w:r w:rsidRPr="00E45508">
        <w:fldChar w:fldCharType="separate"/>
      </w:r>
      <w:r w:rsidR="009A2EC4">
        <w:rPr>
          <w:noProof/>
        </w:rPr>
        <w:t>1</w:t>
      </w:r>
      <w:r w:rsidRPr="00E45508">
        <w:fldChar w:fldCharType="end"/>
      </w:r>
      <w:bookmarkEnd w:id="79"/>
      <w:r w:rsidRPr="00E45508">
        <w:t xml:space="preserve">: </w:t>
      </w:r>
      <w:r w:rsidR="2D2C105A" w:rsidRPr="00E45508">
        <w:t>Key o</w:t>
      </w:r>
      <w:r w:rsidR="7929B684" w:rsidRPr="00E45508">
        <w:t>utcomes for reform</w:t>
      </w:r>
      <w:bookmarkEnd w:id="80"/>
    </w:p>
    <w:tbl>
      <w:tblPr>
        <w:tblStyle w:val="PlainTable2"/>
        <w:tblW w:w="0" w:type="auto"/>
        <w:tblLook w:val="04A0" w:firstRow="1" w:lastRow="0" w:firstColumn="1" w:lastColumn="0" w:noHBand="0" w:noVBand="1"/>
      </w:tblPr>
      <w:tblGrid>
        <w:gridCol w:w="562"/>
        <w:gridCol w:w="8498"/>
      </w:tblGrid>
      <w:tr w:rsidR="00047564" w:rsidRPr="00E45508" w14:paraId="4AB39C3E" w14:textId="77777777" w:rsidTr="00CC7B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shd w:val="clear" w:color="auto" w:fill="D7F5FA" w:themeFill="background2" w:themeFillTint="1A"/>
          </w:tcPr>
          <w:p w14:paraId="535CB116" w14:textId="77777777" w:rsidR="00047564" w:rsidRPr="00E45508" w:rsidRDefault="00047564" w:rsidP="000E6CC5">
            <w:pPr>
              <w:pStyle w:val="Tabletext0"/>
              <w:rPr>
                <w:b w:val="0"/>
              </w:rPr>
            </w:pPr>
            <w:r w:rsidRPr="00E45508">
              <w:t>1</w:t>
            </w:r>
          </w:p>
        </w:tc>
        <w:tc>
          <w:tcPr>
            <w:tcW w:w="8498" w:type="dxa"/>
            <w:shd w:val="clear" w:color="auto" w:fill="D7F5FA" w:themeFill="background2" w:themeFillTint="1A"/>
          </w:tcPr>
          <w:p w14:paraId="26028BA2" w14:textId="77777777" w:rsidR="00047564" w:rsidRPr="00E45508" w:rsidRDefault="00047564" w:rsidP="000E6CC5">
            <w:pPr>
              <w:pStyle w:val="Tabletext0"/>
              <w:cnfStyle w:val="100000000000" w:firstRow="1" w:lastRow="0" w:firstColumn="0" w:lastColumn="0" w:oddVBand="0" w:evenVBand="0" w:oddHBand="0" w:evenHBand="0" w:firstRowFirstColumn="0" w:firstRowLastColumn="0" w:lastRowFirstColumn="0" w:lastRowLastColumn="0"/>
              <w:rPr>
                <w:b w:val="0"/>
              </w:rPr>
            </w:pPr>
            <w:r w:rsidRPr="00E45508">
              <w:t>Waste from packaging is reduced</w:t>
            </w:r>
          </w:p>
        </w:tc>
      </w:tr>
      <w:tr w:rsidR="00047564" w:rsidRPr="00E45508" w14:paraId="739E38BA" w14:textId="77777777" w:rsidTr="000E6C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677DE0EB" w14:textId="702B1D2A" w:rsidR="00047564" w:rsidRPr="00E45508" w:rsidRDefault="00047564" w:rsidP="000E6CC5">
            <w:pPr>
              <w:pStyle w:val="Tabletext0"/>
            </w:pPr>
            <w:r w:rsidRPr="00E45508">
              <w:t>a</w:t>
            </w:r>
          </w:p>
        </w:tc>
        <w:tc>
          <w:tcPr>
            <w:tcW w:w="8498" w:type="dxa"/>
          </w:tcPr>
          <w:p w14:paraId="632A94E0" w14:textId="77777777" w:rsidR="00047564" w:rsidRPr="00E45508" w:rsidRDefault="00047564" w:rsidP="000E6CC5">
            <w:pPr>
              <w:pStyle w:val="Tabletext0"/>
              <w:cnfStyle w:val="000000100000" w:firstRow="0" w:lastRow="0" w:firstColumn="0" w:lastColumn="0" w:oddVBand="0" w:evenVBand="0" w:oddHBand="1" w:evenHBand="0" w:firstRowFirstColumn="0" w:firstRowLastColumn="0" w:lastRowFirstColumn="0" w:lastRowLastColumn="0"/>
            </w:pPr>
            <w:r w:rsidRPr="00E45508">
              <w:t>The use of virgin materials in packaging is reduced</w:t>
            </w:r>
          </w:p>
        </w:tc>
      </w:tr>
      <w:tr w:rsidR="00047564" w:rsidRPr="00E45508" w14:paraId="4E5AC94C" w14:textId="77777777" w:rsidTr="000E6CC5">
        <w:trPr>
          <w:trHeight w:val="300"/>
        </w:trPr>
        <w:tc>
          <w:tcPr>
            <w:cnfStyle w:val="001000000000" w:firstRow="0" w:lastRow="0" w:firstColumn="1" w:lastColumn="0" w:oddVBand="0" w:evenVBand="0" w:oddHBand="0" w:evenHBand="0" w:firstRowFirstColumn="0" w:firstRowLastColumn="0" w:lastRowFirstColumn="0" w:lastRowLastColumn="0"/>
            <w:tcW w:w="562" w:type="dxa"/>
          </w:tcPr>
          <w:p w14:paraId="17F3323B" w14:textId="77777777" w:rsidR="00047564" w:rsidRPr="00E45508" w:rsidRDefault="00047564" w:rsidP="000E6CC5">
            <w:pPr>
              <w:pStyle w:val="Tabletext0"/>
            </w:pPr>
            <w:r w:rsidRPr="00E45508">
              <w:t>b</w:t>
            </w:r>
          </w:p>
        </w:tc>
        <w:tc>
          <w:tcPr>
            <w:tcW w:w="8498" w:type="dxa"/>
          </w:tcPr>
          <w:p w14:paraId="67DAC23F" w14:textId="77777777" w:rsidR="00047564" w:rsidRPr="00E45508" w:rsidRDefault="00047564" w:rsidP="000E6CC5">
            <w:pPr>
              <w:pStyle w:val="Tabletext0"/>
              <w:cnfStyle w:val="000000000000" w:firstRow="0" w:lastRow="0" w:firstColumn="0" w:lastColumn="0" w:oddVBand="0" w:evenVBand="0" w:oddHBand="0" w:evenHBand="0" w:firstRowFirstColumn="0" w:firstRowLastColumn="0" w:lastRowFirstColumn="0" w:lastRowLastColumn="0"/>
            </w:pPr>
            <w:r w:rsidRPr="00E45508">
              <w:t>The amount of packaging placed on market per capita is reduced</w:t>
            </w:r>
          </w:p>
        </w:tc>
      </w:tr>
      <w:tr w:rsidR="0518A37F" w:rsidRPr="00E45508" w14:paraId="65312CCD" w14:textId="77777777" w:rsidTr="000E6C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0FEC34CB" w14:textId="152FA109" w:rsidR="4B52AF35" w:rsidRPr="00E45508" w:rsidRDefault="4B52AF35" w:rsidP="000E6CC5">
            <w:pPr>
              <w:pStyle w:val="Tabletext0"/>
            </w:pPr>
            <w:r w:rsidRPr="00E45508">
              <w:t>c</w:t>
            </w:r>
          </w:p>
        </w:tc>
        <w:tc>
          <w:tcPr>
            <w:tcW w:w="8498" w:type="dxa"/>
          </w:tcPr>
          <w:p w14:paraId="129B342D" w14:textId="3F47AA74" w:rsidR="4B52AF35" w:rsidRPr="00E45508" w:rsidRDefault="4B52AF35" w:rsidP="000E6CC5">
            <w:pPr>
              <w:pStyle w:val="Tabletext0"/>
              <w:cnfStyle w:val="000000100000" w:firstRow="0" w:lastRow="0" w:firstColumn="0" w:lastColumn="0" w:oddVBand="0" w:evenVBand="0" w:oddHBand="1" w:evenHBand="0" w:firstRowFirstColumn="0" w:firstRowLastColumn="0" w:lastRowFirstColumn="0" w:lastRowLastColumn="0"/>
            </w:pPr>
            <w:r w:rsidRPr="00E45508">
              <w:t>The amount of packaging sent to landfill per capita is reduced</w:t>
            </w:r>
          </w:p>
        </w:tc>
      </w:tr>
      <w:tr w:rsidR="00047564" w:rsidRPr="00E45508" w14:paraId="6E217F99" w14:textId="77777777" w:rsidTr="000E6CC5">
        <w:trPr>
          <w:trHeight w:val="300"/>
        </w:trPr>
        <w:tc>
          <w:tcPr>
            <w:cnfStyle w:val="001000000000" w:firstRow="0" w:lastRow="0" w:firstColumn="1" w:lastColumn="0" w:oddVBand="0" w:evenVBand="0" w:oddHBand="0" w:evenHBand="0" w:firstRowFirstColumn="0" w:firstRowLastColumn="0" w:lastRowFirstColumn="0" w:lastRowLastColumn="0"/>
            <w:tcW w:w="562" w:type="dxa"/>
          </w:tcPr>
          <w:p w14:paraId="0BE93D5B" w14:textId="17287B0D" w:rsidR="00047564" w:rsidRPr="00E45508" w:rsidRDefault="4B52AF35" w:rsidP="000E6CC5">
            <w:pPr>
              <w:pStyle w:val="Tabletext0"/>
            </w:pPr>
            <w:r w:rsidRPr="00E45508">
              <w:t>d</w:t>
            </w:r>
          </w:p>
        </w:tc>
        <w:tc>
          <w:tcPr>
            <w:tcW w:w="8498" w:type="dxa"/>
          </w:tcPr>
          <w:p w14:paraId="0DE3903F" w14:textId="6A9AFEC2" w:rsidR="00047564" w:rsidRPr="00E45508" w:rsidRDefault="00047564" w:rsidP="000E6CC5">
            <w:pPr>
              <w:pStyle w:val="Tabletext0"/>
              <w:cnfStyle w:val="000000000000" w:firstRow="0" w:lastRow="0" w:firstColumn="0" w:lastColumn="0" w:oddVBand="0" w:evenVBand="0" w:oddHBand="0" w:evenHBand="0" w:firstRowFirstColumn="0" w:firstRowLastColumn="0" w:lastRowFirstColumn="0" w:lastRowLastColumn="0"/>
            </w:pPr>
            <w:r w:rsidRPr="00E45508">
              <w:t>Problematic and unnecessary packaging is eliminated</w:t>
            </w:r>
          </w:p>
        </w:tc>
      </w:tr>
      <w:tr w:rsidR="00047564" w:rsidRPr="00E45508" w14:paraId="531B27D5" w14:textId="77777777" w:rsidTr="00CC7B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shd w:val="clear" w:color="auto" w:fill="D7F5FA" w:themeFill="background2" w:themeFillTint="1A"/>
          </w:tcPr>
          <w:p w14:paraId="16291210" w14:textId="77777777" w:rsidR="00047564" w:rsidRPr="00E45508" w:rsidRDefault="00047564" w:rsidP="000E6CC5">
            <w:pPr>
              <w:pStyle w:val="Tabletext0"/>
              <w:rPr>
                <w:b w:val="0"/>
              </w:rPr>
            </w:pPr>
            <w:r w:rsidRPr="00E45508">
              <w:t>2</w:t>
            </w:r>
          </w:p>
        </w:tc>
        <w:tc>
          <w:tcPr>
            <w:tcW w:w="8498" w:type="dxa"/>
            <w:shd w:val="clear" w:color="auto" w:fill="D7F5FA" w:themeFill="background2" w:themeFillTint="1A"/>
          </w:tcPr>
          <w:p w14:paraId="40A69E7E" w14:textId="0F985100" w:rsidR="00047564" w:rsidRPr="00E45508" w:rsidRDefault="00047564" w:rsidP="000E6CC5">
            <w:pPr>
              <w:pStyle w:val="Tabletext0"/>
              <w:cnfStyle w:val="000000100000" w:firstRow="0" w:lastRow="0" w:firstColumn="0" w:lastColumn="0" w:oddVBand="0" w:evenVBand="0" w:oddHBand="1" w:evenHBand="0" w:firstRowFirstColumn="0" w:firstRowLastColumn="0" w:lastRowFirstColumn="0" w:lastRowLastColumn="0"/>
              <w:rPr>
                <w:b/>
              </w:rPr>
            </w:pPr>
            <w:r w:rsidRPr="00E45508">
              <w:rPr>
                <w:b/>
              </w:rPr>
              <w:t xml:space="preserve">Packaging materials are </w:t>
            </w:r>
            <w:r w:rsidR="6CF64CA4" w:rsidRPr="00E45508">
              <w:rPr>
                <w:b/>
              </w:rPr>
              <w:t>kept in use and</w:t>
            </w:r>
            <w:r w:rsidRPr="00E45508">
              <w:rPr>
                <w:b/>
              </w:rPr>
              <w:t xml:space="preserve"> circulated at their highest value</w:t>
            </w:r>
          </w:p>
        </w:tc>
      </w:tr>
      <w:tr w:rsidR="00047564" w:rsidRPr="00E45508" w14:paraId="4A1C8C7F" w14:textId="77777777" w:rsidTr="000E6CC5">
        <w:trPr>
          <w:trHeight w:val="300"/>
        </w:trPr>
        <w:tc>
          <w:tcPr>
            <w:cnfStyle w:val="001000000000" w:firstRow="0" w:lastRow="0" w:firstColumn="1" w:lastColumn="0" w:oddVBand="0" w:evenVBand="0" w:oddHBand="0" w:evenHBand="0" w:firstRowFirstColumn="0" w:firstRowLastColumn="0" w:lastRowFirstColumn="0" w:lastRowLastColumn="0"/>
            <w:tcW w:w="562" w:type="dxa"/>
          </w:tcPr>
          <w:p w14:paraId="53D3EAF9" w14:textId="77777777" w:rsidR="00047564" w:rsidRPr="00E45508" w:rsidRDefault="00047564" w:rsidP="000E6CC5">
            <w:pPr>
              <w:pStyle w:val="Tabletext0"/>
            </w:pPr>
            <w:r w:rsidRPr="00E45508">
              <w:t>a</w:t>
            </w:r>
          </w:p>
        </w:tc>
        <w:tc>
          <w:tcPr>
            <w:tcW w:w="8498" w:type="dxa"/>
          </w:tcPr>
          <w:p w14:paraId="03EA2F13" w14:textId="77777777" w:rsidR="00047564" w:rsidRPr="00E45508" w:rsidRDefault="00047564" w:rsidP="000E6CC5">
            <w:pPr>
              <w:pStyle w:val="Tabletext0"/>
              <w:cnfStyle w:val="000000000000" w:firstRow="0" w:lastRow="0" w:firstColumn="0" w:lastColumn="0" w:oddVBand="0" w:evenVBand="0" w:oddHBand="0" w:evenHBand="0" w:firstRowFirstColumn="0" w:firstRowLastColumn="0" w:lastRowFirstColumn="0" w:lastRowLastColumn="0"/>
            </w:pPr>
            <w:r w:rsidRPr="00E45508">
              <w:t>Packaging is designed for recyclability</w:t>
            </w:r>
          </w:p>
        </w:tc>
      </w:tr>
      <w:tr w:rsidR="00047564" w:rsidRPr="00E45508" w14:paraId="4F142D66" w14:textId="77777777" w:rsidTr="000E6C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4446BE80" w14:textId="77777777" w:rsidR="00047564" w:rsidRPr="00E45508" w:rsidRDefault="00047564" w:rsidP="000E6CC5">
            <w:pPr>
              <w:pStyle w:val="Tabletext0"/>
            </w:pPr>
            <w:r w:rsidRPr="00E45508">
              <w:t>b</w:t>
            </w:r>
          </w:p>
        </w:tc>
        <w:tc>
          <w:tcPr>
            <w:tcW w:w="8498" w:type="dxa"/>
          </w:tcPr>
          <w:p w14:paraId="69071096" w14:textId="77777777" w:rsidR="00047564" w:rsidRPr="00E45508" w:rsidRDefault="00047564" w:rsidP="000E6CC5">
            <w:pPr>
              <w:pStyle w:val="Tabletext0"/>
              <w:cnfStyle w:val="000000100000" w:firstRow="0" w:lastRow="0" w:firstColumn="0" w:lastColumn="0" w:oddVBand="0" w:evenVBand="0" w:oddHBand="1" w:evenHBand="0" w:firstRowFirstColumn="0" w:firstRowLastColumn="0" w:lastRowFirstColumn="0" w:lastRowLastColumn="0"/>
            </w:pPr>
            <w:r w:rsidRPr="00E45508">
              <w:t>The amount of recycled content in packaging is increased through design and strengthened end markets</w:t>
            </w:r>
          </w:p>
        </w:tc>
      </w:tr>
      <w:tr w:rsidR="00047564" w:rsidRPr="00E45508" w14:paraId="1B1541CC" w14:textId="77777777" w:rsidTr="000E6CC5">
        <w:trPr>
          <w:trHeight w:val="300"/>
        </w:trPr>
        <w:tc>
          <w:tcPr>
            <w:cnfStyle w:val="001000000000" w:firstRow="0" w:lastRow="0" w:firstColumn="1" w:lastColumn="0" w:oddVBand="0" w:evenVBand="0" w:oddHBand="0" w:evenHBand="0" w:firstRowFirstColumn="0" w:firstRowLastColumn="0" w:lastRowFirstColumn="0" w:lastRowLastColumn="0"/>
            <w:tcW w:w="562" w:type="dxa"/>
          </w:tcPr>
          <w:p w14:paraId="541E72E7" w14:textId="77777777" w:rsidR="00047564" w:rsidRPr="00E45508" w:rsidRDefault="00047564" w:rsidP="000E6CC5">
            <w:pPr>
              <w:pStyle w:val="Tabletext0"/>
            </w:pPr>
            <w:r w:rsidRPr="00E45508">
              <w:t>c</w:t>
            </w:r>
          </w:p>
        </w:tc>
        <w:tc>
          <w:tcPr>
            <w:tcW w:w="8498" w:type="dxa"/>
          </w:tcPr>
          <w:p w14:paraId="2F2AE162" w14:textId="77777777" w:rsidR="00047564" w:rsidRPr="00E45508" w:rsidRDefault="00047564" w:rsidP="000E6CC5">
            <w:pPr>
              <w:pStyle w:val="Tabletext0"/>
              <w:cnfStyle w:val="000000000000" w:firstRow="0" w:lastRow="0" w:firstColumn="0" w:lastColumn="0" w:oddVBand="0" w:evenVBand="0" w:oddHBand="0" w:evenHBand="0" w:firstRowFirstColumn="0" w:firstRowLastColumn="0" w:lastRowFirstColumn="0" w:lastRowLastColumn="0"/>
            </w:pPr>
            <w:r w:rsidRPr="00E45508">
              <w:t>Recyclable packaging is collected, recycled and reprocessed</w:t>
            </w:r>
          </w:p>
        </w:tc>
      </w:tr>
      <w:tr w:rsidR="00047564" w:rsidRPr="00E45508" w14:paraId="6FD12FB4" w14:textId="77777777" w:rsidTr="000E6C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4FB61F13" w14:textId="489F3378" w:rsidR="00047564" w:rsidRPr="00E45508" w:rsidRDefault="007C2493" w:rsidP="000E6CC5">
            <w:pPr>
              <w:pStyle w:val="Tabletext0"/>
            </w:pPr>
            <w:r w:rsidRPr="00E45508">
              <w:t>d</w:t>
            </w:r>
          </w:p>
        </w:tc>
        <w:tc>
          <w:tcPr>
            <w:tcW w:w="8498" w:type="dxa"/>
          </w:tcPr>
          <w:p w14:paraId="18D2F36C" w14:textId="3F3E6C1A" w:rsidR="00047564" w:rsidRPr="00E45508" w:rsidRDefault="00301FEE" w:rsidP="000E6CC5">
            <w:pPr>
              <w:pStyle w:val="Tabletext0"/>
              <w:cnfStyle w:val="000000100000" w:firstRow="0" w:lastRow="0" w:firstColumn="0" w:lastColumn="0" w:oddVBand="0" w:evenVBand="0" w:oddHBand="1" w:evenHBand="0" w:firstRowFirstColumn="0" w:firstRowLastColumn="0" w:lastRowFirstColumn="0" w:lastRowLastColumn="0"/>
            </w:pPr>
            <w:r w:rsidRPr="00E45508">
              <w:t>C</w:t>
            </w:r>
            <w:r w:rsidR="00047564" w:rsidRPr="00E45508">
              <w:t xml:space="preserve">hemicals of concern in packaging </w:t>
            </w:r>
            <w:r w:rsidR="007C2493" w:rsidRPr="00E45508">
              <w:t>are eliminated, phased-down or minimised</w:t>
            </w:r>
          </w:p>
        </w:tc>
      </w:tr>
    </w:tbl>
    <w:p w14:paraId="1854D31D" w14:textId="77777777" w:rsidR="00280198" w:rsidRPr="00E45508" w:rsidRDefault="00280198">
      <w:pPr>
        <w:spacing w:after="0" w:line="240" w:lineRule="auto"/>
      </w:pPr>
      <w:r w:rsidRPr="00E45508">
        <w:br w:type="page"/>
      </w:r>
    </w:p>
    <w:p w14:paraId="3F7BD1D0" w14:textId="7BA99481" w:rsidR="00A56F56" w:rsidRPr="00E45508" w:rsidRDefault="00A56F56" w:rsidP="00A56F56">
      <w:pPr>
        <w:pStyle w:val="Heading3"/>
      </w:pPr>
      <w:bookmarkStart w:id="81" w:name="_Ref176279315"/>
      <w:bookmarkStart w:id="82" w:name="_Toc177126592"/>
      <w:bookmarkStart w:id="83" w:name="_Toc177130850"/>
      <w:bookmarkStart w:id="84" w:name="_Toc178230247"/>
      <w:r w:rsidRPr="00E45508">
        <w:t xml:space="preserve">Why is </w:t>
      </w:r>
      <w:r w:rsidR="006109BE" w:rsidRPr="00E45508">
        <w:t>intervention</w:t>
      </w:r>
      <w:r w:rsidRPr="00E45508">
        <w:t xml:space="preserve"> needed?</w:t>
      </w:r>
      <w:bookmarkEnd w:id="81"/>
      <w:bookmarkEnd w:id="82"/>
      <w:bookmarkEnd w:id="83"/>
      <w:bookmarkEnd w:id="84"/>
    </w:p>
    <w:p w14:paraId="3D7378B3" w14:textId="35DE38A3" w:rsidR="00E84596" w:rsidRPr="00E45508" w:rsidRDefault="00E84596" w:rsidP="007A0B5B">
      <w:pPr>
        <w:pStyle w:val="Heading4"/>
      </w:pPr>
      <w:r w:rsidRPr="00E45508">
        <w:t>The current co-regulatory arrangement is not working</w:t>
      </w:r>
    </w:p>
    <w:p w14:paraId="11EA50EF" w14:textId="781A7674" w:rsidR="00E84596" w:rsidRPr="00E45508" w:rsidRDefault="00E84596" w:rsidP="00280198">
      <w:pPr>
        <w:rPr>
          <w:rFonts w:eastAsiaTheme="minorEastAsia"/>
        </w:rPr>
      </w:pPr>
      <w:r w:rsidRPr="00E45508">
        <w:t xml:space="preserve">The Independent Review </w:t>
      </w:r>
      <w:r w:rsidR="00F03E7C" w:rsidRPr="00E45508">
        <w:t>(</w:t>
      </w:r>
      <w:r w:rsidR="00D60EF2" w:rsidRPr="00E45508">
        <w:t>mpc</w:t>
      </w:r>
      <w:r w:rsidR="00F03E7C" w:rsidRPr="00E45508">
        <w:t>onsulting</w:t>
      </w:r>
      <w:r w:rsidR="00421651" w:rsidRPr="00E45508">
        <w:t> 2</w:t>
      </w:r>
      <w:r w:rsidR="00F03E7C" w:rsidRPr="00E45508">
        <w:t>021)</w:t>
      </w:r>
      <w:r w:rsidRPr="00E45508">
        <w:t xml:space="preserve"> identified significant failures in the implementation and enforcement of the current co-regulatory arrangement. It found:</w:t>
      </w:r>
    </w:p>
    <w:p w14:paraId="652F957F" w14:textId="20FF6673" w:rsidR="00E84596" w:rsidRPr="00E45508" w:rsidRDefault="00E84596" w:rsidP="009C1F84">
      <w:pPr>
        <w:pStyle w:val="ListBullet"/>
      </w:pPr>
      <w:r w:rsidRPr="00E45508">
        <w:t>The NEPM has not been consistently implemented or operationalised by state and territory governments</w:t>
      </w:r>
      <w:r w:rsidR="00D62257" w:rsidRPr="00E45508">
        <w:t>.</w:t>
      </w:r>
    </w:p>
    <w:p w14:paraId="6D871D93" w14:textId="7EC7A707" w:rsidR="00E84596" w:rsidRPr="00E45508" w:rsidRDefault="00E84596" w:rsidP="009C1F84">
      <w:pPr>
        <w:pStyle w:val="ListBullet"/>
      </w:pPr>
      <w:r w:rsidRPr="00E45508">
        <w:t xml:space="preserve">There is confusion among brand owners regarding their liability </w:t>
      </w:r>
      <w:r w:rsidR="004F6B61" w:rsidRPr="00E45508">
        <w:t xml:space="preserve">and obligations </w:t>
      </w:r>
      <w:r w:rsidRPr="00E45508">
        <w:t xml:space="preserve">under the </w:t>
      </w:r>
      <w:r w:rsidR="004F6B61" w:rsidRPr="00E45508">
        <w:t>co</w:t>
      </w:r>
      <w:r w:rsidR="006D03F7" w:rsidRPr="00E45508">
        <w:noBreakHyphen/>
      </w:r>
      <w:r w:rsidR="004F6B61" w:rsidRPr="00E45508">
        <w:t>regulatory arrangement</w:t>
      </w:r>
      <w:r w:rsidRPr="00E45508">
        <w:t>.</w:t>
      </w:r>
    </w:p>
    <w:p w14:paraId="370B6C97" w14:textId="63D34691" w:rsidR="00C64E57" w:rsidRPr="00E45508" w:rsidRDefault="00E84596" w:rsidP="009C1F84">
      <w:pPr>
        <w:pStyle w:val="ListBullet"/>
      </w:pPr>
      <w:r w:rsidRPr="00E45508">
        <w:t xml:space="preserve">The </w:t>
      </w:r>
      <w:r w:rsidR="00DB326A" w:rsidRPr="00E45508">
        <w:t xml:space="preserve">NEPM </w:t>
      </w:r>
      <w:r w:rsidRPr="00E45508">
        <w:t>lack</w:t>
      </w:r>
      <w:r w:rsidR="00DB326A" w:rsidRPr="00E45508">
        <w:t>s</w:t>
      </w:r>
      <w:r w:rsidRPr="00E45508">
        <w:t xml:space="preserve"> </w:t>
      </w:r>
      <w:r w:rsidR="00C94466" w:rsidRPr="00E45508">
        <w:t xml:space="preserve">specific targets or </w:t>
      </w:r>
      <w:r w:rsidR="00C71A16" w:rsidRPr="00E45508">
        <w:t>key performance indicators</w:t>
      </w:r>
      <w:r w:rsidRPr="00E45508">
        <w:t xml:space="preserve"> </w:t>
      </w:r>
      <w:r w:rsidR="00C64E57" w:rsidRPr="00E45508">
        <w:t>to assist with the measurement of the</w:t>
      </w:r>
      <w:r w:rsidR="008F52D0" w:rsidRPr="00E45508">
        <w:t xml:space="preserve"> environment protection</w:t>
      </w:r>
      <w:r w:rsidR="00C64E57" w:rsidRPr="00E45508">
        <w:t xml:space="preserve"> goal and data is not consistently collected or reported against the goal, presenting challenges for assessing its effectiveness</w:t>
      </w:r>
      <w:r w:rsidR="00C94466" w:rsidRPr="00E45508">
        <w:t>.</w:t>
      </w:r>
    </w:p>
    <w:p w14:paraId="7663608F" w14:textId="15667617" w:rsidR="00F93637" w:rsidRPr="00E45508" w:rsidRDefault="00F93637" w:rsidP="009C1F84">
      <w:pPr>
        <w:pStyle w:val="ListBullet"/>
      </w:pPr>
      <w:r w:rsidRPr="00E45508">
        <w:t>Limited (or absent) monitoring and enforcement has undermined confidence in the co</w:t>
      </w:r>
      <w:r w:rsidR="008211A4">
        <w:noBreakHyphen/>
      </w:r>
      <w:r w:rsidRPr="00E45508">
        <w:t>regulatory arrangement, enabled free riders and disincentivised participation in the Covenant.</w:t>
      </w:r>
    </w:p>
    <w:p w14:paraId="3307B269" w14:textId="3B47079C" w:rsidR="00E84596" w:rsidRPr="00E45508" w:rsidRDefault="00E84596" w:rsidP="009C1F84">
      <w:pPr>
        <w:pStyle w:val="ListBullet"/>
      </w:pPr>
      <w:r w:rsidRPr="00E45508">
        <w:t>A lack of coordinated funding of the co-regulatory arrangement has undermined its effective implementation and outcomes.</w:t>
      </w:r>
    </w:p>
    <w:p w14:paraId="26B680A0" w14:textId="04146AC6" w:rsidR="009F1413" w:rsidRPr="00E45508" w:rsidRDefault="00FC6143" w:rsidP="00280198">
      <w:r w:rsidRPr="00E45508">
        <w:t xml:space="preserve">The </w:t>
      </w:r>
      <w:r w:rsidR="00F70A5B" w:rsidRPr="00E45508">
        <w:t>Independent</w:t>
      </w:r>
      <w:r w:rsidR="5E7D8B22" w:rsidRPr="00E45508">
        <w:t xml:space="preserve"> R</w:t>
      </w:r>
      <w:r w:rsidRPr="00E45508">
        <w:t xml:space="preserve">eview also noted that </w:t>
      </w:r>
      <w:r w:rsidR="001960B8" w:rsidRPr="00E45508">
        <w:t xml:space="preserve">different obligations are currently imposed on brand owners based on whether they choose to be </w:t>
      </w:r>
      <w:r w:rsidR="00EB2221">
        <w:t>S</w:t>
      </w:r>
      <w:r w:rsidR="001960B8" w:rsidRPr="00E45508">
        <w:t>ignatories to the Covenant or to be regulated under relevant state and territory arrangements. Different approaches to the administration of state and territory arrangements</w:t>
      </w:r>
      <w:r w:rsidR="00786786">
        <w:t xml:space="preserve"> across </w:t>
      </w:r>
      <w:r w:rsidR="001960B8" w:rsidRPr="00E45508">
        <w:t>jurisdictions has also created the opportunity for some to avoid their obligations (free riders)</w:t>
      </w:r>
      <w:r w:rsidR="00C000EA" w:rsidRPr="00E45508">
        <w:t>.</w:t>
      </w:r>
      <w:r w:rsidR="3B69D34F" w:rsidRPr="00E45508">
        <w:t xml:space="preserve"> </w:t>
      </w:r>
      <w:r w:rsidR="00600D2E" w:rsidRPr="00E45508">
        <w:t>It also noted that t</w:t>
      </w:r>
      <w:r w:rsidR="3B69D34F" w:rsidRPr="00E45508">
        <w:t>here is no dedicated funding for implementation or monitoring of the co-regulatory arrangement.</w:t>
      </w:r>
      <w:r w:rsidR="0924CF30" w:rsidRPr="00E45508">
        <w:t xml:space="preserve"> </w:t>
      </w:r>
      <w:r w:rsidR="78101BE0" w:rsidRPr="00E45508">
        <w:t xml:space="preserve">It made </w:t>
      </w:r>
      <w:r w:rsidR="004617B2" w:rsidRPr="00E45508">
        <w:t>nine</w:t>
      </w:r>
      <w:r w:rsidR="78101BE0" w:rsidRPr="00E45508">
        <w:t xml:space="preserve"> recommendations for a reformed packaging scheme (see </w:t>
      </w:r>
      <w:r w:rsidR="002E23F6" w:rsidRPr="00E45508">
        <w:rPr>
          <w:u w:val="single"/>
        </w:rPr>
        <w:fldChar w:fldCharType="begin"/>
      </w:r>
      <w:r w:rsidR="002E23F6" w:rsidRPr="00E45508">
        <w:instrText xml:space="preserve"> REF _Ref177121758 \n \h </w:instrText>
      </w:r>
      <w:r w:rsidR="002E23F6" w:rsidRPr="00E45508">
        <w:rPr>
          <w:u w:val="single"/>
        </w:rPr>
      </w:r>
      <w:r w:rsidR="002E23F6" w:rsidRPr="00E45508">
        <w:rPr>
          <w:u w:val="single"/>
        </w:rPr>
        <w:fldChar w:fldCharType="separate"/>
      </w:r>
      <w:r w:rsidR="009A2EC4">
        <w:t>Appendix A</w:t>
      </w:r>
      <w:r w:rsidR="002E23F6" w:rsidRPr="00E45508">
        <w:rPr>
          <w:u w:val="single"/>
        </w:rPr>
        <w:fldChar w:fldCharType="end"/>
      </w:r>
      <w:r w:rsidR="78101BE0" w:rsidRPr="00E45508">
        <w:t>).</w:t>
      </w:r>
    </w:p>
    <w:p w14:paraId="6BB436DD" w14:textId="7274C314" w:rsidR="009F1413" w:rsidRPr="00E45508" w:rsidRDefault="009F1413" w:rsidP="00280198">
      <w:r w:rsidRPr="00E45508">
        <w:t xml:space="preserve">Targeted consultation undertaken </w:t>
      </w:r>
      <w:r w:rsidR="003D0B55" w:rsidRPr="00E45508">
        <w:t>by the department on options t</w:t>
      </w:r>
      <w:r w:rsidR="00C83051" w:rsidRPr="00E45508">
        <w:t>o</w:t>
      </w:r>
      <w:r w:rsidR="000E5104" w:rsidRPr="00E45508">
        <w:t xml:space="preserve"> </w:t>
      </w:r>
      <w:r w:rsidRPr="00E45508">
        <w:t xml:space="preserve">reform packaging regulation have identified the </w:t>
      </w:r>
      <w:r w:rsidR="262CCD14" w:rsidRPr="00E45508">
        <w:t>following</w:t>
      </w:r>
      <w:r w:rsidRPr="00E45508">
        <w:t xml:space="preserve"> </w:t>
      </w:r>
      <w:r w:rsidR="004355FC" w:rsidRPr="00E45508">
        <w:t>views</w:t>
      </w:r>
      <w:r w:rsidRPr="00E45508">
        <w:t>:</w:t>
      </w:r>
    </w:p>
    <w:p w14:paraId="08999CBE" w14:textId="464DD2AF" w:rsidR="00D5172B" w:rsidRPr="00E45508" w:rsidRDefault="00A57123" w:rsidP="009C1F84">
      <w:pPr>
        <w:pStyle w:val="ListBullet"/>
      </w:pPr>
      <w:r w:rsidRPr="00E45508">
        <w:t xml:space="preserve">Stakeholders strongly supported mandating design standards </w:t>
      </w:r>
      <w:r w:rsidR="00953867" w:rsidRPr="00E45508">
        <w:t>in line</w:t>
      </w:r>
      <w:r w:rsidRPr="00E45508">
        <w:t xml:space="preserve"> with international best practice</w:t>
      </w:r>
      <w:r w:rsidR="00513200" w:rsidRPr="00E45508">
        <w:t>.</w:t>
      </w:r>
    </w:p>
    <w:p w14:paraId="6B91E348" w14:textId="4C512CE7" w:rsidR="00883E33" w:rsidRPr="00E45508" w:rsidRDefault="00950CCB" w:rsidP="009C1F84">
      <w:pPr>
        <w:pStyle w:val="ListBullet"/>
      </w:pPr>
      <w:r w:rsidRPr="00E45508">
        <w:t xml:space="preserve">Stakeholders were supportive of banning hazardous </w:t>
      </w:r>
      <w:r w:rsidR="00E96E25" w:rsidRPr="00E45508">
        <w:t>chemicals in packaging, noting the importance of also identifying emerging chemicals of concern</w:t>
      </w:r>
      <w:r w:rsidR="00513200" w:rsidRPr="00E45508">
        <w:t>.</w:t>
      </w:r>
    </w:p>
    <w:p w14:paraId="46843D5F" w14:textId="75D336E1" w:rsidR="00E96E25" w:rsidRPr="00E45508" w:rsidRDefault="00DA4757" w:rsidP="009C1F84">
      <w:pPr>
        <w:pStyle w:val="ListBullet"/>
      </w:pPr>
      <w:r w:rsidRPr="00E45508">
        <w:t xml:space="preserve">Stakeholders favoured a recyclability criteria </w:t>
      </w:r>
      <w:r w:rsidR="004355FC" w:rsidRPr="00E45508">
        <w:t>evaluation</w:t>
      </w:r>
      <w:r w:rsidRPr="00E45508">
        <w:t xml:space="preserve"> tool which is </w:t>
      </w:r>
      <w:r w:rsidR="004355FC" w:rsidRPr="00E45508">
        <w:t>transparent</w:t>
      </w:r>
      <w:r w:rsidRPr="00E45508">
        <w:t xml:space="preserve"> and aligned to international standards and Australia’s recycling capabilities</w:t>
      </w:r>
      <w:r w:rsidR="00513200" w:rsidRPr="00E45508">
        <w:t>.</w:t>
      </w:r>
    </w:p>
    <w:p w14:paraId="77BD0535" w14:textId="58372599" w:rsidR="00D46526" w:rsidRPr="00E45508" w:rsidRDefault="00DA4757" w:rsidP="009C1F84">
      <w:pPr>
        <w:pStyle w:val="ListBullet"/>
      </w:pPr>
      <w:r w:rsidRPr="00E45508">
        <w:t>Stakeholders favoured mandating a recycling label like the ARL</w:t>
      </w:r>
      <w:r w:rsidR="00513200" w:rsidRPr="00E45508">
        <w:t>.</w:t>
      </w:r>
    </w:p>
    <w:p w14:paraId="3DC23D16" w14:textId="716A9BA8" w:rsidR="00DA4757" w:rsidRPr="00E45508" w:rsidRDefault="000E5B41" w:rsidP="009C1F84">
      <w:pPr>
        <w:pStyle w:val="ListBullet"/>
      </w:pPr>
      <w:r w:rsidRPr="00E45508">
        <w:t>Industry stakeholders did not support mandatory obligations for reuse systems due to their cost and need to be underpinned by large-scale</w:t>
      </w:r>
      <w:r w:rsidR="00DA4757" w:rsidRPr="00E45508">
        <w:t xml:space="preserve"> </w:t>
      </w:r>
      <w:r w:rsidRPr="00E45508">
        <w:t>system changes</w:t>
      </w:r>
      <w:r w:rsidR="00A852A6" w:rsidRPr="00E45508">
        <w:t xml:space="preserve"> but noted opportunities for reuse in business-to-business (B2B) settings</w:t>
      </w:r>
      <w:r w:rsidR="00513200" w:rsidRPr="00E45508">
        <w:t>.</w:t>
      </w:r>
    </w:p>
    <w:p w14:paraId="5CDF1419" w14:textId="648BF08A" w:rsidR="00F7788A" w:rsidRPr="00E45508" w:rsidRDefault="00231B2D" w:rsidP="009C1F84">
      <w:pPr>
        <w:pStyle w:val="ListBullet"/>
      </w:pPr>
      <w:r w:rsidRPr="00E45508">
        <w:t xml:space="preserve">Views were mixed on the need for </w:t>
      </w:r>
      <w:r w:rsidR="001913D3" w:rsidRPr="00E45508">
        <w:t>materials recovery facilities</w:t>
      </w:r>
      <w:r w:rsidR="001F612D" w:rsidRPr="00E45508">
        <w:t>’</w:t>
      </w:r>
      <w:r w:rsidR="001913D3" w:rsidRPr="00E45508">
        <w:t xml:space="preserve"> (</w:t>
      </w:r>
      <w:r w:rsidR="00610DC7" w:rsidRPr="00E45508">
        <w:t>MRF</w:t>
      </w:r>
      <w:r w:rsidR="001913D3" w:rsidRPr="00E45508">
        <w:t>)</w:t>
      </w:r>
      <w:r w:rsidR="00610DC7" w:rsidRPr="00E45508">
        <w:t xml:space="preserve"> output standards to drive higher quality outputs</w:t>
      </w:r>
      <w:r w:rsidR="003200CB">
        <w:t>:</w:t>
      </w:r>
      <w:r w:rsidR="00816685" w:rsidRPr="00E45508">
        <w:t xml:space="preserve"> </w:t>
      </w:r>
      <w:r w:rsidR="00627EB0" w:rsidRPr="00E45508">
        <w:t>mandatory recycled content thresholds</w:t>
      </w:r>
      <w:r w:rsidR="00816685" w:rsidRPr="00E45508">
        <w:t xml:space="preserve"> were</w:t>
      </w:r>
      <w:r w:rsidR="00627EB0" w:rsidRPr="00E45508">
        <w:t xml:space="preserve"> viewed as being able to</w:t>
      </w:r>
      <w:r w:rsidR="00F7788A" w:rsidRPr="00E45508">
        <w:t xml:space="preserve"> achieve </w:t>
      </w:r>
      <w:r w:rsidR="000452DE">
        <w:t xml:space="preserve">higher </w:t>
      </w:r>
      <w:r w:rsidR="00F7788A" w:rsidRPr="00E45508">
        <w:t xml:space="preserve">quality </w:t>
      </w:r>
      <w:r w:rsidR="000452DE">
        <w:t>recycled content</w:t>
      </w:r>
      <w:r w:rsidR="00513200" w:rsidRPr="00E45508">
        <w:t>.</w:t>
      </w:r>
    </w:p>
    <w:p w14:paraId="6B6DEA7D" w14:textId="69EB75E4" w:rsidR="00A852A6" w:rsidRPr="00E45508" w:rsidRDefault="00220B12" w:rsidP="009C1F84">
      <w:pPr>
        <w:pStyle w:val="ListBullet"/>
      </w:pPr>
      <w:r w:rsidRPr="00E45508">
        <w:t xml:space="preserve">Stakeholders noted the lack of reprocessing infrastructure </w:t>
      </w:r>
      <w:r w:rsidR="00660EBD" w:rsidRPr="00E45508">
        <w:t>due to</w:t>
      </w:r>
      <w:r w:rsidRPr="00E45508">
        <w:t xml:space="preserve"> high economic and capital expenditure costs</w:t>
      </w:r>
      <w:r w:rsidR="009574F7">
        <w:t>,</w:t>
      </w:r>
      <w:r w:rsidR="00660EBD" w:rsidRPr="00E45508">
        <w:t xml:space="preserve"> and contamination of kerbside recycling collections due to poor recycling behaviours</w:t>
      </w:r>
      <w:r w:rsidR="00513200" w:rsidRPr="00E45508">
        <w:t>.</w:t>
      </w:r>
    </w:p>
    <w:p w14:paraId="30966079" w14:textId="0B65B471" w:rsidR="00625E0C" w:rsidRPr="00E45508" w:rsidRDefault="00625E0C" w:rsidP="009C1F84">
      <w:pPr>
        <w:pStyle w:val="ListBullet"/>
      </w:pPr>
      <w:r w:rsidRPr="00E45508">
        <w:t xml:space="preserve">Stakeholders support recycled content </w:t>
      </w:r>
      <w:r w:rsidR="006E5D7A" w:rsidRPr="00E45508">
        <w:t xml:space="preserve">but were concerned about the lack of developed domestic end markets and the availability of </w:t>
      </w:r>
      <w:r w:rsidR="0025073E" w:rsidRPr="00E45508">
        <w:t>quality recyclate, with significant support for incentivising domestic recycled content use.</w:t>
      </w:r>
    </w:p>
    <w:p w14:paraId="479A9834" w14:textId="2A34D976" w:rsidR="1600F362" w:rsidRPr="00E45508" w:rsidRDefault="2E77EAC1" w:rsidP="007A0B5B">
      <w:pPr>
        <w:pStyle w:val="Heading4"/>
      </w:pPr>
      <w:r w:rsidRPr="00E45508">
        <w:t xml:space="preserve">Government </w:t>
      </w:r>
      <w:r w:rsidR="00E25868" w:rsidRPr="00E45508">
        <w:t>intervention c</w:t>
      </w:r>
      <w:r w:rsidR="00186C0B" w:rsidRPr="00E45508">
        <w:t>ould</w:t>
      </w:r>
      <w:r w:rsidR="00E25868" w:rsidRPr="00E45508">
        <w:t xml:space="preserve"> address market failure</w:t>
      </w:r>
      <w:r w:rsidR="00BC7B92" w:rsidRPr="00E45508">
        <w:t>s</w:t>
      </w:r>
      <w:r w:rsidR="00E25868" w:rsidRPr="00E45508">
        <w:t xml:space="preserve"> to </w:t>
      </w:r>
      <w:r w:rsidRPr="00E45508">
        <w:t>move towards packaging circularity</w:t>
      </w:r>
    </w:p>
    <w:p w14:paraId="4B18C85B" w14:textId="5191DC00" w:rsidR="1600F362" w:rsidRPr="00E45508" w:rsidRDefault="00F754BD" w:rsidP="00315C82">
      <w:r w:rsidRPr="00E45508">
        <w:t xml:space="preserve">APCO’s </w:t>
      </w:r>
      <w:hyperlink r:id="rId30">
        <w:r w:rsidRPr="00E45508">
          <w:rPr>
            <w:rStyle w:val="Hyperlink"/>
          </w:rPr>
          <w:t>review</w:t>
        </w:r>
      </w:hyperlink>
      <w:r w:rsidRPr="00E45508">
        <w:t xml:space="preserve"> </w:t>
      </w:r>
      <w:r w:rsidR="00802AA9" w:rsidRPr="00E45508">
        <w:t>(2023</w:t>
      </w:r>
      <w:r w:rsidR="009852C8">
        <w:t>b</w:t>
      </w:r>
      <w:r w:rsidR="00802AA9" w:rsidRPr="00E45508">
        <w:t xml:space="preserve">) </w:t>
      </w:r>
      <w:r w:rsidRPr="00E45508">
        <w:t>of progress towards the industry-led National Packaging Targets (NPTs) found that the targets will not be met by</w:t>
      </w:r>
      <w:r w:rsidR="00421651" w:rsidRPr="00E45508">
        <w:t> 2</w:t>
      </w:r>
      <w:r w:rsidRPr="00E45508">
        <w:t>025 as intended, and that voluntary actions will not achieve the scale required to significantly improve sustainability outcomes for packaging and transition to a circular economy for packaging.</w:t>
      </w:r>
      <w:r w:rsidR="00222BE8" w:rsidRPr="00E45508">
        <w:t xml:space="preserve"> </w:t>
      </w:r>
      <w:r w:rsidR="00A01DDD" w:rsidRPr="00E45508">
        <w:fldChar w:fldCharType="begin"/>
      </w:r>
      <w:r w:rsidR="00A01DDD" w:rsidRPr="00E45508">
        <w:instrText xml:space="preserve"> REF _Ref177656527 \h </w:instrText>
      </w:r>
      <w:r w:rsidR="00A01DDD" w:rsidRPr="00E45508">
        <w:fldChar w:fldCharType="separate"/>
      </w:r>
      <w:r w:rsidR="009A2EC4" w:rsidRPr="00E45508">
        <w:t xml:space="preserve">Table </w:t>
      </w:r>
      <w:r w:rsidR="009A2EC4">
        <w:rPr>
          <w:noProof/>
        </w:rPr>
        <w:t>2</w:t>
      </w:r>
      <w:r w:rsidR="00A01DDD" w:rsidRPr="00E45508">
        <w:fldChar w:fldCharType="end"/>
      </w:r>
      <w:r w:rsidR="00A01DDD" w:rsidRPr="00E45508">
        <w:t xml:space="preserve"> </w:t>
      </w:r>
      <w:r w:rsidR="00051AC7" w:rsidRPr="00E45508">
        <w:t xml:space="preserve">shows Australia </w:t>
      </w:r>
      <w:r w:rsidR="00A01DDD" w:rsidRPr="00E45508">
        <w:t>progress against</w:t>
      </w:r>
      <w:r w:rsidR="00C65875" w:rsidRPr="00E45508">
        <w:t xml:space="preserve"> the</w:t>
      </w:r>
      <w:r w:rsidR="000E15A5" w:rsidRPr="00E45508">
        <w:t xml:space="preserve"> NPTs</w:t>
      </w:r>
      <w:r w:rsidR="00A01DDD" w:rsidRPr="00E45508">
        <w:t xml:space="preserve"> since</w:t>
      </w:r>
      <w:r w:rsidR="00397F9F" w:rsidRPr="00E45508">
        <w:t xml:space="preserve"> </w:t>
      </w:r>
      <w:r w:rsidR="21CD35C7" w:rsidRPr="00E45508">
        <w:t>2017</w:t>
      </w:r>
      <w:r w:rsidR="381A5729" w:rsidRPr="00E45508">
        <w:t>-</w:t>
      </w:r>
      <w:r w:rsidR="21CD35C7" w:rsidRPr="00E45508">
        <w:t>18</w:t>
      </w:r>
      <w:r w:rsidR="000E15A5" w:rsidRPr="00E45508">
        <w:t>.</w:t>
      </w:r>
    </w:p>
    <w:p w14:paraId="2BEAF58F" w14:textId="2EDC794E" w:rsidR="0048425C" w:rsidRPr="00E45508" w:rsidRDefault="002C3946" w:rsidP="00C915A5">
      <w:pPr>
        <w:pStyle w:val="Caption"/>
      </w:pPr>
      <w:bookmarkStart w:id="85" w:name="_Ref177656527"/>
      <w:bookmarkStart w:id="86" w:name="_Ref177126043"/>
      <w:bookmarkStart w:id="87" w:name="_Toc177126676"/>
      <w:bookmarkStart w:id="88" w:name="_Toc178229365"/>
      <w:r w:rsidRPr="00E45508">
        <w:t xml:space="preserve">Table </w:t>
      </w:r>
      <w:r w:rsidRPr="00E45508">
        <w:fldChar w:fldCharType="begin"/>
      </w:r>
      <w:r w:rsidRPr="00E45508">
        <w:instrText xml:space="preserve"> SEQ Table \* ARABIC </w:instrText>
      </w:r>
      <w:r w:rsidRPr="00E45508">
        <w:fldChar w:fldCharType="separate"/>
      </w:r>
      <w:r w:rsidR="009A2EC4">
        <w:rPr>
          <w:noProof/>
        </w:rPr>
        <w:t>2</w:t>
      </w:r>
      <w:r w:rsidRPr="00E45508">
        <w:fldChar w:fldCharType="end"/>
      </w:r>
      <w:bookmarkEnd w:id="85"/>
      <w:r w:rsidR="00A00752" w:rsidRPr="00E45508">
        <w:t>:</w:t>
      </w:r>
      <w:r w:rsidR="00421651" w:rsidRPr="00E45508">
        <w:t> 2</w:t>
      </w:r>
      <w:r w:rsidR="00482D30" w:rsidRPr="00E45508">
        <w:t xml:space="preserve">025 </w:t>
      </w:r>
      <w:r w:rsidR="0048425C" w:rsidRPr="00E45508">
        <w:t>National Packaging Targets progress to</w:t>
      </w:r>
      <w:r w:rsidR="00421651" w:rsidRPr="00E45508">
        <w:t> 2</w:t>
      </w:r>
      <w:r w:rsidR="0048425C" w:rsidRPr="00E45508">
        <w:t>021-22</w:t>
      </w:r>
      <w:bookmarkEnd w:id="86"/>
      <w:bookmarkEnd w:id="87"/>
      <w:bookmarkEnd w:id="88"/>
    </w:p>
    <w:tbl>
      <w:tblPr>
        <w:tblStyle w:val="PlainTable2"/>
        <w:tblW w:w="0" w:type="auto"/>
        <w:tblLook w:val="04A0" w:firstRow="1" w:lastRow="0" w:firstColumn="1" w:lastColumn="0" w:noHBand="0" w:noVBand="1"/>
      </w:tblPr>
      <w:tblGrid>
        <w:gridCol w:w="3925"/>
        <w:gridCol w:w="1037"/>
        <w:gridCol w:w="992"/>
        <w:gridCol w:w="992"/>
        <w:gridCol w:w="992"/>
        <w:gridCol w:w="993"/>
      </w:tblGrid>
      <w:tr w:rsidR="004819F2" w:rsidRPr="00E45508" w14:paraId="31BDC7A9" w14:textId="77777777" w:rsidTr="00246B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5" w:type="dxa"/>
          </w:tcPr>
          <w:p w14:paraId="63106B71" w14:textId="77777777" w:rsidR="1327BFE0" w:rsidRPr="00E45508" w:rsidRDefault="1327BFE0" w:rsidP="00246B93">
            <w:pPr>
              <w:pStyle w:val="Tabletext0"/>
            </w:pPr>
            <w:r w:rsidRPr="00E45508">
              <w:t>Target description</w:t>
            </w:r>
          </w:p>
        </w:tc>
        <w:tc>
          <w:tcPr>
            <w:tcW w:w="1037" w:type="dxa"/>
          </w:tcPr>
          <w:p w14:paraId="1BACEB42" w14:textId="77777777" w:rsidR="1327BFE0" w:rsidRPr="00E45508" w:rsidRDefault="1327BFE0" w:rsidP="00246B93">
            <w:pPr>
              <w:pStyle w:val="Tabletext0"/>
              <w:cnfStyle w:val="100000000000" w:firstRow="1" w:lastRow="0" w:firstColumn="0" w:lastColumn="0" w:oddVBand="0" w:evenVBand="0" w:oddHBand="0" w:evenHBand="0" w:firstRowFirstColumn="0" w:firstRowLastColumn="0" w:lastRowFirstColumn="0" w:lastRowLastColumn="0"/>
            </w:pPr>
            <w:r w:rsidRPr="00E45508">
              <w:t>2017-18 result</w:t>
            </w:r>
          </w:p>
        </w:tc>
        <w:tc>
          <w:tcPr>
            <w:tcW w:w="992" w:type="dxa"/>
          </w:tcPr>
          <w:p w14:paraId="4EA4BFB1" w14:textId="77777777" w:rsidR="1327BFE0" w:rsidRPr="00E45508" w:rsidRDefault="1327BFE0" w:rsidP="00246B93">
            <w:pPr>
              <w:pStyle w:val="Tabletext0"/>
              <w:cnfStyle w:val="100000000000" w:firstRow="1" w:lastRow="0" w:firstColumn="0" w:lastColumn="0" w:oddVBand="0" w:evenVBand="0" w:oddHBand="0" w:evenHBand="0" w:firstRowFirstColumn="0" w:firstRowLastColumn="0" w:lastRowFirstColumn="0" w:lastRowLastColumn="0"/>
            </w:pPr>
            <w:r w:rsidRPr="00E45508">
              <w:t>2018-19 result</w:t>
            </w:r>
          </w:p>
        </w:tc>
        <w:tc>
          <w:tcPr>
            <w:tcW w:w="992" w:type="dxa"/>
          </w:tcPr>
          <w:p w14:paraId="7B62B84E" w14:textId="77777777" w:rsidR="1327BFE0" w:rsidRPr="00E45508" w:rsidRDefault="1327BFE0" w:rsidP="00246B93">
            <w:pPr>
              <w:pStyle w:val="Tabletext0"/>
              <w:cnfStyle w:val="100000000000" w:firstRow="1" w:lastRow="0" w:firstColumn="0" w:lastColumn="0" w:oddVBand="0" w:evenVBand="0" w:oddHBand="0" w:evenHBand="0" w:firstRowFirstColumn="0" w:firstRowLastColumn="0" w:lastRowFirstColumn="0" w:lastRowLastColumn="0"/>
            </w:pPr>
            <w:r w:rsidRPr="00E45508">
              <w:t>2019-20 result</w:t>
            </w:r>
          </w:p>
        </w:tc>
        <w:tc>
          <w:tcPr>
            <w:tcW w:w="992" w:type="dxa"/>
          </w:tcPr>
          <w:p w14:paraId="6DD58D96" w14:textId="77777777" w:rsidR="1327BFE0" w:rsidRPr="00E45508" w:rsidRDefault="1327BFE0" w:rsidP="00246B93">
            <w:pPr>
              <w:pStyle w:val="Tabletext0"/>
              <w:cnfStyle w:val="100000000000" w:firstRow="1" w:lastRow="0" w:firstColumn="0" w:lastColumn="0" w:oddVBand="0" w:evenVBand="0" w:oddHBand="0" w:evenHBand="0" w:firstRowFirstColumn="0" w:firstRowLastColumn="0" w:lastRowFirstColumn="0" w:lastRowLastColumn="0"/>
            </w:pPr>
            <w:r w:rsidRPr="00E45508">
              <w:t>2020-21 result</w:t>
            </w:r>
          </w:p>
        </w:tc>
        <w:tc>
          <w:tcPr>
            <w:tcW w:w="993" w:type="dxa"/>
          </w:tcPr>
          <w:p w14:paraId="26BAFBCD" w14:textId="77777777" w:rsidR="1327BFE0" w:rsidRPr="00E45508" w:rsidRDefault="1327BFE0" w:rsidP="00246B93">
            <w:pPr>
              <w:pStyle w:val="Tabletext0"/>
              <w:cnfStyle w:val="100000000000" w:firstRow="1" w:lastRow="0" w:firstColumn="0" w:lastColumn="0" w:oddVBand="0" w:evenVBand="0" w:oddHBand="0" w:evenHBand="0" w:firstRowFirstColumn="0" w:firstRowLastColumn="0" w:lastRowFirstColumn="0" w:lastRowLastColumn="0"/>
            </w:pPr>
            <w:r w:rsidRPr="00E45508">
              <w:t>2021-22 result</w:t>
            </w:r>
          </w:p>
        </w:tc>
      </w:tr>
      <w:tr w:rsidR="004819F2" w:rsidRPr="00E45508" w14:paraId="6FEBAF61" w14:textId="77777777" w:rsidTr="00246B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5" w:type="dxa"/>
          </w:tcPr>
          <w:p w14:paraId="62E320E1" w14:textId="4C0ADC5C" w:rsidR="1327BFE0" w:rsidRPr="00E45508" w:rsidRDefault="1327BFE0" w:rsidP="00246B93">
            <w:pPr>
              <w:pStyle w:val="Tabletext0"/>
            </w:pPr>
            <w:r w:rsidRPr="00E45508">
              <w:t>100% of all Australia’s packaging will be reusable, recyclable or compostable by</w:t>
            </w:r>
            <w:r w:rsidR="00421651" w:rsidRPr="00E45508">
              <w:t> 2</w:t>
            </w:r>
            <w:r w:rsidRPr="00E45508">
              <w:t>025 or earlier</w:t>
            </w:r>
          </w:p>
        </w:tc>
        <w:tc>
          <w:tcPr>
            <w:tcW w:w="1037" w:type="dxa"/>
          </w:tcPr>
          <w:p w14:paraId="51CAE87E"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88%</w:t>
            </w:r>
          </w:p>
        </w:tc>
        <w:tc>
          <w:tcPr>
            <w:tcW w:w="992" w:type="dxa"/>
          </w:tcPr>
          <w:p w14:paraId="69E954C5"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89%</w:t>
            </w:r>
          </w:p>
        </w:tc>
        <w:tc>
          <w:tcPr>
            <w:tcW w:w="992" w:type="dxa"/>
          </w:tcPr>
          <w:p w14:paraId="5458C867"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86%</w:t>
            </w:r>
          </w:p>
        </w:tc>
        <w:tc>
          <w:tcPr>
            <w:tcW w:w="992" w:type="dxa"/>
          </w:tcPr>
          <w:p w14:paraId="44DB84D1"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86%</w:t>
            </w:r>
          </w:p>
        </w:tc>
        <w:tc>
          <w:tcPr>
            <w:tcW w:w="993" w:type="dxa"/>
          </w:tcPr>
          <w:p w14:paraId="03BEDF5A"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84%</w:t>
            </w:r>
          </w:p>
        </w:tc>
      </w:tr>
      <w:tr w:rsidR="004819F2" w:rsidRPr="00E45508" w14:paraId="49E6691A" w14:textId="77777777" w:rsidTr="00246B93">
        <w:trPr>
          <w:trHeight w:val="300"/>
        </w:trPr>
        <w:tc>
          <w:tcPr>
            <w:cnfStyle w:val="001000000000" w:firstRow="0" w:lastRow="0" w:firstColumn="1" w:lastColumn="0" w:oddVBand="0" w:evenVBand="0" w:oddHBand="0" w:evenHBand="0" w:firstRowFirstColumn="0" w:firstRowLastColumn="0" w:lastRowFirstColumn="0" w:lastRowLastColumn="0"/>
            <w:tcW w:w="3925" w:type="dxa"/>
          </w:tcPr>
          <w:p w14:paraId="6A9285E4" w14:textId="45F422FC" w:rsidR="1327BFE0" w:rsidRPr="00E45508" w:rsidRDefault="1327BFE0" w:rsidP="00246B93">
            <w:pPr>
              <w:pStyle w:val="Tabletext0"/>
            </w:pPr>
            <w:r w:rsidRPr="00E45508">
              <w:t>70% of Australia’s plastic packaging will be recycled or composted by</w:t>
            </w:r>
            <w:r w:rsidR="00421651" w:rsidRPr="00E45508">
              <w:t> 2</w:t>
            </w:r>
            <w:r w:rsidRPr="00E45508">
              <w:t>025</w:t>
            </w:r>
          </w:p>
        </w:tc>
        <w:tc>
          <w:tcPr>
            <w:tcW w:w="1037" w:type="dxa"/>
          </w:tcPr>
          <w:p w14:paraId="059BDE95"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16%</w:t>
            </w:r>
          </w:p>
        </w:tc>
        <w:tc>
          <w:tcPr>
            <w:tcW w:w="992" w:type="dxa"/>
          </w:tcPr>
          <w:p w14:paraId="6A58E296"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18%</w:t>
            </w:r>
          </w:p>
        </w:tc>
        <w:tc>
          <w:tcPr>
            <w:tcW w:w="992" w:type="dxa"/>
          </w:tcPr>
          <w:p w14:paraId="6C6108CF"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16%</w:t>
            </w:r>
          </w:p>
        </w:tc>
        <w:tc>
          <w:tcPr>
            <w:tcW w:w="992" w:type="dxa"/>
          </w:tcPr>
          <w:p w14:paraId="5B40AF66"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18%</w:t>
            </w:r>
          </w:p>
        </w:tc>
        <w:tc>
          <w:tcPr>
            <w:tcW w:w="993" w:type="dxa"/>
          </w:tcPr>
          <w:p w14:paraId="56BED766"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20%</w:t>
            </w:r>
          </w:p>
        </w:tc>
      </w:tr>
      <w:tr w:rsidR="004819F2" w:rsidRPr="00E45508" w14:paraId="5BC0F22B" w14:textId="77777777" w:rsidTr="00246B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5" w:type="dxa"/>
          </w:tcPr>
          <w:p w14:paraId="4AC78DC2" w14:textId="079282C5" w:rsidR="1327BFE0" w:rsidRPr="00E45508" w:rsidRDefault="1327BFE0" w:rsidP="00246B93">
            <w:pPr>
              <w:pStyle w:val="Tabletext0"/>
            </w:pPr>
            <w:r w:rsidRPr="00E45508">
              <w:t>50% average recycled content will be included across all packaging by</w:t>
            </w:r>
            <w:r w:rsidR="00421651" w:rsidRPr="00E45508">
              <w:t> 2</w:t>
            </w:r>
            <w:r w:rsidRPr="00E45508">
              <w:t>025</w:t>
            </w:r>
          </w:p>
        </w:tc>
        <w:tc>
          <w:tcPr>
            <w:tcW w:w="1037" w:type="dxa"/>
          </w:tcPr>
          <w:p w14:paraId="0FEEBF2C"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35%</w:t>
            </w:r>
          </w:p>
        </w:tc>
        <w:tc>
          <w:tcPr>
            <w:tcW w:w="992" w:type="dxa"/>
          </w:tcPr>
          <w:p w14:paraId="1FEA28CC"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38%</w:t>
            </w:r>
          </w:p>
        </w:tc>
        <w:tc>
          <w:tcPr>
            <w:tcW w:w="992" w:type="dxa"/>
          </w:tcPr>
          <w:p w14:paraId="4DEB80D6"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39%</w:t>
            </w:r>
          </w:p>
        </w:tc>
        <w:tc>
          <w:tcPr>
            <w:tcW w:w="992" w:type="dxa"/>
          </w:tcPr>
          <w:p w14:paraId="3982DC81"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39%</w:t>
            </w:r>
          </w:p>
        </w:tc>
        <w:tc>
          <w:tcPr>
            <w:tcW w:w="993" w:type="dxa"/>
          </w:tcPr>
          <w:p w14:paraId="32B62772" w14:textId="77777777" w:rsidR="1327BFE0" w:rsidRPr="00E45508" w:rsidRDefault="1327BFE0" w:rsidP="00246B93">
            <w:pPr>
              <w:pStyle w:val="Tabletext0"/>
              <w:cnfStyle w:val="000000100000" w:firstRow="0" w:lastRow="0" w:firstColumn="0" w:lastColumn="0" w:oddVBand="0" w:evenVBand="0" w:oddHBand="1" w:evenHBand="0" w:firstRowFirstColumn="0" w:firstRowLastColumn="0" w:lastRowFirstColumn="0" w:lastRowLastColumn="0"/>
            </w:pPr>
            <w:r w:rsidRPr="00E45508">
              <w:t>40%</w:t>
            </w:r>
          </w:p>
        </w:tc>
      </w:tr>
      <w:tr w:rsidR="004819F2" w:rsidRPr="00E45508" w14:paraId="12653E51" w14:textId="77777777" w:rsidTr="00246B93">
        <w:trPr>
          <w:trHeight w:val="300"/>
        </w:trPr>
        <w:tc>
          <w:tcPr>
            <w:cnfStyle w:val="001000000000" w:firstRow="0" w:lastRow="0" w:firstColumn="1" w:lastColumn="0" w:oddVBand="0" w:evenVBand="0" w:oddHBand="0" w:evenHBand="0" w:firstRowFirstColumn="0" w:firstRowLastColumn="0" w:lastRowFirstColumn="0" w:lastRowLastColumn="0"/>
            <w:tcW w:w="3925" w:type="dxa"/>
          </w:tcPr>
          <w:p w14:paraId="6A163437" w14:textId="43EE7CE1" w:rsidR="1327BFE0" w:rsidRPr="00E45508" w:rsidRDefault="1327BFE0" w:rsidP="00246B93">
            <w:pPr>
              <w:pStyle w:val="Tabletext0"/>
            </w:pPr>
            <w:r w:rsidRPr="00E45508">
              <w:t>The phase</w:t>
            </w:r>
            <w:r w:rsidR="006543EE" w:rsidRPr="00E45508">
              <w:t>-</w:t>
            </w:r>
            <w:r w:rsidRPr="00E45508">
              <w:t>out of problematic and unnecessary single-use plastics packaging</w:t>
            </w:r>
          </w:p>
        </w:tc>
        <w:tc>
          <w:tcPr>
            <w:tcW w:w="1037" w:type="dxa"/>
          </w:tcPr>
          <w:p w14:paraId="47C28AAD"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Baseline</w:t>
            </w:r>
          </w:p>
        </w:tc>
        <w:tc>
          <w:tcPr>
            <w:tcW w:w="992" w:type="dxa"/>
          </w:tcPr>
          <w:p w14:paraId="26393E8D"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-41%</w:t>
            </w:r>
          </w:p>
        </w:tc>
        <w:tc>
          <w:tcPr>
            <w:tcW w:w="992" w:type="dxa"/>
          </w:tcPr>
          <w:p w14:paraId="3978DACB"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-31%</w:t>
            </w:r>
          </w:p>
        </w:tc>
        <w:tc>
          <w:tcPr>
            <w:tcW w:w="992" w:type="dxa"/>
          </w:tcPr>
          <w:p w14:paraId="06D99A10"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-28%</w:t>
            </w:r>
          </w:p>
        </w:tc>
        <w:tc>
          <w:tcPr>
            <w:tcW w:w="993" w:type="dxa"/>
          </w:tcPr>
          <w:p w14:paraId="5BEC4B12" w14:textId="77777777" w:rsidR="1327BFE0" w:rsidRPr="00E45508" w:rsidRDefault="1327BFE0" w:rsidP="00246B93">
            <w:pPr>
              <w:pStyle w:val="Tabletext0"/>
              <w:cnfStyle w:val="000000000000" w:firstRow="0" w:lastRow="0" w:firstColumn="0" w:lastColumn="0" w:oddVBand="0" w:evenVBand="0" w:oddHBand="0" w:evenHBand="0" w:firstRowFirstColumn="0" w:firstRowLastColumn="0" w:lastRowFirstColumn="0" w:lastRowLastColumn="0"/>
            </w:pPr>
            <w:r w:rsidRPr="00E45508">
              <w:t>-33%</w:t>
            </w:r>
          </w:p>
        </w:tc>
      </w:tr>
    </w:tbl>
    <w:p w14:paraId="1B4323C2" w14:textId="2BEE0CEA" w:rsidR="0048425C" w:rsidRPr="00E45508" w:rsidRDefault="00EA7220" w:rsidP="00EA7220">
      <w:pPr>
        <w:pStyle w:val="BoxSource"/>
      </w:pPr>
      <w:r w:rsidRPr="00C46FEA">
        <w:t>Source: APCO 202</w:t>
      </w:r>
      <w:r>
        <w:t>3</w:t>
      </w:r>
      <w:r w:rsidR="009852C8">
        <w:t>b</w:t>
      </w:r>
      <w:r w:rsidRPr="00C46FEA">
        <w:t>, p.</w:t>
      </w:r>
      <w:r>
        <w:t>13</w:t>
      </w:r>
    </w:p>
    <w:p w14:paraId="134DE54E" w14:textId="77777777" w:rsidR="00EA7220" w:rsidRPr="00E45508" w:rsidRDefault="00EA7220" w:rsidP="00EA7220">
      <w:r w:rsidRPr="00E45508">
        <w:t>While Australian businesses and governments have made significant investments and shown world-leading innovation in sustainability by taking responsibility for our waste over recent years, the existing regulatory arrangements for packaging, as currently implemented, cannot deliver the scale of change required to transition to a circular economy for packaging.</w:t>
      </w:r>
    </w:p>
    <w:p w14:paraId="4D7A5F76" w14:textId="77777777" w:rsidR="000B0AA9" w:rsidRDefault="0B8C34BA" w:rsidP="00315C82">
      <w:r>
        <w:t xml:space="preserve">Further action is needed to address the issues identified in the Independent Review </w:t>
      </w:r>
      <w:r w:rsidR="23C9B5D6">
        <w:t xml:space="preserve">and </w:t>
      </w:r>
      <w:r w:rsidR="0CE7CBFA">
        <w:t xml:space="preserve">to transition </w:t>
      </w:r>
      <w:r w:rsidR="23167995">
        <w:t xml:space="preserve">markets faster. We need to reduce waste by designing out </w:t>
      </w:r>
      <w:r w:rsidR="00AD4007">
        <w:t xml:space="preserve">problematic and </w:t>
      </w:r>
      <w:r w:rsidR="23167995">
        <w:t>unnecessary packaging</w:t>
      </w:r>
      <w:r w:rsidR="00841223">
        <w:t xml:space="preserve"> and non-recyclable </w:t>
      </w:r>
      <w:bookmarkStart w:id="89" w:name="_Int_zpx5SAIT"/>
      <w:r w:rsidR="00841223">
        <w:t xml:space="preserve">packaging, </w:t>
      </w:r>
      <w:r w:rsidR="23167995">
        <w:t>and</w:t>
      </w:r>
      <w:bookmarkEnd w:id="89"/>
      <w:r w:rsidR="23167995">
        <w:t xml:space="preserve"> </w:t>
      </w:r>
      <w:r w:rsidR="75AB67CE">
        <w:t>implementing</w:t>
      </w:r>
      <w:r w:rsidR="23167995">
        <w:t xml:space="preserve"> safe and sustainable alternatives</w:t>
      </w:r>
      <w:r w:rsidR="60C3A908">
        <w:t xml:space="preserve"> to </w:t>
      </w:r>
      <w:r w:rsidR="4665396E">
        <w:t>pack</w:t>
      </w:r>
      <w:r w:rsidR="6DC4A8E7">
        <w:t>aging that cannot be recycled at scale</w:t>
      </w:r>
      <w:r w:rsidR="78DC0082">
        <w:t>.</w:t>
      </w:r>
      <w:r w:rsidR="23167995">
        <w:t xml:space="preserve"> </w:t>
      </w:r>
      <w:r w:rsidR="51F4E009">
        <w:t xml:space="preserve">We need to support the creation of stable end markets </w:t>
      </w:r>
      <w:r w:rsidR="314C0299">
        <w:t>for recycled content</w:t>
      </w:r>
      <w:r w:rsidR="51F4E009">
        <w:t>.</w:t>
      </w:r>
      <w:r w:rsidR="000B0AA9" w:rsidRPr="33662F04">
        <w:rPr>
          <w:sz w:val="18"/>
          <w:szCs w:val="18"/>
        </w:rPr>
        <w:t xml:space="preserve"> </w:t>
      </w:r>
      <w:r w:rsidR="00934250">
        <w:t>Intervention is needed</w:t>
      </w:r>
      <w:r w:rsidR="2E77EAC1">
        <w:t xml:space="preserve"> to ensure all parts of the supply chain are working together to create a circular economy for packaging</w:t>
      </w:r>
      <w:r w:rsidR="20A84D30">
        <w:t>.</w:t>
      </w:r>
      <w:r w:rsidR="2E77EAC1">
        <w:t xml:space="preserve"> </w:t>
      </w:r>
    </w:p>
    <w:p w14:paraId="56A32B1C" w14:textId="55B723C2" w:rsidR="004100C5" w:rsidRPr="00F414B3" w:rsidRDefault="00AB2623" w:rsidP="00315C82">
      <w:pPr>
        <w:rPr>
          <w:sz w:val="18"/>
          <w:szCs w:val="18"/>
        </w:rPr>
      </w:pPr>
      <w:r w:rsidRPr="00E45508">
        <w:t xml:space="preserve">Reform is an </w:t>
      </w:r>
      <w:r w:rsidR="005C724C" w:rsidRPr="00E45508">
        <w:t>oppo</w:t>
      </w:r>
      <w:r w:rsidR="002A058F" w:rsidRPr="00E45508">
        <w:t>rtunity to put in place</w:t>
      </w:r>
      <w:r w:rsidR="00392781" w:rsidRPr="00E45508">
        <w:t xml:space="preserve"> a</w:t>
      </w:r>
      <w:r w:rsidR="2E77EAC1" w:rsidRPr="00E45508">
        <w:t xml:space="preserve"> nationally consistent, whole of supply chain approach </w:t>
      </w:r>
      <w:r w:rsidRPr="00E45508">
        <w:t>that</w:t>
      </w:r>
      <w:r w:rsidR="00D513E1" w:rsidRPr="00E45508">
        <w:t xml:space="preserve"> </w:t>
      </w:r>
      <w:r w:rsidR="2E77EAC1" w:rsidRPr="00E45508">
        <w:t xml:space="preserve">consider roles and obligations for all sectors </w:t>
      </w:r>
      <w:r w:rsidR="5129F159" w:rsidRPr="00E45508">
        <w:t>acr</w:t>
      </w:r>
      <w:r w:rsidR="001B4D2E" w:rsidRPr="00E45508">
        <w:t xml:space="preserve">oss </w:t>
      </w:r>
      <w:r w:rsidR="2E77EAC1" w:rsidRPr="00E45508">
        <w:t xml:space="preserve">the packaging </w:t>
      </w:r>
      <w:r w:rsidR="001B4D2E" w:rsidRPr="00E45508">
        <w:t>life cycle</w:t>
      </w:r>
      <w:r w:rsidR="2E77EAC1" w:rsidRPr="00E45508">
        <w:t xml:space="preserve"> from design and manufacturing to collection, sortation, recycling and reprocessing. It</w:t>
      </w:r>
      <w:r w:rsidR="2E77EAC1" w:rsidRPr="00E45508" w:rsidDel="00A91CF9">
        <w:t xml:space="preserve"> </w:t>
      </w:r>
      <w:r w:rsidR="00286CAA" w:rsidRPr="00E45508">
        <w:t>c</w:t>
      </w:r>
      <w:r w:rsidR="00A91CF9" w:rsidRPr="00E45508">
        <w:t xml:space="preserve">ould </w:t>
      </w:r>
      <w:r w:rsidR="00E70FA7" w:rsidRPr="00E45508">
        <w:t xml:space="preserve">also </w:t>
      </w:r>
      <w:r w:rsidR="2E77EAC1" w:rsidRPr="00E45508">
        <w:t>ensure domestic actions are aligned with international best practice</w:t>
      </w:r>
      <w:r w:rsidR="00026700" w:rsidRPr="00E45508">
        <w:t xml:space="preserve"> in an Australian context</w:t>
      </w:r>
      <w:r w:rsidR="2E77EAC1" w:rsidRPr="00E45508">
        <w:t xml:space="preserve">, including future measures under the new global </w:t>
      </w:r>
      <w:r w:rsidR="007D3CFC" w:rsidRPr="00E45508">
        <w:t xml:space="preserve">instrument </w:t>
      </w:r>
      <w:r w:rsidR="2E77EAC1" w:rsidRPr="00E45508">
        <w:t>to end plastic pollution.</w:t>
      </w:r>
      <w:r w:rsidR="00F414B3">
        <w:rPr>
          <w:sz w:val="18"/>
          <w:szCs w:val="18"/>
        </w:rPr>
        <w:t xml:space="preserve"> </w:t>
      </w:r>
      <w:r w:rsidR="38978DE2" w:rsidRPr="00E45508">
        <w:t xml:space="preserve">Strengthened regulation </w:t>
      </w:r>
      <w:r w:rsidR="001B4D2E" w:rsidRPr="00E45508">
        <w:t>can</w:t>
      </w:r>
      <w:r w:rsidR="38978DE2" w:rsidRPr="00E45508">
        <w:t xml:space="preserve"> drive investment, minimise waste, and support circular economy outcomes, industries, and jobs.</w:t>
      </w:r>
    </w:p>
    <w:p w14:paraId="6983D121" w14:textId="6ACE20CA" w:rsidR="00C14215" w:rsidRPr="00E45508" w:rsidRDefault="124C3979" w:rsidP="00C44B4B">
      <w:pPr>
        <w:pStyle w:val="Heading3"/>
      </w:pPr>
      <w:bookmarkStart w:id="90" w:name="_Toc177126593"/>
      <w:bookmarkStart w:id="91" w:name="_Toc177493003"/>
      <w:bookmarkStart w:id="92" w:name="_Toc178230248"/>
      <w:r w:rsidRPr="00E45508">
        <w:t>How success</w:t>
      </w:r>
      <w:r w:rsidR="7DB75185" w:rsidRPr="00E45508">
        <w:t xml:space="preserve"> </w:t>
      </w:r>
      <w:r w:rsidRPr="00E45508">
        <w:t>will be measured</w:t>
      </w:r>
      <w:bookmarkEnd w:id="90"/>
      <w:bookmarkEnd w:id="91"/>
      <w:bookmarkEnd w:id="92"/>
    </w:p>
    <w:p w14:paraId="7D4DD673" w14:textId="19236B10" w:rsidR="00F66BB4" w:rsidRPr="00E45508" w:rsidRDefault="00F66BB4" w:rsidP="00315C82">
      <w:r w:rsidRPr="00E45508">
        <w:t xml:space="preserve">An outline of </w:t>
      </w:r>
      <w:r w:rsidR="00175A01" w:rsidRPr="00E45508">
        <w:t xml:space="preserve">how we could measure </w:t>
      </w:r>
      <w:r w:rsidR="00AB2623" w:rsidRPr="00E45508">
        <w:t xml:space="preserve">the </w:t>
      </w:r>
      <w:r w:rsidR="00175A01" w:rsidRPr="00E45508">
        <w:t xml:space="preserve">success </w:t>
      </w:r>
      <w:r w:rsidR="00C20C2C" w:rsidRPr="00E45508">
        <w:t xml:space="preserve">of any future government intervention </w:t>
      </w:r>
      <w:r w:rsidR="00175A01" w:rsidRPr="00E45508">
        <w:t xml:space="preserve">against outcomes of the reform are outlined in </w:t>
      </w:r>
      <w:r w:rsidRPr="00E45508">
        <w:fldChar w:fldCharType="begin"/>
      </w:r>
      <w:r w:rsidRPr="00E45508">
        <w:instrText xml:space="preserve"> REF _Ref177125023 \h  \* MERGEFORMAT </w:instrText>
      </w:r>
      <w:r w:rsidRPr="00E45508">
        <w:fldChar w:fldCharType="separate"/>
      </w:r>
      <w:r w:rsidR="009A2EC4" w:rsidRPr="00E45508">
        <w:t>Table </w:t>
      </w:r>
      <w:r w:rsidR="009A2EC4">
        <w:t>3</w:t>
      </w:r>
      <w:r w:rsidRPr="00E45508">
        <w:fldChar w:fldCharType="end"/>
      </w:r>
      <w:r w:rsidR="00175A01" w:rsidRPr="00E45508">
        <w:t>.</w:t>
      </w:r>
    </w:p>
    <w:p w14:paraId="5D434F03" w14:textId="3E0182D2" w:rsidR="0048425C" w:rsidRPr="00E45508" w:rsidRDefault="0048425C" w:rsidP="00C915A5">
      <w:pPr>
        <w:pStyle w:val="Caption"/>
      </w:pPr>
      <w:bookmarkStart w:id="93" w:name="_Ref177125023"/>
      <w:bookmarkStart w:id="94" w:name="_Toc177126677"/>
      <w:bookmarkStart w:id="95" w:name="_Toc178229366"/>
      <w:r w:rsidRPr="00E45508">
        <w:t>Table </w:t>
      </w:r>
      <w:r w:rsidRPr="00E45508">
        <w:fldChar w:fldCharType="begin"/>
      </w:r>
      <w:r w:rsidRPr="00E45508">
        <w:instrText xml:space="preserve"> SEQ Table \* ARABIC </w:instrText>
      </w:r>
      <w:r w:rsidRPr="00E45508">
        <w:fldChar w:fldCharType="separate"/>
      </w:r>
      <w:r w:rsidR="009A2EC4">
        <w:rPr>
          <w:noProof/>
        </w:rPr>
        <w:t>3</w:t>
      </w:r>
      <w:r w:rsidRPr="00E45508">
        <w:fldChar w:fldCharType="end"/>
      </w:r>
      <w:bookmarkEnd w:id="93"/>
      <w:r w:rsidR="00A00752" w:rsidRPr="00E45508">
        <w:t>:</w:t>
      </w:r>
      <w:r w:rsidRPr="00E45508">
        <w:t xml:space="preserve"> </w:t>
      </w:r>
      <w:r w:rsidR="73B8B613" w:rsidRPr="00E45508">
        <w:t xml:space="preserve">Measuring success of </w:t>
      </w:r>
      <w:bookmarkEnd w:id="94"/>
      <w:r w:rsidR="00DA21A2" w:rsidRPr="00E45508">
        <w:t>intervention</w:t>
      </w:r>
      <w:bookmarkEnd w:id="95"/>
    </w:p>
    <w:tbl>
      <w:tblPr>
        <w:tblStyle w:val="PlainTable2"/>
        <w:tblW w:w="5000" w:type="pct"/>
        <w:tblLook w:val="04A0" w:firstRow="1" w:lastRow="0" w:firstColumn="1" w:lastColumn="0" w:noHBand="0" w:noVBand="1"/>
      </w:tblPr>
      <w:tblGrid>
        <w:gridCol w:w="509"/>
        <w:gridCol w:w="2652"/>
        <w:gridCol w:w="5909"/>
      </w:tblGrid>
      <w:tr w:rsidR="00C14215" w:rsidRPr="00E45508" w14:paraId="255F776E" w14:textId="77777777" w:rsidTr="00352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pct"/>
          </w:tcPr>
          <w:p w14:paraId="633DD84B" w14:textId="7126D901" w:rsidR="00DD6CB2" w:rsidRPr="00E45508" w:rsidRDefault="00F64B69" w:rsidP="00CC7B47">
            <w:pPr>
              <w:pStyle w:val="Tabletext0"/>
            </w:pPr>
            <w:r w:rsidRPr="00E45508">
              <w:t>No.</w:t>
            </w:r>
          </w:p>
        </w:tc>
        <w:tc>
          <w:tcPr>
            <w:tcW w:w="1485" w:type="pct"/>
          </w:tcPr>
          <w:p w14:paraId="00FAC678" w14:textId="0E6F69E3" w:rsidR="00C14215" w:rsidRPr="00E45508" w:rsidRDefault="00C14215" w:rsidP="00CC7B47">
            <w:pPr>
              <w:pStyle w:val="Tabletext0"/>
              <w:cnfStyle w:val="100000000000" w:firstRow="1" w:lastRow="0" w:firstColumn="0" w:lastColumn="0" w:oddVBand="0" w:evenVBand="0" w:oddHBand="0" w:evenHBand="0" w:firstRowFirstColumn="0" w:firstRowLastColumn="0" w:lastRowFirstColumn="0" w:lastRowLastColumn="0"/>
            </w:pPr>
            <w:r w:rsidRPr="00E45508">
              <w:t>Outcome</w:t>
            </w:r>
          </w:p>
        </w:tc>
        <w:tc>
          <w:tcPr>
            <w:tcW w:w="3280" w:type="pct"/>
          </w:tcPr>
          <w:p w14:paraId="2F9C9727" w14:textId="186ABE0E" w:rsidR="00C14215" w:rsidRPr="00E45508" w:rsidRDefault="00C14215" w:rsidP="00CC7B47">
            <w:pPr>
              <w:pStyle w:val="Tabletext0"/>
              <w:cnfStyle w:val="100000000000" w:firstRow="1" w:lastRow="0" w:firstColumn="0" w:lastColumn="0" w:oddVBand="0" w:evenVBand="0" w:oddHBand="0" w:evenHBand="0" w:firstRowFirstColumn="0" w:firstRowLastColumn="0" w:lastRowFirstColumn="0" w:lastRowLastColumn="0"/>
            </w:pPr>
            <w:r w:rsidRPr="00E45508">
              <w:t>Success measure</w:t>
            </w:r>
          </w:p>
        </w:tc>
      </w:tr>
      <w:tr w:rsidR="0081369B" w:rsidRPr="00E45508" w14:paraId="2E7B41BF" w14:textId="77777777" w:rsidTr="0035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pct"/>
            <w:shd w:val="clear" w:color="auto" w:fill="D7F5FA" w:themeFill="background2" w:themeFillTint="1A"/>
          </w:tcPr>
          <w:p w14:paraId="3303D8CA" w14:textId="07A1AC10" w:rsidR="0081369B" w:rsidRPr="00E45508" w:rsidRDefault="0081369B" w:rsidP="00CC7B47">
            <w:pPr>
              <w:pStyle w:val="Tabletext0"/>
            </w:pPr>
            <w:r w:rsidRPr="00E45508">
              <w:t>1</w:t>
            </w:r>
          </w:p>
        </w:tc>
        <w:tc>
          <w:tcPr>
            <w:tcW w:w="1485" w:type="pct"/>
            <w:shd w:val="clear" w:color="auto" w:fill="D7F5FA" w:themeFill="background2" w:themeFillTint="1A"/>
          </w:tcPr>
          <w:p w14:paraId="35A08970" w14:textId="2071936B" w:rsidR="0081369B" w:rsidRPr="00E45508" w:rsidRDefault="3EE7BF76" w:rsidP="00CC7B47">
            <w:pPr>
              <w:pStyle w:val="Tabletext0"/>
              <w:cnfStyle w:val="000000100000" w:firstRow="0" w:lastRow="0" w:firstColumn="0" w:lastColumn="0" w:oddVBand="0" w:evenVBand="0" w:oddHBand="1" w:evenHBand="0" w:firstRowFirstColumn="0" w:firstRowLastColumn="0" w:lastRowFirstColumn="0" w:lastRowLastColumn="0"/>
            </w:pPr>
            <w:r w:rsidRPr="00E45508">
              <w:t>W</w:t>
            </w:r>
            <w:r w:rsidR="4B83432E" w:rsidRPr="00E45508">
              <w:t>aste</w:t>
            </w:r>
            <w:r w:rsidR="00E24B8D" w:rsidRPr="00E45508">
              <w:t xml:space="preserve"> from packaging</w:t>
            </w:r>
            <w:r w:rsidR="374137BD" w:rsidRPr="00E45508">
              <w:t xml:space="preserve"> is reduced</w:t>
            </w:r>
          </w:p>
        </w:tc>
        <w:tc>
          <w:tcPr>
            <w:tcW w:w="3280" w:type="pct"/>
            <w:shd w:val="clear" w:color="auto" w:fill="D7F5FA" w:themeFill="background2" w:themeFillTint="1A"/>
          </w:tcPr>
          <w:p w14:paraId="6AC54F2C" w14:textId="2AF94074" w:rsidR="0081369B" w:rsidRPr="00E45508" w:rsidRDefault="0081369B" w:rsidP="00CC7B47">
            <w:pPr>
              <w:pStyle w:val="Tabletext0"/>
              <w:cnfStyle w:val="000000100000" w:firstRow="0" w:lastRow="0" w:firstColumn="0" w:lastColumn="0" w:oddVBand="0" w:evenVBand="0" w:oddHBand="1" w:evenHBand="0" w:firstRowFirstColumn="0" w:firstRowLastColumn="0" w:lastRowFirstColumn="0" w:lastRowLastColumn="0"/>
            </w:pPr>
          </w:p>
        </w:tc>
      </w:tr>
      <w:tr w:rsidR="00C14215" w:rsidRPr="00E45508" w14:paraId="2BA3781F" w14:textId="77777777" w:rsidTr="00352BED">
        <w:tc>
          <w:tcPr>
            <w:cnfStyle w:val="001000000000" w:firstRow="0" w:lastRow="0" w:firstColumn="1" w:lastColumn="0" w:oddVBand="0" w:evenVBand="0" w:oddHBand="0" w:evenHBand="0" w:firstRowFirstColumn="0" w:firstRowLastColumn="0" w:lastRowFirstColumn="0" w:lastRowLastColumn="0"/>
            <w:tcW w:w="235" w:type="pct"/>
          </w:tcPr>
          <w:p w14:paraId="1D667D94" w14:textId="1D89A17A" w:rsidR="004B5528" w:rsidRPr="00E45508" w:rsidRDefault="004B5528" w:rsidP="00CC7B47">
            <w:pPr>
              <w:pStyle w:val="Tabletext0"/>
            </w:pPr>
            <w:r w:rsidRPr="00E45508">
              <w:t>a</w:t>
            </w:r>
          </w:p>
        </w:tc>
        <w:tc>
          <w:tcPr>
            <w:tcW w:w="1485" w:type="pct"/>
          </w:tcPr>
          <w:p w14:paraId="5A758825" w14:textId="5657B047" w:rsidR="00C14215" w:rsidRPr="00E45508" w:rsidRDefault="24D138D1" w:rsidP="00CC7B47">
            <w:pPr>
              <w:pStyle w:val="Tabletext0"/>
              <w:cnfStyle w:val="000000000000" w:firstRow="0" w:lastRow="0" w:firstColumn="0" w:lastColumn="0" w:oddVBand="0" w:evenVBand="0" w:oddHBand="0" w:evenHBand="0" w:firstRowFirstColumn="0" w:firstRowLastColumn="0" w:lastRowFirstColumn="0" w:lastRowLastColumn="0"/>
            </w:pPr>
            <w:r w:rsidRPr="00E45508">
              <w:t>T</w:t>
            </w:r>
            <w:r w:rsidR="01A1CCB3" w:rsidRPr="00E45508">
              <w:t>he</w:t>
            </w:r>
            <w:r w:rsidR="00C14215" w:rsidRPr="00E45508">
              <w:t xml:space="preserve"> use of virgin materials in packaging</w:t>
            </w:r>
            <w:r w:rsidR="28B68E43" w:rsidRPr="00E45508">
              <w:t xml:space="preserve"> is reduced</w:t>
            </w:r>
          </w:p>
        </w:tc>
        <w:tc>
          <w:tcPr>
            <w:tcW w:w="3280" w:type="pct"/>
          </w:tcPr>
          <w:p w14:paraId="7138D07E" w14:textId="4596DDFD" w:rsidR="00C14215" w:rsidRPr="00E45508" w:rsidRDefault="00C14215" w:rsidP="00CC7B47">
            <w:pPr>
              <w:pStyle w:val="Tabletext0"/>
              <w:cnfStyle w:val="000000000000" w:firstRow="0" w:lastRow="0" w:firstColumn="0" w:lastColumn="0" w:oddVBand="0" w:evenVBand="0" w:oddHBand="0" w:evenHBand="0" w:firstRowFirstColumn="0" w:firstRowLastColumn="0" w:lastRowFirstColumn="0" w:lastRowLastColumn="0"/>
            </w:pPr>
            <w:r w:rsidRPr="00E45508">
              <w:t>Decrease in the percentage of virgin materials used in packaging production</w:t>
            </w:r>
          </w:p>
        </w:tc>
      </w:tr>
      <w:tr w:rsidR="00C14215" w:rsidRPr="00E45508" w14:paraId="52B13E43" w14:textId="77777777" w:rsidTr="0035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pct"/>
          </w:tcPr>
          <w:p w14:paraId="22AA4866" w14:textId="2FAEF530" w:rsidR="004B5528" w:rsidRPr="00E45508" w:rsidRDefault="00924B64" w:rsidP="00CC7B47">
            <w:pPr>
              <w:pStyle w:val="Tabletext0"/>
            </w:pPr>
            <w:r w:rsidRPr="00E45508">
              <w:t>b</w:t>
            </w:r>
          </w:p>
        </w:tc>
        <w:tc>
          <w:tcPr>
            <w:tcW w:w="1485" w:type="pct"/>
          </w:tcPr>
          <w:p w14:paraId="39440AF7" w14:textId="648B178F" w:rsidR="00C14215" w:rsidRPr="00E45508" w:rsidRDefault="416A1327" w:rsidP="00CC7B47">
            <w:pPr>
              <w:pStyle w:val="Tabletext0"/>
              <w:cnfStyle w:val="000000100000" w:firstRow="0" w:lastRow="0" w:firstColumn="0" w:lastColumn="0" w:oddVBand="0" w:evenVBand="0" w:oddHBand="1" w:evenHBand="0" w:firstRowFirstColumn="0" w:firstRowLastColumn="0" w:lastRowFirstColumn="0" w:lastRowLastColumn="0"/>
            </w:pPr>
            <w:r w:rsidRPr="00E45508">
              <w:t>T</w:t>
            </w:r>
            <w:r w:rsidR="01A1CCB3" w:rsidRPr="00E45508">
              <w:t>he</w:t>
            </w:r>
            <w:r w:rsidR="00C14215" w:rsidRPr="00E45508">
              <w:t xml:space="preserve"> amount of packaging placed on market</w:t>
            </w:r>
            <w:r w:rsidR="00DD6CB2" w:rsidRPr="00E45508">
              <w:t xml:space="preserve"> per capita</w:t>
            </w:r>
            <w:r w:rsidR="13634326" w:rsidRPr="00E45508">
              <w:t xml:space="preserve"> is reduced</w:t>
            </w:r>
          </w:p>
        </w:tc>
        <w:tc>
          <w:tcPr>
            <w:tcW w:w="3280" w:type="pct"/>
          </w:tcPr>
          <w:p w14:paraId="072FE001" w14:textId="3B63FF5D" w:rsidR="00C14215" w:rsidRPr="00E45508" w:rsidRDefault="00C14215" w:rsidP="00CC7B47">
            <w:pPr>
              <w:pStyle w:val="Tabletext0"/>
              <w:cnfStyle w:val="000000100000" w:firstRow="0" w:lastRow="0" w:firstColumn="0" w:lastColumn="0" w:oddVBand="0" w:evenVBand="0" w:oddHBand="1" w:evenHBand="0" w:firstRowFirstColumn="0" w:firstRowLastColumn="0" w:lastRowFirstColumn="0" w:lastRowLastColumn="0"/>
            </w:pPr>
            <w:r w:rsidRPr="00E45508">
              <w:t>Decrease in the total volume of packaging placed on the market per capita</w:t>
            </w:r>
          </w:p>
        </w:tc>
      </w:tr>
      <w:tr w:rsidR="0008663E" w:rsidRPr="00E45508" w14:paraId="479CC3F5" w14:textId="77777777" w:rsidTr="00352BED">
        <w:tc>
          <w:tcPr>
            <w:cnfStyle w:val="001000000000" w:firstRow="0" w:lastRow="0" w:firstColumn="1" w:lastColumn="0" w:oddVBand="0" w:evenVBand="0" w:oddHBand="0" w:evenHBand="0" w:firstRowFirstColumn="0" w:firstRowLastColumn="0" w:lastRowFirstColumn="0" w:lastRowLastColumn="0"/>
            <w:tcW w:w="235" w:type="pct"/>
          </w:tcPr>
          <w:p w14:paraId="60B56199" w14:textId="230A535C" w:rsidR="0008663E" w:rsidRPr="00E45508" w:rsidRDefault="00C4037B" w:rsidP="00CC7B47">
            <w:pPr>
              <w:pStyle w:val="Tabletext0"/>
            </w:pPr>
            <w:r w:rsidRPr="00E45508">
              <w:t>c</w:t>
            </w:r>
          </w:p>
        </w:tc>
        <w:tc>
          <w:tcPr>
            <w:tcW w:w="1485" w:type="pct"/>
          </w:tcPr>
          <w:p w14:paraId="296E1090" w14:textId="7B1DE5E5" w:rsidR="0008663E" w:rsidRPr="00E45508" w:rsidRDefault="00C4037B" w:rsidP="00CC7B47">
            <w:pPr>
              <w:pStyle w:val="Tabletext0"/>
              <w:cnfStyle w:val="000000000000" w:firstRow="0" w:lastRow="0" w:firstColumn="0" w:lastColumn="0" w:oddVBand="0" w:evenVBand="0" w:oddHBand="0" w:evenHBand="0" w:firstRowFirstColumn="0" w:firstRowLastColumn="0" w:lastRowFirstColumn="0" w:lastRowLastColumn="0"/>
            </w:pPr>
            <w:r w:rsidRPr="00E45508">
              <w:t xml:space="preserve">The amount of packaging </w:t>
            </w:r>
            <w:r w:rsidR="00753D04" w:rsidRPr="00E45508">
              <w:t xml:space="preserve">sent to landfill </w:t>
            </w:r>
            <w:r w:rsidRPr="00E45508">
              <w:t xml:space="preserve">per capita is </w:t>
            </w:r>
            <w:r w:rsidR="00753D04" w:rsidRPr="00E45508">
              <w:t>reduced</w:t>
            </w:r>
          </w:p>
        </w:tc>
        <w:tc>
          <w:tcPr>
            <w:tcW w:w="3280" w:type="pct"/>
          </w:tcPr>
          <w:p w14:paraId="7E7E1FF4" w14:textId="52F1F243" w:rsidR="0008663E" w:rsidRPr="00E45508" w:rsidRDefault="00C4037B" w:rsidP="00CC7B47">
            <w:pPr>
              <w:pStyle w:val="Tabletext0"/>
              <w:cnfStyle w:val="000000000000" w:firstRow="0" w:lastRow="0" w:firstColumn="0" w:lastColumn="0" w:oddVBand="0" w:evenVBand="0" w:oddHBand="0" w:evenHBand="0" w:firstRowFirstColumn="0" w:firstRowLastColumn="0" w:lastRowFirstColumn="0" w:lastRowLastColumn="0"/>
            </w:pPr>
            <w:r w:rsidRPr="00E45508">
              <w:t>Decrease the volume of packaging sent to landfill per capita</w:t>
            </w:r>
          </w:p>
        </w:tc>
      </w:tr>
      <w:tr w:rsidR="00C14215" w:rsidRPr="00E45508" w14:paraId="417EC762" w14:textId="77777777" w:rsidTr="0035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pct"/>
          </w:tcPr>
          <w:p w14:paraId="085A18EF" w14:textId="2ADB540C" w:rsidR="001F32F8" w:rsidRPr="00E45508" w:rsidRDefault="0056802E" w:rsidP="00CC7B47">
            <w:pPr>
              <w:pStyle w:val="Tabletext0"/>
            </w:pPr>
            <w:r w:rsidRPr="00E45508">
              <w:t>d</w:t>
            </w:r>
          </w:p>
        </w:tc>
        <w:tc>
          <w:tcPr>
            <w:tcW w:w="1485" w:type="pct"/>
          </w:tcPr>
          <w:p w14:paraId="74AE6E23" w14:textId="7E587068" w:rsidR="00C14215" w:rsidRPr="00E45508" w:rsidRDefault="7B8EC6F1" w:rsidP="00CC7B47">
            <w:pPr>
              <w:pStyle w:val="Tabletext0"/>
              <w:cnfStyle w:val="000000100000" w:firstRow="0" w:lastRow="0" w:firstColumn="0" w:lastColumn="0" w:oddVBand="0" w:evenVBand="0" w:oddHBand="1" w:evenHBand="0" w:firstRowFirstColumn="0" w:firstRowLastColumn="0" w:lastRowFirstColumn="0" w:lastRowLastColumn="0"/>
            </w:pPr>
            <w:r w:rsidRPr="00E45508">
              <w:t>P</w:t>
            </w:r>
            <w:r w:rsidR="01A1CCB3" w:rsidRPr="00E45508">
              <w:t>roblematic</w:t>
            </w:r>
            <w:r w:rsidR="00C14215" w:rsidRPr="00E45508">
              <w:t xml:space="preserve"> and unnecessary packaging</w:t>
            </w:r>
            <w:r w:rsidR="1DEA7B81" w:rsidRPr="00E45508">
              <w:t xml:space="preserve"> is eliminated</w:t>
            </w:r>
          </w:p>
        </w:tc>
        <w:tc>
          <w:tcPr>
            <w:tcW w:w="3280" w:type="pct"/>
          </w:tcPr>
          <w:p w14:paraId="1C45EC16" w14:textId="69DE7047" w:rsidR="00C14215" w:rsidRPr="00E45508" w:rsidRDefault="00C14215" w:rsidP="00CC7B47">
            <w:pPr>
              <w:pStyle w:val="Tabletext0"/>
              <w:cnfStyle w:val="000000100000" w:firstRow="0" w:lastRow="0" w:firstColumn="0" w:lastColumn="0" w:oddVBand="0" w:evenVBand="0" w:oddHBand="1" w:evenHBand="0" w:firstRowFirstColumn="0" w:firstRowLastColumn="0" w:lastRowFirstColumn="0" w:lastRowLastColumn="0"/>
            </w:pPr>
            <w:r w:rsidRPr="00E45508">
              <w:t>Decrease in the volume</w:t>
            </w:r>
            <w:r w:rsidR="00BF0D58">
              <w:t>/removal</w:t>
            </w:r>
            <w:r w:rsidRPr="00E45508">
              <w:t xml:space="preserve"> of problematic and unnecessary packaging placed on market</w:t>
            </w:r>
          </w:p>
        </w:tc>
      </w:tr>
      <w:tr w:rsidR="00E24B8D" w:rsidRPr="00E45508" w14:paraId="4E1744C5" w14:textId="77777777" w:rsidTr="00352BED">
        <w:tc>
          <w:tcPr>
            <w:cnfStyle w:val="001000000000" w:firstRow="0" w:lastRow="0" w:firstColumn="1" w:lastColumn="0" w:oddVBand="0" w:evenVBand="0" w:oddHBand="0" w:evenHBand="0" w:firstRowFirstColumn="0" w:firstRowLastColumn="0" w:lastRowFirstColumn="0" w:lastRowLastColumn="0"/>
            <w:tcW w:w="235" w:type="pct"/>
            <w:shd w:val="clear" w:color="auto" w:fill="D7F5FA" w:themeFill="background2" w:themeFillTint="1A"/>
          </w:tcPr>
          <w:p w14:paraId="010BFF51" w14:textId="6AE6099F" w:rsidR="00E24B8D" w:rsidRPr="00E45508" w:rsidRDefault="000C20B1" w:rsidP="00CC7B47">
            <w:pPr>
              <w:pStyle w:val="Tabletext0"/>
            </w:pPr>
            <w:r w:rsidRPr="00E45508">
              <w:t>2</w:t>
            </w:r>
          </w:p>
        </w:tc>
        <w:tc>
          <w:tcPr>
            <w:tcW w:w="1485" w:type="pct"/>
            <w:shd w:val="clear" w:color="auto" w:fill="D7F5FA" w:themeFill="background2" w:themeFillTint="1A"/>
          </w:tcPr>
          <w:p w14:paraId="444E77CE" w14:textId="3532F2F5" w:rsidR="00E24B8D" w:rsidRPr="00E45508" w:rsidRDefault="61012AC2" w:rsidP="00CC7B47">
            <w:pPr>
              <w:pStyle w:val="Tabletext0"/>
              <w:cnfStyle w:val="000000000000" w:firstRow="0" w:lastRow="0" w:firstColumn="0" w:lastColumn="0" w:oddVBand="0" w:evenVBand="0" w:oddHBand="0" w:evenHBand="0" w:firstRowFirstColumn="0" w:firstRowLastColumn="0" w:lastRowFirstColumn="0" w:lastRowLastColumn="0"/>
            </w:pPr>
            <w:r w:rsidRPr="00E45508">
              <w:t>P</w:t>
            </w:r>
            <w:r w:rsidR="36853902" w:rsidRPr="00E45508">
              <w:t>ackaging</w:t>
            </w:r>
            <w:r w:rsidR="000C20B1" w:rsidRPr="00E45508">
              <w:t xml:space="preserve"> materials </w:t>
            </w:r>
            <w:r w:rsidR="36853902" w:rsidRPr="00E45508">
              <w:t>a</w:t>
            </w:r>
            <w:r w:rsidR="330919C2" w:rsidRPr="00E45508">
              <w:t xml:space="preserve">re </w:t>
            </w:r>
            <w:r w:rsidR="52C79A5B" w:rsidRPr="00E45508">
              <w:t>kept in use and</w:t>
            </w:r>
            <w:r w:rsidR="4F0B328F" w:rsidRPr="00E45508">
              <w:t xml:space="preserve"> </w:t>
            </w:r>
            <w:r w:rsidR="330919C2" w:rsidRPr="00E45508">
              <w:t xml:space="preserve">circulated </w:t>
            </w:r>
            <w:r w:rsidR="000C20B1" w:rsidRPr="00E45508">
              <w:t>at their highest value</w:t>
            </w:r>
          </w:p>
        </w:tc>
        <w:tc>
          <w:tcPr>
            <w:tcW w:w="3280" w:type="pct"/>
            <w:shd w:val="clear" w:color="auto" w:fill="D7F5FA" w:themeFill="background2" w:themeFillTint="1A"/>
          </w:tcPr>
          <w:p w14:paraId="1156E837" w14:textId="51532EEE" w:rsidR="00E24B8D" w:rsidRPr="00E45508" w:rsidRDefault="00E24B8D" w:rsidP="00CC7B47">
            <w:pPr>
              <w:pStyle w:val="Tabletext0"/>
              <w:cnfStyle w:val="000000000000" w:firstRow="0" w:lastRow="0" w:firstColumn="0" w:lastColumn="0" w:oddVBand="0" w:evenVBand="0" w:oddHBand="0" w:evenHBand="0" w:firstRowFirstColumn="0" w:firstRowLastColumn="0" w:lastRowFirstColumn="0" w:lastRowLastColumn="0"/>
              <w:rPr>
                <w:highlight w:val="yellow"/>
              </w:rPr>
            </w:pPr>
          </w:p>
        </w:tc>
      </w:tr>
      <w:tr w:rsidR="00C14215" w:rsidRPr="00E45508" w14:paraId="1F1E6757" w14:textId="77777777" w:rsidTr="00352BED">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35" w:type="pct"/>
          </w:tcPr>
          <w:p w14:paraId="208F5B9D" w14:textId="3E1087FE" w:rsidR="00217829" w:rsidRPr="00E45508" w:rsidRDefault="000C20B1" w:rsidP="00CC7B47">
            <w:pPr>
              <w:pStyle w:val="Tabletext0"/>
            </w:pPr>
            <w:r w:rsidRPr="00E45508">
              <w:t>a</w:t>
            </w:r>
          </w:p>
        </w:tc>
        <w:tc>
          <w:tcPr>
            <w:tcW w:w="1485" w:type="pct"/>
          </w:tcPr>
          <w:p w14:paraId="37B3C7B4" w14:textId="6FBE9423" w:rsidR="00C14215" w:rsidRPr="00E45508" w:rsidRDefault="484A8A36" w:rsidP="00CC7B47">
            <w:pPr>
              <w:pStyle w:val="Tabletext0"/>
              <w:cnfStyle w:val="000000100000" w:firstRow="0" w:lastRow="0" w:firstColumn="0" w:lastColumn="0" w:oddVBand="0" w:evenVBand="0" w:oddHBand="1" w:evenHBand="0" w:firstRowFirstColumn="0" w:firstRowLastColumn="0" w:lastRowFirstColumn="0" w:lastRowLastColumn="0"/>
            </w:pPr>
            <w:r w:rsidRPr="00E45508">
              <w:t>P</w:t>
            </w:r>
            <w:r w:rsidR="36853902" w:rsidRPr="00E45508">
              <w:t xml:space="preserve">ackaging </w:t>
            </w:r>
            <w:r w:rsidR="340E684A" w:rsidRPr="00E45508">
              <w:t>is designed</w:t>
            </w:r>
            <w:r w:rsidR="00C14215" w:rsidRPr="00E45508">
              <w:t xml:space="preserve"> for recyclability</w:t>
            </w:r>
          </w:p>
        </w:tc>
        <w:tc>
          <w:tcPr>
            <w:tcW w:w="3280" w:type="pct"/>
          </w:tcPr>
          <w:p w14:paraId="506A752F" w14:textId="6EA8ED27" w:rsidR="00C14215" w:rsidRPr="00E45508" w:rsidRDefault="00C14215" w:rsidP="00CC7B47">
            <w:pPr>
              <w:pStyle w:val="Tabletext0"/>
              <w:cnfStyle w:val="000000100000" w:firstRow="0" w:lastRow="0" w:firstColumn="0" w:lastColumn="0" w:oddVBand="0" w:evenVBand="0" w:oddHBand="1" w:evenHBand="0" w:firstRowFirstColumn="0" w:firstRowLastColumn="0" w:lastRowFirstColumn="0" w:lastRowLastColumn="0"/>
            </w:pPr>
            <w:r w:rsidRPr="00E45508">
              <w:t>Increase in the percentage of packaging which meets recyclability criteria</w:t>
            </w:r>
          </w:p>
        </w:tc>
      </w:tr>
      <w:tr w:rsidR="00C14215" w:rsidRPr="00E45508" w14:paraId="6356A4BF" w14:textId="77777777" w:rsidTr="00352BED">
        <w:tc>
          <w:tcPr>
            <w:cnfStyle w:val="001000000000" w:firstRow="0" w:lastRow="0" w:firstColumn="1" w:lastColumn="0" w:oddVBand="0" w:evenVBand="0" w:oddHBand="0" w:evenHBand="0" w:firstRowFirstColumn="0" w:firstRowLastColumn="0" w:lastRowFirstColumn="0" w:lastRowLastColumn="0"/>
            <w:tcW w:w="235" w:type="pct"/>
          </w:tcPr>
          <w:p w14:paraId="11AA48E0" w14:textId="23D6B877" w:rsidR="00DD6CB2" w:rsidRPr="00E45508" w:rsidRDefault="000C20B1" w:rsidP="00CC7B47">
            <w:pPr>
              <w:pStyle w:val="Tabletext0"/>
            </w:pPr>
            <w:r w:rsidRPr="00E45508">
              <w:t>b</w:t>
            </w:r>
          </w:p>
        </w:tc>
        <w:tc>
          <w:tcPr>
            <w:tcW w:w="1485" w:type="pct"/>
          </w:tcPr>
          <w:p w14:paraId="6C6F3138" w14:textId="022AC735" w:rsidR="00C14215" w:rsidRPr="00E45508" w:rsidRDefault="0A1ADB50" w:rsidP="00CC7B47">
            <w:pPr>
              <w:pStyle w:val="Tabletext0"/>
              <w:cnfStyle w:val="000000000000" w:firstRow="0" w:lastRow="0" w:firstColumn="0" w:lastColumn="0" w:oddVBand="0" w:evenVBand="0" w:oddHBand="0" w:evenHBand="0" w:firstRowFirstColumn="0" w:firstRowLastColumn="0" w:lastRowFirstColumn="0" w:lastRowLastColumn="0"/>
            </w:pPr>
            <w:r w:rsidRPr="00E45508">
              <w:t>The</w:t>
            </w:r>
            <w:r w:rsidR="00C14215" w:rsidRPr="00E45508">
              <w:t xml:space="preserve"> amount of recycled content in packaging</w:t>
            </w:r>
            <w:r w:rsidR="0081369B" w:rsidRPr="00E45508">
              <w:t xml:space="preserve"> </w:t>
            </w:r>
            <w:r w:rsidR="25568B5C" w:rsidRPr="00E45508">
              <w:t>is increased</w:t>
            </w:r>
            <w:r w:rsidR="36853902" w:rsidRPr="00E45508">
              <w:t xml:space="preserve"> </w:t>
            </w:r>
          </w:p>
        </w:tc>
        <w:tc>
          <w:tcPr>
            <w:tcW w:w="3280" w:type="pct"/>
          </w:tcPr>
          <w:p w14:paraId="67EBFD05" w14:textId="60AD2D1F" w:rsidR="00C14215" w:rsidRPr="00E45508" w:rsidRDefault="00C14215" w:rsidP="00CC7B47">
            <w:pPr>
              <w:pStyle w:val="Tabletext0"/>
              <w:cnfStyle w:val="000000000000" w:firstRow="0" w:lastRow="0" w:firstColumn="0" w:lastColumn="0" w:oddVBand="0" w:evenVBand="0" w:oddHBand="0" w:evenHBand="0" w:firstRowFirstColumn="0" w:firstRowLastColumn="0" w:lastRowFirstColumn="0" w:lastRowLastColumn="0"/>
            </w:pPr>
            <w:r w:rsidRPr="00E45508">
              <w:t>Increase in the percentage of recycled content used in packaging</w:t>
            </w:r>
          </w:p>
        </w:tc>
      </w:tr>
      <w:tr w:rsidR="0081369B" w:rsidRPr="00E45508" w14:paraId="2B0F53D3" w14:textId="77777777" w:rsidTr="00352BED">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5" w:type="pct"/>
          </w:tcPr>
          <w:p w14:paraId="731A4B88" w14:textId="3048B83A" w:rsidR="0081369B" w:rsidRPr="00E45508" w:rsidRDefault="000C20B1" w:rsidP="00CC7B47">
            <w:pPr>
              <w:pStyle w:val="Tabletext0"/>
            </w:pPr>
            <w:r w:rsidRPr="00E45508">
              <w:t>c</w:t>
            </w:r>
          </w:p>
        </w:tc>
        <w:tc>
          <w:tcPr>
            <w:tcW w:w="1485" w:type="pct"/>
          </w:tcPr>
          <w:p w14:paraId="52D09D76" w14:textId="2BF72738" w:rsidR="0081369B" w:rsidRPr="00E45508" w:rsidRDefault="24589396" w:rsidP="00CC7B47">
            <w:pPr>
              <w:pStyle w:val="Tabletext0"/>
              <w:cnfStyle w:val="000000100000" w:firstRow="0" w:lastRow="0" w:firstColumn="0" w:lastColumn="0" w:oddVBand="0" w:evenVBand="0" w:oddHBand="1" w:evenHBand="0" w:firstRowFirstColumn="0" w:firstRowLastColumn="0" w:lastRowFirstColumn="0" w:lastRowLastColumn="0"/>
            </w:pPr>
            <w:r w:rsidRPr="00E45508">
              <w:t>R</w:t>
            </w:r>
            <w:r w:rsidR="36853902" w:rsidRPr="00E45508">
              <w:t>ecyclable</w:t>
            </w:r>
            <w:r w:rsidR="0081369B" w:rsidRPr="00E45508">
              <w:t xml:space="preserve"> packaging is collected, recycled and reprocessed</w:t>
            </w:r>
          </w:p>
        </w:tc>
        <w:tc>
          <w:tcPr>
            <w:tcW w:w="3280" w:type="pct"/>
          </w:tcPr>
          <w:p w14:paraId="0CF51011" w14:textId="11634F86" w:rsidR="005B2AE6" w:rsidRDefault="000C20B1" w:rsidP="00CC7B47">
            <w:pPr>
              <w:pStyle w:val="Tabletext0"/>
              <w:cnfStyle w:val="000000100000" w:firstRow="0" w:lastRow="0" w:firstColumn="0" w:lastColumn="0" w:oddVBand="0" w:evenVBand="0" w:oddHBand="1" w:evenHBand="0" w:firstRowFirstColumn="0" w:firstRowLastColumn="0" w:lastRowFirstColumn="0" w:lastRowLastColumn="0"/>
            </w:pPr>
            <w:r w:rsidRPr="00E45508">
              <w:t xml:space="preserve">Increase the </w:t>
            </w:r>
            <w:r w:rsidR="36853902" w:rsidRPr="00E45508">
              <w:t>rec</w:t>
            </w:r>
            <w:r w:rsidR="699698BF" w:rsidRPr="00E45508">
              <w:t>ycling</w:t>
            </w:r>
            <w:r w:rsidRPr="00E45508">
              <w:t xml:space="preserve"> rate of packaging materials</w:t>
            </w:r>
          </w:p>
          <w:p w14:paraId="283597DA" w14:textId="25CCA003" w:rsidR="0081369B" w:rsidRPr="00E45508" w:rsidRDefault="0081369B" w:rsidP="00CC7B47">
            <w:pPr>
              <w:pStyle w:val="Tabletext0"/>
              <w:cnfStyle w:val="000000100000" w:firstRow="0" w:lastRow="0" w:firstColumn="0" w:lastColumn="0" w:oddVBand="0" w:evenVBand="0" w:oddHBand="1" w:evenHBand="0" w:firstRowFirstColumn="0" w:firstRowLastColumn="0" w:lastRowFirstColumn="0" w:lastRowLastColumn="0"/>
            </w:pPr>
          </w:p>
        </w:tc>
      </w:tr>
      <w:tr w:rsidR="00C14215" w:rsidRPr="00E45508" w14:paraId="320149C6" w14:textId="77777777" w:rsidTr="00352BED">
        <w:tc>
          <w:tcPr>
            <w:cnfStyle w:val="001000000000" w:firstRow="0" w:lastRow="0" w:firstColumn="1" w:lastColumn="0" w:oddVBand="0" w:evenVBand="0" w:oddHBand="0" w:evenHBand="0" w:firstRowFirstColumn="0" w:firstRowLastColumn="0" w:lastRowFirstColumn="0" w:lastRowLastColumn="0"/>
            <w:tcW w:w="235" w:type="pct"/>
          </w:tcPr>
          <w:p w14:paraId="19CB45DA" w14:textId="5AB5BA58" w:rsidR="00DD6CB2" w:rsidRPr="00E45508" w:rsidRDefault="1FCD271F" w:rsidP="00CC7B47">
            <w:pPr>
              <w:pStyle w:val="Tabletext0"/>
            </w:pPr>
            <w:r w:rsidRPr="00E45508">
              <w:t>d</w:t>
            </w:r>
          </w:p>
        </w:tc>
        <w:tc>
          <w:tcPr>
            <w:tcW w:w="1485" w:type="pct"/>
          </w:tcPr>
          <w:p w14:paraId="0DFB2954" w14:textId="23805F80" w:rsidR="00C14215" w:rsidRPr="00E45508" w:rsidRDefault="60F34682" w:rsidP="00CC7B47">
            <w:pPr>
              <w:pStyle w:val="Tabletext0"/>
              <w:cnfStyle w:val="000000000000" w:firstRow="0" w:lastRow="0" w:firstColumn="0" w:lastColumn="0" w:oddVBand="0" w:evenVBand="0" w:oddHBand="0" w:evenHBand="0" w:firstRowFirstColumn="0" w:firstRowLastColumn="0" w:lastRowFirstColumn="0" w:lastRowLastColumn="0"/>
            </w:pPr>
            <w:r w:rsidRPr="00E45508">
              <w:t>C</w:t>
            </w:r>
            <w:r w:rsidR="1D63585C" w:rsidRPr="00E45508">
              <w:t>hemicals</w:t>
            </w:r>
            <w:r w:rsidR="0B3B2055" w:rsidRPr="00E45508">
              <w:t xml:space="preserve"> of concern</w:t>
            </w:r>
            <w:r w:rsidR="00C14215" w:rsidRPr="00E45508">
              <w:t xml:space="preserve"> in packaging</w:t>
            </w:r>
            <w:r w:rsidR="0E08BEB7" w:rsidRPr="00E45508">
              <w:t xml:space="preserve"> are </w:t>
            </w:r>
            <w:r w:rsidR="00AF6EBE" w:rsidRPr="00E45508">
              <w:t>eliminated</w:t>
            </w:r>
            <w:r w:rsidR="00061247" w:rsidRPr="00E45508">
              <w:t xml:space="preserve">, phased-down </w:t>
            </w:r>
            <w:r w:rsidR="00AF6EBE" w:rsidRPr="00E45508">
              <w:t>or</w:t>
            </w:r>
            <w:r w:rsidR="0E08BEB7" w:rsidRPr="00E45508">
              <w:t xml:space="preserve"> </w:t>
            </w:r>
            <w:r w:rsidR="301827C7" w:rsidRPr="00E45508">
              <w:t>minimis</w:t>
            </w:r>
            <w:r w:rsidR="6A215344" w:rsidRPr="00E45508">
              <w:t>ed</w:t>
            </w:r>
          </w:p>
        </w:tc>
        <w:tc>
          <w:tcPr>
            <w:tcW w:w="3280" w:type="pct"/>
          </w:tcPr>
          <w:p w14:paraId="3220DE6A" w14:textId="5A65D446" w:rsidR="00C14215" w:rsidRPr="00E45508" w:rsidRDefault="00061247" w:rsidP="00CC7B47">
            <w:pPr>
              <w:pStyle w:val="Tabletext0"/>
              <w:cnfStyle w:val="000000000000" w:firstRow="0" w:lastRow="0" w:firstColumn="0" w:lastColumn="0" w:oddVBand="0" w:evenVBand="0" w:oddHBand="0" w:evenHBand="0" w:firstRowFirstColumn="0" w:firstRowLastColumn="0" w:lastRowFirstColumn="0" w:lastRowLastColumn="0"/>
            </w:pPr>
            <w:r w:rsidRPr="00E45508">
              <w:t xml:space="preserve">Decrease in the use of chemicals of concern detected in </w:t>
            </w:r>
            <w:r w:rsidR="1FCD271F" w:rsidRPr="00E45508">
              <w:t>packaging</w:t>
            </w:r>
          </w:p>
        </w:tc>
      </w:tr>
    </w:tbl>
    <w:p w14:paraId="5522AF4F" w14:textId="61447DD7" w:rsidR="00DD6CB2" w:rsidRPr="00E45508" w:rsidRDefault="00DD6CB2" w:rsidP="0C08E0F3"/>
    <w:p w14:paraId="2846F851" w14:textId="3A203AD2" w:rsidR="00F72A2B" w:rsidRPr="00E45508" w:rsidRDefault="5E6F7AB6" w:rsidP="002A52C1">
      <w:pPr>
        <w:pStyle w:val="Heading2"/>
      </w:pPr>
      <w:bookmarkStart w:id="96" w:name="_Toc177126594"/>
      <w:bookmarkStart w:id="97" w:name="_Toc177493004"/>
      <w:bookmarkStart w:id="98" w:name="_Ref177632239"/>
      <w:bookmarkStart w:id="99" w:name="_Toc178230249"/>
      <w:r w:rsidRPr="00E45508">
        <w:t>Policy options being considered</w:t>
      </w:r>
      <w:bookmarkEnd w:id="96"/>
      <w:bookmarkEnd w:id="97"/>
      <w:bookmarkEnd w:id="98"/>
      <w:bookmarkEnd w:id="99"/>
    </w:p>
    <w:p w14:paraId="618D3390" w14:textId="263D1B35" w:rsidR="00F72A2B" w:rsidRPr="00E45508" w:rsidRDefault="19856072" w:rsidP="00C44B4B">
      <w:pPr>
        <w:pStyle w:val="Heading3"/>
      </w:pPr>
      <w:bookmarkStart w:id="100" w:name="_Toc177126595"/>
      <w:bookmarkStart w:id="101" w:name="_Toc177493005"/>
      <w:bookmarkStart w:id="102" w:name="_Toc178230250"/>
      <w:r w:rsidRPr="00E45508">
        <w:t>P</w:t>
      </w:r>
      <w:r w:rsidR="36EC2556" w:rsidRPr="00E45508">
        <w:t>ackaging reform</w:t>
      </w:r>
      <w:r w:rsidR="6A08F1CE" w:rsidRPr="00E45508">
        <w:t xml:space="preserve"> options</w:t>
      </w:r>
      <w:bookmarkEnd w:id="100"/>
      <w:bookmarkEnd w:id="101"/>
      <w:r w:rsidR="004C66C7" w:rsidRPr="00E45508">
        <w:t xml:space="preserve"> overview</w:t>
      </w:r>
      <w:bookmarkEnd w:id="102"/>
    </w:p>
    <w:p w14:paraId="305ECAD1" w14:textId="4B92365D" w:rsidR="5206382A" w:rsidRPr="00E45508" w:rsidRDefault="3187D37E" w:rsidP="00315C82">
      <w:pPr>
        <w:rPr>
          <w:lang w:eastAsia="ja-JP"/>
        </w:rPr>
      </w:pPr>
      <w:bookmarkStart w:id="103" w:name="_Toc173404679"/>
      <w:r w:rsidRPr="00E45508">
        <w:t xml:space="preserve">In response to the </w:t>
      </w:r>
      <w:r w:rsidR="00C44F11" w:rsidRPr="00E45508">
        <w:t>Independent R</w:t>
      </w:r>
      <w:r w:rsidRPr="00E45508">
        <w:t>eview</w:t>
      </w:r>
      <w:r w:rsidR="50713C49" w:rsidRPr="00E45508">
        <w:t xml:space="preserve"> </w:t>
      </w:r>
      <w:r w:rsidR="00F66BD5" w:rsidRPr="00E45508">
        <w:t>(</w:t>
      </w:r>
      <w:r w:rsidR="00E63B6D" w:rsidRPr="00E45508">
        <w:t>mpc</w:t>
      </w:r>
      <w:r w:rsidR="00F66BD5" w:rsidRPr="00E45508">
        <w:t>onsulting</w:t>
      </w:r>
      <w:r w:rsidR="00421651" w:rsidRPr="00E45508">
        <w:t> 2</w:t>
      </w:r>
      <w:r w:rsidR="00F66BD5" w:rsidRPr="00E45508">
        <w:t>021)</w:t>
      </w:r>
      <w:r w:rsidR="50713C49" w:rsidRPr="00E45508">
        <w:t xml:space="preserve"> </w:t>
      </w:r>
      <w:r w:rsidR="4A3B77CA" w:rsidRPr="00E45508">
        <w:t xml:space="preserve">and ongoing </w:t>
      </w:r>
      <w:r w:rsidR="66A7E6FF" w:rsidRPr="00E45508">
        <w:t>targeted</w:t>
      </w:r>
      <w:r w:rsidR="4A3B77CA" w:rsidRPr="00E45508">
        <w:t xml:space="preserve"> consultations with industry, several </w:t>
      </w:r>
      <w:r w:rsidR="00A97CB8" w:rsidRPr="00E45508">
        <w:t xml:space="preserve">potential </w:t>
      </w:r>
      <w:r w:rsidR="4A3B77CA" w:rsidRPr="00E45508">
        <w:t>options to reform packaging regulation are under consideration</w:t>
      </w:r>
      <w:r w:rsidR="35E6BBEF" w:rsidRPr="00E45508">
        <w:t>:</w:t>
      </w:r>
    </w:p>
    <w:p w14:paraId="5437AA94" w14:textId="44C1A837" w:rsidR="5206382A" w:rsidRPr="00E45508" w:rsidRDefault="35E6BBEF" w:rsidP="009C1F84">
      <w:pPr>
        <w:pStyle w:val="ListBullet"/>
      </w:pPr>
      <w:r w:rsidRPr="00E45508">
        <w:t>Option</w:t>
      </w:r>
      <w:r w:rsidR="00421651" w:rsidRPr="00E45508">
        <w:t> 1</w:t>
      </w:r>
      <w:r w:rsidRPr="00E45508">
        <w:t>: Strengthen</w:t>
      </w:r>
      <w:r w:rsidR="4383A7E7" w:rsidRPr="00E45508">
        <w:t>ing</w:t>
      </w:r>
      <w:r w:rsidRPr="00E45508">
        <w:t xml:space="preserve"> </w:t>
      </w:r>
      <w:r w:rsidR="002807C9" w:rsidRPr="00E45508">
        <w:t xml:space="preserve">administration of the </w:t>
      </w:r>
      <w:r w:rsidR="008C62F6" w:rsidRPr="00E45508">
        <w:t>co-regulatory arrangement</w:t>
      </w:r>
    </w:p>
    <w:p w14:paraId="0C8D7E83" w14:textId="65276CC0" w:rsidR="5206382A" w:rsidRPr="00E45508" w:rsidRDefault="35E6BBEF" w:rsidP="009C1F84">
      <w:pPr>
        <w:pStyle w:val="ListBullet"/>
      </w:pPr>
      <w:r w:rsidRPr="00E45508">
        <w:t>Option</w:t>
      </w:r>
      <w:r w:rsidR="00421651" w:rsidRPr="00E45508">
        <w:t> 2</w:t>
      </w:r>
      <w:r w:rsidRPr="00E45508">
        <w:t xml:space="preserve">: National </w:t>
      </w:r>
      <w:r w:rsidR="00F56EDF" w:rsidRPr="00E45508">
        <w:t>m</w:t>
      </w:r>
      <w:r w:rsidRPr="00E45508">
        <w:t>andatory requirements for packaging circularity</w:t>
      </w:r>
    </w:p>
    <w:p w14:paraId="18F8D0C0" w14:textId="2C2CAA9F" w:rsidR="5206382A" w:rsidRPr="00E45508" w:rsidRDefault="35E6BBEF" w:rsidP="009C1F84">
      <w:pPr>
        <w:pStyle w:val="ListBullet"/>
      </w:pPr>
      <w:r w:rsidRPr="00E45508">
        <w:t>Option</w:t>
      </w:r>
      <w:r w:rsidR="00421651" w:rsidRPr="00E45508">
        <w:t> 3</w:t>
      </w:r>
      <w:r w:rsidRPr="00E45508">
        <w:t xml:space="preserve">: An extended producer </w:t>
      </w:r>
      <w:r w:rsidR="7574B056" w:rsidRPr="00E45508">
        <w:t>responsibility</w:t>
      </w:r>
      <w:r w:rsidRPr="00E45508">
        <w:t xml:space="preserve"> scheme for packaging.</w:t>
      </w:r>
    </w:p>
    <w:p w14:paraId="67FF6693" w14:textId="6F4B5307" w:rsidR="001B6370" w:rsidRPr="00E45508" w:rsidRDefault="4A3B77CA" w:rsidP="00315C82">
      <w:r w:rsidRPr="00E45508">
        <w:t xml:space="preserve">These options </w:t>
      </w:r>
      <w:r w:rsidR="00E60381" w:rsidRPr="00E45508">
        <w:t>aim</w:t>
      </w:r>
      <w:r w:rsidR="063D88E9" w:rsidRPr="00E45508">
        <w:t xml:space="preserve"> to</w:t>
      </w:r>
      <w:r w:rsidR="063D88E9" w:rsidRPr="00E45508">
        <w:rPr>
          <w:rFonts w:ascii="Segoe UI" w:hAnsi="Segoe UI" w:cs="Segoe UI"/>
          <w:sz w:val="18"/>
          <w:szCs w:val="18"/>
        </w:rPr>
        <w:t xml:space="preserve"> </w:t>
      </w:r>
      <w:r w:rsidR="00C16FC5" w:rsidRPr="00E45508">
        <w:t xml:space="preserve">progress the objective and outcomes defined in </w:t>
      </w:r>
      <w:r w:rsidR="009E72FF">
        <w:t>s</w:t>
      </w:r>
      <w:r w:rsidR="00C16FC5" w:rsidRPr="00E45508">
        <w:t xml:space="preserve">ection </w:t>
      </w:r>
      <w:r w:rsidR="009D7BD7" w:rsidRPr="00E45508">
        <w:fldChar w:fldCharType="begin"/>
      </w:r>
      <w:r w:rsidR="009D7BD7" w:rsidRPr="00E45508">
        <w:instrText xml:space="preserve"> REF _Ref177635449 \r \h </w:instrText>
      </w:r>
      <w:r w:rsidR="009D7BD7" w:rsidRPr="00E45508">
        <w:fldChar w:fldCharType="separate"/>
      </w:r>
      <w:r w:rsidR="009A2EC4">
        <w:t>4</w:t>
      </w:r>
      <w:r w:rsidR="009D7BD7" w:rsidRPr="00E45508">
        <w:fldChar w:fldCharType="end"/>
      </w:r>
      <w:r w:rsidR="00C16FC5" w:rsidRPr="00E45508">
        <w:t xml:space="preserve"> through various strengthened regulatory and financial arrangements</w:t>
      </w:r>
      <w:r w:rsidR="33A31517" w:rsidRPr="00E45508">
        <w:t xml:space="preserve">. </w:t>
      </w:r>
      <w:r w:rsidR="3022FCD5" w:rsidRPr="00E45508">
        <w:t>The</w:t>
      </w:r>
      <w:r w:rsidR="67218268" w:rsidRPr="00E45508">
        <w:t>y will be assessed against a</w:t>
      </w:r>
      <w:r w:rsidR="3022FCD5" w:rsidRPr="00E45508">
        <w:t xml:space="preserve"> base case </w:t>
      </w:r>
      <w:r w:rsidR="7ABFF3C0" w:rsidRPr="00E45508">
        <w:t xml:space="preserve">that </w:t>
      </w:r>
      <w:r w:rsidR="3022FCD5" w:rsidRPr="00E45508">
        <w:t>represents the status quo and will be used as a baseline in assessing the costs and benefits of reform options.</w:t>
      </w:r>
    </w:p>
    <w:p w14:paraId="75E7839C" w14:textId="77777777" w:rsidR="00612076" w:rsidRDefault="009F7BE2" w:rsidP="00315C82">
      <w:r w:rsidRPr="00E45508">
        <w:t xml:space="preserve">A non-regulatory </w:t>
      </w:r>
      <w:r w:rsidR="001C1294" w:rsidRPr="00E45508">
        <w:t>option</w:t>
      </w:r>
      <w:r w:rsidR="00181D6E" w:rsidRPr="00E45508">
        <w:t>,</w:t>
      </w:r>
      <w:r w:rsidR="001C1294" w:rsidRPr="00E45508">
        <w:t xml:space="preserve"> </w:t>
      </w:r>
      <w:r w:rsidR="00181D6E" w:rsidRPr="00E45508">
        <w:t xml:space="preserve">as required by the </w:t>
      </w:r>
      <w:hyperlink r:id="rId31" w:history="1">
        <w:r w:rsidR="00181D6E" w:rsidRPr="00E45508">
          <w:rPr>
            <w:rStyle w:val="Hyperlink"/>
          </w:rPr>
          <w:t>Australian Government guide to policy impact analysis</w:t>
        </w:r>
      </w:hyperlink>
      <w:r w:rsidR="00FF55E4" w:rsidRPr="00E45508">
        <w:t xml:space="preserve"> (OIA</w:t>
      </w:r>
      <w:r w:rsidR="00421651" w:rsidRPr="00E45508">
        <w:t> 2</w:t>
      </w:r>
      <w:r w:rsidR="00FF55E4" w:rsidRPr="00E45508">
        <w:t>023)</w:t>
      </w:r>
      <w:r w:rsidR="00181D6E" w:rsidRPr="00E45508">
        <w:t>, has not be included as</w:t>
      </w:r>
      <w:r w:rsidR="00D717D0" w:rsidRPr="00E45508">
        <w:t xml:space="preserve"> would</w:t>
      </w:r>
      <w:r w:rsidR="00181D6E" w:rsidRPr="00E45508">
        <w:t xml:space="preserve"> not</w:t>
      </w:r>
      <w:r w:rsidR="00D717D0" w:rsidRPr="00E45508">
        <w:t xml:space="preserve"> be a</w:t>
      </w:r>
      <w:r w:rsidR="00D32B52" w:rsidRPr="00E45508">
        <w:t xml:space="preserve"> viable </w:t>
      </w:r>
      <w:r w:rsidR="00D717D0" w:rsidRPr="00E45508">
        <w:t>option given</w:t>
      </w:r>
      <w:r w:rsidR="009C434F" w:rsidRPr="00E45508">
        <w:t xml:space="preserve"> the </w:t>
      </w:r>
      <w:r w:rsidR="008A2D1B" w:rsidRPr="00E45508">
        <w:t>pre-</w:t>
      </w:r>
      <w:r w:rsidR="009C434F" w:rsidRPr="00E45508">
        <w:t>existing regulatory framework.</w:t>
      </w:r>
      <w:r w:rsidR="00C13BE4" w:rsidRPr="00E45508">
        <w:t xml:space="preserve"> However, Option</w:t>
      </w:r>
      <w:r w:rsidR="00421651" w:rsidRPr="00E45508">
        <w:t> 1</w:t>
      </w:r>
      <w:r w:rsidR="00C13BE4" w:rsidRPr="00E45508">
        <w:t xml:space="preserve"> considers </w:t>
      </w:r>
      <w:r w:rsidR="00904B3C" w:rsidRPr="00E45508">
        <w:t xml:space="preserve">reform </w:t>
      </w:r>
      <w:r w:rsidR="008A2D1B" w:rsidRPr="00E45508">
        <w:t xml:space="preserve">opportunities </w:t>
      </w:r>
      <w:r w:rsidR="005A7DE9" w:rsidRPr="00E45508">
        <w:t>of</w:t>
      </w:r>
      <w:r w:rsidR="007207FB" w:rsidRPr="00E45508">
        <w:t xml:space="preserve"> </w:t>
      </w:r>
      <w:r w:rsidR="00E16456" w:rsidRPr="00E45508">
        <w:t xml:space="preserve">existing </w:t>
      </w:r>
      <w:r w:rsidR="007207FB" w:rsidRPr="00E45508">
        <w:t>arrangements</w:t>
      </w:r>
      <w:r w:rsidR="00904B3C" w:rsidRPr="00E45508">
        <w:t xml:space="preserve"> that do not require regulatory amendment</w:t>
      </w:r>
      <w:r w:rsidR="007207FB" w:rsidRPr="00E45508">
        <w:t>.</w:t>
      </w:r>
    </w:p>
    <w:p w14:paraId="51FB22FF" w14:textId="50D107EB" w:rsidR="00012BBC" w:rsidRDefault="00091F56" w:rsidP="00315C82">
      <w:r>
        <w:t>A</w:t>
      </w:r>
      <w:r w:rsidR="00012BBC" w:rsidRPr="00E45508">
        <w:t xml:space="preserve"> reformed scheme </w:t>
      </w:r>
      <w:r w:rsidR="00287737">
        <w:t xml:space="preserve">under Options 2 and 3 </w:t>
      </w:r>
      <w:r w:rsidR="00012BBC" w:rsidRPr="00E45508">
        <w:t xml:space="preserve">would likely take a couple of years to develop and implement. </w:t>
      </w:r>
      <w:r w:rsidR="003C1C3D">
        <w:fldChar w:fldCharType="begin"/>
      </w:r>
      <w:r w:rsidR="003C1C3D">
        <w:instrText xml:space="preserve"> REF _Ref178228600 \h </w:instrText>
      </w:r>
      <w:r w:rsidR="003C1C3D">
        <w:fldChar w:fldCharType="separate"/>
      </w:r>
      <w:r w:rsidR="009A2EC4" w:rsidRPr="00E45508">
        <w:t xml:space="preserve">Box </w:t>
      </w:r>
      <w:r w:rsidR="009A2EC4">
        <w:rPr>
          <w:noProof/>
        </w:rPr>
        <w:t>4</w:t>
      </w:r>
      <w:r w:rsidR="003C1C3D">
        <w:fldChar w:fldCharType="end"/>
      </w:r>
      <w:r w:rsidR="003C66E5">
        <w:t xml:space="preserve"> describes </w:t>
      </w:r>
      <w:r w:rsidR="006F5D20">
        <w:t xml:space="preserve">the potential for </w:t>
      </w:r>
      <w:r w:rsidR="003C66E5">
        <w:t xml:space="preserve">early regulation </w:t>
      </w:r>
      <w:r w:rsidR="006F5D20">
        <w:t>to help deliver certainty for industry while reform progresses.</w:t>
      </w:r>
      <w:r w:rsidR="003C66E5">
        <w:t xml:space="preserve"> </w:t>
      </w:r>
    </w:p>
    <w:tbl>
      <w:tblPr>
        <w:tblStyle w:val="TableGrid"/>
        <w:tblW w:w="0" w:type="auto"/>
        <w:tblLook w:val="04A0" w:firstRow="1" w:lastRow="0" w:firstColumn="1" w:lastColumn="0" w:noHBand="0" w:noVBand="1"/>
      </w:tblPr>
      <w:tblGrid>
        <w:gridCol w:w="9060"/>
      </w:tblGrid>
      <w:tr w:rsidR="00B17D42" w:rsidRPr="00E45508" w14:paraId="1721D810" w14:textId="77777777">
        <w:tc>
          <w:tcPr>
            <w:tcW w:w="9060" w:type="dxa"/>
            <w:shd w:val="clear" w:color="auto" w:fill="F2F2F2" w:themeFill="accent6" w:themeFillShade="F2"/>
          </w:tcPr>
          <w:p w14:paraId="71B198A6" w14:textId="4E2F61EB" w:rsidR="00B17D42" w:rsidRPr="00E45508" w:rsidRDefault="00B17D42">
            <w:pPr>
              <w:pStyle w:val="Caption"/>
            </w:pPr>
            <w:bookmarkStart w:id="104" w:name="_Ref178228600"/>
            <w:bookmarkStart w:id="105" w:name="_Toc178229394"/>
            <w:bookmarkStart w:id="106" w:name="_Ref178228561"/>
            <w:r w:rsidRPr="00E45508">
              <w:t xml:space="preserve">Box </w:t>
            </w:r>
            <w:r w:rsidRPr="00E45508">
              <w:fldChar w:fldCharType="begin"/>
            </w:r>
            <w:r w:rsidRPr="00E45508">
              <w:instrText>SEQ Box \* ARABIC</w:instrText>
            </w:r>
            <w:r w:rsidRPr="00E45508">
              <w:fldChar w:fldCharType="separate"/>
            </w:r>
            <w:r w:rsidR="009A2EC4">
              <w:rPr>
                <w:noProof/>
              </w:rPr>
              <w:t>4</w:t>
            </w:r>
            <w:r w:rsidRPr="00E45508">
              <w:fldChar w:fldCharType="end"/>
            </w:r>
            <w:bookmarkEnd w:id="104"/>
            <w:r w:rsidRPr="00E45508">
              <w:t>: Providing regulatory certainty while a reformed scheme is developed and implemented</w:t>
            </w:r>
            <w:bookmarkEnd w:id="105"/>
          </w:p>
          <w:p w14:paraId="453A0B52" w14:textId="01348DE5" w:rsidR="00B17D42" w:rsidRPr="00E45508" w:rsidRDefault="008A2F07">
            <w:pPr>
              <w:pStyle w:val="BoxText"/>
            </w:pPr>
            <w:r>
              <w:t xml:space="preserve">For </w:t>
            </w:r>
            <w:r w:rsidR="00B17D42">
              <w:t>O</w:t>
            </w:r>
            <w:r w:rsidR="00B17D42" w:rsidRPr="00E45508">
              <w:t>ptions 2 and 3, the department is</w:t>
            </w:r>
            <w:r w:rsidR="00B17D42" w:rsidRPr="00E45508" w:rsidDel="00733925">
              <w:t xml:space="preserve"> </w:t>
            </w:r>
            <w:r w:rsidR="00B17D42" w:rsidRPr="00E45508">
              <w:t>interested in your views on whether earlier regulation on some aspects would help provide certainty for industry in the meantime, noting any action, including early action, would need to be agreed by government.</w:t>
            </w:r>
          </w:p>
          <w:p w14:paraId="5ED11BBC" w14:textId="77777777" w:rsidR="00B17D42" w:rsidRPr="00E45508" w:rsidRDefault="00B17D42">
            <w:pPr>
              <w:pStyle w:val="BoxText"/>
            </w:pPr>
            <w:r w:rsidRPr="00E45508">
              <w:t>An example could be introducing initial nationally consistent, mandatory requirements, to set a clear direction for initial action, with timeframes for implementation to be settled subject to further consultation.</w:t>
            </w:r>
          </w:p>
        </w:tc>
      </w:tr>
    </w:tbl>
    <w:p w14:paraId="213E5D2B" w14:textId="77777777" w:rsidR="00B17D42" w:rsidRPr="00E45508" w:rsidRDefault="00B17D42" w:rsidP="00315C82"/>
    <w:p w14:paraId="15C3C4EC" w14:textId="183B2ECD" w:rsidR="00612076" w:rsidRPr="00E45508" w:rsidRDefault="00291D70" w:rsidP="00315C82">
      <w:r w:rsidRPr="00E45508">
        <w:fldChar w:fldCharType="begin"/>
      </w:r>
      <w:r w:rsidRPr="00E45508">
        <w:instrText xml:space="preserve"> REF _Ref177635640 \h </w:instrText>
      </w:r>
      <w:r w:rsidRPr="00E45508">
        <w:fldChar w:fldCharType="separate"/>
      </w:r>
      <w:r w:rsidR="009A2EC4" w:rsidRPr="00E45508">
        <w:t xml:space="preserve">Table </w:t>
      </w:r>
      <w:r w:rsidR="009A2EC4">
        <w:rPr>
          <w:noProof/>
        </w:rPr>
        <w:t>4</w:t>
      </w:r>
      <w:r w:rsidRPr="00E45508">
        <w:fldChar w:fldCharType="end"/>
      </w:r>
      <w:r w:rsidR="00F5217E" w:rsidRPr="00E45508">
        <w:t xml:space="preserve"> provides an overview of the </w:t>
      </w:r>
      <w:r w:rsidR="004459CD" w:rsidRPr="00E45508">
        <w:t>key feature</w:t>
      </w:r>
      <w:r w:rsidR="000204D1" w:rsidRPr="00E45508">
        <w:t>s</w:t>
      </w:r>
      <w:r w:rsidR="004459CD" w:rsidRPr="00E45508">
        <w:t xml:space="preserve"> for each option</w:t>
      </w:r>
      <w:r w:rsidR="00276718" w:rsidRPr="00E45508">
        <w:t>. The options</w:t>
      </w:r>
      <w:r w:rsidR="00C16EF1" w:rsidRPr="00E45508">
        <w:t>, including the base case,</w:t>
      </w:r>
      <w:r w:rsidR="00DA1B19" w:rsidRPr="00E45508">
        <w:t xml:space="preserve"> are </w:t>
      </w:r>
      <w:r w:rsidR="00276718" w:rsidRPr="00E45508">
        <w:t xml:space="preserve">further </w:t>
      </w:r>
      <w:r w:rsidR="00DA1B19" w:rsidRPr="00E45508">
        <w:t>described in</w:t>
      </w:r>
      <w:r w:rsidR="00C16EF1" w:rsidRPr="00E45508">
        <w:t xml:space="preserve"> </w:t>
      </w:r>
      <w:r w:rsidR="009E72FF">
        <w:t xml:space="preserve">sections </w:t>
      </w:r>
      <w:r w:rsidR="00C16EF1" w:rsidRPr="00E45508">
        <w:fldChar w:fldCharType="begin"/>
      </w:r>
      <w:r w:rsidR="00C16EF1" w:rsidRPr="00E45508">
        <w:instrText xml:space="preserve"> REF _Ref177635559 \r \h </w:instrText>
      </w:r>
      <w:r w:rsidR="00C16EF1" w:rsidRPr="00E45508">
        <w:fldChar w:fldCharType="separate"/>
      </w:r>
      <w:r w:rsidR="009A2EC4">
        <w:t>5.2</w:t>
      </w:r>
      <w:r w:rsidR="00C16EF1" w:rsidRPr="00E45508">
        <w:fldChar w:fldCharType="end"/>
      </w:r>
      <w:r w:rsidR="00C16EF1" w:rsidRPr="00E45508">
        <w:t xml:space="preserve"> to </w:t>
      </w:r>
      <w:r w:rsidR="00C16EF1" w:rsidRPr="00E45508">
        <w:fldChar w:fldCharType="begin"/>
      </w:r>
      <w:r w:rsidR="00C16EF1" w:rsidRPr="00E45508">
        <w:instrText xml:space="preserve"> REF _Ref177635564 \r \h </w:instrText>
      </w:r>
      <w:r w:rsidR="00C16EF1" w:rsidRPr="00E45508">
        <w:fldChar w:fldCharType="separate"/>
      </w:r>
      <w:r w:rsidR="009A2EC4">
        <w:t>5.5</w:t>
      </w:r>
      <w:r w:rsidR="00C16EF1" w:rsidRPr="00E45508">
        <w:fldChar w:fldCharType="end"/>
      </w:r>
      <w:r w:rsidR="00450273" w:rsidRPr="00E45508">
        <w:t>.</w:t>
      </w:r>
    </w:p>
    <w:p w14:paraId="6B1906BA" w14:textId="5EF651C3" w:rsidR="00612076" w:rsidRPr="00E45508" w:rsidRDefault="00612076" w:rsidP="00315C82">
      <w:pPr>
        <w:sectPr w:rsidR="00612076" w:rsidRPr="00E45508" w:rsidSect="00F32780">
          <w:type w:val="continuous"/>
          <w:pgSz w:w="11906" w:h="16838"/>
          <w:pgMar w:top="1418" w:right="1418" w:bottom="1418" w:left="1418" w:header="567" w:footer="283" w:gutter="0"/>
          <w:pgNumType w:start="1"/>
          <w:cols w:space="708"/>
          <w:docGrid w:linePitch="360"/>
        </w:sectPr>
      </w:pPr>
    </w:p>
    <w:p w14:paraId="128D8990" w14:textId="47FDC3B5" w:rsidR="00612076" w:rsidRPr="00E45508" w:rsidRDefault="00612076" w:rsidP="00612076">
      <w:pPr>
        <w:pStyle w:val="Caption"/>
      </w:pPr>
      <w:bookmarkStart w:id="107" w:name="_Ref177635640"/>
      <w:bookmarkStart w:id="108" w:name="_Ref177635629"/>
      <w:bookmarkStart w:id="109" w:name="_Toc178229367"/>
      <w:r w:rsidRPr="00E45508">
        <w:t xml:space="preserve">Table </w:t>
      </w:r>
      <w:r w:rsidRPr="00E45508">
        <w:fldChar w:fldCharType="begin"/>
      </w:r>
      <w:r w:rsidRPr="00E45508">
        <w:instrText xml:space="preserve"> SEQ Table \* ARABIC </w:instrText>
      </w:r>
      <w:r w:rsidRPr="00E45508">
        <w:fldChar w:fldCharType="separate"/>
      </w:r>
      <w:r w:rsidR="009A2EC4">
        <w:rPr>
          <w:noProof/>
        </w:rPr>
        <w:t>4</w:t>
      </w:r>
      <w:r w:rsidRPr="00E45508">
        <w:fldChar w:fldCharType="end"/>
      </w:r>
      <w:bookmarkEnd w:id="106"/>
      <w:bookmarkEnd w:id="107"/>
      <w:r w:rsidRPr="00E45508">
        <w:t>: Key features of each option – roles, responsibilities and financial arrangements</w:t>
      </w:r>
      <w:bookmarkEnd w:id="108"/>
      <w:bookmarkEnd w:id="109"/>
    </w:p>
    <w:tbl>
      <w:tblPr>
        <w:tblStyle w:val="PlainTable2"/>
        <w:tblW w:w="14601" w:type="dxa"/>
        <w:tblLook w:val="0420" w:firstRow="1" w:lastRow="0" w:firstColumn="0" w:lastColumn="0" w:noHBand="0" w:noVBand="1"/>
      </w:tblPr>
      <w:tblGrid>
        <w:gridCol w:w="1538"/>
        <w:gridCol w:w="3424"/>
        <w:gridCol w:w="3685"/>
        <w:gridCol w:w="5954"/>
      </w:tblGrid>
      <w:tr w:rsidR="00612076" w:rsidRPr="00E45508" w14:paraId="2AF7ECF1" w14:textId="77777777" w:rsidTr="33662F04">
        <w:trPr>
          <w:cnfStyle w:val="100000000000" w:firstRow="1" w:lastRow="0" w:firstColumn="0" w:lastColumn="0" w:oddVBand="0" w:evenVBand="0" w:oddHBand="0" w:evenHBand="0" w:firstRowFirstColumn="0" w:firstRowLastColumn="0" w:lastRowFirstColumn="0" w:lastRowLastColumn="0"/>
          <w:cantSplit/>
          <w:trHeight w:val="300"/>
          <w:tblHeader/>
        </w:trPr>
        <w:tc>
          <w:tcPr>
            <w:tcW w:w="1538" w:type="dxa"/>
            <w:hideMark/>
          </w:tcPr>
          <w:p w14:paraId="5AE3072B" w14:textId="77777777" w:rsidR="00612076" w:rsidRPr="00E45508" w:rsidRDefault="00612076" w:rsidP="0013334F">
            <w:pPr>
              <w:pStyle w:val="Tabletext0"/>
            </w:pPr>
            <w:r w:rsidRPr="00E45508">
              <w:t>Parameter</w:t>
            </w:r>
          </w:p>
        </w:tc>
        <w:tc>
          <w:tcPr>
            <w:tcW w:w="3424" w:type="dxa"/>
            <w:hideMark/>
          </w:tcPr>
          <w:p w14:paraId="5296DCC1" w14:textId="77777777" w:rsidR="00612076" w:rsidRPr="00E45508" w:rsidRDefault="00612076" w:rsidP="0013334F">
            <w:pPr>
              <w:pStyle w:val="Tabletext0"/>
            </w:pPr>
            <w:r w:rsidRPr="00E45508">
              <w:t>Option 1</w:t>
            </w:r>
          </w:p>
        </w:tc>
        <w:tc>
          <w:tcPr>
            <w:tcW w:w="3685" w:type="dxa"/>
            <w:hideMark/>
          </w:tcPr>
          <w:p w14:paraId="009FB3AE" w14:textId="77777777" w:rsidR="00612076" w:rsidRPr="00E45508" w:rsidRDefault="00612076" w:rsidP="0013334F">
            <w:pPr>
              <w:pStyle w:val="Tabletext0"/>
            </w:pPr>
            <w:r w:rsidRPr="00E45508">
              <w:t>Option 2</w:t>
            </w:r>
          </w:p>
        </w:tc>
        <w:tc>
          <w:tcPr>
            <w:tcW w:w="5954" w:type="dxa"/>
            <w:hideMark/>
          </w:tcPr>
          <w:p w14:paraId="09BCCC57" w14:textId="77777777" w:rsidR="00612076" w:rsidRPr="00E45508" w:rsidRDefault="00612076" w:rsidP="0013334F">
            <w:pPr>
              <w:pStyle w:val="Tabletext0"/>
            </w:pPr>
            <w:r w:rsidRPr="00E45508">
              <w:t>Option 3</w:t>
            </w:r>
          </w:p>
        </w:tc>
      </w:tr>
      <w:tr w:rsidR="00612076" w:rsidRPr="00E45508" w14:paraId="2D364F3D" w14:textId="77777777" w:rsidTr="33662F04">
        <w:trPr>
          <w:cnfStyle w:val="000000100000" w:firstRow="0" w:lastRow="0" w:firstColumn="0" w:lastColumn="0" w:oddVBand="0" w:evenVBand="0" w:oddHBand="1" w:evenHBand="0" w:firstRowFirstColumn="0" w:firstRowLastColumn="0" w:lastRowFirstColumn="0" w:lastRowLastColumn="0"/>
          <w:cantSplit/>
          <w:trHeight w:val="2130"/>
        </w:trPr>
        <w:tc>
          <w:tcPr>
            <w:tcW w:w="1538" w:type="dxa"/>
            <w:hideMark/>
          </w:tcPr>
          <w:p w14:paraId="04499589" w14:textId="77777777" w:rsidR="00612076" w:rsidRPr="00E45508" w:rsidRDefault="00612076" w:rsidP="0013334F">
            <w:pPr>
              <w:pStyle w:val="Tabletext0"/>
            </w:pPr>
            <w:r w:rsidRPr="00E45508">
              <w:t>Key elements</w:t>
            </w:r>
          </w:p>
        </w:tc>
        <w:tc>
          <w:tcPr>
            <w:tcW w:w="3424" w:type="dxa"/>
            <w:hideMark/>
          </w:tcPr>
          <w:p w14:paraId="15FA588A" w14:textId="77777777" w:rsidR="00612076" w:rsidRPr="00E45508" w:rsidRDefault="00612076" w:rsidP="0013334F">
            <w:pPr>
              <w:pStyle w:val="Tabletext0"/>
            </w:pPr>
            <w:r w:rsidRPr="00E45508">
              <w:t>The co-regulatory arrangement remains unchanged.</w:t>
            </w:r>
          </w:p>
          <w:p w14:paraId="402364F6" w14:textId="77777777" w:rsidR="00612076" w:rsidRPr="00E45508" w:rsidRDefault="00612076" w:rsidP="0013334F">
            <w:pPr>
              <w:pStyle w:val="Tabletext0"/>
            </w:pPr>
            <w:r w:rsidRPr="00E45508">
              <w:t>APCO implements its 2030 Strategic Plan to support Industry to meet the Covenant goals.</w:t>
            </w:r>
          </w:p>
          <w:p w14:paraId="28E503C1" w14:textId="77777777" w:rsidR="00612076" w:rsidRPr="00E45508" w:rsidRDefault="00612076" w:rsidP="0013334F">
            <w:pPr>
              <w:pStyle w:val="Tabletext0"/>
              <w:rPr>
                <w:rFonts w:cstheme="minorHAnsi"/>
              </w:rPr>
            </w:pPr>
            <w:r w:rsidRPr="00E45508">
              <w:rPr>
                <w:rFonts w:cstheme="minorHAnsi"/>
              </w:rPr>
              <w:t>Stronger compliance and enforcement of the NEPM to reduce free riders.</w:t>
            </w:r>
          </w:p>
          <w:p w14:paraId="74CDBEC1" w14:textId="77777777" w:rsidR="00612076" w:rsidRPr="00E45508" w:rsidRDefault="00612076" w:rsidP="33662F04">
            <w:pPr>
              <w:pStyle w:val="Tabletext0"/>
              <w:rPr>
                <w:rFonts w:cstheme="minorBidi"/>
              </w:rPr>
            </w:pPr>
            <w:r>
              <w:t xml:space="preserve">Increased education to support behaviour </w:t>
            </w:r>
            <w:bookmarkStart w:id="110" w:name="_Int_AJlOK1oa"/>
            <w:r>
              <w:t>change</w:t>
            </w:r>
            <w:bookmarkEnd w:id="110"/>
            <w:r>
              <w:t xml:space="preserve"> and increased participation by industry and the community.</w:t>
            </w:r>
          </w:p>
        </w:tc>
        <w:tc>
          <w:tcPr>
            <w:tcW w:w="3685" w:type="dxa"/>
            <w:hideMark/>
          </w:tcPr>
          <w:p w14:paraId="141BE26F" w14:textId="77777777" w:rsidR="00612076" w:rsidRPr="00E45508" w:rsidRDefault="00612076" w:rsidP="0013334F">
            <w:pPr>
              <w:pStyle w:val="Tabletext0"/>
            </w:pPr>
            <w:r w:rsidRPr="00E45508">
              <w:t>Commonwealth legislation mandates packaging requirements on individual regulated entities including:</w:t>
            </w:r>
          </w:p>
          <w:p w14:paraId="0CCA7A98" w14:textId="5B84BB3D" w:rsidR="00612076" w:rsidRPr="00E45508" w:rsidRDefault="00612076" w:rsidP="0013334F">
            <w:pPr>
              <w:pStyle w:val="TableBullet1"/>
            </w:pPr>
            <w:r w:rsidRPr="00E45508">
              <w:t>bans on problematic materials and chemicals of concern</w:t>
            </w:r>
          </w:p>
          <w:p w14:paraId="4ECDCA85" w14:textId="77777777" w:rsidR="00612076" w:rsidRPr="00E45508" w:rsidRDefault="00612076" w:rsidP="0013334F">
            <w:pPr>
              <w:pStyle w:val="TableBullet1"/>
            </w:pPr>
            <w:r w:rsidRPr="00E45508">
              <w:t>progressive bans of packaging to mandate minimum recyclability performance</w:t>
            </w:r>
          </w:p>
          <w:p w14:paraId="47DF3E16" w14:textId="77777777" w:rsidR="00612076" w:rsidRPr="00E45508" w:rsidRDefault="00612076" w:rsidP="0013334F">
            <w:pPr>
              <w:pStyle w:val="TableBullet1"/>
            </w:pPr>
            <w:r w:rsidRPr="00E45508">
              <w:t>minimum recycled content thresholds.</w:t>
            </w:r>
          </w:p>
          <w:p w14:paraId="5A5DAFCD" w14:textId="77777777" w:rsidR="00612076" w:rsidRPr="00E45508" w:rsidRDefault="00612076" w:rsidP="0013334F">
            <w:pPr>
              <w:pStyle w:val="Tabletext0"/>
            </w:pPr>
            <w:r w:rsidRPr="00E45508">
              <w:t>Current co-regulatory arrangement ceases.</w:t>
            </w:r>
          </w:p>
        </w:tc>
        <w:tc>
          <w:tcPr>
            <w:tcW w:w="5954" w:type="dxa"/>
            <w:hideMark/>
          </w:tcPr>
          <w:p w14:paraId="572E3532" w14:textId="77777777" w:rsidR="00612076" w:rsidRPr="00E45508" w:rsidRDefault="00612076" w:rsidP="0013334F">
            <w:pPr>
              <w:pStyle w:val="Tabletext0"/>
              <w:rPr>
                <w:rFonts w:cstheme="minorBidi"/>
              </w:rPr>
            </w:pPr>
            <w:r w:rsidRPr="00E45508">
              <w:rPr>
                <w:rFonts w:cstheme="minorBidi"/>
              </w:rPr>
              <w:t>The government establishes a national EPR regulated packaging scheme with industry-level outcomes and mandated requirements on regulated entities.</w:t>
            </w:r>
          </w:p>
          <w:p w14:paraId="22BBA452" w14:textId="77777777" w:rsidR="00612076" w:rsidRPr="00E45508" w:rsidRDefault="00612076" w:rsidP="0013334F">
            <w:pPr>
              <w:pStyle w:val="Tabletext0"/>
              <w:rPr>
                <w:rFonts w:cstheme="minorHAnsi"/>
              </w:rPr>
            </w:pPr>
            <w:r w:rsidRPr="00E45508">
              <w:rPr>
                <w:rFonts w:cstheme="minorHAnsi"/>
              </w:rPr>
              <w:t>Commonwealth legislation implements the EPR packaging scheme managed by an administrator.</w:t>
            </w:r>
          </w:p>
          <w:p w14:paraId="139B9983" w14:textId="35AD5119" w:rsidR="00612076" w:rsidRPr="00E45508" w:rsidRDefault="00612076" w:rsidP="0013334F">
            <w:pPr>
              <w:pStyle w:val="Tabletext0"/>
              <w:rPr>
                <w:rFonts w:cstheme="minorBidi"/>
              </w:rPr>
            </w:pPr>
            <w:r w:rsidRPr="00E45508">
              <w:rPr>
                <w:rFonts w:cstheme="minorBidi"/>
              </w:rPr>
              <w:t xml:space="preserve">Scheme fees, and EPR fees based on packaging placed on the market. EPR fees </w:t>
            </w:r>
            <w:r w:rsidR="62D15D83" w:rsidRPr="00E45508">
              <w:rPr>
                <w:rFonts w:cstheme="minorBidi"/>
              </w:rPr>
              <w:t xml:space="preserve">could </w:t>
            </w:r>
            <w:r w:rsidRPr="00E45508">
              <w:rPr>
                <w:rFonts w:cstheme="minorBidi"/>
              </w:rPr>
              <w:t>support administrator and industry to deliver EPR outcomes.</w:t>
            </w:r>
          </w:p>
          <w:p w14:paraId="535CE126" w14:textId="77777777" w:rsidR="00612076" w:rsidRPr="00E45508" w:rsidRDefault="00612076" w:rsidP="0013334F">
            <w:pPr>
              <w:pStyle w:val="Tabletext0"/>
            </w:pPr>
            <w:r>
              <w:t xml:space="preserve">Mandatory obligations are </w:t>
            </w:r>
            <w:bookmarkStart w:id="111" w:name="_Int_E78gB4Q4"/>
            <w:r>
              <w:t>similar to</w:t>
            </w:r>
            <w:bookmarkEnd w:id="111"/>
            <w:r>
              <w:t xml:space="preserve"> those in Option 2, </w:t>
            </w:r>
            <w:bookmarkStart w:id="112" w:name="_Int_5LvgeI8B"/>
            <w:r>
              <w:t>with the exception of</w:t>
            </w:r>
            <w:bookmarkEnd w:id="112"/>
            <w:r>
              <w:t xml:space="preserve"> progressive bans, which would not be implemented.</w:t>
            </w:r>
          </w:p>
        </w:tc>
      </w:tr>
      <w:tr w:rsidR="00612076" w:rsidRPr="00E45508" w14:paraId="3E436187" w14:textId="77777777" w:rsidTr="33662F04">
        <w:trPr>
          <w:cantSplit/>
          <w:trHeight w:val="300"/>
        </w:trPr>
        <w:tc>
          <w:tcPr>
            <w:tcW w:w="1538" w:type="dxa"/>
            <w:hideMark/>
          </w:tcPr>
          <w:p w14:paraId="178AA83C" w14:textId="77777777" w:rsidR="00612076" w:rsidRPr="00E45508" w:rsidRDefault="00612076" w:rsidP="0013334F">
            <w:pPr>
              <w:pStyle w:val="Tabletext0"/>
            </w:pPr>
            <w:r w:rsidRPr="00E45508">
              <w:t>Scheme</w:t>
            </w:r>
          </w:p>
        </w:tc>
        <w:tc>
          <w:tcPr>
            <w:tcW w:w="3424" w:type="dxa"/>
            <w:hideMark/>
          </w:tcPr>
          <w:p w14:paraId="3D64CDCE" w14:textId="77777777" w:rsidR="00612076" w:rsidRPr="00E45508" w:rsidRDefault="00612076" w:rsidP="0013334F">
            <w:pPr>
              <w:pStyle w:val="Tabletext0"/>
              <w:rPr>
                <w:rFonts w:cstheme="minorHAnsi"/>
                <w:sz w:val="18"/>
                <w:szCs w:val="18"/>
              </w:rPr>
            </w:pPr>
            <w:r w:rsidRPr="00E45508">
              <w:rPr>
                <w:rFonts w:cstheme="minorHAnsi"/>
              </w:rPr>
              <w:t>Continues as per the co-regulatory arrangement.</w:t>
            </w:r>
          </w:p>
        </w:tc>
        <w:tc>
          <w:tcPr>
            <w:tcW w:w="3685" w:type="dxa"/>
            <w:hideMark/>
          </w:tcPr>
          <w:p w14:paraId="5F3820AA" w14:textId="77777777" w:rsidR="00612076" w:rsidRPr="00E45508" w:rsidRDefault="00612076" w:rsidP="0013334F">
            <w:pPr>
              <w:pStyle w:val="Tabletext0"/>
            </w:pPr>
            <w:r w:rsidRPr="00E45508">
              <w:t>The government administers mandatory requirements on individual regulated entities.</w:t>
            </w:r>
          </w:p>
        </w:tc>
        <w:tc>
          <w:tcPr>
            <w:tcW w:w="5954" w:type="dxa"/>
            <w:hideMark/>
          </w:tcPr>
          <w:p w14:paraId="074A08E1" w14:textId="47DEF397" w:rsidR="00612076" w:rsidRPr="00E45508" w:rsidRDefault="00612076" w:rsidP="0013334F">
            <w:pPr>
              <w:pStyle w:val="Tabletext0"/>
              <w:rPr>
                <w:sz w:val="18"/>
                <w:szCs w:val="18"/>
              </w:rPr>
            </w:pPr>
            <w:r>
              <w:t xml:space="preserve">Scheme administrator manages the scheme and could make recommendations on eco-modulated </w:t>
            </w:r>
            <w:bookmarkStart w:id="113" w:name="_Int_SrSNMrHG"/>
            <w:r>
              <w:t>fees, and</w:t>
            </w:r>
            <w:bookmarkEnd w:id="113"/>
            <w:r>
              <w:t xml:space="preserve"> undertak</w:t>
            </w:r>
            <w:r w:rsidR="58C53484">
              <w:t>es</w:t>
            </w:r>
            <w:r>
              <w:t xml:space="preserve"> coordinated action to support meeting scheme outcomes.</w:t>
            </w:r>
          </w:p>
        </w:tc>
      </w:tr>
      <w:tr w:rsidR="00612076" w:rsidRPr="00E45508" w14:paraId="7D7A4E0D" w14:textId="77777777" w:rsidTr="33662F04">
        <w:trPr>
          <w:cnfStyle w:val="000000100000" w:firstRow="0" w:lastRow="0" w:firstColumn="0" w:lastColumn="0" w:oddVBand="0" w:evenVBand="0" w:oddHBand="1" w:evenHBand="0" w:firstRowFirstColumn="0" w:firstRowLastColumn="0" w:lastRowFirstColumn="0" w:lastRowLastColumn="0"/>
          <w:cantSplit/>
          <w:trHeight w:val="909"/>
        </w:trPr>
        <w:tc>
          <w:tcPr>
            <w:tcW w:w="1538" w:type="dxa"/>
            <w:hideMark/>
          </w:tcPr>
          <w:p w14:paraId="3A013DF4" w14:textId="77777777" w:rsidR="00612076" w:rsidRPr="00E45508" w:rsidRDefault="00612076" w:rsidP="0013334F">
            <w:pPr>
              <w:pStyle w:val="Tabletext0"/>
            </w:pPr>
            <w:r w:rsidRPr="00E45508">
              <w:t>Regulated entities</w:t>
            </w:r>
          </w:p>
        </w:tc>
        <w:tc>
          <w:tcPr>
            <w:tcW w:w="3424" w:type="dxa"/>
            <w:hideMark/>
          </w:tcPr>
          <w:p w14:paraId="5CB27F2C" w14:textId="7426C5E1" w:rsidR="00612076" w:rsidRPr="00E45508" w:rsidRDefault="00612076" w:rsidP="0013334F">
            <w:pPr>
              <w:pStyle w:val="Tabletext0"/>
              <w:rPr>
                <w:sz w:val="18"/>
                <w:szCs w:val="18"/>
              </w:rPr>
            </w:pPr>
            <w:r w:rsidRPr="00E45508">
              <w:t xml:space="preserve">Roles and responsibilities would continue as set out in the co-regulatory arrangement (see </w:t>
            </w:r>
            <w:r w:rsidR="009C1A40">
              <w:t>s</w:t>
            </w:r>
            <w:r w:rsidRPr="00E45508">
              <w:t>ection </w:t>
            </w:r>
            <w:r w:rsidR="00C5442E">
              <w:fldChar w:fldCharType="begin"/>
            </w:r>
            <w:r w:rsidR="00C5442E">
              <w:instrText xml:space="preserve"> REF _Ref178241018 \r \h </w:instrText>
            </w:r>
            <w:r w:rsidR="00C5442E">
              <w:fldChar w:fldCharType="separate"/>
            </w:r>
            <w:r w:rsidR="009A2EC4">
              <w:t>2.2</w:t>
            </w:r>
            <w:r w:rsidR="00C5442E">
              <w:fldChar w:fldCharType="end"/>
            </w:r>
            <w:r w:rsidRPr="00E45508">
              <w:t>).</w:t>
            </w:r>
          </w:p>
        </w:tc>
        <w:tc>
          <w:tcPr>
            <w:tcW w:w="3685" w:type="dxa"/>
            <w:hideMark/>
          </w:tcPr>
          <w:p w14:paraId="46C5AA67" w14:textId="423C695C" w:rsidR="00612076" w:rsidRPr="00E45508" w:rsidRDefault="00EB4103" w:rsidP="0013334F">
            <w:pPr>
              <w:pStyle w:val="Tabletext0"/>
              <w:rPr>
                <w:rFonts w:cstheme="minorHAnsi"/>
                <w:sz w:val="18"/>
                <w:szCs w:val="18"/>
              </w:rPr>
            </w:pPr>
            <w:r>
              <w:rPr>
                <w:rFonts w:cstheme="minorHAnsi"/>
              </w:rPr>
              <w:t>Regulated entities m</w:t>
            </w:r>
            <w:r w:rsidR="00612076" w:rsidRPr="00E45508">
              <w:rPr>
                <w:rFonts w:cstheme="minorHAnsi"/>
              </w:rPr>
              <w:t>ust register with the government and comply with all mandatory requirements.</w:t>
            </w:r>
          </w:p>
        </w:tc>
        <w:tc>
          <w:tcPr>
            <w:tcW w:w="5954" w:type="dxa"/>
            <w:hideMark/>
          </w:tcPr>
          <w:p w14:paraId="28270F15" w14:textId="338A894A" w:rsidR="00612076" w:rsidRPr="00E45508" w:rsidRDefault="009F6D86" w:rsidP="0013334F">
            <w:pPr>
              <w:pStyle w:val="Tabletext0"/>
              <w:rPr>
                <w:rFonts w:cstheme="minorHAnsi"/>
              </w:rPr>
            </w:pPr>
            <w:r>
              <w:rPr>
                <w:rFonts w:cstheme="minorHAnsi"/>
              </w:rPr>
              <w:t>Regulated entities m</w:t>
            </w:r>
            <w:r w:rsidR="00612076" w:rsidRPr="00E45508">
              <w:rPr>
                <w:rFonts w:cstheme="minorHAnsi"/>
              </w:rPr>
              <w:t>ust report to the administrator on how they met obligations and liabilities.</w:t>
            </w:r>
          </w:p>
        </w:tc>
      </w:tr>
      <w:tr w:rsidR="00612076" w:rsidRPr="00E45508" w14:paraId="3BFDC026" w14:textId="77777777" w:rsidTr="33662F04">
        <w:trPr>
          <w:cantSplit/>
          <w:trHeight w:val="300"/>
        </w:trPr>
        <w:tc>
          <w:tcPr>
            <w:tcW w:w="1538" w:type="dxa"/>
            <w:hideMark/>
          </w:tcPr>
          <w:p w14:paraId="5811361E" w14:textId="77777777" w:rsidR="00612076" w:rsidRPr="00E45508" w:rsidRDefault="00612076" w:rsidP="0013334F">
            <w:pPr>
              <w:pStyle w:val="Tabletext0"/>
            </w:pPr>
            <w:r w:rsidRPr="00E45508">
              <w:t>Government</w:t>
            </w:r>
          </w:p>
        </w:tc>
        <w:tc>
          <w:tcPr>
            <w:tcW w:w="3424" w:type="dxa"/>
            <w:hideMark/>
          </w:tcPr>
          <w:p w14:paraId="2755FE3B" w14:textId="77777777" w:rsidR="00612076" w:rsidRPr="00E45508" w:rsidRDefault="00612076" w:rsidP="0013334F">
            <w:pPr>
              <w:pStyle w:val="Tabletext0"/>
            </w:pPr>
            <w:r w:rsidRPr="00E45508">
              <w:t>As above</w:t>
            </w:r>
          </w:p>
        </w:tc>
        <w:tc>
          <w:tcPr>
            <w:tcW w:w="3685" w:type="dxa"/>
            <w:hideMark/>
          </w:tcPr>
          <w:p w14:paraId="2906F567" w14:textId="77777777" w:rsidR="00612076" w:rsidRPr="00E45508" w:rsidRDefault="00612076" w:rsidP="0013334F">
            <w:pPr>
              <w:pStyle w:val="Tabletext0"/>
              <w:rPr>
                <w:rFonts w:cstheme="minorHAnsi"/>
                <w:sz w:val="18"/>
                <w:szCs w:val="18"/>
              </w:rPr>
            </w:pPr>
            <w:r w:rsidRPr="00E45508">
              <w:rPr>
                <w:rFonts w:cstheme="minorHAnsi"/>
              </w:rPr>
              <w:t>The government administers and regulates mandatory requirements, including compliance and enforcement.</w:t>
            </w:r>
          </w:p>
        </w:tc>
        <w:tc>
          <w:tcPr>
            <w:tcW w:w="5954" w:type="dxa"/>
            <w:hideMark/>
          </w:tcPr>
          <w:p w14:paraId="0B012D57" w14:textId="77777777" w:rsidR="00612076" w:rsidRPr="00E45508" w:rsidRDefault="00612076" w:rsidP="0013334F">
            <w:pPr>
              <w:pStyle w:val="Tabletext0"/>
              <w:rPr>
                <w:rFonts w:cstheme="minorHAnsi"/>
              </w:rPr>
            </w:pPr>
            <w:r w:rsidRPr="00E45508">
              <w:rPr>
                <w:rFonts w:cstheme="minorHAnsi"/>
              </w:rPr>
              <w:t>The government:</w:t>
            </w:r>
          </w:p>
          <w:p w14:paraId="47350991" w14:textId="77777777" w:rsidR="00612076" w:rsidRPr="00E45508" w:rsidRDefault="00612076" w:rsidP="0013334F">
            <w:pPr>
              <w:pStyle w:val="TableBullet1"/>
            </w:pPr>
            <w:r w:rsidRPr="00E45508">
              <w:t>sets scheme outcomes and monitors scheme administrator performance</w:t>
            </w:r>
          </w:p>
          <w:p w14:paraId="58BCEAE6" w14:textId="77777777" w:rsidR="00612076" w:rsidRPr="00E45508" w:rsidRDefault="00612076" w:rsidP="0013334F">
            <w:pPr>
              <w:pStyle w:val="TableBullet1"/>
            </w:pPr>
            <w:r w:rsidRPr="00E45508">
              <w:t>establishes and oversees the scheme administrator. It could also oversee scheme funding distribution</w:t>
            </w:r>
          </w:p>
          <w:p w14:paraId="628C509F" w14:textId="77777777" w:rsidR="00612076" w:rsidRPr="00E45508" w:rsidRDefault="00612076" w:rsidP="0013334F">
            <w:pPr>
              <w:pStyle w:val="TableBullet1"/>
            </w:pPr>
            <w:r w:rsidRPr="00E45508">
              <w:t>undertakes compliance and enforcement.</w:t>
            </w:r>
          </w:p>
        </w:tc>
      </w:tr>
      <w:tr w:rsidR="00612076" w:rsidRPr="00E45508" w14:paraId="436B3189" w14:textId="77777777" w:rsidTr="33662F04">
        <w:trPr>
          <w:cnfStyle w:val="000000100000" w:firstRow="0" w:lastRow="0" w:firstColumn="0" w:lastColumn="0" w:oddVBand="0" w:evenVBand="0" w:oddHBand="1" w:evenHBand="0" w:firstRowFirstColumn="0" w:firstRowLastColumn="0" w:lastRowFirstColumn="0" w:lastRowLastColumn="0"/>
          <w:cantSplit/>
          <w:trHeight w:val="300"/>
        </w:trPr>
        <w:tc>
          <w:tcPr>
            <w:tcW w:w="1538" w:type="dxa"/>
            <w:hideMark/>
          </w:tcPr>
          <w:p w14:paraId="10C14A39" w14:textId="77777777" w:rsidR="00612076" w:rsidRPr="00E45508" w:rsidRDefault="00612076" w:rsidP="0013334F">
            <w:pPr>
              <w:pStyle w:val="Tabletext0"/>
            </w:pPr>
            <w:r w:rsidRPr="00E45508">
              <w:t>Industry</w:t>
            </w:r>
          </w:p>
        </w:tc>
        <w:tc>
          <w:tcPr>
            <w:tcW w:w="3424" w:type="dxa"/>
            <w:hideMark/>
          </w:tcPr>
          <w:p w14:paraId="62492D12" w14:textId="77777777" w:rsidR="00612076" w:rsidRPr="00E45508" w:rsidRDefault="00612076" w:rsidP="0013334F">
            <w:pPr>
              <w:pStyle w:val="Tabletext0"/>
            </w:pPr>
            <w:r w:rsidRPr="00E45508">
              <w:t>As above</w:t>
            </w:r>
          </w:p>
        </w:tc>
        <w:tc>
          <w:tcPr>
            <w:tcW w:w="3685" w:type="dxa"/>
            <w:hideMark/>
          </w:tcPr>
          <w:p w14:paraId="2C52E681" w14:textId="71474567" w:rsidR="00612076" w:rsidRPr="00E45508" w:rsidRDefault="00612076" w:rsidP="0013334F">
            <w:pPr>
              <w:pStyle w:val="Tabletext0"/>
              <w:rPr>
                <w:rFonts w:cstheme="minorHAnsi"/>
              </w:rPr>
            </w:pPr>
            <w:r w:rsidRPr="00E45508">
              <w:rPr>
                <w:rFonts w:cstheme="minorHAnsi"/>
              </w:rPr>
              <w:t>No industry level actions and targets.</w:t>
            </w:r>
          </w:p>
          <w:p w14:paraId="0361A9F9" w14:textId="77777777" w:rsidR="00612076" w:rsidRPr="00E45508" w:rsidRDefault="00612076" w:rsidP="0013334F">
            <w:pPr>
              <w:pStyle w:val="Tabletext0"/>
              <w:rPr>
                <w:rFonts w:cstheme="minorHAnsi"/>
                <w:szCs w:val="18"/>
              </w:rPr>
            </w:pPr>
            <w:r w:rsidRPr="00E45508">
              <w:t>An industry body/ies could provide technical support to assist individual regulated entities meet mandatory requirements.</w:t>
            </w:r>
          </w:p>
        </w:tc>
        <w:tc>
          <w:tcPr>
            <w:tcW w:w="5954" w:type="dxa"/>
            <w:hideMark/>
          </w:tcPr>
          <w:p w14:paraId="54C27765" w14:textId="77777777" w:rsidR="00612076" w:rsidRPr="00E45508" w:rsidRDefault="00612076" w:rsidP="0013334F">
            <w:pPr>
              <w:pStyle w:val="Tabletext0"/>
              <w:rPr>
                <w:rFonts w:cstheme="minorHAnsi"/>
                <w:sz w:val="18"/>
                <w:szCs w:val="18"/>
              </w:rPr>
            </w:pPr>
            <w:r w:rsidRPr="00E45508">
              <w:rPr>
                <w:rFonts w:cstheme="minorHAnsi"/>
              </w:rPr>
              <w:t>Engages with administrator to develop activities, producer responsibility organisations could support regulated entities to meet EPR scheme obligations.</w:t>
            </w:r>
          </w:p>
        </w:tc>
      </w:tr>
      <w:tr w:rsidR="00612076" w:rsidRPr="00E45508" w14:paraId="6775E769" w14:textId="77777777" w:rsidTr="33662F04">
        <w:trPr>
          <w:cantSplit/>
          <w:trHeight w:val="300"/>
        </w:trPr>
        <w:tc>
          <w:tcPr>
            <w:tcW w:w="1538" w:type="dxa"/>
            <w:hideMark/>
          </w:tcPr>
          <w:p w14:paraId="0258386E" w14:textId="77777777" w:rsidR="00612076" w:rsidRPr="00E45508" w:rsidRDefault="00612076" w:rsidP="0013334F">
            <w:pPr>
              <w:pStyle w:val="Tabletext0"/>
            </w:pPr>
            <w:r w:rsidRPr="00E45508">
              <w:t>Funding arrangements</w:t>
            </w:r>
          </w:p>
        </w:tc>
        <w:tc>
          <w:tcPr>
            <w:tcW w:w="3424" w:type="dxa"/>
            <w:hideMark/>
          </w:tcPr>
          <w:p w14:paraId="0D797768" w14:textId="77777777" w:rsidR="00612076" w:rsidRPr="00E45508" w:rsidRDefault="00612076" w:rsidP="0013334F">
            <w:pPr>
              <w:pStyle w:val="Tabletext0"/>
              <w:rPr>
                <w:rFonts w:cstheme="minorHAnsi"/>
                <w:sz w:val="18"/>
                <w:szCs w:val="18"/>
              </w:rPr>
            </w:pPr>
            <w:r w:rsidRPr="00E45508">
              <w:rPr>
                <w:rFonts w:cstheme="minorHAnsi"/>
              </w:rPr>
              <w:t>No change.</w:t>
            </w:r>
          </w:p>
          <w:p w14:paraId="07E6810B" w14:textId="77777777" w:rsidR="00612076" w:rsidRPr="00E45508" w:rsidRDefault="00612076" w:rsidP="0013334F">
            <w:pPr>
              <w:pStyle w:val="Tabletext0"/>
              <w:rPr>
                <w:rFonts w:cstheme="minorHAnsi"/>
                <w:sz w:val="18"/>
                <w:szCs w:val="18"/>
              </w:rPr>
            </w:pPr>
            <w:r w:rsidRPr="00E45508">
              <w:rPr>
                <w:rFonts w:cstheme="minorHAnsi"/>
              </w:rPr>
              <w:t>APCO continues to set membership fees and introduces eco-modulated fees from 2027 to incentivise improvements in packaging recyclability.</w:t>
            </w:r>
          </w:p>
        </w:tc>
        <w:tc>
          <w:tcPr>
            <w:tcW w:w="3685" w:type="dxa"/>
            <w:hideMark/>
          </w:tcPr>
          <w:p w14:paraId="32A7195F" w14:textId="5F9E148B" w:rsidR="00C30940" w:rsidRDefault="00C30940" w:rsidP="0013334F">
            <w:pPr>
              <w:pStyle w:val="Tabletext0"/>
            </w:pPr>
            <w:r w:rsidRPr="00E45508">
              <w:t>The government may impose cost recovery fees on regulated entities</w:t>
            </w:r>
            <w:r w:rsidR="00787F02">
              <w:t xml:space="preserve"> to cover the administration of the arrangement</w:t>
            </w:r>
            <w:r w:rsidRPr="00E45508">
              <w:t>.</w:t>
            </w:r>
          </w:p>
          <w:p w14:paraId="30F12637" w14:textId="32564523" w:rsidR="00612076" w:rsidRPr="00E45508" w:rsidRDefault="00612076" w:rsidP="0013334F">
            <w:pPr>
              <w:pStyle w:val="Tabletext0"/>
              <w:rPr>
                <w:rFonts w:cstheme="minorHAnsi"/>
                <w:sz w:val="18"/>
                <w:szCs w:val="18"/>
              </w:rPr>
            </w:pPr>
            <w:r w:rsidRPr="00E45508">
              <w:rPr>
                <w:rFonts w:cstheme="minorHAnsi"/>
              </w:rPr>
              <w:t xml:space="preserve">No collective funding mechanism to support industry to meet mandatory obligations or invest in packaging </w:t>
            </w:r>
            <w:r w:rsidR="00C01904">
              <w:rPr>
                <w:rFonts w:cstheme="minorHAnsi"/>
              </w:rPr>
              <w:t>supply</w:t>
            </w:r>
            <w:r w:rsidR="00C01904" w:rsidRPr="00E45508">
              <w:rPr>
                <w:rFonts w:cstheme="minorHAnsi"/>
              </w:rPr>
              <w:t xml:space="preserve"> </w:t>
            </w:r>
            <w:r w:rsidRPr="00E45508">
              <w:rPr>
                <w:rFonts w:cstheme="minorHAnsi"/>
              </w:rPr>
              <w:t>chain improvements.</w:t>
            </w:r>
          </w:p>
          <w:p w14:paraId="2E53CDB2" w14:textId="4B43267E" w:rsidR="00612076" w:rsidRPr="00E45508" w:rsidRDefault="00612076" w:rsidP="0013334F">
            <w:pPr>
              <w:pStyle w:val="Tabletext0"/>
              <w:rPr>
                <w:sz w:val="18"/>
                <w:szCs w:val="18"/>
              </w:rPr>
            </w:pPr>
          </w:p>
        </w:tc>
        <w:tc>
          <w:tcPr>
            <w:tcW w:w="5954" w:type="dxa"/>
            <w:hideMark/>
          </w:tcPr>
          <w:p w14:paraId="6006E49A" w14:textId="63FB6A17" w:rsidR="00612076" w:rsidRPr="00E45508" w:rsidRDefault="00612076" w:rsidP="0013334F">
            <w:pPr>
              <w:pStyle w:val="Tabletext0"/>
              <w:rPr>
                <w:rFonts w:cstheme="minorBidi"/>
                <w:sz w:val="18"/>
                <w:szCs w:val="18"/>
              </w:rPr>
            </w:pPr>
            <w:r w:rsidRPr="00E45508">
              <w:rPr>
                <w:rFonts w:cstheme="minorBidi"/>
              </w:rPr>
              <w:t xml:space="preserve">EPR provides funding mechanisms through an eco-modulated fee structure that </w:t>
            </w:r>
            <w:r w:rsidR="18BD2232" w:rsidRPr="00E45508">
              <w:rPr>
                <w:rFonts w:cstheme="minorBidi"/>
              </w:rPr>
              <w:t xml:space="preserve">could </w:t>
            </w:r>
            <w:r w:rsidRPr="00E45508">
              <w:rPr>
                <w:rFonts w:cstheme="minorBidi"/>
              </w:rPr>
              <w:t xml:space="preserve">support </w:t>
            </w:r>
            <w:r w:rsidRPr="004372BA">
              <w:rPr>
                <w:rFonts w:cstheme="minorBidi"/>
              </w:rPr>
              <w:t>whole of supply chain</w:t>
            </w:r>
            <w:r w:rsidRPr="00E45508">
              <w:rPr>
                <w:rFonts w:cstheme="minorBidi"/>
              </w:rPr>
              <w:t xml:space="preserve"> actions.</w:t>
            </w:r>
          </w:p>
          <w:p w14:paraId="037CD7F8" w14:textId="77777777" w:rsidR="00612076" w:rsidRPr="00E45508" w:rsidRDefault="00612076" w:rsidP="0013334F">
            <w:pPr>
              <w:pStyle w:val="Tabletext0"/>
              <w:rPr>
                <w:rFonts w:cstheme="minorHAnsi"/>
              </w:rPr>
            </w:pPr>
            <w:r w:rsidRPr="00E45508">
              <w:rPr>
                <w:rFonts w:cstheme="minorHAnsi"/>
              </w:rPr>
              <w:t>Regulated entities would be responsible for complying with regulatory and financial requirements under the scheme.</w:t>
            </w:r>
          </w:p>
        </w:tc>
      </w:tr>
      <w:tr w:rsidR="00612076" w:rsidRPr="00E45508" w14:paraId="02990B23" w14:textId="77777777" w:rsidTr="33662F04">
        <w:trPr>
          <w:cnfStyle w:val="000000100000" w:firstRow="0" w:lastRow="0" w:firstColumn="0" w:lastColumn="0" w:oddVBand="0" w:evenVBand="0" w:oddHBand="1" w:evenHBand="0" w:firstRowFirstColumn="0" w:firstRowLastColumn="0" w:lastRowFirstColumn="0" w:lastRowLastColumn="0"/>
          <w:cantSplit/>
          <w:trHeight w:val="300"/>
        </w:trPr>
        <w:tc>
          <w:tcPr>
            <w:tcW w:w="1538" w:type="dxa"/>
            <w:hideMark/>
          </w:tcPr>
          <w:p w14:paraId="313B8854" w14:textId="77777777" w:rsidR="00612076" w:rsidRPr="00E45508" w:rsidRDefault="00612076" w:rsidP="0013334F">
            <w:pPr>
              <w:pStyle w:val="Tabletext0"/>
            </w:pPr>
            <w:r w:rsidRPr="00E45508">
              <w:t>Reporting and data sharing</w:t>
            </w:r>
          </w:p>
        </w:tc>
        <w:tc>
          <w:tcPr>
            <w:tcW w:w="3424" w:type="dxa"/>
            <w:hideMark/>
          </w:tcPr>
          <w:p w14:paraId="53E9C88B" w14:textId="666ACEB0" w:rsidR="00612076" w:rsidRPr="00E45508" w:rsidRDefault="00612076" w:rsidP="0013334F">
            <w:pPr>
              <w:pStyle w:val="Tabletext0"/>
              <w:rPr>
                <w:rFonts w:cstheme="minorHAnsi"/>
                <w:sz w:val="18"/>
                <w:szCs w:val="18"/>
              </w:rPr>
            </w:pPr>
            <w:r w:rsidRPr="00E45508">
              <w:rPr>
                <w:rFonts w:cstheme="minorHAnsi"/>
              </w:rPr>
              <w:t>Annual reporting by industry to APCO and jurisdictions</w:t>
            </w:r>
            <w:r w:rsidR="0007354F">
              <w:rPr>
                <w:rFonts w:cstheme="minorHAnsi"/>
              </w:rPr>
              <w:t>,</w:t>
            </w:r>
            <w:r w:rsidRPr="00E45508">
              <w:rPr>
                <w:rFonts w:cstheme="minorHAnsi"/>
              </w:rPr>
              <w:t xml:space="preserve"> confirming liability, compliance and to provide data to support the arrangements.</w:t>
            </w:r>
          </w:p>
        </w:tc>
        <w:tc>
          <w:tcPr>
            <w:tcW w:w="3685" w:type="dxa"/>
            <w:hideMark/>
          </w:tcPr>
          <w:p w14:paraId="4ABF6805" w14:textId="61A51B58" w:rsidR="00612076" w:rsidRPr="00E45508" w:rsidRDefault="00612076" w:rsidP="0013334F">
            <w:pPr>
              <w:pStyle w:val="Tabletext0"/>
              <w:rPr>
                <w:rFonts w:cstheme="minorHAnsi"/>
                <w:sz w:val="18"/>
                <w:szCs w:val="18"/>
              </w:rPr>
            </w:pPr>
            <w:r w:rsidRPr="00E45508">
              <w:rPr>
                <w:rFonts w:cstheme="minorHAnsi"/>
              </w:rPr>
              <w:t>Annual reporting to government by each regulated entity</w:t>
            </w:r>
            <w:r w:rsidR="00B52360">
              <w:rPr>
                <w:rFonts w:cstheme="minorHAnsi"/>
              </w:rPr>
              <w:t>,</w:t>
            </w:r>
            <w:r w:rsidRPr="00E45508">
              <w:rPr>
                <w:rFonts w:cstheme="minorHAnsi"/>
              </w:rPr>
              <w:t xml:space="preserve"> confirming liability, compliance and to provide data to support the arrangements.</w:t>
            </w:r>
          </w:p>
        </w:tc>
        <w:tc>
          <w:tcPr>
            <w:tcW w:w="5954" w:type="dxa"/>
            <w:hideMark/>
          </w:tcPr>
          <w:p w14:paraId="2C065465" w14:textId="1616DBF5" w:rsidR="00612076" w:rsidRPr="00E45508" w:rsidRDefault="00612076" w:rsidP="0013334F">
            <w:pPr>
              <w:pStyle w:val="Tabletext0"/>
            </w:pPr>
            <w:r w:rsidRPr="00E45508">
              <w:t>Annual reporting to government or scheme administrator by each regulated entity</w:t>
            </w:r>
            <w:r w:rsidR="00B52360">
              <w:t>,</w:t>
            </w:r>
            <w:r w:rsidRPr="00E45508">
              <w:t xml:space="preserve"> confirming liability, compliance and to provide data to support the arrangements.</w:t>
            </w:r>
          </w:p>
          <w:p w14:paraId="09E07299" w14:textId="77777777" w:rsidR="00612076" w:rsidRPr="00E45508" w:rsidRDefault="00612076" w:rsidP="0013334F">
            <w:pPr>
              <w:pStyle w:val="Tabletext0"/>
              <w:rPr>
                <w:rFonts w:cstheme="minorHAnsi"/>
                <w:sz w:val="18"/>
                <w:szCs w:val="18"/>
              </w:rPr>
            </w:pPr>
            <w:r w:rsidRPr="00E45508">
              <w:rPr>
                <w:rFonts w:cstheme="minorHAnsi"/>
              </w:rPr>
              <w:t>Data sharing arrangements established between the government and administrator.</w:t>
            </w:r>
          </w:p>
        </w:tc>
      </w:tr>
      <w:tr w:rsidR="00612076" w:rsidRPr="00E45508" w14:paraId="3A7EC0CD" w14:textId="77777777" w:rsidTr="33662F04">
        <w:trPr>
          <w:cantSplit/>
          <w:trHeight w:val="300"/>
        </w:trPr>
        <w:tc>
          <w:tcPr>
            <w:tcW w:w="1538" w:type="dxa"/>
            <w:hideMark/>
          </w:tcPr>
          <w:p w14:paraId="444CEFFE" w14:textId="77777777" w:rsidR="00612076" w:rsidRPr="00E45508" w:rsidRDefault="00612076" w:rsidP="0013334F">
            <w:pPr>
              <w:pStyle w:val="Tabletext0"/>
            </w:pPr>
            <w:r w:rsidRPr="00E45508">
              <w:t>Benefits</w:t>
            </w:r>
          </w:p>
        </w:tc>
        <w:tc>
          <w:tcPr>
            <w:tcW w:w="3424" w:type="dxa"/>
            <w:hideMark/>
          </w:tcPr>
          <w:p w14:paraId="569FB88B" w14:textId="77777777" w:rsidR="00612076" w:rsidRPr="00E45508" w:rsidRDefault="00612076" w:rsidP="0013334F">
            <w:pPr>
              <w:pStyle w:val="Tabletext0"/>
            </w:pPr>
            <w:r w:rsidRPr="00E45508">
              <w:t>Administrative arrangements are already established.</w:t>
            </w:r>
          </w:p>
          <w:p w14:paraId="48779219" w14:textId="77777777" w:rsidR="00612076" w:rsidRPr="00E45508" w:rsidRDefault="00612076" w:rsidP="0013334F">
            <w:pPr>
              <w:pStyle w:val="Tabletext0"/>
            </w:pPr>
            <w:r w:rsidRPr="00E45508">
              <w:t>Flexible implementation for APCO members.</w:t>
            </w:r>
          </w:p>
          <w:p w14:paraId="2E2CAE9C" w14:textId="77777777" w:rsidR="00612076" w:rsidRPr="00E45508" w:rsidRDefault="00612076" w:rsidP="0013334F">
            <w:pPr>
              <w:pStyle w:val="Tabletext0"/>
            </w:pPr>
            <w:r w:rsidRPr="00E45508">
              <w:t>Supportive of existing industry efforts.</w:t>
            </w:r>
          </w:p>
        </w:tc>
        <w:tc>
          <w:tcPr>
            <w:tcW w:w="3685" w:type="dxa"/>
            <w:hideMark/>
          </w:tcPr>
          <w:p w14:paraId="0333753C" w14:textId="77777777" w:rsidR="00612076" w:rsidRPr="00E45508" w:rsidRDefault="00612076" w:rsidP="0013334F">
            <w:pPr>
              <w:pStyle w:val="Tabletext0"/>
            </w:pPr>
            <w:r w:rsidRPr="00E45508">
              <w:t>Clear and understandable national mandatory requirements that will have a direct and tangible impact on packaging recyclability and end market development.</w:t>
            </w:r>
          </w:p>
          <w:p w14:paraId="68253B1D" w14:textId="77777777" w:rsidR="00612076" w:rsidRPr="00E45508" w:rsidRDefault="00612076" w:rsidP="0013334F">
            <w:pPr>
              <w:pStyle w:val="Tabletext0"/>
            </w:pPr>
            <w:r w:rsidRPr="00E45508">
              <w:t>Reduces free riders impacting on meeting NPTs.</w:t>
            </w:r>
          </w:p>
        </w:tc>
        <w:tc>
          <w:tcPr>
            <w:tcW w:w="5954" w:type="dxa"/>
            <w:hideMark/>
          </w:tcPr>
          <w:p w14:paraId="7759A9D7" w14:textId="20F64B64" w:rsidR="00612076" w:rsidRPr="00E45508" w:rsidRDefault="00612076" w:rsidP="0013334F">
            <w:pPr>
              <w:pStyle w:val="Tabletext0"/>
            </w:pPr>
            <w:r w:rsidRPr="00E45508">
              <w:t xml:space="preserve">Eco-modulated EPR scheme incentivises and supports industry wide action across the </w:t>
            </w:r>
            <w:r w:rsidRPr="004372BA">
              <w:t xml:space="preserve">whole </w:t>
            </w:r>
            <w:r w:rsidR="00047AF8" w:rsidRPr="004372BA">
              <w:t>supply</w:t>
            </w:r>
            <w:r w:rsidRPr="004372BA">
              <w:t xml:space="preserve"> chain</w:t>
            </w:r>
            <w:r w:rsidRPr="00E45508">
              <w:t>.</w:t>
            </w:r>
          </w:p>
          <w:p w14:paraId="45D599F0" w14:textId="77777777" w:rsidR="00612076" w:rsidRPr="00E45508" w:rsidRDefault="00612076" w:rsidP="0013334F">
            <w:pPr>
              <w:pStyle w:val="Tabletext0"/>
            </w:pPr>
            <w:r w:rsidRPr="00E45508">
              <w:t>Flexible implementation on design by industry and adaptation to emerging international approaches.</w:t>
            </w:r>
          </w:p>
          <w:p w14:paraId="2E7F5758" w14:textId="77777777" w:rsidR="00612076" w:rsidRPr="00E45508" w:rsidRDefault="00612076" w:rsidP="0013334F">
            <w:pPr>
              <w:pStyle w:val="Tabletext0"/>
            </w:pPr>
            <w:r w:rsidRPr="00E45508">
              <w:t>Reduces free riders impacting on achieving scheme outcomes.</w:t>
            </w:r>
          </w:p>
          <w:p w14:paraId="66468590" w14:textId="77777777" w:rsidR="00612076" w:rsidRPr="00E45508" w:rsidRDefault="00612076" w:rsidP="0013334F">
            <w:pPr>
              <w:pStyle w:val="Tabletext0"/>
            </w:pPr>
            <w:r w:rsidRPr="00E45508">
              <w:t>Consistent reporting and data analysis and management.</w:t>
            </w:r>
          </w:p>
        </w:tc>
      </w:tr>
      <w:tr w:rsidR="00612076" w:rsidRPr="00E45508" w14:paraId="6BCDDF11" w14:textId="77777777" w:rsidTr="33662F04">
        <w:trPr>
          <w:cnfStyle w:val="000000100000" w:firstRow="0" w:lastRow="0" w:firstColumn="0" w:lastColumn="0" w:oddVBand="0" w:evenVBand="0" w:oddHBand="1" w:evenHBand="0" w:firstRowFirstColumn="0" w:firstRowLastColumn="0" w:lastRowFirstColumn="0" w:lastRowLastColumn="0"/>
          <w:cantSplit/>
          <w:trHeight w:val="300"/>
        </w:trPr>
        <w:tc>
          <w:tcPr>
            <w:tcW w:w="1538" w:type="dxa"/>
            <w:hideMark/>
          </w:tcPr>
          <w:p w14:paraId="2BB749FF" w14:textId="77777777" w:rsidR="00612076" w:rsidRPr="00E45508" w:rsidRDefault="00612076" w:rsidP="0013334F">
            <w:pPr>
              <w:pStyle w:val="Tabletext0"/>
            </w:pPr>
            <w:r w:rsidRPr="00E45508">
              <w:t>Risks</w:t>
            </w:r>
          </w:p>
        </w:tc>
        <w:tc>
          <w:tcPr>
            <w:tcW w:w="3424" w:type="dxa"/>
            <w:hideMark/>
          </w:tcPr>
          <w:p w14:paraId="319E8717" w14:textId="77777777" w:rsidR="00612076" w:rsidRPr="00E45508" w:rsidRDefault="00612076" w:rsidP="0013334F">
            <w:pPr>
              <w:pStyle w:val="Tabletext0"/>
              <w:rPr>
                <w:sz w:val="18"/>
                <w:szCs w:val="18"/>
              </w:rPr>
            </w:pPr>
            <w:r w:rsidRPr="00E45508">
              <w:t>Ongoing systemic issues remain.</w:t>
            </w:r>
          </w:p>
          <w:p w14:paraId="29B153D3" w14:textId="77777777" w:rsidR="00612076" w:rsidRPr="00E45508" w:rsidRDefault="00612076" w:rsidP="0013334F">
            <w:pPr>
              <w:pStyle w:val="Tabletext0"/>
              <w:rPr>
                <w:sz w:val="18"/>
                <w:szCs w:val="18"/>
              </w:rPr>
            </w:pPr>
            <w:r w:rsidRPr="00E45508">
              <w:t>Greater compliance and enforcement remain a challenge.</w:t>
            </w:r>
          </w:p>
          <w:p w14:paraId="12E990A9" w14:textId="6CBD6281" w:rsidR="00612076" w:rsidRPr="00E45508" w:rsidRDefault="00612076" w:rsidP="0013334F">
            <w:pPr>
              <w:pStyle w:val="Tabletext0"/>
              <w:rPr>
                <w:sz w:val="18"/>
                <w:szCs w:val="18"/>
              </w:rPr>
            </w:pPr>
            <w:r w:rsidRPr="00E45508">
              <w:t>Free riders may remain in the system impacting industry scheme participation</w:t>
            </w:r>
            <w:r w:rsidR="00BE050F">
              <w:t xml:space="preserve"> and confidence</w:t>
            </w:r>
            <w:r w:rsidRPr="00E45508">
              <w:t>.</w:t>
            </w:r>
          </w:p>
        </w:tc>
        <w:tc>
          <w:tcPr>
            <w:tcW w:w="3685" w:type="dxa"/>
            <w:hideMark/>
          </w:tcPr>
          <w:p w14:paraId="255F500E" w14:textId="1F830924" w:rsidR="00612076" w:rsidRPr="00E45508" w:rsidRDefault="00612076" w:rsidP="0013334F">
            <w:pPr>
              <w:pStyle w:val="Tabletext0"/>
            </w:pPr>
            <w:r w:rsidRPr="00E45508">
              <w:t>Mandatory obligations</w:t>
            </w:r>
            <w:r w:rsidR="00E94D61">
              <w:t xml:space="preserve"> can</w:t>
            </w:r>
            <w:r w:rsidRPr="00E45508">
              <w:t xml:space="preserve"> impact flexibility to adapt and innovate, may introduce unintended detrimental consequences.</w:t>
            </w:r>
          </w:p>
          <w:p w14:paraId="548EE674" w14:textId="41E908D3" w:rsidR="00612076" w:rsidRPr="00E45508" w:rsidRDefault="00612076" w:rsidP="0013334F">
            <w:pPr>
              <w:pStyle w:val="Tabletext0"/>
              <w:rPr>
                <w:rFonts w:cstheme="minorHAnsi"/>
              </w:rPr>
            </w:pPr>
            <w:r w:rsidRPr="00E45508">
              <w:t>Regulated entities may choose to pay non</w:t>
            </w:r>
            <w:r w:rsidR="00347A20">
              <w:noBreakHyphen/>
            </w:r>
            <w:r w:rsidRPr="00E45508">
              <w:t xml:space="preserve">compliance penalty instead of </w:t>
            </w:r>
            <w:r w:rsidRPr="00E45508">
              <w:rPr>
                <w:rFonts w:cstheme="minorHAnsi"/>
              </w:rPr>
              <w:t>bearing operational cost of complying with new mandatory obligations.</w:t>
            </w:r>
          </w:p>
          <w:p w14:paraId="092BC0EB" w14:textId="651D4DD0" w:rsidR="00612076" w:rsidRPr="00E45508" w:rsidRDefault="00612076" w:rsidP="0013334F">
            <w:pPr>
              <w:pStyle w:val="Tabletext0"/>
              <w:rPr>
                <w:rFonts w:cstheme="minorHAnsi"/>
              </w:rPr>
            </w:pPr>
            <w:r w:rsidRPr="00E45508">
              <w:rPr>
                <w:color w:val="000000" w:themeColor="text1"/>
              </w:rPr>
              <w:t>No scheme administrator responsible for delivering industry wide actions and outcomes.</w:t>
            </w:r>
          </w:p>
          <w:p w14:paraId="6E94A380" w14:textId="77777777" w:rsidR="00612076" w:rsidRPr="00E45508" w:rsidRDefault="00612076" w:rsidP="0013334F">
            <w:pPr>
              <w:pStyle w:val="Tabletext0"/>
              <w:rPr>
                <w:sz w:val="18"/>
                <w:szCs w:val="18"/>
              </w:rPr>
            </w:pPr>
            <w:r w:rsidRPr="00E45508">
              <w:t>Lack of coordinated industry support impacts awareness and understanding of obligations, compliance, quality of reporting and increases business costs.</w:t>
            </w:r>
          </w:p>
        </w:tc>
        <w:tc>
          <w:tcPr>
            <w:tcW w:w="5954" w:type="dxa"/>
            <w:hideMark/>
          </w:tcPr>
          <w:p w14:paraId="5751652D" w14:textId="77777777" w:rsidR="00612076" w:rsidRPr="00E45508" w:rsidRDefault="00612076" w:rsidP="0013334F">
            <w:pPr>
              <w:pStyle w:val="Tabletext0"/>
              <w:rPr>
                <w:sz w:val="18"/>
                <w:szCs w:val="18"/>
              </w:rPr>
            </w:pPr>
            <w:r w:rsidRPr="00E45508">
              <w:t>Industry may struggle to adjust to new EPR scheme and administrator if overly complex.</w:t>
            </w:r>
          </w:p>
          <w:p w14:paraId="68A35CF7" w14:textId="5D2DE30E" w:rsidR="00612076" w:rsidRPr="00E45508" w:rsidRDefault="00612076" w:rsidP="0013334F">
            <w:pPr>
              <w:pStyle w:val="Tabletext0"/>
              <w:rPr>
                <w:sz w:val="18"/>
                <w:szCs w:val="18"/>
              </w:rPr>
            </w:pPr>
            <w:r w:rsidRPr="00E45508">
              <w:t>It will take time to grow end markets and maintain demand for recycled materials</w:t>
            </w:r>
            <w:r w:rsidR="00F33C5A">
              <w:t>.</w:t>
            </w:r>
          </w:p>
          <w:p w14:paraId="5E3265F7" w14:textId="77777777" w:rsidR="00612076" w:rsidRPr="00E45508" w:rsidRDefault="00612076" w:rsidP="0013334F">
            <w:pPr>
              <w:pStyle w:val="Tabletext0"/>
              <w:rPr>
                <w:sz w:val="18"/>
                <w:szCs w:val="18"/>
              </w:rPr>
            </w:pPr>
            <w:r w:rsidRPr="00E45508">
              <w:t xml:space="preserve">High EPR fees could create barriers for </w:t>
            </w:r>
            <w:r w:rsidRPr="00E45508">
              <w:rPr>
                <w:rFonts w:cstheme="minorHAnsi"/>
              </w:rPr>
              <w:t>industry participation. Low fees could see regulated entities absorb cost rather than improve packaging recyclability.</w:t>
            </w:r>
          </w:p>
          <w:p w14:paraId="4E7EA6B2" w14:textId="77777777" w:rsidR="00612076" w:rsidRPr="00E45508" w:rsidRDefault="00612076" w:rsidP="0013334F">
            <w:pPr>
              <w:pStyle w:val="Tabletext0"/>
              <w:rPr>
                <w:sz w:val="18"/>
                <w:szCs w:val="18"/>
              </w:rPr>
            </w:pPr>
            <w:r w:rsidRPr="00E45508">
              <w:t>Misalignment of Australian and international approaches could result in additional costs and</w:t>
            </w:r>
            <w:r w:rsidRPr="00E45508">
              <w:rPr>
                <w:color w:val="000000" w:themeColor="text1"/>
              </w:rPr>
              <w:t xml:space="preserve"> impact competition.</w:t>
            </w:r>
          </w:p>
        </w:tc>
      </w:tr>
    </w:tbl>
    <w:p w14:paraId="3A2402D5" w14:textId="77777777" w:rsidR="00612076" w:rsidRPr="00E45508" w:rsidRDefault="00612076" w:rsidP="00315C82">
      <w:pPr>
        <w:sectPr w:rsidR="00612076" w:rsidRPr="00E45508" w:rsidSect="00FB34F1">
          <w:pgSz w:w="16838" w:h="11906" w:orient="landscape"/>
          <w:pgMar w:top="1418" w:right="1418" w:bottom="1418" w:left="1418" w:header="567" w:footer="283" w:gutter="0"/>
          <w:cols w:space="708"/>
          <w:docGrid w:linePitch="360"/>
        </w:sectPr>
      </w:pPr>
    </w:p>
    <w:p w14:paraId="4435CA6D" w14:textId="2CD60319" w:rsidR="00796AE8" w:rsidRPr="00E45508" w:rsidRDefault="7B328799" w:rsidP="00C44B4B">
      <w:pPr>
        <w:pStyle w:val="Heading3"/>
      </w:pPr>
      <w:bookmarkStart w:id="114" w:name="_Toc177126596"/>
      <w:bookmarkStart w:id="115" w:name="_Toc177493006"/>
      <w:bookmarkStart w:id="116" w:name="_Ref177635559"/>
      <w:bookmarkStart w:id="117" w:name="_Toc178230251"/>
      <w:r w:rsidRPr="00E45508">
        <w:t>The Base Case</w:t>
      </w:r>
      <w:bookmarkEnd w:id="114"/>
      <w:bookmarkEnd w:id="115"/>
      <w:bookmarkEnd w:id="116"/>
      <w:bookmarkEnd w:id="117"/>
    </w:p>
    <w:p w14:paraId="02C116EC" w14:textId="43D37E55" w:rsidR="00603461" w:rsidRPr="00E45508" w:rsidRDefault="000457AF" w:rsidP="00CF658F">
      <w:r w:rsidRPr="00E45508">
        <w:t>B</w:t>
      </w:r>
      <w:r w:rsidR="00CF658F" w:rsidRPr="00E45508">
        <w:t xml:space="preserve">usiness-as-usual </w:t>
      </w:r>
      <w:r w:rsidR="00A10F20" w:rsidRPr="00E45508">
        <w:t xml:space="preserve">for </w:t>
      </w:r>
      <w:r w:rsidR="00DF35C2" w:rsidRPr="00E45508">
        <w:t>managing packaging waste in Australia</w:t>
      </w:r>
      <w:r w:rsidR="00A83460" w:rsidRPr="00E45508">
        <w:t xml:space="preserve"> </w:t>
      </w:r>
      <w:r w:rsidR="001D63B0" w:rsidRPr="00E45508">
        <w:t xml:space="preserve">is the </w:t>
      </w:r>
      <w:r w:rsidR="00CF658F" w:rsidRPr="00E45508">
        <w:t xml:space="preserve">co-regulatory arrangement </w:t>
      </w:r>
      <w:r w:rsidR="001D63B0" w:rsidRPr="00E45508">
        <w:t xml:space="preserve">established by </w:t>
      </w:r>
      <w:r w:rsidR="00CF658F" w:rsidRPr="00E45508">
        <w:t xml:space="preserve">the NEPM </w:t>
      </w:r>
      <w:r w:rsidR="00AC337D" w:rsidRPr="00E45508">
        <w:t>and</w:t>
      </w:r>
      <w:r w:rsidR="00CF658F" w:rsidRPr="00E45508">
        <w:t xml:space="preserve"> the Covenant</w:t>
      </w:r>
      <w:r w:rsidR="005727BA" w:rsidRPr="00E45508" w:rsidDel="00A83460">
        <w:t>.</w:t>
      </w:r>
    </w:p>
    <w:p w14:paraId="1C95D7A8" w14:textId="2BC92DDC" w:rsidR="00603461" w:rsidRPr="00E45508" w:rsidRDefault="00603461" w:rsidP="007A0B5B">
      <w:pPr>
        <w:pStyle w:val="Heading4"/>
      </w:pPr>
      <w:r w:rsidRPr="00E45508">
        <w:t xml:space="preserve">Key elements </w:t>
      </w:r>
      <w:r w:rsidR="00A8652E" w:rsidRPr="00E45508">
        <w:t>of the Base Case</w:t>
      </w:r>
    </w:p>
    <w:p w14:paraId="44390034" w14:textId="2B42120F" w:rsidR="005F171D" w:rsidRPr="00E45508" w:rsidRDefault="001A7B78" w:rsidP="005F171D">
      <w:pPr>
        <w:rPr>
          <w:lang w:eastAsia="ja-JP"/>
        </w:rPr>
      </w:pPr>
      <w:r w:rsidRPr="00E45508">
        <w:t xml:space="preserve">The current </w:t>
      </w:r>
      <w:r w:rsidR="008464AD" w:rsidRPr="00E45508">
        <w:t xml:space="preserve">situation </w:t>
      </w:r>
      <w:r w:rsidR="00657BFA" w:rsidRPr="00E45508">
        <w:t xml:space="preserve">includes the following </w:t>
      </w:r>
      <w:r w:rsidR="004F2DDA" w:rsidRPr="00E45508">
        <w:t>key elements:</w:t>
      </w:r>
    </w:p>
    <w:p w14:paraId="0113B818" w14:textId="29B17348" w:rsidR="004023D8" w:rsidRPr="00E45508" w:rsidRDefault="00357090" w:rsidP="009C1F84">
      <w:pPr>
        <w:pStyle w:val="ListBullet"/>
      </w:pPr>
      <w:r w:rsidRPr="00E45508">
        <w:t>The</w:t>
      </w:r>
      <w:r w:rsidR="00F3632F" w:rsidRPr="00E45508">
        <w:t xml:space="preserve"> Cove</w:t>
      </w:r>
      <w:r w:rsidR="00DF172C" w:rsidRPr="00E45508">
        <w:t>nant supported</w:t>
      </w:r>
      <w:r w:rsidRPr="00E45508">
        <w:t xml:space="preserve"> industry</w:t>
      </w:r>
      <w:r w:rsidR="001E6437" w:rsidRPr="00E45508">
        <w:t xml:space="preserve">-led </w:t>
      </w:r>
      <w:r w:rsidR="00533F3C" w:rsidRPr="00E45508">
        <w:t xml:space="preserve">packaging stewardship </w:t>
      </w:r>
      <w:r w:rsidR="000A2BDA" w:rsidRPr="00E45508">
        <w:t>scheme administered by APCO</w:t>
      </w:r>
    </w:p>
    <w:p w14:paraId="2D311364" w14:textId="3F5A2DE5" w:rsidR="0065247A" w:rsidRPr="00E45508" w:rsidRDefault="00143C35" w:rsidP="009C1F84">
      <w:pPr>
        <w:pStyle w:val="ListBullet"/>
      </w:pPr>
      <w:r w:rsidRPr="00E45508">
        <w:t>Delivering on</w:t>
      </w:r>
      <w:r w:rsidR="000F29B7" w:rsidRPr="00E45508">
        <w:t xml:space="preserve"> </w:t>
      </w:r>
      <w:r w:rsidR="00B175A0" w:rsidRPr="00E45508">
        <w:t xml:space="preserve">National </w:t>
      </w:r>
      <w:r w:rsidR="004023D8" w:rsidRPr="00E45508">
        <w:t>P</w:t>
      </w:r>
      <w:r w:rsidR="00B175A0" w:rsidRPr="00E45508">
        <w:t xml:space="preserve">ackaging </w:t>
      </w:r>
      <w:r w:rsidR="004023D8" w:rsidRPr="00E45508">
        <w:t>Targets (NPTs)</w:t>
      </w:r>
    </w:p>
    <w:p w14:paraId="2BBF376A" w14:textId="0C7553F8" w:rsidR="004A44D4" w:rsidRPr="00E45508" w:rsidRDefault="000C7560" w:rsidP="009C1F84">
      <w:pPr>
        <w:pStyle w:val="ListBullet"/>
      </w:pPr>
      <w:r w:rsidRPr="00E45508">
        <w:t>Participating s</w:t>
      </w:r>
      <w:r w:rsidR="00694321" w:rsidRPr="00E45508">
        <w:t xml:space="preserve">tate and territory </w:t>
      </w:r>
      <w:r w:rsidR="00F35345" w:rsidRPr="00E45508">
        <w:t>implementation</w:t>
      </w:r>
      <w:r w:rsidRPr="00E45508">
        <w:t xml:space="preserve"> of the NEPM</w:t>
      </w:r>
      <w:r w:rsidR="004A44D4" w:rsidRPr="00E45508">
        <w:t>.</w:t>
      </w:r>
    </w:p>
    <w:p w14:paraId="7C1D3043" w14:textId="5D8AFAFF" w:rsidR="004E4B1A" w:rsidRPr="00E45508" w:rsidRDefault="00551A7C" w:rsidP="00315C82">
      <w:r>
        <w:t>Further information on t</w:t>
      </w:r>
      <w:r w:rsidR="008E55B9">
        <w:t xml:space="preserve">he key elements of the base case </w:t>
      </w:r>
      <w:bookmarkStart w:id="118" w:name="_Int_bbUkAZDF"/>
      <w:r w:rsidR="008E55B9">
        <w:t>are</w:t>
      </w:r>
      <w:bookmarkEnd w:id="118"/>
      <w:r w:rsidR="008E55B9">
        <w:t xml:space="preserve"> </w:t>
      </w:r>
      <w:r w:rsidR="001A13CE">
        <w:t xml:space="preserve">included at </w:t>
      </w:r>
      <w:r>
        <w:fldChar w:fldCharType="begin"/>
      </w:r>
      <w:r>
        <w:instrText xml:space="preserve"> REF _Ref177121758 \n \h </w:instrText>
      </w:r>
      <w:r>
        <w:fldChar w:fldCharType="separate"/>
      </w:r>
      <w:r w:rsidR="009A2EC4">
        <w:t>Appendix A</w:t>
      </w:r>
      <w:r>
        <w:fldChar w:fldCharType="end"/>
      </w:r>
      <w:r w:rsidR="00C3468A">
        <w:t xml:space="preserve"> </w:t>
      </w:r>
      <w:r w:rsidR="000F0AC1">
        <w:t>and</w:t>
      </w:r>
      <w:r w:rsidR="00270143">
        <w:t xml:space="preserve"> </w:t>
      </w:r>
      <w:r>
        <w:fldChar w:fldCharType="begin"/>
      </w:r>
      <w:r>
        <w:instrText xml:space="preserve"> REF _Ref177633910 \h </w:instrText>
      </w:r>
      <w:r>
        <w:fldChar w:fldCharType="separate"/>
      </w:r>
      <w:r w:rsidR="009A2EC4" w:rsidRPr="00E45508">
        <w:t xml:space="preserve">Table </w:t>
      </w:r>
      <w:r w:rsidR="009A2EC4">
        <w:rPr>
          <w:noProof/>
        </w:rPr>
        <w:t>5</w:t>
      </w:r>
      <w:r>
        <w:fldChar w:fldCharType="end"/>
      </w:r>
      <w:r w:rsidR="00270143">
        <w:t>.</w:t>
      </w:r>
    </w:p>
    <w:p w14:paraId="5F914F8E" w14:textId="11859233" w:rsidR="00961BAF" w:rsidRPr="00E45508" w:rsidRDefault="000B393A" w:rsidP="1EC2C0DA">
      <w:r w:rsidRPr="00E45508">
        <w:t>In August</w:t>
      </w:r>
      <w:r w:rsidR="00421651" w:rsidRPr="00E45508">
        <w:t> 2</w:t>
      </w:r>
      <w:r w:rsidRPr="00E45508">
        <w:t xml:space="preserve">024, APCO released a proposed </w:t>
      </w:r>
      <w:hyperlink r:id="rId32">
        <w:r w:rsidRPr="00E45508">
          <w:rPr>
            <w:rStyle w:val="Hyperlink"/>
          </w:rPr>
          <w:t>2030 Strategic Plan</w:t>
        </w:r>
      </w:hyperlink>
      <w:r w:rsidR="00005ABF" w:rsidRPr="00E45508">
        <w:t xml:space="preserve"> (2024b)</w:t>
      </w:r>
      <w:r w:rsidR="00B2EEF3" w:rsidRPr="00E45508">
        <w:t>, which implements the Covenant on a five-year horizon</w:t>
      </w:r>
      <w:r w:rsidR="00005ABF" w:rsidRPr="00E45508">
        <w:t>.</w:t>
      </w:r>
      <w:r w:rsidRPr="00E45508">
        <w:t xml:space="preserve"> This Plan, which is subject to endorsement by environment ministers, sets out a pathway for industry to take on greater responsibility for delivering the increase in recycling needed to support the delivery of the NPTs and goals of the Covenant. </w:t>
      </w:r>
      <w:r w:rsidR="006E7C47" w:rsidRPr="00E45508">
        <w:t>Potential c</w:t>
      </w:r>
      <w:r w:rsidR="0050201D" w:rsidRPr="00E45508">
        <w:t>han</w:t>
      </w:r>
      <w:r w:rsidR="003E1AB2" w:rsidRPr="00E45508">
        <w:t>ges</w:t>
      </w:r>
      <w:r w:rsidR="00200011" w:rsidRPr="00E45508">
        <w:t xml:space="preserve"> to the business-as-usual scenario </w:t>
      </w:r>
      <w:r w:rsidR="0050201D" w:rsidRPr="00E45508">
        <w:t xml:space="preserve">due to the </w:t>
      </w:r>
      <w:r w:rsidR="003F1308" w:rsidRPr="00E45508">
        <w:t>new actions and fee model</w:t>
      </w:r>
      <w:r w:rsidR="001B5F65" w:rsidRPr="00E45508">
        <w:t xml:space="preserve"> </w:t>
      </w:r>
      <w:r w:rsidR="009964C4" w:rsidRPr="00E45508">
        <w:t xml:space="preserve">outlined </w:t>
      </w:r>
      <w:r w:rsidR="001B5F65" w:rsidRPr="00E45508">
        <w:t>in the</w:t>
      </w:r>
      <w:r w:rsidR="000D7E36" w:rsidRPr="00E45508">
        <w:t xml:space="preserve"> P</w:t>
      </w:r>
      <w:r w:rsidR="001B5F65" w:rsidRPr="00E45508">
        <w:t>lan</w:t>
      </w:r>
      <w:r w:rsidR="0050201D" w:rsidRPr="00E45508">
        <w:t xml:space="preserve"> are not yet fully </w:t>
      </w:r>
      <w:r w:rsidR="00E97293" w:rsidRPr="00E45508">
        <w:t>understood.</w:t>
      </w:r>
    </w:p>
    <w:p w14:paraId="507BA180" w14:textId="3DD93E8C" w:rsidR="00C02EDC" w:rsidRPr="00E45508" w:rsidRDefault="00BE39ED" w:rsidP="00C915A5">
      <w:pPr>
        <w:pStyle w:val="Caption"/>
      </w:pPr>
      <w:bookmarkStart w:id="119" w:name="_Ref177633910"/>
      <w:bookmarkStart w:id="120" w:name="_Toc178229368"/>
      <w:r w:rsidRPr="00E45508">
        <w:t xml:space="preserve">Table </w:t>
      </w:r>
      <w:r w:rsidRPr="00E45508">
        <w:fldChar w:fldCharType="begin"/>
      </w:r>
      <w:r w:rsidRPr="00E45508">
        <w:instrText xml:space="preserve"> SEQ Table \* ARABIC </w:instrText>
      </w:r>
      <w:r w:rsidRPr="00E45508">
        <w:fldChar w:fldCharType="separate"/>
      </w:r>
      <w:r w:rsidR="009A2EC4">
        <w:rPr>
          <w:noProof/>
        </w:rPr>
        <w:t>5</w:t>
      </w:r>
      <w:r w:rsidRPr="00E45508">
        <w:fldChar w:fldCharType="end"/>
      </w:r>
      <w:bookmarkEnd w:id="119"/>
      <w:r w:rsidR="005472CB" w:rsidRPr="00E45508">
        <w:t>: Base case g</w:t>
      </w:r>
      <w:r w:rsidR="00C02EDC" w:rsidRPr="00E45508">
        <w:t>overnance and funding arrangements</w:t>
      </w:r>
      <w:bookmarkEnd w:id="120"/>
    </w:p>
    <w:tbl>
      <w:tblPr>
        <w:tblStyle w:val="PlainTable2"/>
        <w:tblW w:w="0" w:type="auto"/>
        <w:tblLook w:val="0420" w:firstRow="1" w:lastRow="0" w:firstColumn="0" w:lastColumn="0" w:noHBand="0" w:noVBand="1"/>
      </w:tblPr>
      <w:tblGrid>
        <w:gridCol w:w="1724"/>
        <w:gridCol w:w="7302"/>
      </w:tblGrid>
      <w:tr w:rsidR="00AF4EC8" w:rsidRPr="00E45508" w14:paraId="5BD38152" w14:textId="77777777" w:rsidTr="003A6212">
        <w:trPr>
          <w:cnfStyle w:val="100000000000" w:firstRow="1" w:lastRow="0" w:firstColumn="0" w:lastColumn="0" w:oddVBand="0" w:evenVBand="0" w:oddHBand="0" w:evenHBand="0" w:firstRowFirstColumn="0" w:firstRowLastColumn="0" w:lastRowFirstColumn="0" w:lastRowLastColumn="0"/>
          <w:trHeight w:val="300"/>
        </w:trPr>
        <w:tc>
          <w:tcPr>
            <w:tcW w:w="1724" w:type="dxa"/>
          </w:tcPr>
          <w:p w14:paraId="5218ACDF" w14:textId="095737EE" w:rsidR="00AF4EC8" w:rsidRPr="00E45508" w:rsidRDefault="00AF4EC8" w:rsidP="003A6212">
            <w:pPr>
              <w:pStyle w:val="Tabletext0"/>
            </w:pPr>
            <w:r w:rsidRPr="00E45508">
              <w:t>Parameter</w:t>
            </w:r>
          </w:p>
        </w:tc>
        <w:tc>
          <w:tcPr>
            <w:tcW w:w="7302" w:type="dxa"/>
          </w:tcPr>
          <w:p w14:paraId="17ACD0D0" w14:textId="5B0A9E7A" w:rsidR="00AF4EC8" w:rsidRPr="00E45508" w:rsidRDefault="00AF4EC8" w:rsidP="003A6212">
            <w:pPr>
              <w:pStyle w:val="Tabletext0"/>
            </w:pPr>
            <w:r w:rsidRPr="00E45508">
              <w:t>Description</w:t>
            </w:r>
          </w:p>
        </w:tc>
      </w:tr>
      <w:tr w:rsidR="00C02EDC" w:rsidRPr="00E45508" w14:paraId="444C1E67" w14:textId="77777777" w:rsidTr="003A6212">
        <w:trPr>
          <w:cnfStyle w:val="000000100000" w:firstRow="0" w:lastRow="0" w:firstColumn="0" w:lastColumn="0" w:oddVBand="0" w:evenVBand="0" w:oddHBand="1" w:evenHBand="0" w:firstRowFirstColumn="0" w:firstRowLastColumn="0" w:lastRowFirstColumn="0" w:lastRowLastColumn="0"/>
          <w:trHeight w:val="300"/>
        </w:trPr>
        <w:tc>
          <w:tcPr>
            <w:tcW w:w="1724" w:type="dxa"/>
          </w:tcPr>
          <w:p w14:paraId="31EF89FC" w14:textId="77777777" w:rsidR="00C02EDC" w:rsidRPr="00E45508" w:rsidRDefault="00C02EDC" w:rsidP="003A6212">
            <w:pPr>
              <w:pStyle w:val="Tabletext0"/>
            </w:pPr>
            <w:r w:rsidRPr="00E45508">
              <w:t>Scheme</w:t>
            </w:r>
          </w:p>
        </w:tc>
        <w:tc>
          <w:tcPr>
            <w:tcW w:w="7302" w:type="dxa"/>
          </w:tcPr>
          <w:p w14:paraId="4D8D6442" w14:textId="72D3183E" w:rsidR="00C02EDC" w:rsidRPr="00E45508" w:rsidRDefault="00C02EDC" w:rsidP="003A6212">
            <w:pPr>
              <w:pStyle w:val="Tabletext0"/>
            </w:pPr>
            <w:r w:rsidRPr="00E45508">
              <w:t>Maintain the existing co-regulatory arrangement.</w:t>
            </w:r>
          </w:p>
        </w:tc>
      </w:tr>
      <w:tr w:rsidR="001B696E" w:rsidRPr="00E45508" w14:paraId="3EEC7EBF" w14:textId="77777777" w:rsidTr="003A6212">
        <w:trPr>
          <w:trHeight w:val="300"/>
        </w:trPr>
        <w:tc>
          <w:tcPr>
            <w:tcW w:w="1724" w:type="dxa"/>
          </w:tcPr>
          <w:p w14:paraId="37373ADF" w14:textId="77777777" w:rsidR="001B696E" w:rsidRPr="00E45508" w:rsidRDefault="001B696E" w:rsidP="003A6212">
            <w:pPr>
              <w:pStyle w:val="Tabletext0"/>
            </w:pPr>
            <w:r w:rsidRPr="00E45508">
              <w:t>Regulated entities</w:t>
            </w:r>
          </w:p>
        </w:tc>
        <w:tc>
          <w:tcPr>
            <w:tcW w:w="7302" w:type="dxa"/>
          </w:tcPr>
          <w:p w14:paraId="5CDA549A" w14:textId="242F2ED2" w:rsidR="001B696E" w:rsidRPr="00E45508" w:rsidRDefault="001B696E" w:rsidP="003A6212">
            <w:pPr>
              <w:pStyle w:val="Tabletext0"/>
            </w:pPr>
            <w:r w:rsidRPr="00E45508">
              <w:t xml:space="preserve">Roles and responsibilities continue as set out under the existing co-regulatory arrangement (see </w:t>
            </w:r>
            <w:r w:rsidR="00C3468A" w:rsidRPr="00E45508">
              <w:fldChar w:fldCharType="begin"/>
            </w:r>
            <w:r w:rsidR="00C3468A" w:rsidRPr="00E45508">
              <w:instrText xml:space="preserve"> REF _Ref177121758 \n \h </w:instrText>
            </w:r>
            <w:r w:rsidR="003A6212" w:rsidRPr="00E45508">
              <w:instrText xml:space="preserve"> \* MERGEFORMAT </w:instrText>
            </w:r>
            <w:r w:rsidR="00C3468A" w:rsidRPr="00E45508">
              <w:fldChar w:fldCharType="separate"/>
            </w:r>
            <w:r w:rsidR="009A2EC4">
              <w:t>Appendix A</w:t>
            </w:r>
            <w:r w:rsidR="00C3468A" w:rsidRPr="00E45508">
              <w:fldChar w:fldCharType="end"/>
            </w:r>
            <w:r w:rsidR="00C3468A" w:rsidRPr="00E45508">
              <w:t xml:space="preserve"> </w:t>
            </w:r>
            <w:r w:rsidRPr="00E45508">
              <w:t>for more detail).</w:t>
            </w:r>
          </w:p>
        </w:tc>
      </w:tr>
      <w:tr w:rsidR="001B696E" w:rsidRPr="00E45508" w14:paraId="38EDAF9B" w14:textId="77777777" w:rsidTr="003A6212">
        <w:trPr>
          <w:cnfStyle w:val="000000100000" w:firstRow="0" w:lastRow="0" w:firstColumn="0" w:lastColumn="0" w:oddVBand="0" w:evenVBand="0" w:oddHBand="1" w:evenHBand="0" w:firstRowFirstColumn="0" w:firstRowLastColumn="0" w:lastRowFirstColumn="0" w:lastRowLastColumn="0"/>
          <w:trHeight w:val="300"/>
        </w:trPr>
        <w:tc>
          <w:tcPr>
            <w:tcW w:w="1724" w:type="dxa"/>
          </w:tcPr>
          <w:p w14:paraId="11C74752" w14:textId="77777777" w:rsidR="001B696E" w:rsidRPr="00E45508" w:rsidRDefault="001B696E" w:rsidP="003A6212">
            <w:pPr>
              <w:pStyle w:val="Tabletext0"/>
            </w:pPr>
            <w:r w:rsidRPr="00E45508">
              <w:t>Government</w:t>
            </w:r>
          </w:p>
        </w:tc>
        <w:tc>
          <w:tcPr>
            <w:tcW w:w="7302" w:type="dxa"/>
          </w:tcPr>
          <w:p w14:paraId="2507D7C7" w14:textId="509F123E" w:rsidR="001B696E" w:rsidRPr="00E45508" w:rsidRDefault="00933102" w:rsidP="003A6212">
            <w:pPr>
              <w:pStyle w:val="Tabletext0"/>
            </w:pPr>
            <w:r w:rsidRPr="00E45508">
              <w:t>As above.</w:t>
            </w:r>
          </w:p>
        </w:tc>
      </w:tr>
      <w:tr w:rsidR="001B696E" w:rsidRPr="00E45508" w14:paraId="63D04F98" w14:textId="77777777" w:rsidTr="003A6212">
        <w:trPr>
          <w:trHeight w:val="300"/>
        </w:trPr>
        <w:tc>
          <w:tcPr>
            <w:tcW w:w="1724" w:type="dxa"/>
          </w:tcPr>
          <w:p w14:paraId="11769DA3" w14:textId="77777777" w:rsidR="001B696E" w:rsidRPr="00E45508" w:rsidRDefault="001B696E" w:rsidP="003A6212">
            <w:pPr>
              <w:pStyle w:val="Tabletext0"/>
            </w:pPr>
            <w:r w:rsidRPr="00E45508">
              <w:t>Industry</w:t>
            </w:r>
          </w:p>
        </w:tc>
        <w:tc>
          <w:tcPr>
            <w:tcW w:w="7302" w:type="dxa"/>
          </w:tcPr>
          <w:p w14:paraId="0E8A1EE7" w14:textId="018BA753" w:rsidR="001B696E" w:rsidRPr="00E45508" w:rsidRDefault="00933102" w:rsidP="003A6212">
            <w:pPr>
              <w:pStyle w:val="Tabletext0"/>
            </w:pPr>
            <w:r w:rsidRPr="00E45508">
              <w:t>As above.</w:t>
            </w:r>
          </w:p>
        </w:tc>
      </w:tr>
      <w:tr w:rsidR="00C02EDC" w:rsidRPr="00E45508" w14:paraId="57AAE757" w14:textId="77777777" w:rsidTr="003A6212">
        <w:trPr>
          <w:cnfStyle w:val="000000100000" w:firstRow="0" w:lastRow="0" w:firstColumn="0" w:lastColumn="0" w:oddVBand="0" w:evenVBand="0" w:oddHBand="1" w:evenHBand="0" w:firstRowFirstColumn="0" w:firstRowLastColumn="0" w:lastRowFirstColumn="0" w:lastRowLastColumn="0"/>
          <w:trHeight w:val="300"/>
        </w:trPr>
        <w:tc>
          <w:tcPr>
            <w:tcW w:w="1724" w:type="dxa"/>
          </w:tcPr>
          <w:p w14:paraId="498A6597" w14:textId="77777777" w:rsidR="00C02EDC" w:rsidRPr="00E45508" w:rsidRDefault="00C02EDC" w:rsidP="003A6212">
            <w:pPr>
              <w:pStyle w:val="Tabletext0"/>
            </w:pPr>
            <w:r w:rsidRPr="00E45508">
              <w:t>Funding arrangements</w:t>
            </w:r>
          </w:p>
        </w:tc>
        <w:tc>
          <w:tcPr>
            <w:tcW w:w="7302" w:type="dxa"/>
          </w:tcPr>
          <w:p w14:paraId="5D6836DB" w14:textId="199D0C0D" w:rsidR="00C02EDC" w:rsidRPr="00E45508" w:rsidRDefault="00C02EDC" w:rsidP="003A6212">
            <w:pPr>
              <w:pStyle w:val="Tabletext0"/>
            </w:pPr>
            <w:r w:rsidRPr="00E45508">
              <w:t xml:space="preserve">APCO </w:t>
            </w:r>
            <w:r w:rsidR="00200011" w:rsidRPr="00E45508">
              <w:t>has</w:t>
            </w:r>
            <w:r w:rsidRPr="00E45508">
              <w:t xml:space="preserve"> its own funding model as prescribed by the Covenant, and state and territory governments fund the implementation, compliance and enforcement of the NEPM in their jurisdiction.</w:t>
            </w:r>
          </w:p>
          <w:p w14:paraId="020D6A12" w14:textId="5A4E1269" w:rsidR="00C02EDC" w:rsidRPr="00E45508" w:rsidRDefault="00C02EDC" w:rsidP="003A6212">
            <w:pPr>
              <w:pStyle w:val="Tabletext0"/>
            </w:pPr>
            <w:r w:rsidRPr="00E45508">
              <w:t>From</w:t>
            </w:r>
            <w:r w:rsidR="00421651" w:rsidRPr="00E45508">
              <w:t> 2</w:t>
            </w:r>
            <w:r w:rsidRPr="00E45508">
              <w:t>027, APCO intends to charge its members a base fee to cover administration of the Covenant, as well as an eco-modulated fee to incentivise design for reduction, reuse and recovery, and provide funding to improve downstream processes. APCO has indicated it will consult with its members on the eco-modulated fee model in</w:t>
            </w:r>
            <w:r w:rsidR="00421651" w:rsidRPr="00E45508">
              <w:t> 2</w:t>
            </w:r>
            <w:r w:rsidRPr="00E45508">
              <w:t>025-26.</w:t>
            </w:r>
          </w:p>
        </w:tc>
      </w:tr>
      <w:tr w:rsidR="00C02EDC" w:rsidRPr="00E45508" w14:paraId="62D68A26" w14:textId="77777777" w:rsidTr="003A6212">
        <w:trPr>
          <w:trHeight w:val="300"/>
        </w:trPr>
        <w:tc>
          <w:tcPr>
            <w:tcW w:w="1724" w:type="dxa"/>
          </w:tcPr>
          <w:p w14:paraId="5279D44A" w14:textId="77777777" w:rsidR="00C02EDC" w:rsidRPr="00E45508" w:rsidRDefault="00C02EDC" w:rsidP="003A6212">
            <w:pPr>
              <w:pStyle w:val="Tabletext0"/>
            </w:pPr>
            <w:r w:rsidRPr="00E45508">
              <w:t>Reporting and data sharing</w:t>
            </w:r>
          </w:p>
        </w:tc>
        <w:tc>
          <w:tcPr>
            <w:tcW w:w="7302" w:type="dxa"/>
          </w:tcPr>
          <w:p w14:paraId="26D20A01" w14:textId="407592A5" w:rsidR="00C02EDC" w:rsidRPr="00E45508" w:rsidRDefault="00C02EDC" w:rsidP="003A6212">
            <w:pPr>
              <w:pStyle w:val="Tabletext0"/>
            </w:pPr>
            <w:r w:rsidRPr="00E45508">
              <w:t xml:space="preserve">Regulated entities </w:t>
            </w:r>
            <w:r w:rsidR="002C217E" w:rsidRPr="00E45508">
              <w:t>continue to</w:t>
            </w:r>
            <w:r w:rsidRPr="00E45508">
              <w:t xml:space="preserve"> report annually to governments and APCO to confirm liability, ensure compliance and provide data to support the arrangements.</w:t>
            </w:r>
          </w:p>
        </w:tc>
      </w:tr>
    </w:tbl>
    <w:p w14:paraId="34D99DEB" w14:textId="6F04F581" w:rsidR="00C02EDC" w:rsidRPr="00E45508" w:rsidRDefault="00C02EDC" w:rsidP="00B96370"/>
    <w:p w14:paraId="10E8F214" w14:textId="6F787BB7" w:rsidR="00061BD2" w:rsidRPr="00E45508" w:rsidRDefault="1D87E4DD" w:rsidP="00C44B4B">
      <w:pPr>
        <w:pStyle w:val="Heading3"/>
      </w:pPr>
      <w:bookmarkStart w:id="121" w:name="_Toc177126597"/>
      <w:bookmarkStart w:id="122" w:name="_Toc177493007"/>
      <w:bookmarkStart w:id="123" w:name="_Toc178230252"/>
      <w:r w:rsidRPr="00E45508">
        <w:t>Option</w:t>
      </w:r>
      <w:r w:rsidR="00421651" w:rsidRPr="00E45508">
        <w:t> 1</w:t>
      </w:r>
      <w:r w:rsidRPr="00E45508">
        <w:t>: Strengthen</w:t>
      </w:r>
      <w:r w:rsidR="3367FB75" w:rsidRPr="00E45508">
        <w:t>ing</w:t>
      </w:r>
      <w:r w:rsidRPr="00E45508">
        <w:t xml:space="preserve"> </w:t>
      </w:r>
      <w:r w:rsidR="46026702" w:rsidRPr="00E45508">
        <w:t xml:space="preserve">administration of </w:t>
      </w:r>
      <w:r w:rsidR="78D8C076" w:rsidRPr="00E45508">
        <w:t xml:space="preserve">the </w:t>
      </w:r>
      <w:r w:rsidR="008C62F6" w:rsidRPr="00E45508">
        <w:t>co-regulatory arrangement</w:t>
      </w:r>
      <w:bookmarkEnd w:id="121"/>
      <w:bookmarkEnd w:id="122"/>
      <w:bookmarkEnd w:id="123"/>
    </w:p>
    <w:p w14:paraId="00E20C86" w14:textId="0CEEDD2C" w:rsidR="00B66214" w:rsidRPr="00E45508" w:rsidRDefault="2213EEF3" w:rsidP="1EC2C0DA">
      <w:r w:rsidRPr="00E45508">
        <w:t xml:space="preserve">Improvements to packaging sustainability </w:t>
      </w:r>
      <w:r w:rsidR="5CBF4B1E" w:rsidRPr="00E45508">
        <w:t>would be achieved by</w:t>
      </w:r>
      <w:r w:rsidRPr="00E45508">
        <w:t xml:space="preserve"> strengthening the administration of the </w:t>
      </w:r>
      <w:r w:rsidR="12588757" w:rsidRPr="00E45508">
        <w:t xml:space="preserve">current </w:t>
      </w:r>
      <w:r w:rsidR="2C02C17D" w:rsidRPr="00E45508">
        <w:t>co-</w:t>
      </w:r>
      <w:r w:rsidR="07F73ED0" w:rsidRPr="00E45508">
        <w:t>regulatory arrangement</w:t>
      </w:r>
      <w:r w:rsidRPr="00E45508">
        <w:t>.</w:t>
      </w:r>
      <w:r w:rsidR="5FD6D5A0" w:rsidRPr="00E45508">
        <w:t xml:space="preserve"> </w:t>
      </w:r>
      <w:r w:rsidR="6A4CF449" w:rsidRPr="00E45508">
        <w:t xml:space="preserve">This option does not seek to vary the NEPM to address all the identified shortcomings of the co-regulatory arrangement, such as inconsistent </w:t>
      </w:r>
      <w:r w:rsidR="48D92672" w:rsidRPr="00E45508">
        <w:t xml:space="preserve">objectives of </w:t>
      </w:r>
      <w:r w:rsidR="6A4CF449" w:rsidRPr="00E45508">
        <w:t>the NEPM and the Covenant.</w:t>
      </w:r>
      <w:r w:rsidR="312D0BE8" w:rsidRPr="00E45508">
        <w:t xml:space="preserve"> </w:t>
      </w:r>
      <w:r w:rsidR="1A55B11C" w:rsidRPr="00E45508">
        <w:t xml:space="preserve">To do so would </w:t>
      </w:r>
      <w:r w:rsidR="5B192BC3" w:rsidRPr="00E45508">
        <w:t>require</w:t>
      </w:r>
      <w:r w:rsidR="5F7CC47B" w:rsidRPr="00E45508">
        <w:t xml:space="preserve"> </w:t>
      </w:r>
      <w:r w:rsidR="25D3749A" w:rsidRPr="00E45508">
        <w:t>comprehensive</w:t>
      </w:r>
      <w:r w:rsidR="5F7CC47B" w:rsidRPr="00E45508">
        <w:t xml:space="preserve"> change to the regulatory model </w:t>
      </w:r>
      <w:r w:rsidR="6157C189" w:rsidRPr="00E45508">
        <w:t>which are</w:t>
      </w:r>
      <w:r w:rsidR="5F7CC47B" w:rsidRPr="00E45508">
        <w:t xml:space="preserve"> addressed</w:t>
      </w:r>
      <w:r w:rsidR="34EB3F6C" w:rsidRPr="00E45508">
        <w:t xml:space="preserve"> in </w:t>
      </w:r>
      <w:r w:rsidR="5F7CC47B" w:rsidRPr="00E45508">
        <w:t>other options.</w:t>
      </w:r>
      <w:r w:rsidR="3DD558CF" w:rsidRPr="00E45508">
        <w:t xml:space="preserve"> </w:t>
      </w:r>
      <w:r w:rsidR="2FF1F53D" w:rsidRPr="00E45508">
        <w:t>Option</w:t>
      </w:r>
      <w:r w:rsidR="36F14B88" w:rsidRPr="00E45508">
        <w:t> 1</w:t>
      </w:r>
      <w:r w:rsidR="0AD56323" w:rsidRPr="00E45508">
        <w:t xml:space="preserve"> </w:t>
      </w:r>
      <w:r w:rsidR="44EDE259" w:rsidRPr="00E45508">
        <w:t xml:space="preserve">also </w:t>
      </w:r>
      <w:r w:rsidR="672D5501" w:rsidRPr="00E45508">
        <w:t>incorporates</w:t>
      </w:r>
      <w:r w:rsidR="0EB8772A" w:rsidRPr="00E45508">
        <w:t xml:space="preserve"> </w:t>
      </w:r>
      <w:r w:rsidR="75940EF1" w:rsidRPr="00E45508">
        <w:t>measures</w:t>
      </w:r>
      <w:r w:rsidR="1CD9890F" w:rsidRPr="00E45508">
        <w:t xml:space="preserve"> </w:t>
      </w:r>
      <w:r w:rsidR="6B9675FA" w:rsidRPr="00E45508">
        <w:t>APCO intends</w:t>
      </w:r>
      <w:r w:rsidR="7C072EA6" w:rsidRPr="00E45508">
        <w:t xml:space="preserve"> </w:t>
      </w:r>
      <w:r w:rsidR="6126A0D5" w:rsidRPr="00E45508">
        <w:t xml:space="preserve">to </w:t>
      </w:r>
      <w:r w:rsidR="6B9675FA" w:rsidRPr="00E45508">
        <w:t xml:space="preserve">introduce </w:t>
      </w:r>
      <w:r w:rsidR="51614809" w:rsidRPr="00E45508">
        <w:t xml:space="preserve">under its Strategic Plan </w:t>
      </w:r>
      <w:r w:rsidR="6B9675FA" w:rsidRPr="00E45508">
        <w:t xml:space="preserve">to </w:t>
      </w:r>
      <w:r w:rsidR="3110FF44" w:rsidRPr="00E45508">
        <w:t xml:space="preserve">deliver the goals of the Covenant and </w:t>
      </w:r>
      <w:r w:rsidR="6B9675FA" w:rsidRPr="00E45508">
        <w:t>accelerate Australia’s achievement towards</w:t>
      </w:r>
      <w:r w:rsidR="6126A0D5" w:rsidRPr="00E45508">
        <w:t xml:space="preserve"> the </w:t>
      </w:r>
      <w:r w:rsidR="78659ED7" w:rsidRPr="00E45508">
        <w:t>N</w:t>
      </w:r>
      <w:r w:rsidR="04D86FF4" w:rsidRPr="00E45508">
        <w:t>PTs</w:t>
      </w:r>
      <w:r w:rsidR="150C69AA" w:rsidRPr="00E45508">
        <w:t>.</w:t>
      </w:r>
    </w:p>
    <w:p w14:paraId="001A071D" w14:textId="22E0D81F" w:rsidR="0072178D" w:rsidRPr="00E45508" w:rsidRDefault="0072178D" w:rsidP="007A0B5B">
      <w:pPr>
        <w:pStyle w:val="Heading4"/>
      </w:pPr>
      <w:r w:rsidRPr="00E45508">
        <w:t>Key elements</w:t>
      </w:r>
      <w:r w:rsidR="00E14EF2" w:rsidRPr="00E45508">
        <w:t xml:space="preserve"> </w:t>
      </w:r>
      <w:r w:rsidR="63DA5AD2" w:rsidRPr="00E45508">
        <w:t>o</w:t>
      </w:r>
      <w:r w:rsidR="00E14EF2" w:rsidRPr="00E45508">
        <w:t>f Option</w:t>
      </w:r>
      <w:r w:rsidR="00421651" w:rsidRPr="00E45508">
        <w:t> 1</w:t>
      </w:r>
    </w:p>
    <w:p w14:paraId="47EFE6C5" w14:textId="0F989C8A" w:rsidR="0077104E" w:rsidRPr="00E45508" w:rsidRDefault="0077104E" w:rsidP="00C22BF8">
      <w:pPr>
        <w:rPr>
          <w:lang w:eastAsia="ja-JP"/>
        </w:rPr>
      </w:pPr>
      <w:r w:rsidRPr="00E45508">
        <w:rPr>
          <w:lang w:eastAsia="ja-JP"/>
        </w:rPr>
        <w:t>Option</w:t>
      </w:r>
      <w:r w:rsidR="00421651" w:rsidRPr="00E45508">
        <w:rPr>
          <w:lang w:eastAsia="ja-JP"/>
        </w:rPr>
        <w:t> 1</w:t>
      </w:r>
      <w:r w:rsidRPr="00E45508">
        <w:rPr>
          <w:lang w:eastAsia="ja-JP"/>
        </w:rPr>
        <w:t xml:space="preserve"> includes the following key elements to progress packaging reform:</w:t>
      </w:r>
    </w:p>
    <w:p w14:paraId="16494A23" w14:textId="1E0E8000" w:rsidR="001A5E9C" w:rsidRPr="00E45508" w:rsidRDefault="00FE384B" w:rsidP="009C1F84">
      <w:pPr>
        <w:pStyle w:val="ListBullet"/>
      </w:pPr>
      <w:r w:rsidRPr="00E45508">
        <w:t xml:space="preserve">Maintain the </w:t>
      </w:r>
      <w:r w:rsidR="00825918" w:rsidRPr="00E45508">
        <w:t>Covenant</w:t>
      </w:r>
      <w:r w:rsidR="00E14047" w:rsidRPr="00E45508">
        <w:t xml:space="preserve"> and the </w:t>
      </w:r>
      <w:r w:rsidR="004232A0" w:rsidRPr="00E45508">
        <w:t>NPTs</w:t>
      </w:r>
      <w:r w:rsidR="00235013" w:rsidRPr="00E45508">
        <w:t>.</w:t>
      </w:r>
    </w:p>
    <w:p w14:paraId="07A7E379" w14:textId="2AB92D13" w:rsidR="00E14EF2" w:rsidRPr="00E45508" w:rsidRDefault="45B8AF0D" w:rsidP="009C1F84">
      <w:pPr>
        <w:pStyle w:val="ListBullet"/>
      </w:pPr>
      <w:r w:rsidRPr="00E45508">
        <w:t xml:space="preserve">APCO to implement </w:t>
      </w:r>
      <w:r w:rsidR="007B7D39" w:rsidRPr="00E45508">
        <w:t>its</w:t>
      </w:r>
      <w:r w:rsidR="00421651" w:rsidRPr="00E45508">
        <w:t> 2</w:t>
      </w:r>
      <w:r w:rsidR="1EFFE7B4" w:rsidRPr="00E45508">
        <w:t xml:space="preserve">030 </w:t>
      </w:r>
      <w:r w:rsidR="31747773" w:rsidRPr="00E45508">
        <w:t xml:space="preserve">APCO </w:t>
      </w:r>
      <w:r w:rsidR="0094354E" w:rsidRPr="00E45508">
        <w:t>S</w:t>
      </w:r>
      <w:r w:rsidR="31747773" w:rsidRPr="00E45508">
        <w:t xml:space="preserve">trategic </w:t>
      </w:r>
      <w:r w:rsidR="0094354E" w:rsidRPr="00E45508">
        <w:t>P</w:t>
      </w:r>
      <w:r w:rsidR="31747773" w:rsidRPr="00E45508">
        <w:t>lan</w:t>
      </w:r>
      <w:r w:rsidR="00C13C64" w:rsidRPr="00E45508">
        <w:t xml:space="preserve"> (2024b)</w:t>
      </w:r>
      <w:r w:rsidR="1A4E8A1D" w:rsidRPr="00E45508">
        <w:t>.</w:t>
      </w:r>
    </w:p>
    <w:p w14:paraId="542C1BC1" w14:textId="7513A8DC" w:rsidR="00A73331" w:rsidRPr="00E45508" w:rsidRDefault="0009567C" w:rsidP="009C1F84">
      <w:pPr>
        <w:pStyle w:val="ListBullet"/>
      </w:pPr>
      <w:r w:rsidRPr="00E45508">
        <w:t xml:space="preserve">The Australian </w:t>
      </w:r>
      <w:r w:rsidR="00EB1387" w:rsidRPr="00E45508">
        <w:t>G</w:t>
      </w:r>
      <w:r w:rsidRPr="00E45508">
        <w:t>overnment</w:t>
      </w:r>
      <w:r w:rsidR="00EB1387" w:rsidRPr="00E45508">
        <w:t xml:space="preserve"> </w:t>
      </w:r>
      <w:r w:rsidR="40B972ED" w:rsidRPr="00E45508">
        <w:t>works with state and territories</w:t>
      </w:r>
      <w:r w:rsidR="00755AD4" w:rsidRPr="00E45508">
        <w:t xml:space="preserve"> to</w:t>
      </w:r>
      <w:r w:rsidR="00AB24EE" w:rsidRPr="00E45508">
        <w:t xml:space="preserve"> s</w:t>
      </w:r>
      <w:r w:rsidR="00E1715F" w:rsidRPr="00E45508">
        <w:t xml:space="preserve">trengthen </w:t>
      </w:r>
      <w:r w:rsidR="00437D6F" w:rsidRPr="00E45508">
        <w:t xml:space="preserve">compliance and enforcement </w:t>
      </w:r>
      <w:r w:rsidR="00DA5FE4" w:rsidRPr="00E45508">
        <w:t xml:space="preserve">action by jurisdictions </w:t>
      </w:r>
      <w:r w:rsidR="00437D6F" w:rsidRPr="00E45508">
        <w:t xml:space="preserve">to </w:t>
      </w:r>
      <w:r w:rsidR="00843938" w:rsidRPr="00E45508">
        <w:t xml:space="preserve">increase participation in the Covenant and </w:t>
      </w:r>
      <w:r w:rsidR="00437D6F" w:rsidRPr="00E45508">
        <w:t>address free riders</w:t>
      </w:r>
      <w:r w:rsidR="00F67AA4" w:rsidRPr="00E45508">
        <w:t>.</w:t>
      </w:r>
    </w:p>
    <w:p w14:paraId="40BC5489" w14:textId="0046599C" w:rsidR="00E94668" w:rsidRPr="00E45508" w:rsidRDefault="00DD1958" w:rsidP="009C1F84">
      <w:pPr>
        <w:pStyle w:val="ListBullet"/>
      </w:pPr>
      <w:r w:rsidRPr="00E45508">
        <w:t xml:space="preserve">Education </w:t>
      </w:r>
      <w:r w:rsidR="00C13E87" w:rsidRPr="00E45508">
        <w:t xml:space="preserve">targeting industry and consumers </w:t>
      </w:r>
      <w:r w:rsidRPr="00E45508">
        <w:t xml:space="preserve">to </w:t>
      </w:r>
      <w:r w:rsidR="00C13E87" w:rsidRPr="00E45508">
        <w:t xml:space="preserve">increase participation and </w:t>
      </w:r>
      <w:r w:rsidRPr="00E45508">
        <w:t>encourage behaviour change</w:t>
      </w:r>
      <w:r w:rsidR="00C13E87" w:rsidRPr="00E45508">
        <w:t>.</w:t>
      </w:r>
    </w:p>
    <w:p w14:paraId="7A4055BF" w14:textId="74D3D941" w:rsidR="00CD6778" w:rsidRPr="00E45508" w:rsidRDefault="00CD6778" w:rsidP="00BB325C">
      <w:pPr>
        <w:pStyle w:val="Heading5"/>
        <w:rPr>
          <w:lang w:val="en-AU"/>
        </w:rPr>
      </w:pPr>
      <w:r w:rsidRPr="00E45508">
        <w:rPr>
          <w:lang w:val="en-AU"/>
        </w:rPr>
        <w:t>Australian Packaging Covenant</w:t>
      </w:r>
      <w:r w:rsidR="00F846D9" w:rsidRPr="00E45508">
        <w:rPr>
          <w:lang w:val="en-AU"/>
        </w:rPr>
        <w:t xml:space="preserve"> and the National Packaging Targets</w:t>
      </w:r>
    </w:p>
    <w:p w14:paraId="2AF45BC9" w14:textId="39F09C9A" w:rsidR="006F7463" w:rsidRPr="00E45508" w:rsidRDefault="64092A3B" w:rsidP="00C22BF8">
      <w:r w:rsidRPr="00E45508">
        <w:t>Option</w:t>
      </w:r>
      <w:r w:rsidR="00421651" w:rsidRPr="00E45508">
        <w:t> 1</w:t>
      </w:r>
      <w:r w:rsidRPr="00E45508">
        <w:t xml:space="preserve"> retains the </w:t>
      </w:r>
      <w:r w:rsidR="1D923C0C" w:rsidRPr="00E45508">
        <w:t>Covenant</w:t>
      </w:r>
      <w:r w:rsidR="00FE1BE0" w:rsidRPr="00E45508">
        <w:t xml:space="preserve"> and its</w:t>
      </w:r>
      <w:r w:rsidR="1D923C0C" w:rsidRPr="00E45508">
        <w:t xml:space="preserve"> two goals </w:t>
      </w:r>
      <w:r w:rsidR="543956DF" w:rsidRPr="00E45508">
        <w:t>– optimising resource recovery</w:t>
      </w:r>
      <w:r w:rsidR="3E6DD0A0" w:rsidRPr="00E45508">
        <w:t xml:space="preserve"> </w:t>
      </w:r>
      <w:r w:rsidR="17187A58" w:rsidRPr="00E45508">
        <w:t xml:space="preserve">of packaging and preventing the impacts of </w:t>
      </w:r>
      <w:r w:rsidR="6E851DEC" w:rsidRPr="00E45508">
        <w:t>litter</w:t>
      </w:r>
      <w:r w:rsidR="17187A58" w:rsidRPr="00E45508">
        <w:t>.</w:t>
      </w:r>
      <w:r w:rsidR="2838F1C5" w:rsidRPr="00E45508">
        <w:t xml:space="preserve"> </w:t>
      </w:r>
      <w:r w:rsidR="6C80BDF5" w:rsidRPr="00E45508">
        <w:t>Signatories</w:t>
      </w:r>
      <w:r w:rsidR="649BCA96" w:rsidRPr="00E45508">
        <w:t xml:space="preserve"> to the Covenant </w:t>
      </w:r>
      <w:r w:rsidR="0DA9E26E" w:rsidRPr="00E45508">
        <w:t>would</w:t>
      </w:r>
      <w:r w:rsidR="5D7B9361" w:rsidRPr="00E45508">
        <w:t xml:space="preserve"> </w:t>
      </w:r>
      <w:r w:rsidR="26C29462" w:rsidRPr="00E45508">
        <w:t xml:space="preserve">need to </w:t>
      </w:r>
      <w:r w:rsidR="004268FC" w:rsidRPr="00E45508">
        <w:t xml:space="preserve">continue to </w:t>
      </w:r>
      <w:r w:rsidR="26C29462" w:rsidRPr="00E45508">
        <w:t xml:space="preserve">meet </w:t>
      </w:r>
      <w:r w:rsidR="004268FC" w:rsidRPr="00E45508">
        <w:t xml:space="preserve">their </w:t>
      </w:r>
      <w:r w:rsidR="26C29462" w:rsidRPr="00E45508">
        <w:t>obligations</w:t>
      </w:r>
      <w:r w:rsidR="2B8BCAA3" w:rsidRPr="00E45508">
        <w:t xml:space="preserve">, including </w:t>
      </w:r>
      <w:r w:rsidR="50570109" w:rsidRPr="00E45508">
        <w:t>submitting an action plan that sets out what the Signatory proposes to do to contribute to the Covenant’s aim</w:t>
      </w:r>
      <w:r w:rsidR="7F498BDA" w:rsidRPr="00E45508">
        <w:t xml:space="preserve">, </w:t>
      </w:r>
      <w:r w:rsidR="3B7DD8E0" w:rsidRPr="00E45508">
        <w:t xml:space="preserve">reporting </w:t>
      </w:r>
      <w:r w:rsidR="7F498BDA" w:rsidRPr="00E45508">
        <w:t xml:space="preserve">on </w:t>
      </w:r>
      <w:r w:rsidR="3B7DD8E0" w:rsidRPr="00E45508">
        <w:t xml:space="preserve">its </w:t>
      </w:r>
      <w:r w:rsidR="23DBF6CB" w:rsidRPr="00E45508">
        <w:t xml:space="preserve">performance </w:t>
      </w:r>
      <w:r w:rsidR="7F498BDA" w:rsidRPr="00E45508">
        <w:t xml:space="preserve">against </w:t>
      </w:r>
      <w:r w:rsidR="7D88E61A" w:rsidRPr="00E45508">
        <w:t xml:space="preserve">its </w:t>
      </w:r>
      <w:r w:rsidR="7F498BDA" w:rsidRPr="00E45508">
        <w:t>action plan</w:t>
      </w:r>
      <w:r w:rsidR="7D88E61A" w:rsidRPr="00E45508">
        <w:t xml:space="preserve"> annually</w:t>
      </w:r>
      <w:r w:rsidR="23DBF6CB" w:rsidRPr="00E45508">
        <w:t>, and</w:t>
      </w:r>
      <w:r w:rsidR="2B8BCAA3" w:rsidRPr="00E45508">
        <w:t xml:space="preserve"> implementing policies or procedures to buy products made from recycled materials</w:t>
      </w:r>
      <w:r w:rsidR="62933C51" w:rsidRPr="00E45508">
        <w:t>.</w:t>
      </w:r>
    </w:p>
    <w:p w14:paraId="2BF9630C" w14:textId="174C40A7" w:rsidR="0040205D" w:rsidRPr="00E45508" w:rsidRDefault="0040205D" w:rsidP="1EC2C0DA">
      <w:r w:rsidRPr="00E45508">
        <w:t xml:space="preserve">The </w:t>
      </w:r>
      <w:r w:rsidR="005F51EF" w:rsidRPr="00E45508">
        <w:t>goals of the Covenant and the</w:t>
      </w:r>
      <w:r w:rsidRPr="00E45508">
        <w:t xml:space="preserve"> NPT</w:t>
      </w:r>
      <w:r w:rsidR="00B662B6" w:rsidRPr="00E45508">
        <w:t>s</w:t>
      </w:r>
      <w:r w:rsidRPr="00E45508">
        <w:t xml:space="preserve">, </w:t>
      </w:r>
      <w:r w:rsidR="00BE2DD9" w:rsidRPr="00E45508">
        <w:t>established in</w:t>
      </w:r>
      <w:r w:rsidR="00421651" w:rsidRPr="00E45508">
        <w:t> 2</w:t>
      </w:r>
      <w:r w:rsidR="00BE2DD9" w:rsidRPr="00E45508">
        <w:t xml:space="preserve">018 </w:t>
      </w:r>
      <w:r w:rsidRPr="00E45508">
        <w:t xml:space="preserve">to </w:t>
      </w:r>
      <w:r w:rsidR="001C05E0" w:rsidRPr="00E45508">
        <w:t>drive a sustainable approach to packaging in Australia</w:t>
      </w:r>
      <w:r w:rsidR="00BE2DD9" w:rsidRPr="00E45508">
        <w:t>, w</w:t>
      </w:r>
      <w:r w:rsidR="3CFEB94D" w:rsidRPr="00E45508">
        <w:t>ould</w:t>
      </w:r>
      <w:r w:rsidR="00BE2DD9" w:rsidRPr="00E45508">
        <w:t xml:space="preserve"> remain</w:t>
      </w:r>
      <w:r w:rsidR="001C05E0" w:rsidRPr="00E45508">
        <w:t>.</w:t>
      </w:r>
      <w:r w:rsidR="5B7D24B7" w:rsidRPr="00E45508">
        <w:t xml:space="preserve"> APCO would implement its proposed </w:t>
      </w:r>
      <w:hyperlink r:id="rId33">
        <w:r w:rsidR="5B7D24B7" w:rsidRPr="00E45508">
          <w:rPr>
            <w:rStyle w:val="Hyperlink"/>
          </w:rPr>
          <w:t>2030 Strategic Plan</w:t>
        </w:r>
      </w:hyperlink>
      <w:r w:rsidR="5B7D24B7" w:rsidRPr="00E45508">
        <w:t xml:space="preserve"> (</w:t>
      </w:r>
      <w:r w:rsidR="00193B07">
        <w:t>APCO </w:t>
      </w:r>
      <w:r w:rsidR="5B7D24B7" w:rsidRPr="00E45508">
        <w:t>2024b).</w:t>
      </w:r>
    </w:p>
    <w:p w14:paraId="223497FE" w14:textId="344B6BAB" w:rsidR="00285A43" w:rsidRPr="00E45508" w:rsidRDefault="00640652" w:rsidP="00C22BF8">
      <w:r w:rsidRPr="00E45508">
        <w:t xml:space="preserve">The </w:t>
      </w:r>
      <w:r w:rsidR="00F01D68" w:rsidRPr="00E45508">
        <w:t>government</w:t>
      </w:r>
      <w:r w:rsidRPr="00E45508">
        <w:t xml:space="preserve"> would continue to work with APCO to develop</w:t>
      </w:r>
      <w:r w:rsidR="00AC6F7D" w:rsidRPr="00E45508">
        <w:t xml:space="preserve"> and advance</w:t>
      </w:r>
      <w:r w:rsidRPr="00E45508">
        <w:t xml:space="preserve"> best practice</w:t>
      </w:r>
      <w:r w:rsidR="00AC6F7D" w:rsidRPr="00E45508">
        <w:t xml:space="preserve"> targets,</w:t>
      </w:r>
      <w:r w:rsidRPr="00E45508">
        <w:t xml:space="preserve"> guidance, </w:t>
      </w:r>
      <w:r w:rsidR="00AC6F7D" w:rsidRPr="00E45508">
        <w:t xml:space="preserve">and action plans to address </w:t>
      </w:r>
      <w:r w:rsidR="00241D80" w:rsidRPr="00E45508">
        <w:t>improved packaging design</w:t>
      </w:r>
      <w:r w:rsidR="00224E16" w:rsidRPr="00E45508">
        <w:t xml:space="preserve"> and </w:t>
      </w:r>
      <w:r w:rsidR="00A03899" w:rsidRPr="00E45508">
        <w:t>recovery</w:t>
      </w:r>
      <w:r w:rsidR="00224E16" w:rsidRPr="00E45508">
        <w:t>.</w:t>
      </w:r>
    </w:p>
    <w:p w14:paraId="14EF9F0B" w14:textId="2A5949FC" w:rsidR="00AE038C" w:rsidRPr="00E45508" w:rsidRDefault="00AE038C" w:rsidP="00BB325C">
      <w:pPr>
        <w:pStyle w:val="Heading5"/>
        <w:rPr>
          <w:lang w:val="en-AU"/>
        </w:rPr>
      </w:pPr>
      <w:r w:rsidRPr="00E45508">
        <w:rPr>
          <w:lang w:val="en-AU"/>
        </w:rPr>
        <w:t>Strengthened compliance and enforcement action</w:t>
      </w:r>
    </w:p>
    <w:p w14:paraId="6396AF23" w14:textId="7AA9E673" w:rsidR="00AE038C" w:rsidRPr="00E45508" w:rsidDel="000B393A" w:rsidRDefault="2531A993" w:rsidP="00231191">
      <w:r w:rsidRPr="00E45508">
        <w:t>O</w:t>
      </w:r>
      <w:r w:rsidR="01366536" w:rsidRPr="00E45508">
        <w:t>ption</w:t>
      </w:r>
      <w:r w:rsidR="36F14B88" w:rsidRPr="00E45508">
        <w:t> 1</w:t>
      </w:r>
      <w:r w:rsidR="01366536" w:rsidRPr="00E45508">
        <w:t xml:space="preserve"> calls for </w:t>
      </w:r>
      <w:r w:rsidR="5C19A0A1" w:rsidRPr="00E45508">
        <w:t>governments</w:t>
      </w:r>
      <w:r w:rsidR="0DFB35E2" w:rsidRPr="00E45508">
        <w:t xml:space="preserve"> to </w:t>
      </w:r>
      <w:r w:rsidR="30A2AC55" w:rsidRPr="00E45508">
        <w:t xml:space="preserve">better </w:t>
      </w:r>
      <w:r w:rsidR="38402983" w:rsidRPr="00E45508">
        <w:t>coordinate and strengthen compliance and enforcement efforts under the NEPM to ad</w:t>
      </w:r>
      <w:r w:rsidR="55D7556B" w:rsidRPr="00E45508">
        <w:t>d</w:t>
      </w:r>
      <w:r w:rsidR="38402983" w:rsidRPr="00E45508">
        <w:t>re</w:t>
      </w:r>
      <w:r w:rsidR="3E07B060" w:rsidRPr="00E45508">
        <w:t>s</w:t>
      </w:r>
      <w:r w:rsidR="38402983" w:rsidRPr="00E45508">
        <w:t xml:space="preserve">s free riders and maximise industry participation in the Covenant. </w:t>
      </w:r>
      <w:r w:rsidR="33A77B4C" w:rsidRPr="00E45508">
        <w:t xml:space="preserve">This would require </w:t>
      </w:r>
      <w:r w:rsidR="21FA57F4" w:rsidRPr="00E45508">
        <w:t>gover</w:t>
      </w:r>
      <w:r w:rsidR="6B196BDF" w:rsidRPr="00E45508">
        <w:t>nments</w:t>
      </w:r>
      <w:r w:rsidR="21FA57F4" w:rsidRPr="00E45508">
        <w:t xml:space="preserve"> and APCO to work closely together to identify </w:t>
      </w:r>
      <w:r w:rsidR="6B196BDF" w:rsidRPr="00E45508">
        <w:t>potentially liable parties and coordinate efforts to</w:t>
      </w:r>
      <w:r w:rsidR="33A77B4C" w:rsidRPr="00E45508">
        <w:t xml:space="preserve"> </w:t>
      </w:r>
      <w:r w:rsidR="7A35330A" w:rsidRPr="00E45508">
        <w:t>ensure compliance.</w:t>
      </w:r>
      <w:r w:rsidR="43526CD3" w:rsidRPr="00E45508">
        <w:t xml:space="preserve"> </w:t>
      </w:r>
      <w:r w:rsidR="1CE1B409" w:rsidRPr="00E45508">
        <w:t>A strengthened arrangement could be delivered through</w:t>
      </w:r>
      <w:r w:rsidR="089197DD" w:rsidRPr="00E45508">
        <w:t xml:space="preserve"> a formal agreement which clarifies roles and responsibilities</w:t>
      </w:r>
      <w:r w:rsidR="496158B4" w:rsidRPr="00E45508">
        <w:t xml:space="preserve"> to increase efficiency and effectiveness.</w:t>
      </w:r>
    </w:p>
    <w:p w14:paraId="6096BD93" w14:textId="412AE9C3" w:rsidR="00EE763D" w:rsidRPr="00E45508" w:rsidRDefault="6BF3D863" w:rsidP="00231191">
      <w:r w:rsidRPr="00E45508">
        <w:t>Option</w:t>
      </w:r>
      <w:r w:rsidR="00421651" w:rsidRPr="00E45508">
        <w:t> 1</w:t>
      </w:r>
      <w:r w:rsidRPr="00E45508">
        <w:t xml:space="preserve"> could also include governments and APCO working towards an improved data sharing framework that is supported by effective monitoring and enforcement. Improvements in data consistency would enable more reliable analysis to better inform policy decisions by governments and APCO.</w:t>
      </w:r>
    </w:p>
    <w:p w14:paraId="348938A7" w14:textId="2B1618E4" w:rsidR="00EE763D" w:rsidRPr="00E45508" w:rsidRDefault="000448E9" w:rsidP="00BB325C">
      <w:pPr>
        <w:pStyle w:val="Heading5"/>
        <w:rPr>
          <w:lang w:val="en-AU"/>
        </w:rPr>
      </w:pPr>
      <w:r w:rsidRPr="00E45508">
        <w:rPr>
          <w:lang w:val="en-AU" w:eastAsia="ja-JP"/>
        </w:rPr>
        <w:t>Education to encourage indu</w:t>
      </w:r>
      <w:r w:rsidR="09D47E56" w:rsidRPr="00E45508">
        <w:rPr>
          <w:lang w:val="en-AU" w:eastAsia="ja-JP"/>
        </w:rPr>
        <w:t>str</w:t>
      </w:r>
      <w:r w:rsidRPr="00E45508">
        <w:rPr>
          <w:lang w:val="en-AU" w:eastAsia="ja-JP"/>
        </w:rPr>
        <w:t>y and community participation</w:t>
      </w:r>
    </w:p>
    <w:p w14:paraId="5F8B4529" w14:textId="17314868" w:rsidR="00B01D95" w:rsidRPr="00E45508" w:rsidRDefault="00B01D95" w:rsidP="00B01D95">
      <w:r w:rsidRPr="00E45508">
        <w:t>Option 1</w:t>
      </w:r>
      <w:r w:rsidRPr="00E45508" w:rsidDel="00AE3EC8">
        <w:t xml:space="preserve"> </w:t>
      </w:r>
      <w:r w:rsidR="2F9C571B" w:rsidRPr="00E45508">
        <w:t>c</w:t>
      </w:r>
      <w:r w:rsidRPr="00E45508">
        <w:t>ould</w:t>
      </w:r>
      <w:r w:rsidRPr="00E45508" w:rsidDel="00AE3EC8">
        <w:t xml:space="preserve"> include</w:t>
      </w:r>
      <w:r w:rsidRPr="00E45508" w:rsidDel="00642976">
        <w:t xml:space="preserve"> increased</w:t>
      </w:r>
      <w:r w:rsidRPr="00E45508">
        <w:t xml:space="preserve"> education to support behaviour change and increased participation by industry and the community.</w:t>
      </w:r>
    </w:p>
    <w:p w14:paraId="1C77579B" w14:textId="6E6E0E4C" w:rsidR="00147702" w:rsidRPr="00E45508" w:rsidRDefault="00147702" w:rsidP="00231191">
      <w:r w:rsidRPr="00E45508">
        <w:t xml:space="preserve">Industry education </w:t>
      </w:r>
      <w:r w:rsidR="00040BF9" w:rsidRPr="00E45508">
        <w:t>c</w:t>
      </w:r>
      <w:r w:rsidRPr="00E45508">
        <w:t>ould increase</w:t>
      </w:r>
      <w:r w:rsidR="007E23F2" w:rsidRPr="00E45508">
        <w:t xml:space="preserve"> </w:t>
      </w:r>
      <w:r w:rsidR="003D5EC1" w:rsidRPr="00E45508">
        <w:t xml:space="preserve">industry </w:t>
      </w:r>
      <w:r w:rsidR="007A6ACE" w:rsidRPr="00E45508">
        <w:t>awareness of</w:t>
      </w:r>
      <w:r w:rsidR="003D5EC1" w:rsidRPr="00E45508">
        <w:t xml:space="preserve"> their obligations under the current co</w:t>
      </w:r>
      <w:r w:rsidR="00E8493C">
        <w:noBreakHyphen/>
      </w:r>
      <w:r w:rsidR="007A6ACE" w:rsidRPr="00E45508">
        <w:t>regulatory arrangement</w:t>
      </w:r>
      <w:r w:rsidR="003D5EC1" w:rsidRPr="00E45508">
        <w:t xml:space="preserve"> </w:t>
      </w:r>
      <w:r w:rsidR="0063732D" w:rsidRPr="00E45508">
        <w:t>and</w:t>
      </w:r>
      <w:r w:rsidR="007A6ACE" w:rsidRPr="00E45508">
        <w:t xml:space="preserve"> </w:t>
      </w:r>
      <w:r w:rsidRPr="00E45508">
        <w:t xml:space="preserve">the benefits of </w:t>
      </w:r>
      <w:r w:rsidR="00040BF9" w:rsidRPr="00E45508">
        <w:t>becoming a Signatory to</w:t>
      </w:r>
      <w:r w:rsidRPr="00E45508">
        <w:t xml:space="preserve"> the Covenant.</w:t>
      </w:r>
      <w:r w:rsidR="00CA4C77" w:rsidRPr="00E45508">
        <w:t xml:space="preserve"> </w:t>
      </w:r>
      <w:r w:rsidR="00092D32" w:rsidRPr="00E45508">
        <w:t>Together</w:t>
      </w:r>
      <w:r w:rsidR="3A086D18" w:rsidRPr="00E45508">
        <w:t xml:space="preserve"> with improved compliance and enforcement</w:t>
      </w:r>
      <w:r w:rsidR="00092D32" w:rsidRPr="00E45508">
        <w:t xml:space="preserve">, </w:t>
      </w:r>
      <w:r w:rsidR="07DE0DE9" w:rsidRPr="00E45508">
        <w:t>this</w:t>
      </w:r>
      <w:r w:rsidR="756DBA78" w:rsidRPr="00E45508">
        <w:t xml:space="preserve"> </w:t>
      </w:r>
      <w:r w:rsidR="1E10D043" w:rsidRPr="00E45508">
        <w:t>would</w:t>
      </w:r>
      <w:r w:rsidR="4A54F561" w:rsidRPr="00E45508">
        <w:t xml:space="preserve"> </w:t>
      </w:r>
      <w:r w:rsidR="7E642E73" w:rsidRPr="00E45508">
        <w:t xml:space="preserve">seek to </w:t>
      </w:r>
      <w:r w:rsidR="78BE0EB0" w:rsidRPr="00E45508">
        <w:t>minimise free</w:t>
      </w:r>
      <w:r w:rsidR="137D5EC6" w:rsidRPr="00E45508">
        <w:t xml:space="preserve"> </w:t>
      </w:r>
      <w:r w:rsidR="78BE0EB0" w:rsidRPr="00E45508">
        <w:t>riders</w:t>
      </w:r>
      <w:r w:rsidR="1FA42869" w:rsidRPr="00E45508">
        <w:t xml:space="preserve"> and ensure resourcing towards system cap</w:t>
      </w:r>
      <w:r w:rsidR="2649B087" w:rsidRPr="00E45508">
        <w:t>a</w:t>
      </w:r>
      <w:r w:rsidR="1FA42869" w:rsidRPr="00E45508">
        <w:t>bi</w:t>
      </w:r>
      <w:r w:rsidR="2649B087" w:rsidRPr="00E45508">
        <w:t>li</w:t>
      </w:r>
      <w:r w:rsidR="1FA42869" w:rsidRPr="00E45508">
        <w:t>ty develop</w:t>
      </w:r>
      <w:r w:rsidR="00B303C0" w:rsidRPr="00E45508">
        <w:t>ed</w:t>
      </w:r>
      <w:r w:rsidR="2CA7528A" w:rsidRPr="00E45508">
        <w:t xml:space="preserve"> through the</w:t>
      </w:r>
      <w:r w:rsidR="00421651" w:rsidRPr="00E45508">
        <w:t> 2</w:t>
      </w:r>
      <w:r w:rsidR="3236EA84" w:rsidRPr="00E45508">
        <w:t>030 Strategic Plan and the</w:t>
      </w:r>
      <w:r w:rsidR="1FA42869" w:rsidRPr="00E45508">
        <w:t xml:space="preserve"> </w:t>
      </w:r>
      <w:r w:rsidR="7D79D3E4" w:rsidRPr="00E45508">
        <w:t>Covenant</w:t>
      </w:r>
      <w:r w:rsidR="1FA42869" w:rsidRPr="00E45508">
        <w:t xml:space="preserve"> is not diminished.</w:t>
      </w:r>
      <w:r w:rsidR="730D5F88" w:rsidRPr="00E45508">
        <w:t xml:space="preserve"> </w:t>
      </w:r>
      <w:r w:rsidRPr="00E45508">
        <w:t>Community education and behaviour change efforts could increase community participation in the arrangements.</w:t>
      </w:r>
    </w:p>
    <w:p w14:paraId="67AE0787" w14:textId="75595CDB" w:rsidR="00A53CE1" w:rsidRPr="00E45508" w:rsidRDefault="00A53CE1" w:rsidP="00231191">
      <w:r w:rsidRPr="00E45508">
        <w:fldChar w:fldCharType="begin"/>
      </w:r>
      <w:r w:rsidRPr="00E45508">
        <w:instrText xml:space="preserve"> REF _Ref177634008 \h </w:instrText>
      </w:r>
      <w:r w:rsidRPr="00E45508">
        <w:fldChar w:fldCharType="separate"/>
      </w:r>
      <w:r w:rsidR="009A2EC4" w:rsidRPr="00E45508">
        <w:t xml:space="preserve">Table </w:t>
      </w:r>
      <w:r w:rsidR="009A2EC4">
        <w:rPr>
          <w:noProof/>
        </w:rPr>
        <w:t>6</w:t>
      </w:r>
      <w:r w:rsidRPr="00E45508">
        <w:fldChar w:fldCharType="end"/>
      </w:r>
      <w:r w:rsidRPr="00E45508">
        <w:t xml:space="preserve"> provides a summary of governance and funding arrangements while </w:t>
      </w:r>
      <w:r w:rsidRPr="00E45508">
        <w:fldChar w:fldCharType="begin"/>
      </w:r>
      <w:r w:rsidRPr="00E45508">
        <w:instrText xml:space="preserve"> REF _Ref177634038 \h </w:instrText>
      </w:r>
      <w:r w:rsidRPr="00E45508">
        <w:fldChar w:fldCharType="separate"/>
      </w:r>
      <w:r w:rsidR="009A2EC4" w:rsidRPr="00E45508">
        <w:t xml:space="preserve">Table </w:t>
      </w:r>
      <w:r w:rsidR="009A2EC4">
        <w:rPr>
          <w:noProof/>
        </w:rPr>
        <w:t>7</w:t>
      </w:r>
      <w:r w:rsidRPr="00E45508">
        <w:fldChar w:fldCharType="end"/>
      </w:r>
      <w:r w:rsidRPr="00E45508">
        <w:t xml:space="preserve"> provides an overview </w:t>
      </w:r>
      <w:r w:rsidR="0016681B" w:rsidRPr="00E45508">
        <w:t>of the</w:t>
      </w:r>
      <w:r w:rsidRPr="00E45508">
        <w:t xml:space="preserve"> benefits and r</w:t>
      </w:r>
      <w:r w:rsidR="004A44A7" w:rsidRPr="00E45508">
        <w:t>isks</w:t>
      </w:r>
      <w:r w:rsidR="002F0642" w:rsidRPr="00E45508">
        <w:t xml:space="preserve"> for Option 1.</w:t>
      </w:r>
    </w:p>
    <w:p w14:paraId="2E2D8D5B" w14:textId="7854AC34" w:rsidR="003A4BC7" w:rsidRPr="00E45508" w:rsidRDefault="002C3946" w:rsidP="00C915A5">
      <w:pPr>
        <w:pStyle w:val="Caption"/>
      </w:pPr>
      <w:bookmarkStart w:id="124" w:name="_Ref177634008"/>
      <w:bookmarkStart w:id="125" w:name="_Toc178229369"/>
      <w:r w:rsidRPr="00E45508">
        <w:t xml:space="preserve">Table </w:t>
      </w:r>
      <w:r w:rsidRPr="00E45508">
        <w:fldChar w:fldCharType="begin"/>
      </w:r>
      <w:r w:rsidRPr="00E45508">
        <w:instrText xml:space="preserve"> SEQ Table \* ARABIC </w:instrText>
      </w:r>
      <w:r w:rsidRPr="00E45508">
        <w:fldChar w:fldCharType="separate"/>
      </w:r>
      <w:r w:rsidR="009A2EC4">
        <w:rPr>
          <w:noProof/>
        </w:rPr>
        <w:t>6</w:t>
      </w:r>
      <w:r w:rsidRPr="00E45508">
        <w:fldChar w:fldCharType="end"/>
      </w:r>
      <w:bookmarkEnd w:id="124"/>
      <w:r w:rsidRPr="00E45508">
        <w:t>: Option</w:t>
      </w:r>
      <w:r w:rsidR="00421651" w:rsidRPr="00E45508">
        <w:t> 1</w:t>
      </w:r>
      <w:r w:rsidR="005472CB" w:rsidRPr="00E45508">
        <w:t xml:space="preserve"> g</w:t>
      </w:r>
      <w:r w:rsidR="0052296A" w:rsidRPr="00E45508">
        <w:t>overnance</w:t>
      </w:r>
      <w:r w:rsidR="00231A3E" w:rsidRPr="00E45508">
        <w:t xml:space="preserve"> and </w:t>
      </w:r>
      <w:r w:rsidR="00AE3ADF" w:rsidRPr="00E45508">
        <w:t>funding</w:t>
      </w:r>
      <w:r w:rsidR="00A81660" w:rsidRPr="00E45508">
        <w:t xml:space="preserve"> arrangements</w:t>
      </w:r>
      <w:bookmarkEnd w:id="125"/>
    </w:p>
    <w:tbl>
      <w:tblPr>
        <w:tblStyle w:val="PlainTable2"/>
        <w:tblW w:w="0" w:type="auto"/>
        <w:tblLook w:val="0420" w:firstRow="1" w:lastRow="0" w:firstColumn="0" w:lastColumn="0" w:noHBand="0" w:noVBand="1"/>
      </w:tblPr>
      <w:tblGrid>
        <w:gridCol w:w="1724"/>
        <w:gridCol w:w="7302"/>
      </w:tblGrid>
      <w:tr w:rsidR="00A53CE1" w:rsidRPr="00E45508" w14:paraId="460683C4" w14:textId="77777777" w:rsidTr="002F0642">
        <w:trPr>
          <w:cnfStyle w:val="100000000000" w:firstRow="1" w:lastRow="0" w:firstColumn="0" w:lastColumn="0" w:oddVBand="0" w:evenVBand="0" w:oddHBand="0" w:evenHBand="0" w:firstRowFirstColumn="0" w:firstRowLastColumn="0" w:lastRowFirstColumn="0" w:lastRowLastColumn="0"/>
          <w:cantSplit/>
          <w:tblHeader/>
        </w:trPr>
        <w:tc>
          <w:tcPr>
            <w:tcW w:w="1724" w:type="dxa"/>
          </w:tcPr>
          <w:p w14:paraId="19D0A7E0" w14:textId="1982EAD4" w:rsidR="00A53CE1" w:rsidRPr="00E45508" w:rsidRDefault="00A53CE1" w:rsidP="000E6CC5">
            <w:pPr>
              <w:pStyle w:val="Tabletext0"/>
              <w:keepNext/>
            </w:pPr>
            <w:r w:rsidRPr="00E45508">
              <w:t>Parameter</w:t>
            </w:r>
          </w:p>
        </w:tc>
        <w:tc>
          <w:tcPr>
            <w:tcW w:w="7302" w:type="dxa"/>
          </w:tcPr>
          <w:p w14:paraId="74C50966" w14:textId="3DECDF92" w:rsidR="00A53CE1" w:rsidRPr="00E45508" w:rsidRDefault="00A53CE1" w:rsidP="000E6CC5">
            <w:pPr>
              <w:pStyle w:val="Tabletext0"/>
              <w:keepNext/>
            </w:pPr>
            <w:r w:rsidRPr="00E45508">
              <w:t>Description</w:t>
            </w:r>
          </w:p>
        </w:tc>
      </w:tr>
      <w:tr w:rsidR="00ED2235" w:rsidRPr="00E45508" w14:paraId="3420FEBB" w14:textId="77777777" w:rsidTr="002F0642">
        <w:trPr>
          <w:cnfStyle w:val="000000100000" w:firstRow="0" w:lastRow="0" w:firstColumn="0" w:lastColumn="0" w:oddVBand="0" w:evenVBand="0" w:oddHBand="1" w:evenHBand="0" w:firstRowFirstColumn="0" w:firstRowLastColumn="0" w:lastRowFirstColumn="0" w:lastRowLastColumn="0"/>
          <w:cantSplit/>
        </w:trPr>
        <w:tc>
          <w:tcPr>
            <w:tcW w:w="1724" w:type="dxa"/>
          </w:tcPr>
          <w:p w14:paraId="2C729B63" w14:textId="77777777" w:rsidR="00ED2235" w:rsidRPr="00E45508" w:rsidRDefault="00ED2235" w:rsidP="000E6CC5">
            <w:pPr>
              <w:pStyle w:val="Tabletext0"/>
              <w:keepNext/>
            </w:pPr>
            <w:r w:rsidRPr="00E45508">
              <w:t>Scheme</w:t>
            </w:r>
          </w:p>
        </w:tc>
        <w:tc>
          <w:tcPr>
            <w:tcW w:w="7302" w:type="dxa"/>
          </w:tcPr>
          <w:p w14:paraId="43BFE780" w14:textId="08B980CB" w:rsidR="00ED2235" w:rsidRPr="00E45508" w:rsidRDefault="00ED2235" w:rsidP="000E6CC5">
            <w:pPr>
              <w:pStyle w:val="Tabletext0"/>
              <w:keepNext/>
            </w:pPr>
            <w:r w:rsidRPr="00E45508">
              <w:t>Maintain the existing co-regulatory arrangement</w:t>
            </w:r>
            <w:r w:rsidR="00095629" w:rsidRPr="00E45508">
              <w:t xml:space="preserve">. </w:t>
            </w:r>
          </w:p>
        </w:tc>
      </w:tr>
      <w:tr w:rsidR="00933102" w:rsidRPr="00E45508" w14:paraId="32F29332" w14:textId="77777777" w:rsidTr="002F0642">
        <w:trPr>
          <w:cantSplit/>
        </w:trPr>
        <w:tc>
          <w:tcPr>
            <w:tcW w:w="1724" w:type="dxa"/>
          </w:tcPr>
          <w:p w14:paraId="70D90E9E" w14:textId="77777777" w:rsidR="00933102" w:rsidRPr="00E45508" w:rsidRDefault="00933102" w:rsidP="00164CE1">
            <w:pPr>
              <w:pStyle w:val="Tabletext0"/>
            </w:pPr>
            <w:r w:rsidRPr="00E45508">
              <w:t>Regulated entities</w:t>
            </w:r>
          </w:p>
        </w:tc>
        <w:tc>
          <w:tcPr>
            <w:tcW w:w="7302" w:type="dxa"/>
          </w:tcPr>
          <w:p w14:paraId="5212B690" w14:textId="03BCE3B3" w:rsidR="00933102" w:rsidRPr="00E45508" w:rsidRDefault="00933102" w:rsidP="00164CE1">
            <w:pPr>
              <w:pStyle w:val="Tabletext0"/>
              <w:rPr>
                <w:color w:val="FFFFFF" w:themeColor="accent6"/>
              </w:rPr>
            </w:pPr>
            <w:r w:rsidRPr="00E45508">
              <w:t xml:space="preserve">Roles and responsibilities would continue as set out under the existing co-regulatory arrangement (see </w:t>
            </w:r>
            <w:r w:rsidR="00C3468A" w:rsidRPr="00E45508">
              <w:fldChar w:fldCharType="begin"/>
            </w:r>
            <w:r w:rsidR="00C3468A" w:rsidRPr="00E45508">
              <w:instrText xml:space="preserve"> REF _Ref177121758 \n \h </w:instrText>
            </w:r>
            <w:r w:rsidR="00A53CE1" w:rsidRPr="00E45508">
              <w:instrText xml:space="preserve"> \* MERGEFORMAT </w:instrText>
            </w:r>
            <w:r w:rsidR="00C3468A" w:rsidRPr="00E45508">
              <w:fldChar w:fldCharType="separate"/>
            </w:r>
            <w:r w:rsidR="009A2EC4">
              <w:t>Appendix A</w:t>
            </w:r>
            <w:r w:rsidR="00C3468A" w:rsidRPr="00E45508">
              <w:fldChar w:fldCharType="end"/>
            </w:r>
            <w:r w:rsidR="00682DED" w:rsidRPr="00E45508">
              <w:t xml:space="preserve"> </w:t>
            </w:r>
            <w:r w:rsidRPr="00E45508">
              <w:t>for more detail).</w:t>
            </w:r>
          </w:p>
        </w:tc>
      </w:tr>
      <w:tr w:rsidR="00933102" w:rsidRPr="00E45508" w14:paraId="6092E36C" w14:textId="77777777" w:rsidTr="002F0642">
        <w:trPr>
          <w:cnfStyle w:val="000000100000" w:firstRow="0" w:lastRow="0" w:firstColumn="0" w:lastColumn="0" w:oddVBand="0" w:evenVBand="0" w:oddHBand="1" w:evenHBand="0" w:firstRowFirstColumn="0" w:firstRowLastColumn="0" w:lastRowFirstColumn="0" w:lastRowLastColumn="0"/>
          <w:cantSplit/>
        </w:trPr>
        <w:tc>
          <w:tcPr>
            <w:tcW w:w="1724" w:type="dxa"/>
          </w:tcPr>
          <w:p w14:paraId="1F05B9AF" w14:textId="77777777" w:rsidR="00933102" w:rsidRPr="00E45508" w:rsidRDefault="00933102" w:rsidP="00164CE1">
            <w:pPr>
              <w:pStyle w:val="Tabletext0"/>
            </w:pPr>
            <w:r w:rsidRPr="00E45508">
              <w:t>Government</w:t>
            </w:r>
          </w:p>
        </w:tc>
        <w:tc>
          <w:tcPr>
            <w:tcW w:w="7302" w:type="dxa"/>
          </w:tcPr>
          <w:p w14:paraId="39B14438" w14:textId="659EC39D" w:rsidR="00933102" w:rsidRPr="00E45508" w:rsidRDefault="00933102" w:rsidP="00164CE1">
            <w:pPr>
              <w:pStyle w:val="Tabletext0"/>
            </w:pPr>
            <w:r w:rsidRPr="00E45508">
              <w:t>As above.</w:t>
            </w:r>
          </w:p>
        </w:tc>
      </w:tr>
      <w:tr w:rsidR="00933102" w:rsidRPr="00E45508" w14:paraId="4D43F693" w14:textId="77777777" w:rsidTr="002F0642">
        <w:trPr>
          <w:cantSplit/>
        </w:trPr>
        <w:tc>
          <w:tcPr>
            <w:tcW w:w="1724" w:type="dxa"/>
          </w:tcPr>
          <w:p w14:paraId="7E2B8038" w14:textId="77777777" w:rsidR="00933102" w:rsidRPr="00E45508" w:rsidRDefault="00933102" w:rsidP="00164CE1">
            <w:pPr>
              <w:pStyle w:val="Tabletext0"/>
            </w:pPr>
            <w:r w:rsidRPr="00E45508">
              <w:t>Industry</w:t>
            </w:r>
          </w:p>
        </w:tc>
        <w:tc>
          <w:tcPr>
            <w:tcW w:w="7302" w:type="dxa"/>
          </w:tcPr>
          <w:p w14:paraId="65E2EA50" w14:textId="16C33B2D" w:rsidR="00933102" w:rsidRPr="00E45508" w:rsidRDefault="00933102" w:rsidP="00164CE1">
            <w:pPr>
              <w:pStyle w:val="Tabletext0"/>
            </w:pPr>
            <w:r w:rsidRPr="00E45508">
              <w:t>As above.</w:t>
            </w:r>
          </w:p>
        </w:tc>
      </w:tr>
      <w:tr w:rsidR="00ED2235" w:rsidRPr="00E45508" w14:paraId="7A2A7A68" w14:textId="77777777" w:rsidTr="002F0642">
        <w:trPr>
          <w:cnfStyle w:val="000000100000" w:firstRow="0" w:lastRow="0" w:firstColumn="0" w:lastColumn="0" w:oddVBand="0" w:evenVBand="0" w:oddHBand="1" w:evenHBand="0" w:firstRowFirstColumn="0" w:firstRowLastColumn="0" w:lastRowFirstColumn="0" w:lastRowLastColumn="0"/>
          <w:cantSplit/>
        </w:trPr>
        <w:tc>
          <w:tcPr>
            <w:tcW w:w="1724" w:type="dxa"/>
          </w:tcPr>
          <w:p w14:paraId="43573460" w14:textId="77777777" w:rsidR="00ED2235" w:rsidRPr="00E45508" w:rsidRDefault="00ED2235" w:rsidP="00164CE1">
            <w:pPr>
              <w:pStyle w:val="Tabletext0"/>
            </w:pPr>
            <w:r w:rsidRPr="00E45508">
              <w:t>Funding arrangements</w:t>
            </w:r>
          </w:p>
        </w:tc>
        <w:tc>
          <w:tcPr>
            <w:tcW w:w="7302" w:type="dxa"/>
          </w:tcPr>
          <w:p w14:paraId="038131F4" w14:textId="56359393" w:rsidR="00ED2235" w:rsidRPr="00E45508" w:rsidRDefault="00ED2235" w:rsidP="00164CE1">
            <w:pPr>
              <w:pStyle w:val="Tabletext0"/>
            </w:pPr>
            <w:r w:rsidRPr="00E45508">
              <w:t>Funding arrangements w</w:t>
            </w:r>
            <w:r w:rsidR="00A3547F">
              <w:t>ould</w:t>
            </w:r>
            <w:r w:rsidRPr="00E45508">
              <w:t xml:space="preserve"> remain unchanged – APCO w</w:t>
            </w:r>
            <w:r w:rsidR="00A3547F">
              <w:t>ould</w:t>
            </w:r>
            <w:r w:rsidRPr="00E45508">
              <w:t xml:space="preserve"> have its own funding model as prescribed by the Covenant, and </w:t>
            </w:r>
            <w:r w:rsidR="00182055" w:rsidRPr="00E45508">
              <w:t xml:space="preserve">state and territory governments </w:t>
            </w:r>
            <w:r w:rsidR="2CF5458D" w:rsidRPr="00E45508">
              <w:t>fund</w:t>
            </w:r>
            <w:r w:rsidRPr="00E45508">
              <w:t xml:space="preserve"> the </w:t>
            </w:r>
            <w:r w:rsidR="00182055" w:rsidRPr="00E45508">
              <w:t xml:space="preserve">implementation, compliance and enforcement of the </w:t>
            </w:r>
            <w:r w:rsidRPr="00E45508">
              <w:t>NEPM</w:t>
            </w:r>
            <w:r w:rsidR="30BDD694" w:rsidRPr="00E45508">
              <w:t xml:space="preserve"> in their jurisdiction</w:t>
            </w:r>
            <w:r w:rsidRPr="00E45508">
              <w:t>.</w:t>
            </w:r>
          </w:p>
          <w:p w14:paraId="0E660069" w14:textId="312023CD" w:rsidR="00ED2235" w:rsidRPr="00E45508" w:rsidRDefault="628A6F77" w:rsidP="00164CE1">
            <w:pPr>
              <w:pStyle w:val="Tabletext0"/>
            </w:pPr>
            <w:r w:rsidRPr="00E45508">
              <w:t>From</w:t>
            </w:r>
            <w:r w:rsidR="36F14B88" w:rsidRPr="00E45508">
              <w:t> 2</w:t>
            </w:r>
            <w:r w:rsidRPr="00E45508">
              <w:t>027, APCO intends to charge its members a base fee to cover administration of the Covenant, as well as an eco-modulated fee to incentivise design for reduction, reuse and recovery, and provide funding to improve downstream processes. APCO has indicated it will consult with its members on the eco-modulated fee model in</w:t>
            </w:r>
            <w:r w:rsidR="36F14B88" w:rsidRPr="00E45508">
              <w:t> 2</w:t>
            </w:r>
            <w:r w:rsidRPr="00E45508">
              <w:t>025</w:t>
            </w:r>
            <w:r w:rsidR="00F07C34" w:rsidRPr="00E45508">
              <w:noBreakHyphen/>
            </w:r>
            <w:r w:rsidRPr="00E45508">
              <w:t>26.</w:t>
            </w:r>
          </w:p>
        </w:tc>
      </w:tr>
      <w:tr w:rsidR="00ED2235" w:rsidRPr="00E45508" w14:paraId="2F357EA6" w14:textId="77777777" w:rsidTr="002F0642">
        <w:trPr>
          <w:cantSplit/>
        </w:trPr>
        <w:tc>
          <w:tcPr>
            <w:tcW w:w="1724" w:type="dxa"/>
          </w:tcPr>
          <w:p w14:paraId="4AA6E5CF" w14:textId="77777777" w:rsidR="00ED2235" w:rsidRPr="00E45508" w:rsidRDefault="00ED2235" w:rsidP="00164CE1">
            <w:pPr>
              <w:pStyle w:val="Tabletext0"/>
            </w:pPr>
            <w:r w:rsidRPr="00E45508">
              <w:t>Reporting and data sharing</w:t>
            </w:r>
          </w:p>
        </w:tc>
        <w:tc>
          <w:tcPr>
            <w:tcW w:w="7302" w:type="dxa"/>
          </w:tcPr>
          <w:p w14:paraId="7FCB241E" w14:textId="2E94EBE4" w:rsidR="00ED2235" w:rsidRPr="00E45508" w:rsidRDefault="628A6F77" w:rsidP="00164CE1">
            <w:pPr>
              <w:pStyle w:val="Tabletext0"/>
            </w:pPr>
            <w:r w:rsidRPr="00E45508">
              <w:t>Regulated entities would report annually to government</w:t>
            </w:r>
            <w:r w:rsidR="1ADF71FB" w:rsidRPr="00E45508">
              <w:t>s</w:t>
            </w:r>
            <w:r w:rsidR="3D59908A" w:rsidRPr="00E45508">
              <w:t xml:space="preserve"> and APCO</w:t>
            </w:r>
            <w:r w:rsidRPr="00E45508">
              <w:t xml:space="preserve"> to confirm liability, ensure compliance and provide data to support the arrangements.</w:t>
            </w:r>
          </w:p>
        </w:tc>
      </w:tr>
    </w:tbl>
    <w:p w14:paraId="652BE5AB" w14:textId="77777777" w:rsidR="00E607D5" w:rsidRPr="00E45508" w:rsidRDefault="00E607D5" w:rsidP="00D33045"/>
    <w:p w14:paraId="165E4145" w14:textId="64591A78" w:rsidR="00191EFB" w:rsidRPr="00E45508" w:rsidRDefault="005472CB" w:rsidP="00C915A5">
      <w:pPr>
        <w:pStyle w:val="Caption"/>
      </w:pPr>
      <w:bookmarkStart w:id="126" w:name="_Ref177634038"/>
      <w:bookmarkStart w:id="127" w:name="_Toc178229370"/>
      <w:r w:rsidRPr="00E45508">
        <w:t xml:space="preserve">Table </w:t>
      </w:r>
      <w:r w:rsidRPr="00E45508">
        <w:fldChar w:fldCharType="begin"/>
      </w:r>
      <w:r w:rsidRPr="00E45508">
        <w:instrText xml:space="preserve"> SEQ Table \* ARABIC </w:instrText>
      </w:r>
      <w:r w:rsidRPr="00E45508">
        <w:fldChar w:fldCharType="separate"/>
      </w:r>
      <w:r w:rsidR="009A2EC4">
        <w:rPr>
          <w:noProof/>
        </w:rPr>
        <w:t>7</w:t>
      </w:r>
      <w:r w:rsidRPr="00E45508">
        <w:fldChar w:fldCharType="end"/>
      </w:r>
      <w:bookmarkEnd w:id="126"/>
      <w:r w:rsidRPr="00E45508">
        <w:t>: Option</w:t>
      </w:r>
      <w:r w:rsidR="00421651" w:rsidRPr="00E45508">
        <w:t> 1</w:t>
      </w:r>
      <w:r w:rsidRPr="00E45508">
        <w:t xml:space="preserve"> b</w:t>
      </w:r>
      <w:r w:rsidR="00191EFB" w:rsidRPr="00E45508">
        <w:t>enefits and risks</w:t>
      </w:r>
      <w:bookmarkEnd w:id="127"/>
    </w:p>
    <w:tbl>
      <w:tblPr>
        <w:tblStyle w:val="PlainTable2"/>
        <w:tblW w:w="0" w:type="auto"/>
        <w:tblLook w:val="0420" w:firstRow="1" w:lastRow="0" w:firstColumn="0" w:lastColumn="0" w:noHBand="0" w:noVBand="1"/>
      </w:tblPr>
      <w:tblGrid>
        <w:gridCol w:w="1701"/>
        <w:gridCol w:w="7315"/>
      </w:tblGrid>
      <w:tr w:rsidR="002F0642" w:rsidRPr="00E45508" w14:paraId="29173C1D" w14:textId="77777777" w:rsidTr="002F0642">
        <w:trPr>
          <w:cnfStyle w:val="100000000000" w:firstRow="1" w:lastRow="0" w:firstColumn="0" w:lastColumn="0" w:oddVBand="0" w:evenVBand="0" w:oddHBand="0" w:evenHBand="0" w:firstRowFirstColumn="0" w:firstRowLastColumn="0" w:lastRowFirstColumn="0" w:lastRowLastColumn="0"/>
        </w:trPr>
        <w:tc>
          <w:tcPr>
            <w:tcW w:w="1701" w:type="dxa"/>
          </w:tcPr>
          <w:p w14:paraId="0A98A50A" w14:textId="7C54BC0D" w:rsidR="002F0642" w:rsidRPr="00E45508" w:rsidRDefault="002F0642" w:rsidP="00164CE1">
            <w:pPr>
              <w:pStyle w:val="Tabletext0"/>
            </w:pPr>
            <w:r w:rsidRPr="00E45508">
              <w:t>Parameter</w:t>
            </w:r>
          </w:p>
        </w:tc>
        <w:tc>
          <w:tcPr>
            <w:tcW w:w="7315" w:type="dxa"/>
          </w:tcPr>
          <w:p w14:paraId="1D0021A3" w14:textId="6D2EE2A0" w:rsidR="002F0642" w:rsidRPr="00E45508" w:rsidRDefault="002F0642" w:rsidP="002F0642">
            <w:pPr>
              <w:pStyle w:val="Tabletext0"/>
            </w:pPr>
            <w:r w:rsidRPr="00E45508">
              <w:t>Description</w:t>
            </w:r>
          </w:p>
        </w:tc>
      </w:tr>
      <w:tr w:rsidR="00A81660" w:rsidRPr="00E45508" w14:paraId="70B8CB7F" w14:textId="77777777" w:rsidTr="002F0642">
        <w:trPr>
          <w:cnfStyle w:val="000000100000" w:firstRow="0" w:lastRow="0" w:firstColumn="0" w:lastColumn="0" w:oddVBand="0" w:evenVBand="0" w:oddHBand="1" w:evenHBand="0" w:firstRowFirstColumn="0" w:firstRowLastColumn="0" w:lastRowFirstColumn="0" w:lastRowLastColumn="0"/>
        </w:trPr>
        <w:tc>
          <w:tcPr>
            <w:tcW w:w="1701" w:type="dxa"/>
          </w:tcPr>
          <w:p w14:paraId="768E1405" w14:textId="77777777" w:rsidR="00A81660" w:rsidRPr="00E45508" w:rsidRDefault="00A81660" w:rsidP="00164CE1">
            <w:pPr>
              <w:pStyle w:val="Tabletext0"/>
            </w:pPr>
            <w:r w:rsidRPr="00E45508">
              <w:t>Benefits</w:t>
            </w:r>
          </w:p>
        </w:tc>
        <w:tc>
          <w:tcPr>
            <w:tcW w:w="7315" w:type="dxa"/>
          </w:tcPr>
          <w:p w14:paraId="43A309F0" w14:textId="75CDFD48" w:rsidR="00A81660" w:rsidRPr="00E45508" w:rsidRDefault="00A81660" w:rsidP="0071655D">
            <w:pPr>
              <w:pStyle w:val="TableBullet1"/>
            </w:pPr>
            <w:r w:rsidRPr="00E45508">
              <w:t>Administrative arrangements are already established</w:t>
            </w:r>
            <w:r w:rsidR="00A0634F" w:rsidRPr="00E45508">
              <w:t xml:space="preserve">, requiring </w:t>
            </w:r>
            <w:r w:rsidR="00297910" w:rsidRPr="00E45508">
              <w:t>the least chan</w:t>
            </w:r>
            <w:r w:rsidR="0090748A" w:rsidRPr="00E45508">
              <w:t>ge</w:t>
            </w:r>
            <w:r w:rsidR="002C3A1D" w:rsidRPr="00E45508">
              <w:t>.</w:t>
            </w:r>
          </w:p>
          <w:p w14:paraId="60C11B6B" w14:textId="4145A784" w:rsidR="00A81660" w:rsidRPr="00E45508" w:rsidRDefault="00C66898" w:rsidP="0071655D">
            <w:pPr>
              <w:pStyle w:val="TableBullet1"/>
            </w:pPr>
            <w:r w:rsidRPr="00E45508">
              <w:t>Supports f</w:t>
            </w:r>
            <w:r w:rsidR="00A81660" w:rsidRPr="00E45508">
              <w:t>lexible implementation for APCO members</w:t>
            </w:r>
            <w:r w:rsidR="00C35FEE" w:rsidRPr="00E45508">
              <w:t xml:space="preserve"> under A</w:t>
            </w:r>
            <w:r w:rsidRPr="00E45508">
              <w:t>PCO’s proposed eco- modulation</w:t>
            </w:r>
            <w:r w:rsidR="002C3A1D" w:rsidRPr="00E45508">
              <w:t>.</w:t>
            </w:r>
            <w:r w:rsidR="00013BF4" w:rsidRPr="00E45508">
              <w:t xml:space="preserve"> </w:t>
            </w:r>
          </w:p>
          <w:p w14:paraId="087B9F52" w14:textId="437CFF40" w:rsidR="00A81660" w:rsidRPr="00E45508" w:rsidRDefault="00A81660" w:rsidP="0071655D">
            <w:pPr>
              <w:pStyle w:val="TableBullet1"/>
            </w:pPr>
            <w:r w:rsidRPr="00E45508">
              <w:t>Support</w:t>
            </w:r>
            <w:r w:rsidR="0648A1AE" w:rsidRPr="00E45508">
              <w:t>s</w:t>
            </w:r>
            <w:r w:rsidRPr="00E45508">
              <w:t xml:space="preserve"> existing industry efforts</w:t>
            </w:r>
            <w:r w:rsidR="003231D5" w:rsidRPr="00E45508">
              <w:t xml:space="preserve"> under the Covenant</w:t>
            </w:r>
            <w:r w:rsidR="00593EA1" w:rsidRPr="00E45508">
              <w:t xml:space="preserve"> and NPTs</w:t>
            </w:r>
            <w:r w:rsidR="002C3A1D" w:rsidRPr="00E45508">
              <w:t>.</w:t>
            </w:r>
          </w:p>
          <w:p w14:paraId="6B45D2E7" w14:textId="1FE37DE7" w:rsidR="00A81660" w:rsidRPr="00E45508" w:rsidRDefault="00C813DD" w:rsidP="0071655D">
            <w:pPr>
              <w:pStyle w:val="TableBullet1"/>
            </w:pPr>
            <w:r w:rsidRPr="00E45508">
              <w:t xml:space="preserve">Greater compliance and enforcement </w:t>
            </w:r>
            <w:r w:rsidR="00E51771" w:rsidRPr="00E45508">
              <w:t>would reduce free riders.</w:t>
            </w:r>
          </w:p>
        </w:tc>
      </w:tr>
      <w:tr w:rsidR="00A81660" w:rsidRPr="00E45508" w14:paraId="16AF58E9" w14:textId="77777777" w:rsidTr="002F0642">
        <w:tc>
          <w:tcPr>
            <w:tcW w:w="1701" w:type="dxa"/>
          </w:tcPr>
          <w:p w14:paraId="7C63B068" w14:textId="77777777" w:rsidR="00A81660" w:rsidRPr="00E45508" w:rsidRDefault="00A81660" w:rsidP="00164CE1">
            <w:pPr>
              <w:pStyle w:val="Tabletext0"/>
            </w:pPr>
            <w:r w:rsidRPr="00E45508">
              <w:t>Risks</w:t>
            </w:r>
          </w:p>
        </w:tc>
        <w:tc>
          <w:tcPr>
            <w:tcW w:w="7315" w:type="dxa"/>
          </w:tcPr>
          <w:p w14:paraId="17738DEE" w14:textId="42CC429B" w:rsidR="00A81660" w:rsidRPr="00E45508" w:rsidRDefault="00A81660" w:rsidP="00644854">
            <w:pPr>
              <w:pStyle w:val="TableBullet1"/>
            </w:pPr>
            <w:r w:rsidRPr="00E45508">
              <w:t xml:space="preserve">Ongoing systemic issues </w:t>
            </w:r>
            <w:r w:rsidR="00CF5E8C" w:rsidRPr="00E45508">
              <w:t xml:space="preserve">identified in the Independent Review </w:t>
            </w:r>
            <w:r w:rsidRPr="00E45508">
              <w:t>remain</w:t>
            </w:r>
            <w:r w:rsidR="003978B6" w:rsidRPr="00E45508">
              <w:t xml:space="preserve"> and are likely </w:t>
            </w:r>
            <w:r w:rsidR="0017548B" w:rsidRPr="00E45508">
              <w:t xml:space="preserve">to continue to undermine the effectiveness of the </w:t>
            </w:r>
            <w:r w:rsidR="00FB4620" w:rsidRPr="00E45508">
              <w:t>co-regulatory arrangement</w:t>
            </w:r>
            <w:r w:rsidR="002C3A1D" w:rsidRPr="00E45508">
              <w:t>.</w:t>
            </w:r>
          </w:p>
          <w:p w14:paraId="0E1CBDDA" w14:textId="71FCC4DC" w:rsidR="00F6379B" w:rsidRPr="00E45508" w:rsidRDefault="283A6A1D" w:rsidP="00644854">
            <w:pPr>
              <w:pStyle w:val="TableBullet1"/>
            </w:pPr>
            <w:r w:rsidRPr="00E45508">
              <w:t xml:space="preserve">There is no </w:t>
            </w:r>
            <w:r w:rsidR="2833F809" w:rsidRPr="00E45508">
              <w:t>mechanism</w:t>
            </w:r>
            <w:r w:rsidRPr="00E45508">
              <w:t xml:space="preserve"> to introduce nationally consistent mandatory </w:t>
            </w:r>
            <w:r w:rsidR="46412147" w:rsidRPr="00E45508">
              <w:t>obligations</w:t>
            </w:r>
            <w:r w:rsidR="2833F809" w:rsidRPr="00E45508">
              <w:t>, including recycled content thresholds.</w:t>
            </w:r>
          </w:p>
          <w:p w14:paraId="47189896" w14:textId="796302F5" w:rsidR="00A81660" w:rsidRPr="00E45508" w:rsidRDefault="00A81660" w:rsidP="00644854">
            <w:pPr>
              <w:pStyle w:val="TableBullet1"/>
            </w:pPr>
            <w:r w:rsidRPr="00E45508">
              <w:t xml:space="preserve">Greater compliance and enforcement </w:t>
            </w:r>
            <w:r w:rsidR="00385DC7" w:rsidRPr="00E45508">
              <w:t>remain</w:t>
            </w:r>
            <w:r w:rsidRPr="00E45508">
              <w:t xml:space="preserve"> a challenge, and free riders may remain in the system</w:t>
            </w:r>
            <w:r w:rsidR="00F87D8D" w:rsidRPr="00E45508">
              <w:t xml:space="preserve"> </w:t>
            </w:r>
            <w:r w:rsidR="00075163" w:rsidRPr="00E45508">
              <w:t xml:space="preserve">– </w:t>
            </w:r>
            <w:r w:rsidR="0089123D" w:rsidRPr="00E45508">
              <w:t>j</w:t>
            </w:r>
            <w:r w:rsidR="00075163" w:rsidRPr="00E45508">
              <w:t xml:space="preserve">urisdictions’ </w:t>
            </w:r>
            <w:r w:rsidR="007D5E70" w:rsidRPr="00E45508">
              <w:t xml:space="preserve">resource constraints </w:t>
            </w:r>
            <w:r w:rsidR="00075163" w:rsidRPr="00E45508">
              <w:t xml:space="preserve">and need to </w:t>
            </w:r>
            <w:r w:rsidR="007D5E70" w:rsidRPr="00E45508">
              <w:t>balanc</w:t>
            </w:r>
            <w:r w:rsidR="00075163" w:rsidRPr="00E45508">
              <w:t xml:space="preserve">e </w:t>
            </w:r>
            <w:r w:rsidR="007D5E70" w:rsidRPr="00E45508">
              <w:t>competing priorities</w:t>
            </w:r>
            <w:r w:rsidR="00075163" w:rsidRPr="00E45508">
              <w:t xml:space="preserve">, </w:t>
            </w:r>
            <w:r w:rsidR="00DE5CA7" w:rsidRPr="00E45508">
              <w:t>identified</w:t>
            </w:r>
            <w:r w:rsidR="00075163" w:rsidRPr="00E45508">
              <w:t xml:space="preserve"> in the Independent Review</w:t>
            </w:r>
            <w:r w:rsidR="002347BF" w:rsidRPr="00E45508">
              <w:t>,</w:t>
            </w:r>
            <w:r w:rsidR="00075163" w:rsidRPr="00E45508">
              <w:t xml:space="preserve"> </w:t>
            </w:r>
            <w:r w:rsidR="001553FB" w:rsidRPr="00E45508">
              <w:t>may not be addressed.</w:t>
            </w:r>
          </w:p>
          <w:p w14:paraId="49937DB8" w14:textId="60A5CA03" w:rsidR="00A81660" w:rsidRPr="00E45508" w:rsidRDefault="00A81660" w:rsidP="00644854">
            <w:pPr>
              <w:pStyle w:val="TableBullet1"/>
            </w:pPr>
            <w:r w:rsidRPr="00E45508">
              <w:t>Industry scheme participation remains at risk</w:t>
            </w:r>
            <w:r w:rsidR="00EB3B99" w:rsidRPr="00E45508">
              <w:t xml:space="preserve"> - if robust monitoring, compliance and enforcement systems cannot operate in all participating jurisdictions, there is no financial disincentive for </w:t>
            </w:r>
            <w:r w:rsidR="00CA1B0B" w:rsidRPr="00E45508">
              <w:t xml:space="preserve">free riders, or </w:t>
            </w:r>
            <w:r w:rsidR="00EB3B99" w:rsidRPr="00E45508">
              <w:t xml:space="preserve">APCO members </w:t>
            </w:r>
            <w:r w:rsidR="00CA1B0B" w:rsidRPr="00E45508">
              <w:t>leaving</w:t>
            </w:r>
            <w:r w:rsidR="00EB3B99" w:rsidRPr="00E45508">
              <w:t xml:space="preserve"> </w:t>
            </w:r>
            <w:r w:rsidR="00F47C67" w:rsidRPr="00E45508">
              <w:t>the Covenant</w:t>
            </w:r>
            <w:r w:rsidR="00947765" w:rsidRPr="00E45508">
              <w:t>.</w:t>
            </w:r>
          </w:p>
          <w:p w14:paraId="15A28404" w14:textId="2C59AD7A" w:rsidR="00A81660" w:rsidRPr="00E45508" w:rsidRDefault="4469DABF" w:rsidP="00644854">
            <w:pPr>
              <w:pStyle w:val="TableBullet1"/>
            </w:pPr>
            <w:r w:rsidRPr="00E45508">
              <w:t>Education campaigns would require additional funding and resourcing.</w:t>
            </w:r>
          </w:p>
        </w:tc>
      </w:tr>
    </w:tbl>
    <w:p w14:paraId="4403881B" w14:textId="60CA1BB4" w:rsidR="008612AD" w:rsidRPr="00E45508" w:rsidRDefault="1D87E4DD" w:rsidP="00C44B4B">
      <w:pPr>
        <w:pStyle w:val="Heading3"/>
      </w:pPr>
      <w:bookmarkStart w:id="128" w:name="_Toc177126598"/>
      <w:bookmarkStart w:id="129" w:name="_Toc177493008"/>
      <w:bookmarkStart w:id="130" w:name="_Toc178230253"/>
      <w:r w:rsidRPr="00E45508">
        <w:t>Option</w:t>
      </w:r>
      <w:r w:rsidR="00421651" w:rsidRPr="00E45508">
        <w:t> 2</w:t>
      </w:r>
      <w:r w:rsidRPr="00E45508">
        <w:t>: National mandatory requirements for packaging</w:t>
      </w:r>
      <w:bookmarkEnd w:id="128"/>
      <w:bookmarkEnd w:id="129"/>
      <w:bookmarkEnd w:id="130"/>
    </w:p>
    <w:p w14:paraId="084C6AC6" w14:textId="52E3B8B5" w:rsidR="00B9494A" w:rsidRPr="00E45508" w:rsidRDefault="1AA1AE09" w:rsidP="00231191">
      <w:r w:rsidRPr="00E45508">
        <w:t>Option</w:t>
      </w:r>
      <w:r w:rsidR="00421651" w:rsidRPr="00E45508">
        <w:t> 2</w:t>
      </w:r>
      <w:r w:rsidR="008612AD" w:rsidRPr="00E45508">
        <w:t xml:space="preserve"> would establish a nationally consistent suite of mandatory requirements that would apply to </w:t>
      </w:r>
      <w:r w:rsidR="00F21DA5" w:rsidRPr="00E45508">
        <w:t xml:space="preserve">all </w:t>
      </w:r>
      <w:r w:rsidR="008612AD" w:rsidRPr="00E45508">
        <w:t>packaging placed on the Australian market.</w:t>
      </w:r>
      <w:r w:rsidR="009120A7">
        <w:t xml:space="preserve"> </w:t>
      </w:r>
      <w:r w:rsidR="000D2EC0" w:rsidRPr="00E45508">
        <w:t>In this op</w:t>
      </w:r>
      <w:r w:rsidR="00AB0E39" w:rsidRPr="00E45508">
        <w:t xml:space="preserve">tion, </w:t>
      </w:r>
      <w:r w:rsidR="002313BD" w:rsidRPr="00E45508">
        <w:t xml:space="preserve">packaging </w:t>
      </w:r>
      <w:r w:rsidR="00D72BE7" w:rsidRPr="00E45508">
        <w:t>regulatory</w:t>
      </w:r>
      <w:r w:rsidR="002313BD" w:rsidRPr="00E45508">
        <w:t xml:space="preserve"> reform would be based on mandatory requirements </w:t>
      </w:r>
      <w:r w:rsidR="009D0E53" w:rsidRPr="00E45508">
        <w:t>placed on</w:t>
      </w:r>
      <w:r w:rsidR="00106379" w:rsidRPr="00E45508">
        <w:t xml:space="preserve"> individual</w:t>
      </w:r>
      <w:r w:rsidR="0042098E" w:rsidRPr="00E45508">
        <w:t xml:space="preserve"> regulated entities </w:t>
      </w:r>
      <w:r w:rsidR="002313BD" w:rsidRPr="00E45508">
        <w:t>introduced under Commonwealth legislation.</w:t>
      </w:r>
    </w:p>
    <w:p w14:paraId="243E9F51" w14:textId="77777777" w:rsidR="00AF1DA3" w:rsidRDefault="1665D42D" w:rsidP="009119DF">
      <w:r w:rsidRPr="00E45508">
        <w:t>The</w:t>
      </w:r>
      <w:r w:rsidR="77857E2E" w:rsidRPr="00E45508">
        <w:t xml:space="preserve"> </w:t>
      </w:r>
      <w:r w:rsidR="4B175DB5" w:rsidRPr="00E45508">
        <w:t>NEPM</w:t>
      </w:r>
      <w:r w:rsidR="3AE77240" w:rsidRPr="00E45508">
        <w:t xml:space="preserve"> would be </w:t>
      </w:r>
      <w:r w:rsidR="471DD3F1" w:rsidRPr="00E45508">
        <w:t>re</w:t>
      </w:r>
      <w:r w:rsidR="7823CABE" w:rsidRPr="00E45508">
        <w:t>voked</w:t>
      </w:r>
      <w:r w:rsidR="1557C120" w:rsidRPr="00E45508">
        <w:t>,</w:t>
      </w:r>
      <w:r w:rsidR="3AE77240" w:rsidRPr="00E45508">
        <w:t xml:space="preserve"> and state and territory governments would </w:t>
      </w:r>
      <w:r w:rsidR="34324CE3" w:rsidRPr="00E45508">
        <w:t xml:space="preserve">make </w:t>
      </w:r>
      <w:r w:rsidR="237920FA" w:rsidRPr="00E45508">
        <w:t>any</w:t>
      </w:r>
      <w:r w:rsidR="34324CE3" w:rsidRPr="00E45508">
        <w:t xml:space="preserve"> necessary cha</w:t>
      </w:r>
      <w:r w:rsidR="41C98CDE" w:rsidRPr="00E45508">
        <w:t xml:space="preserve">nges to </w:t>
      </w:r>
      <w:r w:rsidR="23E80BBB" w:rsidRPr="00E45508">
        <w:t>legislation</w:t>
      </w:r>
      <w:r w:rsidR="41C98CDE" w:rsidRPr="00E45508">
        <w:t xml:space="preserve"> </w:t>
      </w:r>
      <w:r w:rsidR="65E3BC3B" w:rsidRPr="00E45508">
        <w:t>that support</w:t>
      </w:r>
      <w:r w:rsidR="2C93D8DB" w:rsidRPr="00E45508">
        <w:t>s</w:t>
      </w:r>
      <w:r w:rsidR="3AE77240" w:rsidRPr="00E45508">
        <w:t xml:space="preserve"> the NEPM in their jurisdiction</w:t>
      </w:r>
      <w:r w:rsidR="38247D43" w:rsidRPr="00E45508">
        <w:t>,</w:t>
      </w:r>
      <w:r w:rsidRPr="00E45508">
        <w:t xml:space="preserve"> and the co-regulatory arrangement would cease</w:t>
      </w:r>
      <w:r w:rsidR="3AE77240" w:rsidRPr="00E45508">
        <w:t>.</w:t>
      </w:r>
      <w:r w:rsidR="09C13465" w:rsidRPr="00E45508">
        <w:t xml:space="preserve"> </w:t>
      </w:r>
    </w:p>
    <w:p w14:paraId="0DB5FD1F" w14:textId="26173066" w:rsidR="00EE4CDF" w:rsidRPr="00E45508" w:rsidRDefault="0057137B" w:rsidP="00231191">
      <w:r w:rsidRPr="00E45508">
        <w:t xml:space="preserve">Industry education </w:t>
      </w:r>
      <w:r w:rsidR="00960340">
        <w:t>could</w:t>
      </w:r>
      <w:r>
        <w:t xml:space="preserve"> raise</w:t>
      </w:r>
      <w:r w:rsidRPr="00E45508">
        <w:t xml:space="preserve"> awareness of </w:t>
      </w:r>
      <w:r>
        <w:t>any new regulatory obligations. C</w:t>
      </w:r>
      <w:r w:rsidRPr="00E45508">
        <w:t>ommunity education and behaviour change efforts</w:t>
      </w:r>
      <w:r>
        <w:t xml:space="preserve"> </w:t>
      </w:r>
      <w:r w:rsidRPr="00E45508">
        <w:t>could increase community participation in the arrangements</w:t>
      </w:r>
      <w:r>
        <w:t>.</w:t>
      </w:r>
      <w:r w:rsidR="00AF1DA3">
        <w:t xml:space="preserve"> </w:t>
      </w:r>
      <w:r w:rsidR="09EE436C" w:rsidRPr="00E45508">
        <w:t>As part of this consultation, t</w:t>
      </w:r>
      <w:r w:rsidR="09C13465" w:rsidRPr="00E45508">
        <w:t xml:space="preserve">he government is seeking stakeholder feedback on whether </w:t>
      </w:r>
      <w:r w:rsidR="6B8BAD89" w:rsidRPr="00E45508">
        <w:t>additional industry support</w:t>
      </w:r>
      <w:r w:rsidR="163B2A89" w:rsidRPr="00E45508">
        <w:t xml:space="preserve"> </w:t>
      </w:r>
      <w:r w:rsidR="6B8BAD89" w:rsidRPr="00E45508">
        <w:t>would be desirable under this option</w:t>
      </w:r>
      <w:r w:rsidR="1601A419" w:rsidRPr="00E45508">
        <w:t xml:space="preserve">, and whether this </w:t>
      </w:r>
      <w:r w:rsidR="6E3506F4" w:rsidRPr="00E45508">
        <w:t xml:space="preserve">industry </w:t>
      </w:r>
      <w:r w:rsidR="1601A419" w:rsidRPr="00E45508">
        <w:t xml:space="preserve">support should be part of the </w:t>
      </w:r>
      <w:r w:rsidR="1B13A43A" w:rsidRPr="00E45508">
        <w:t>regulatory arrangement or operate in</w:t>
      </w:r>
      <w:r w:rsidR="74853D05" w:rsidRPr="00E45508">
        <w:t>dependently</w:t>
      </w:r>
      <w:r w:rsidR="6B8BAD89" w:rsidRPr="00E45508">
        <w:t>.</w:t>
      </w:r>
    </w:p>
    <w:p w14:paraId="2FC3A526" w14:textId="3C0D675C" w:rsidR="00596128" w:rsidRPr="00E45508" w:rsidRDefault="00596128" w:rsidP="007A0B5B">
      <w:pPr>
        <w:pStyle w:val="Heading4"/>
      </w:pPr>
      <w:r w:rsidRPr="00E45508">
        <w:t xml:space="preserve">Mandatory requirements </w:t>
      </w:r>
    </w:p>
    <w:p w14:paraId="67A2EFC9" w14:textId="647D954C" w:rsidR="003E763B" w:rsidRPr="00E45508" w:rsidRDefault="618C488B" w:rsidP="146DC098">
      <w:pPr>
        <w:rPr>
          <w:b/>
          <w:bCs/>
        </w:rPr>
      </w:pPr>
      <w:r w:rsidRPr="00E45508">
        <w:t>P</w:t>
      </w:r>
      <w:r w:rsidR="1E345CE1" w:rsidRPr="00E45508">
        <w:t xml:space="preserve">ackaging </w:t>
      </w:r>
      <w:r w:rsidR="2C621619" w:rsidRPr="00E45508">
        <w:t xml:space="preserve">regulatory </w:t>
      </w:r>
      <w:r w:rsidR="1E345CE1" w:rsidRPr="00E45508">
        <w:t>reform would be achieved by implementing mandatory requirements for packaging, including:</w:t>
      </w:r>
    </w:p>
    <w:p w14:paraId="25011DE1" w14:textId="4BCFAA5E" w:rsidR="00C7520F" w:rsidRPr="00E45508" w:rsidRDefault="0054637B" w:rsidP="009C1F84">
      <w:pPr>
        <w:pStyle w:val="ListBullet"/>
        <w:rPr>
          <w:b/>
          <w:bCs/>
        </w:rPr>
      </w:pPr>
      <w:r w:rsidRPr="00E45508">
        <w:t>Requirements for p</w:t>
      </w:r>
      <w:r w:rsidR="00C7520F" w:rsidRPr="00E45508">
        <w:t>ackaging to be designed to be recycled at scale</w:t>
      </w:r>
      <w:r w:rsidR="00E034B9" w:rsidRPr="00E45508">
        <w:t>, implemented through:</w:t>
      </w:r>
    </w:p>
    <w:p w14:paraId="13140B91" w14:textId="2A693C25" w:rsidR="008936D8" w:rsidRPr="00E45508" w:rsidRDefault="761C2E02" w:rsidP="009C1F84">
      <w:pPr>
        <w:pStyle w:val="ListBullet"/>
        <w:numPr>
          <w:ilvl w:val="1"/>
          <w:numId w:val="8"/>
        </w:numPr>
        <w:rPr>
          <w:b/>
        </w:rPr>
      </w:pPr>
      <w:r w:rsidRPr="00E45508">
        <w:t>Early b</w:t>
      </w:r>
      <w:r w:rsidR="4C09AC51" w:rsidRPr="00E45508">
        <w:t>ans on some problematic packaging formats</w:t>
      </w:r>
      <w:r w:rsidR="12539576" w:rsidRPr="00E45508">
        <w:t>,</w:t>
      </w:r>
      <w:r w:rsidR="4C09AC51" w:rsidRPr="00E45508">
        <w:t xml:space="preserve"> </w:t>
      </w:r>
      <w:r w:rsidR="12539576" w:rsidRPr="00E45508">
        <w:t>chemicals of concern</w:t>
      </w:r>
      <w:r w:rsidR="4C09AC51" w:rsidRPr="00E45508">
        <w:t xml:space="preserve"> and additives</w:t>
      </w:r>
      <w:r w:rsidR="00F97287" w:rsidRPr="00E45508">
        <w:t>.</w:t>
      </w:r>
    </w:p>
    <w:p w14:paraId="61FE515F" w14:textId="0ACF7971" w:rsidR="00CD4411" w:rsidRPr="00E45508" w:rsidRDefault="00DC0060" w:rsidP="009C1F84">
      <w:pPr>
        <w:pStyle w:val="ListBullet"/>
        <w:numPr>
          <w:ilvl w:val="1"/>
          <w:numId w:val="8"/>
        </w:numPr>
        <w:rPr>
          <w:b/>
        </w:rPr>
      </w:pPr>
      <w:r w:rsidRPr="00E45508">
        <w:t xml:space="preserve">Progressive bans of packaging </w:t>
      </w:r>
      <w:r w:rsidR="004B1B14" w:rsidRPr="00E45508">
        <w:t>to mandate minimum recyclability performance</w:t>
      </w:r>
      <w:r w:rsidR="00F97287" w:rsidRPr="00E45508">
        <w:t>.</w:t>
      </w:r>
    </w:p>
    <w:p w14:paraId="512D0A6B" w14:textId="7FC1123A" w:rsidR="00CD4411" w:rsidRPr="00E45508" w:rsidRDefault="064980DE" w:rsidP="009C1F84">
      <w:pPr>
        <w:pStyle w:val="ListBullet"/>
        <w:rPr>
          <w:b/>
        </w:rPr>
      </w:pPr>
      <w:r w:rsidRPr="00E45508">
        <w:t>Minimum recycled content thresholds</w:t>
      </w:r>
      <w:r w:rsidR="003F54C0" w:rsidRPr="00E45508">
        <w:t>.</w:t>
      </w:r>
    </w:p>
    <w:p w14:paraId="4521636A" w14:textId="259E1A07" w:rsidR="00CD4411" w:rsidRPr="00E45508" w:rsidRDefault="00CD4411" w:rsidP="009C1F84">
      <w:pPr>
        <w:pStyle w:val="ListBullet"/>
        <w:rPr>
          <w:b/>
        </w:rPr>
      </w:pPr>
      <w:r w:rsidRPr="00E45508">
        <w:t xml:space="preserve">Mandatory </w:t>
      </w:r>
      <w:r w:rsidR="00D246B3">
        <w:t>recyclability</w:t>
      </w:r>
      <w:r w:rsidRPr="00E45508">
        <w:t xml:space="preserve"> labelling</w:t>
      </w:r>
      <w:r w:rsidR="007C5E21" w:rsidRPr="00E45508">
        <w:t>.</w:t>
      </w:r>
    </w:p>
    <w:p w14:paraId="0BBB8081" w14:textId="1100375C" w:rsidR="00295B98" w:rsidRPr="00E45508" w:rsidRDefault="00295B98" w:rsidP="003E3D72">
      <w:pPr>
        <w:spacing w:before="240"/>
      </w:pPr>
      <w:r w:rsidRPr="00E45508">
        <w:t>See section</w:t>
      </w:r>
      <w:r w:rsidR="002F699B">
        <w:t>s</w:t>
      </w:r>
      <w:r w:rsidRPr="00E45508">
        <w:t xml:space="preserve"> </w:t>
      </w:r>
      <w:r w:rsidR="00BB4ECF">
        <w:fldChar w:fldCharType="begin"/>
      </w:r>
      <w:r w:rsidR="00BB4ECF">
        <w:instrText xml:space="preserve"> REF _Ref178125537 \n \h </w:instrText>
      </w:r>
      <w:r w:rsidR="00BB4ECF">
        <w:fldChar w:fldCharType="separate"/>
      </w:r>
      <w:r w:rsidR="009A2EC4">
        <w:t>5.8</w:t>
      </w:r>
      <w:r w:rsidR="00BB4ECF">
        <w:fldChar w:fldCharType="end"/>
      </w:r>
      <w:r w:rsidR="00D1510B">
        <w:t xml:space="preserve"> to </w:t>
      </w:r>
      <w:r w:rsidR="00D1510B">
        <w:fldChar w:fldCharType="begin"/>
      </w:r>
      <w:r w:rsidR="00D1510B">
        <w:instrText xml:space="preserve"> REF _Ref177990936 \n \h </w:instrText>
      </w:r>
      <w:r w:rsidR="00D1510B">
        <w:fldChar w:fldCharType="separate"/>
      </w:r>
      <w:r w:rsidR="009A2EC4">
        <w:t>5.11</w:t>
      </w:r>
      <w:r w:rsidR="00D1510B">
        <w:fldChar w:fldCharType="end"/>
      </w:r>
      <w:r w:rsidR="00D1510B">
        <w:t xml:space="preserve"> </w:t>
      </w:r>
      <w:r w:rsidRPr="00E45508">
        <w:t xml:space="preserve">below for </w:t>
      </w:r>
      <w:r w:rsidR="001D15DD">
        <w:t>further</w:t>
      </w:r>
      <w:r w:rsidRPr="00E45508">
        <w:t xml:space="preserve"> information on </w:t>
      </w:r>
      <w:r w:rsidR="00B13EC9">
        <w:t>implementing</w:t>
      </w:r>
      <w:r w:rsidR="002F699B">
        <w:t xml:space="preserve"> packaging obligations through </w:t>
      </w:r>
      <w:r w:rsidRPr="00E45508">
        <w:t>mandatory requirements</w:t>
      </w:r>
      <w:r w:rsidR="00B13EC9">
        <w:t xml:space="preserve"> under this option</w:t>
      </w:r>
      <w:r w:rsidRPr="00E45508">
        <w:t>.</w:t>
      </w:r>
    </w:p>
    <w:p w14:paraId="4DB55733" w14:textId="670A5E14" w:rsidR="002F0642" w:rsidRPr="00E45508" w:rsidRDefault="002F0642" w:rsidP="002F0642">
      <w:r w:rsidRPr="00E45508">
        <w:fldChar w:fldCharType="begin"/>
      </w:r>
      <w:r w:rsidRPr="00E45508">
        <w:instrText xml:space="preserve"> REF _Ref177634201 \h </w:instrText>
      </w:r>
      <w:r w:rsidRPr="00E45508">
        <w:fldChar w:fldCharType="separate"/>
      </w:r>
      <w:r w:rsidR="009A2EC4" w:rsidRPr="00E45508">
        <w:t xml:space="preserve">Table </w:t>
      </w:r>
      <w:r w:rsidR="009A2EC4">
        <w:rPr>
          <w:noProof/>
        </w:rPr>
        <w:t>8</w:t>
      </w:r>
      <w:r w:rsidRPr="00E45508">
        <w:fldChar w:fldCharType="end"/>
      </w:r>
      <w:r w:rsidRPr="00E45508">
        <w:t xml:space="preserve"> provides a summary of governance and funding arrangements while </w:t>
      </w:r>
      <w:r w:rsidRPr="00E45508">
        <w:fldChar w:fldCharType="begin"/>
      </w:r>
      <w:r w:rsidRPr="00E45508">
        <w:instrText xml:space="preserve"> REF _Ref177634211 \h </w:instrText>
      </w:r>
      <w:r w:rsidRPr="00E45508">
        <w:fldChar w:fldCharType="separate"/>
      </w:r>
      <w:r w:rsidR="009A2EC4" w:rsidRPr="00E45508">
        <w:t xml:space="preserve">Table </w:t>
      </w:r>
      <w:r w:rsidR="009A2EC4">
        <w:rPr>
          <w:noProof/>
        </w:rPr>
        <w:t>9</w:t>
      </w:r>
      <w:r w:rsidRPr="00E45508">
        <w:fldChar w:fldCharType="end"/>
      </w:r>
      <w:r w:rsidRPr="00E45508">
        <w:t xml:space="preserve"> provides an overview </w:t>
      </w:r>
      <w:r w:rsidR="0032112A" w:rsidRPr="00E45508">
        <w:t>of the</w:t>
      </w:r>
      <w:r w:rsidRPr="00E45508">
        <w:t xml:space="preserve"> benefits and risks for Option 2.</w:t>
      </w:r>
    </w:p>
    <w:p w14:paraId="6F3FBB4C" w14:textId="3BF36D45" w:rsidR="4C62F67E" w:rsidRPr="00E45508" w:rsidRDefault="005472CB" w:rsidP="00C915A5">
      <w:pPr>
        <w:pStyle w:val="Caption"/>
      </w:pPr>
      <w:bookmarkStart w:id="131" w:name="_Ref177634201"/>
      <w:bookmarkStart w:id="132" w:name="_Toc178229371"/>
      <w:r w:rsidRPr="00E45508">
        <w:t xml:space="preserve">Table </w:t>
      </w:r>
      <w:r w:rsidRPr="00E45508">
        <w:fldChar w:fldCharType="begin"/>
      </w:r>
      <w:r w:rsidRPr="00E45508">
        <w:instrText xml:space="preserve"> SEQ Table \* ARABIC </w:instrText>
      </w:r>
      <w:r w:rsidRPr="00E45508">
        <w:fldChar w:fldCharType="separate"/>
      </w:r>
      <w:r w:rsidR="009A2EC4">
        <w:rPr>
          <w:noProof/>
        </w:rPr>
        <w:t>8</w:t>
      </w:r>
      <w:r w:rsidRPr="00E45508">
        <w:fldChar w:fldCharType="end"/>
      </w:r>
      <w:bookmarkEnd w:id="131"/>
      <w:r w:rsidRPr="00E45508">
        <w:t>: Option</w:t>
      </w:r>
      <w:r w:rsidR="00421651" w:rsidRPr="00E45508">
        <w:t> 2</w:t>
      </w:r>
      <w:r w:rsidRPr="00E45508">
        <w:t xml:space="preserve"> g</w:t>
      </w:r>
      <w:r w:rsidR="0CC1C74B" w:rsidRPr="00E45508">
        <w:t>overnance</w:t>
      </w:r>
      <w:r w:rsidR="674D7912" w:rsidRPr="00E45508">
        <w:t xml:space="preserve"> and </w:t>
      </w:r>
      <w:r w:rsidR="004F18C1" w:rsidRPr="00E45508">
        <w:t>funding arrangements</w:t>
      </w:r>
      <w:bookmarkEnd w:id="132"/>
    </w:p>
    <w:tbl>
      <w:tblPr>
        <w:tblStyle w:val="PlainTable2"/>
        <w:tblW w:w="9016" w:type="dxa"/>
        <w:tblLook w:val="0420" w:firstRow="1" w:lastRow="0" w:firstColumn="0" w:lastColumn="0" w:noHBand="0" w:noVBand="1"/>
      </w:tblPr>
      <w:tblGrid>
        <w:gridCol w:w="1701"/>
        <w:gridCol w:w="7315"/>
      </w:tblGrid>
      <w:tr w:rsidR="002F0642" w:rsidRPr="00E45508" w14:paraId="5A3B8B59" w14:textId="77777777" w:rsidTr="000204D1">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5132566C" w14:textId="602E0ABE" w:rsidR="002F0642" w:rsidRPr="00E45508" w:rsidRDefault="002F0642" w:rsidP="002F0642">
            <w:pPr>
              <w:pStyle w:val="Tabletext0"/>
            </w:pPr>
            <w:r w:rsidRPr="00E45508">
              <w:t>Parameter</w:t>
            </w:r>
          </w:p>
        </w:tc>
        <w:tc>
          <w:tcPr>
            <w:tcW w:w="7315" w:type="dxa"/>
          </w:tcPr>
          <w:p w14:paraId="132A5640" w14:textId="0094820F" w:rsidR="002F0642" w:rsidRPr="00E45508" w:rsidRDefault="002F0642" w:rsidP="002F0642">
            <w:pPr>
              <w:pStyle w:val="Tabletext0"/>
            </w:pPr>
            <w:r w:rsidRPr="00E45508">
              <w:t>Description</w:t>
            </w:r>
          </w:p>
        </w:tc>
      </w:tr>
      <w:tr w:rsidR="00695FAA" w:rsidRPr="00E45508" w14:paraId="42B36C0D" w14:textId="77777777" w:rsidTr="000204D1">
        <w:trPr>
          <w:cnfStyle w:val="000000100000" w:firstRow="0" w:lastRow="0" w:firstColumn="0" w:lastColumn="0" w:oddVBand="0" w:evenVBand="0" w:oddHBand="1" w:evenHBand="0" w:firstRowFirstColumn="0" w:firstRowLastColumn="0" w:lastRowFirstColumn="0" w:lastRowLastColumn="0"/>
          <w:cantSplit/>
        </w:trPr>
        <w:tc>
          <w:tcPr>
            <w:tcW w:w="1701" w:type="dxa"/>
          </w:tcPr>
          <w:p w14:paraId="6423D87C" w14:textId="77777777" w:rsidR="00695FAA" w:rsidRPr="00E45508" w:rsidRDefault="00695FAA" w:rsidP="00164CE1">
            <w:pPr>
              <w:pStyle w:val="Tabletext0"/>
            </w:pPr>
            <w:r w:rsidRPr="00E45508">
              <w:t>Scheme</w:t>
            </w:r>
          </w:p>
        </w:tc>
        <w:tc>
          <w:tcPr>
            <w:tcW w:w="7315" w:type="dxa"/>
          </w:tcPr>
          <w:p w14:paraId="1A927BF0" w14:textId="08303CA3" w:rsidR="006843BB" w:rsidRPr="00E45508" w:rsidRDefault="58B5D3A9" w:rsidP="006843BB">
            <w:pPr>
              <w:pStyle w:val="Tabletext0"/>
            </w:pPr>
            <w:r w:rsidRPr="00E45508">
              <w:t>T</w:t>
            </w:r>
            <w:r w:rsidR="6FB4F070" w:rsidRPr="00E45508">
              <w:t>here is no regulated product stewardship scheme under this option, with mandatory requirements applying directly to regulated entities.</w:t>
            </w:r>
          </w:p>
        </w:tc>
      </w:tr>
      <w:tr w:rsidR="00695FAA" w:rsidRPr="00E45508" w14:paraId="670FE8A6" w14:textId="77777777" w:rsidTr="000204D1">
        <w:trPr>
          <w:cantSplit/>
        </w:trPr>
        <w:tc>
          <w:tcPr>
            <w:tcW w:w="1701" w:type="dxa"/>
          </w:tcPr>
          <w:p w14:paraId="784502A4" w14:textId="77777777" w:rsidR="00695FAA" w:rsidRPr="00E45508" w:rsidRDefault="00695FAA" w:rsidP="00164CE1">
            <w:pPr>
              <w:pStyle w:val="Tabletext0"/>
            </w:pPr>
            <w:r w:rsidRPr="00E45508">
              <w:t>Regulated entities</w:t>
            </w:r>
          </w:p>
        </w:tc>
        <w:tc>
          <w:tcPr>
            <w:tcW w:w="7315" w:type="dxa"/>
          </w:tcPr>
          <w:p w14:paraId="2151B708" w14:textId="52F2B59A" w:rsidR="00364459" w:rsidRPr="00E45508" w:rsidRDefault="00364459" w:rsidP="00644854">
            <w:pPr>
              <w:pStyle w:val="Tabletext0"/>
            </w:pPr>
            <w:r w:rsidRPr="00E45508">
              <w:t>Each regulated entity would be responsible for complying with mandatory requirements.</w:t>
            </w:r>
          </w:p>
          <w:p w14:paraId="56E77BE8" w14:textId="3A96E017" w:rsidR="00364459" w:rsidRPr="00E45508" w:rsidRDefault="00364459" w:rsidP="00644854">
            <w:pPr>
              <w:pStyle w:val="Tabletext0"/>
            </w:pPr>
            <w:r w:rsidRPr="00E45508">
              <w:t>Regulated entities would be expected to register and demonstrate compliance with the mandatory obligations through annual reporting.</w:t>
            </w:r>
          </w:p>
          <w:p w14:paraId="15B8BFFF" w14:textId="0DA76682" w:rsidR="00364459" w:rsidRPr="00E45508" w:rsidRDefault="00364459" w:rsidP="00644854">
            <w:pPr>
              <w:pStyle w:val="Tabletext0"/>
            </w:pPr>
            <w:r w:rsidRPr="00E45508">
              <w:t>Additional obligations could also be placed on actors further down the packaging supply chain to meet the reform objectives (e.g. mandatory data provision and/or minimum performance standards).</w:t>
            </w:r>
          </w:p>
        </w:tc>
      </w:tr>
      <w:tr w:rsidR="00695FAA" w:rsidRPr="00E45508" w14:paraId="3F8F697A" w14:textId="77777777" w:rsidTr="000204D1">
        <w:trPr>
          <w:cnfStyle w:val="000000100000" w:firstRow="0" w:lastRow="0" w:firstColumn="0" w:lastColumn="0" w:oddVBand="0" w:evenVBand="0" w:oddHBand="1" w:evenHBand="0" w:firstRowFirstColumn="0" w:firstRowLastColumn="0" w:lastRowFirstColumn="0" w:lastRowLastColumn="0"/>
          <w:cantSplit/>
        </w:trPr>
        <w:tc>
          <w:tcPr>
            <w:tcW w:w="1701" w:type="dxa"/>
          </w:tcPr>
          <w:p w14:paraId="685D0643" w14:textId="77777777" w:rsidR="00695FAA" w:rsidRPr="00E45508" w:rsidRDefault="00695FAA" w:rsidP="00164CE1">
            <w:pPr>
              <w:pStyle w:val="Tabletext0"/>
            </w:pPr>
            <w:r w:rsidRPr="00E45508">
              <w:t>Government</w:t>
            </w:r>
          </w:p>
        </w:tc>
        <w:tc>
          <w:tcPr>
            <w:tcW w:w="7315" w:type="dxa"/>
          </w:tcPr>
          <w:p w14:paraId="77544268" w14:textId="1B314D81" w:rsidR="00364459" w:rsidRPr="00E45508" w:rsidRDefault="00364459" w:rsidP="00644854">
            <w:pPr>
              <w:pStyle w:val="Tabletext0"/>
            </w:pPr>
            <w:r w:rsidRPr="00E45508">
              <w:t xml:space="preserve">The </w:t>
            </w:r>
            <w:r w:rsidRPr="00E45508" w:rsidDel="00C14831">
              <w:t>government</w:t>
            </w:r>
            <w:r w:rsidRPr="00E45508">
              <w:t xml:space="preserve"> would </w:t>
            </w:r>
            <w:r w:rsidR="002321D3" w:rsidRPr="00E45508">
              <w:t xml:space="preserve">establish and </w:t>
            </w:r>
            <w:r w:rsidRPr="00E45508">
              <w:t>administer the mandatory requirements</w:t>
            </w:r>
            <w:r w:rsidR="00006280" w:rsidRPr="00E45508">
              <w:t xml:space="preserve"> and regulatory framework</w:t>
            </w:r>
            <w:r w:rsidRPr="00E45508">
              <w:t xml:space="preserve">, including compliance </w:t>
            </w:r>
            <w:r w:rsidR="00B30A2D" w:rsidRPr="00E45508">
              <w:t xml:space="preserve">monitoring </w:t>
            </w:r>
            <w:r w:rsidRPr="00E45508">
              <w:t>and enforcement</w:t>
            </w:r>
            <w:r w:rsidR="00006280" w:rsidRPr="00E45508">
              <w:t>, and reporting</w:t>
            </w:r>
            <w:r w:rsidR="00BA4CBA" w:rsidRPr="00E45508">
              <w:t>, audit and data collection activities.</w:t>
            </w:r>
          </w:p>
          <w:p w14:paraId="30AD28BF" w14:textId="19E429EE" w:rsidR="00364459" w:rsidRPr="00E45508" w:rsidRDefault="00364459" w:rsidP="00164CE1">
            <w:pPr>
              <w:pStyle w:val="Tabletext0"/>
            </w:pPr>
            <w:r w:rsidRPr="00E45508">
              <w:t>State and territor</w:t>
            </w:r>
            <w:r w:rsidR="006D0BFA" w:rsidRPr="00E45508">
              <w:t>y governments</w:t>
            </w:r>
            <w:r w:rsidRPr="00E45508">
              <w:t xml:space="preserve"> </w:t>
            </w:r>
            <w:r w:rsidR="00026F4D" w:rsidRPr="00E45508">
              <w:t>could</w:t>
            </w:r>
            <w:r w:rsidRPr="00E45508">
              <w:t xml:space="preserve"> also have a role in supporting </w:t>
            </w:r>
            <w:r w:rsidR="00757EB2" w:rsidRPr="00E45508">
              <w:t xml:space="preserve">some of </w:t>
            </w:r>
            <w:r w:rsidR="00BA4CBA" w:rsidRPr="00E45508">
              <w:t>these activities.</w:t>
            </w:r>
          </w:p>
        </w:tc>
      </w:tr>
      <w:tr w:rsidR="00695FAA" w:rsidRPr="00E45508" w14:paraId="679B0064" w14:textId="77777777" w:rsidTr="000204D1">
        <w:trPr>
          <w:cantSplit/>
        </w:trPr>
        <w:tc>
          <w:tcPr>
            <w:tcW w:w="1701" w:type="dxa"/>
          </w:tcPr>
          <w:p w14:paraId="7BCE3745" w14:textId="77777777" w:rsidR="00695FAA" w:rsidRPr="00E45508" w:rsidRDefault="00695FAA" w:rsidP="00164CE1">
            <w:pPr>
              <w:pStyle w:val="Tabletext0"/>
            </w:pPr>
            <w:r w:rsidRPr="00E45508">
              <w:t>Industry</w:t>
            </w:r>
          </w:p>
        </w:tc>
        <w:tc>
          <w:tcPr>
            <w:tcW w:w="7315" w:type="dxa"/>
          </w:tcPr>
          <w:p w14:paraId="2F1CD77B" w14:textId="33481876" w:rsidR="00364459" w:rsidRPr="00E45508" w:rsidRDefault="00B24C85" w:rsidP="00164CE1">
            <w:pPr>
              <w:pStyle w:val="Tabletext0"/>
            </w:pPr>
            <w:r w:rsidRPr="00E45508">
              <w:t>An industry</w:t>
            </w:r>
            <w:r w:rsidR="00BC4A8F" w:rsidRPr="00E45508">
              <w:t xml:space="preserve"> body</w:t>
            </w:r>
            <w:r w:rsidR="00644D45" w:rsidRPr="00E45508">
              <w:t>/ies</w:t>
            </w:r>
            <w:r w:rsidR="00BC4A8F" w:rsidRPr="00E45508">
              <w:t xml:space="preserve"> could provide technical support</w:t>
            </w:r>
            <w:r w:rsidR="00644D45" w:rsidRPr="00E45508">
              <w:t xml:space="preserve"> to assist</w:t>
            </w:r>
            <w:r w:rsidR="00A92A30" w:rsidRPr="00E45508">
              <w:t xml:space="preserve"> </w:t>
            </w:r>
            <w:r w:rsidR="00F23207" w:rsidRPr="00E45508">
              <w:t>i</w:t>
            </w:r>
            <w:r w:rsidR="00C73C68" w:rsidRPr="00E45508">
              <w:t>nd</w:t>
            </w:r>
            <w:r w:rsidR="00A92A30" w:rsidRPr="00E45508">
              <w:t xml:space="preserve">ividual regulated entities </w:t>
            </w:r>
            <w:r w:rsidR="00364459" w:rsidRPr="00E45508">
              <w:t>meet mandatory requirements</w:t>
            </w:r>
            <w:r w:rsidR="00F23207" w:rsidRPr="00E45508">
              <w:t>.</w:t>
            </w:r>
          </w:p>
        </w:tc>
      </w:tr>
      <w:tr w:rsidR="00695FAA" w:rsidRPr="00E45508" w14:paraId="3722FCE3" w14:textId="77777777" w:rsidTr="000204D1">
        <w:trPr>
          <w:cnfStyle w:val="000000100000" w:firstRow="0" w:lastRow="0" w:firstColumn="0" w:lastColumn="0" w:oddVBand="0" w:evenVBand="0" w:oddHBand="1" w:evenHBand="0" w:firstRowFirstColumn="0" w:firstRowLastColumn="0" w:lastRowFirstColumn="0" w:lastRowLastColumn="0"/>
          <w:cantSplit/>
        </w:trPr>
        <w:tc>
          <w:tcPr>
            <w:tcW w:w="1701" w:type="dxa"/>
          </w:tcPr>
          <w:p w14:paraId="406AFC28" w14:textId="77777777" w:rsidR="00695FAA" w:rsidRPr="00E45508" w:rsidRDefault="00695FAA" w:rsidP="00164CE1">
            <w:pPr>
              <w:pStyle w:val="Tabletext0"/>
            </w:pPr>
            <w:r w:rsidRPr="00E45508">
              <w:t>Funding arrangements</w:t>
            </w:r>
          </w:p>
        </w:tc>
        <w:tc>
          <w:tcPr>
            <w:tcW w:w="7315" w:type="dxa"/>
          </w:tcPr>
          <w:p w14:paraId="5FFEBFD6" w14:textId="278E8715" w:rsidR="00364459" w:rsidRPr="00E45508" w:rsidRDefault="00364459" w:rsidP="00164CE1">
            <w:pPr>
              <w:pStyle w:val="Tabletext0"/>
            </w:pPr>
            <w:r w:rsidRPr="00E45508">
              <w:t>No financial mechanisms would be available to support regulatory obligations.</w:t>
            </w:r>
          </w:p>
          <w:p w14:paraId="4B126788" w14:textId="77777777" w:rsidR="00364459" w:rsidRPr="00E45508" w:rsidRDefault="00364459" w:rsidP="00164CE1">
            <w:pPr>
              <w:pStyle w:val="Tabletext0"/>
            </w:pPr>
            <w:r w:rsidRPr="00E45508">
              <w:t>Each regulated entity would need to fund activities to ensure compliance with mandatory requirements, consistent with other regulatory based business costs.</w:t>
            </w:r>
          </w:p>
          <w:p w14:paraId="5CB90AA2" w14:textId="45A052B2" w:rsidR="00B76794" w:rsidRPr="00E45508" w:rsidRDefault="00364459" w:rsidP="00164CE1">
            <w:pPr>
              <w:pStyle w:val="Tabletext0"/>
            </w:pPr>
            <w:r w:rsidRPr="00E45508">
              <w:t xml:space="preserve">Possible cost recovery from industry for </w:t>
            </w:r>
            <w:r w:rsidR="214CD7E1" w:rsidRPr="00E45508">
              <w:t>g</w:t>
            </w:r>
            <w:r w:rsidR="40897D7C" w:rsidRPr="00E45508">
              <w:t>overnment</w:t>
            </w:r>
            <w:r w:rsidRPr="00E45508">
              <w:t xml:space="preserve"> administration of arrangements only.</w:t>
            </w:r>
          </w:p>
        </w:tc>
      </w:tr>
      <w:tr w:rsidR="00695FAA" w:rsidRPr="00E45508" w14:paraId="3B567BF2" w14:textId="77777777" w:rsidTr="000204D1">
        <w:trPr>
          <w:cantSplit/>
        </w:trPr>
        <w:tc>
          <w:tcPr>
            <w:tcW w:w="1701" w:type="dxa"/>
          </w:tcPr>
          <w:p w14:paraId="544C5061" w14:textId="77777777" w:rsidR="00695FAA" w:rsidRPr="00E45508" w:rsidRDefault="00695FAA" w:rsidP="00164CE1">
            <w:pPr>
              <w:pStyle w:val="Tabletext0"/>
            </w:pPr>
            <w:r w:rsidRPr="00E45508">
              <w:t>Reporting and data sharing</w:t>
            </w:r>
          </w:p>
        </w:tc>
        <w:tc>
          <w:tcPr>
            <w:tcW w:w="7315" w:type="dxa"/>
          </w:tcPr>
          <w:p w14:paraId="66D1B662" w14:textId="46FAFE74" w:rsidR="00364459" w:rsidRPr="00E45508" w:rsidRDefault="00364459" w:rsidP="00164CE1">
            <w:pPr>
              <w:pStyle w:val="Tabletext0"/>
            </w:pPr>
            <w:r w:rsidRPr="00E45508">
              <w:t>Regulated entities would report annually to the government to confirm liability, ensure compliance and provide data to support the arrangements.</w:t>
            </w:r>
          </w:p>
        </w:tc>
      </w:tr>
    </w:tbl>
    <w:p w14:paraId="3DFA984C" w14:textId="5D47FDC4" w:rsidR="004F18C1" w:rsidRPr="00E45508" w:rsidRDefault="004F18C1" w:rsidP="004F18C1"/>
    <w:p w14:paraId="2E0CDEB7" w14:textId="7A93252E" w:rsidR="00ED1358" w:rsidRPr="00E45508" w:rsidRDefault="005472CB" w:rsidP="00C915A5">
      <w:pPr>
        <w:pStyle w:val="Caption"/>
      </w:pPr>
      <w:bookmarkStart w:id="133" w:name="_Ref177634211"/>
      <w:bookmarkStart w:id="134" w:name="_Toc178229372"/>
      <w:r w:rsidRPr="00E45508">
        <w:t xml:space="preserve">Table </w:t>
      </w:r>
      <w:r w:rsidRPr="00E45508">
        <w:fldChar w:fldCharType="begin"/>
      </w:r>
      <w:r w:rsidRPr="00E45508">
        <w:instrText xml:space="preserve"> SEQ Table \* ARABIC </w:instrText>
      </w:r>
      <w:r w:rsidRPr="00E45508">
        <w:fldChar w:fldCharType="separate"/>
      </w:r>
      <w:r w:rsidR="009A2EC4">
        <w:rPr>
          <w:noProof/>
        </w:rPr>
        <w:t>9</w:t>
      </w:r>
      <w:r w:rsidRPr="00E45508">
        <w:fldChar w:fldCharType="end"/>
      </w:r>
      <w:bookmarkEnd w:id="133"/>
      <w:r w:rsidRPr="00E45508">
        <w:t>: Option</w:t>
      </w:r>
      <w:r w:rsidR="00421651" w:rsidRPr="00E45508">
        <w:t> 2</w:t>
      </w:r>
      <w:r w:rsidRPr="00E45508">
        <w:t xml:space="preserve"> b</w:t>
      </w:r>
      <w:r w:rsidR="00ED1358" w:rsidRPr="00E45508">
        <w:t>enefits and risks</w:t>
      </w:r>
      <w:bookmarkEnd w:id="134"/>
    </w:p>
    <w:tbl>
      <w:tblPr>
        <w:tblStyle w:val="PlainTable2"/>
        <w:tblW w:w="0" w:type="auto"/>
        <w:tblLook w:val="0420" w:firstRow="1" w:lastRow="0" w:firstColumn="0" w:lastColumn="0" w:noHBand="0" w:noVBand="1"/>
      </w:tblPr>
      <w:tblGrid>
        <w:gridCol w:w="1701"/>
        <w:gridCol w:w="7315"/>
      </w:tblGrid>
      <w:tr w:rsidR="002F0642" w:rsidRPr="00E45508" w14:paraId="70E485B0" w14:textId="77777777" w:rsidTr="33662F04">
        <w:trPr>
          <w:cnfStyle w:val="100000000000" w:firstRow="1" w:lastRow="0" w:firstColumn="0" w:lastColumn="0" w:oddVBand="0" w:evenVBand="0" w:oddHBand="0" w:evenHBand="0" w:firstRowFirstColumn="0" w:firstRowLastColumn="0" w:lastRowFirstColumn="0" w:lastRowLastColumn="0"/>
        </w:trPr>
        <w:tc>
          <w:tcPr>
            <w:tcW w:w="1701" w:type="dxa"/>
          </w:tcPr>
          <w:p w14:paraId="46DFEE45" w14:textId="384F06B1" w:rsidR="002F0642" w:rsidRPr="00E45508" w:rsidRDefault="002F0642" w:rsidP="002F0642">
            <w:pPr>
              <w:pStyle w:val="Tabletext0"/>
              <w:keepNext/>
            </w:pPr>
            <w:r w:rsidRPr="00E45508">
              <w:t>Parameter</w:t>
            </w:r>
          </w:p>
        </w:tc>
        <w:tc>
          <w:tcPr>
            <w:tcW w:w="7315" w:type="dxa"/>
          </w:tcPr>
          <w:p w14:paraId="17C4B871" w14:textId="09E8DE65" w:rsidR="002F0642" w:rsidRPr="00E45508" w:rsidRDefault="002F0642" w:rsidP="002F0642">
            <w:pPr>
              <w:pStyle w:val="Tabletext0"/>
              <w:keepNext/>
            </w:pPr>
            <w:r w:rsidRPr="00E45508">
              <w:t>Description</w:t>
            </w:r>
          </w:p>
        </w:tc>
      </w:tr>
      <w:tr w:rsidR="003C01D4" w:rsidRPr="00E45508" w14:paraId="45A6033F" w14:textId="77777777" w:rsidTr="33662F04">
        <w:trPr>
          <w:cnfStyle w:val="000000100000" w:firstRow="0" w:lastRow="0" w:firstColumn="0" w:lastColumn="0" w:oddVBand="0" w:evenVBand="0" w:oddHBand="1" w:evenHBand="0" w:firstRowFirstColumn="0" w:firstRowLastColumn="0" w:lastRowFirstColumn="0" w:lastRowLastColumn="0"/>
        </w:trPr>
        <w:tc>
          <w:tcPr>
            <w:tcW w:w="1701" w:type="dxa"/>
          </w:tcPr>
          <w:p w14:paraId="700F769B" w14:textId="160AB8FA" w:rsidR="003C01D4" w:rsidRPr="00E45508" w:rsidRDefault="003C01D4" w:rsidP="00164CE1">
            <w:pPr>
              <w:pStyle w:val="Tabletext0"/>
            </w:pPr>
            <w:r w:rsidRPr="00E45508">
              <w:t>Benefits</w:t>
            </w:r>
          </w:p>
        </w:tc>
        <w:tc>
          <w:tcPr>
            <w:tcW w:w="7315" w:type="dxa"/>
          </w:tcPr>
          <w:p w14:paraId="1C4604E2" w14:textId="4D64BCEB" w:rsidR="003C01D4" w:rsidRPr="00E45508" w:rsidRDefault="003C01D4" w:rsidP="00644854">
            <w:pPr>
              <w:pStyle w:val="TableBullet1"/>
            </w:pPr>
            <w:r w:rsidRPr="00E45508">
              <w:t>Clear and understandable requirements for industry</w:t>
            </w:r>
            <w:r w:rsidR="00214F50" w:rsidRPr="00E45508">
              <w:t>, applied nationally</w:t>
            </w:r>
            <w:r w:rsidR="003F54C0" w:rsidRPr="00E45508">
              <w:t>.</w:t>
            </w:r>
          </w:p>
          <w:p w14:paraId="7E3367E4" w14:textId="2CB059B1" w:rsidR="00C553CD" w:rsidRPr="00E45508" w:rsidRDefault="004002E0" w:rsidP="00644854">
            <w:pPr>
              <w:pStyle w:val="TableBullet1"/>
            </w:pPr>
            <w:r w:rsidRPr="00E45508">
              <w:t>Target</w:t>
            </w:r>
            <w:r w:rsidR="001208A9" w:rsidRPr="00E45508">
              <w:t>s</w:t>
            </w:r>
            <w:r w:rsidR="003C01D4" w:rsidRPr="00E45508">
              <w:t xml:space="preserve"> the packaging causing the most problems</w:t>
            </w:r>
            <w:r w:rsidR="00E67F67" w:rsidRPr="00E45508">
              <w:t>, removing those from market</w:t>
            </w:r>
            <w:r w:rsidR="003F54C0" w:rsidRPr="00E45508">
              <w:t>.</w:t>
            </w:r>
          </w:p>
          <w:p w14:paraId="317B145A" w14:textId="17AC4FA0" w:rsidR="00A14F6E" w:rsidRPr="00E45508" w:rsidRDefault="7E5ADBD8" w:rsidP="00644854">
            <w:pPr>
              <w:pStyle w:val="TableBullet1"/>
            </w:pPr>
            <w:r w:rsidRPr="00E45508">
              <w:t>Improved c</w:t>
            </w:r>
            <w:r w:rsidR="174699CF" w:rsidRPr="00E45508">
              <w:t xml:space="preserve">onsumer </w:t>
            </w:r>
            <w:r w:rsidR="4F443826" w:rsidRPr="00E45508">
              <w:t xml:space="preserve">recycling </w:t>
            </w:r>
            <w:r w:rsidRPr="00E45508">
              <w:t xml:space="preserve">awareness </w:t>
            </w:r>
            <w:r w:rsidR="506AB7D5" w:rsidRPr="00E45508">
              <w:t xml:space="preserve">and behaviours </w:t>
            </w:r>
            <w:r w:rsidR="174699CF" w:rsidRPr="00E45508">
              <w:t xml:space="preserve">through </w:t>
            </w:r>
            <w:r w:rsidR="00204DBC">
              <w:t xml:space="preserve">education and </w:t>
            </w:r>
            <w:r w:rsidR="174699CF" w:rsidRPr="00E45508">
              <w:t>mandatory on</w:t>
            </w:r>
            <w:r w:rsidR="00832D48">
              <w:noBreakHyphen/>
            </w:r>
            <w:r w:rsidR="174699CF" w:rsidRPr="00E45508">
              <w:t xml:space="preserve">pack </w:t>
            </w:r>
            <w:r w:rsidR="006533FF">
              <w:t>recyclability</w:t>
            </w:r>
            <w:r w:rsidR="174699CF" w:rsidRPr="00E45508">
              <w:t xml:space="preserve"> labelling</w:t>
            </w:r>
            <w:r w:rsidR="003B3C47">
              <w:t>,</w:t>
            </w:r>
            <w:r w:rsidRPr="00E45508">
              <w:t xml:space="preserve"> increas</w:t>
            </w:r>
            <w:r w:rsidR="003B3C47">
              <w:t>ing</w:t>
            </w:r>
            <w:r w:rsidRPr="00E45508">
              <w:t xml:space="preserve"> recycling </w:t>
            </w:r>
            <w:r w:rsidR="6BDD6A63" w:rsidRPr="00E45508">
              <w:t xml:space="preserve">rates </w:t>
            </w:r>
            <w:r w:rsidRPr="00E45508">
              <w:t>and improv</w:t>
            </w:r>
            <w:r w:rsidR="003E305F">
              <w:t>ing</w:t>
            </w:r>
            <w:r w:rsidRPr="00E45508">
              <w:t xml:space="preserve"> the quality of kerbside </w:t>
            </w:r>
            <w:r w:rsidR="506AB7D5" w:rsidRPr="00E45508">
              <w:t>waste streams</w:t>
            </w:r>
            <w:r w:rsidR="0D260C9E" w:rsidRPr="00E45508">
              <w:t>.</w:t>
            </w:r>
          </w:p>
          <w:p w14:paraId="45360D38" w14:textId="52902EB4" w:rsidR="003C01D4" w:rsidRPr="00E45508" w:rsidRDefault="3642AFD7" w:rsidP="00644854">
            <w:pPr>
              <w:pStyle w:val="TableBullet1"/>
            </w:pPr>
            <w:r w:rsidRPr="00E45508">
              <w:t xml:space="preserve">End markets for recycled content are established driving demand for recycled material and supporting </w:t>
            </w:r>
            <w:r w:rsidR="39BDC5F0" w:rsidRPr="00E45508">
              <w:t xml:space="preserve">improvements in </w:t>
            </w:r>
            <w:r w:rsidRPr="00E45508">
              <w:t>collection</w:t>
            </w:r>
            <w:r w:rsidR="39BDC5F0" w:rsidRPr="00E45508">
              <w:t xml:space="preserve"> and recycling capacity</w:t>
            </w:r>
            <w:r w:rsidR="54C3E3C4" w:rsidRPr="00E45508">
              <w:t>.</w:t>
            </w:r>
          </w:p>
        </w:tc>
      </w:tr>
      <w:tr w:rsidR="003C01D4" w:rsidRPr="00E45508" w14:paraId="36BE666F" w14:textId="77777777" w:rsidTr="33662F04">
        <w:tc>
          <w:tcPr>
            <w:tcW w:w="1701" w:type="dxa"/>
          </w:tcPr>
          <w:p w14:paraId="0CD762EE" w14:textId="77777777" w:rsidR="003C01D4" w:rsidRPr="00E45508" w:rsidRDefault="003C01D4" w:rsidP="00164CE1">
            <w:pPr>
              <w:pStyle w:val="Tabletext0"/>
            </w:pPr>
            <w:r w:rsidRPr="00E45508">
              <w:t>Risks</w:t>
            </w:r>
          </w:p>
        </w:tc>
        <w:tc>
          <w:tcPr>
            <w:tcW w:w="7315" w:type="dxa"/>
          </w:tcPr>
          <w:p w14:paraId="3DFAEC2C" w14:textId="4E4C2C5B" w:rsidR="003C01D4" w:rsidRPr="00E45508" w:rsidRDefault="004002E0" w:rsidP="00644854">
            <w:pPr>
              <w:pStyle w:val="TableBullet1"/>
            </w:pPr>
            <w:r w:rsidRPr="00E45508">
              <w:t>B</w:t>
            </w:r>
            <w:r w:rsidR="003C01D4" w:rsidRPr="00E45508">
              <w:t>ans are a blunt tool that can reduce industry’s ability to innovate</w:t>
            </w:r>
            <w:r w:rsidR="005F042B" w:rsidRPr="00E45508">
              <w:t xml:space="preserve"> </w:t>
            </w:r>
            <w:r w:rsidR="00E64EB2" w:rsidRPr="00E45508">
              <w:t>–</w:t>
            </w:r>
            <w:r w:rsidR="005F042B" w:rsidRPr="00E45508">
              <w:t xml:space="preserve"> </w:t>
            </w:r>
            <w:r w:rsidR="00C026B7" w:rsidRPr="00E45508">
              <w:t>t</w:t>
            </w:r>
            <w:r w:rsidR="007E56F2" w:rsidRPr="00E45508">
              <w:t xml:space="preserve">hey </w:t>
            </w:r>
            <w:r w:rsidR="00F4129D" w:rsidRPr="00E45508">
              <w:t>impose challenges on addressing some packaging types such as packaging which is problematic but still required for some applications.</w:t>
            </w:r>
          </w:p>
          <w:p w14:paraId="5E433829" w14:textId="2E4CAA11" w:rsidR="003C01D4" w:rsidRPr="00E45508" w:rsidRDefault="584D14C4" w:rsidP="00644854">
            <w:pPr>
              <w:pStyle w:val="TableBullet1"/>
            </w:pPr>
            <w:r>
              <w:t>Progressive</w:t>
            </w:r>
            <w:r w:rsidR="313213C8">
              <w:t xml:space="preserve"> b</w:t>
            </w:r>
            <w:r w:rsidR="06498CA6">
              <w:t xml:space="preserve">ans </w:t>
            </w:r>
            <w:r w:rsidR="46CAE7DF">
              <w:t xml:space="preserve">could </w:t>
            </w:r>
            <w:r w:rsidR="2E559392">
              <w:t xml:space="preserve">cause unintended consequences </w:t>
            </w:r>
            <w:r w:rsidR="46CAE7DF">
              <w:t xml:space="preserve">of businesses moving to alternative materials that are not fit-for-purpose or </w:t>
            </w:r>
            <w:r w:rsidR="7BB3CA5E">
              <w:t xml:space="preserve">that </w:t>
            </w:r>
            <w:r w:rsidR="3F0A8AD4">
              <w:t>end up in landfill</w:t>
            </w:r>
            <w:r w:rsidR="46CAE7DF">
              <w:t xml:space="preserve">. </w:t>
            </w:r>
            <w:r w:rsidR="6193C503">
              <w:t>An example</w:t>
            </w:r>
            <w:r w:rsidR="7BFE3533">
              <w:t xml:space="preserve"> under current single-use plastic </w:t>
            </w:r>
            <w:bookmarkStart w:id="135" w:name="_Int_sTE0DYZg"/>
            <w:r w:rsidR="7BFE3533">
              <w:t>bans</w:t>
            </w:r>
            <w:bookmarkEnd w:id="135"/>
            <w:r w:rsidR="70559372">
              <w:t>,</w:t>
            </w:r>
            <w:r w:rsidR="7BFE3533">
              <w:t xml:space="preserve"> implemented at the state and territory level, </w:t>
            </w:r>
            <w:r w:rsidR="356C2754">
              <w:t xml:space="preserve">is </w:t>
            </w:r>
            <w:r w:rsidR="7BFE3533">
              <w:t>the</w:t>
            </w:r>
            <w:r w:rsidR="356C2754">
              <w:t xml:space="preserve"> growing</w:t>
            </w:r>
            <w:r w:rsidR="7BFE3533">
              <w:t xml:space="preserve"> use of compostable alternatives without collection and processing facilities </w:t>
            </w:r>
            <w:r w:rsidR="2CBC86C1">
              <w:t xml:space="preserve">available </w:t>
            </w:r>
            <w:r w:rsidR="7BFE3533">
              <w:t>at scale, resulting in these materials often ending up in landfill.</w:t>
            </w:r>
          </w:p>
          <w:p w14:paraId="2F020B38" w14:textId="100E60E0" w:rsidR="001E2E14" w:rsidRPr="00E45508" w:rsidRDefault="006212DE" w:rsidP="00791CC5">
            <w:pPr>
              <w:pStyle w:val="TableBullet1"/>
            </w:pPr>
            <w:r w:rsidRPr="00E45508">
              <w:t>Without a regulated scheme and scheme administrator, there is no entity responsible for delivering industry</w:t>
            </w:r>
            <w:r w:rsidR="007A53F3" w:rsidRPr="00E45508">
              <w:t xml:space="preserve">-level </w:t>
            </w:r>
            <w:r w:rsidRPr="00E45508">
              <w:t>actions and outcomes, such as targets. This will likely undermine existing collective industry progress and efforts led by APCO.</w:t>
            </w:r>
          </w:p>
          <w:p w14:paraId="195634B5" w14:textId="4DF1CB97" w:rsidR="003C01D4" w:rsidRPr="00E45508" w:rsidRDefault="003C01D4" w:rsidP="00644854">
            <w:pPr>
              <w:pStyle w:val="TableBullet1"/>
            </w:pPr>
            <w:r w:rsidRPr="00E45508">
              <w:t>No financial mechanism to</w:t>
            </w:r>
            <w:r w:rsidR="00DC1928" w:rsidRPr="00E45508">
              <w:t xml:space="preserve"> support the collection and disbursement of funds for</w:t>
            </w:r>
            <w:r w:rsidRPr="00E45508">
              <w:t xml:space="preserve"> invest</w:t>
            </w:r>
            <w:r w:rsidR="00DC1928" w:rsidRPr="00E45508">
              <w:t>ment</w:t>
            </w:r>
            <w:r w:rsidRPr="00E45508">
              <w:t xml:space="preserve"> in </w:t>
            </w:r>
            <w:r w:rsidR="007D7559" w:rsidRPr="00E45508">
              <w:t xml:space="preserve">collection, </w:t>
            </w:r>
            <w:r w:rsidR="00AF2912" w:rsidRPr="00E45508">
              <w:t>re</w:t>
            </w:r>
            <w:r w:rsidR="00C31CA6" w:rsidRPr="00E45508">
              <w:t>processing and re</w:t>
            </w:r>
            <w:r w:rsidR="00AF2912" w:rsidRPr="00E45508">
              <w:t xml:space="preserve">cycling </w:t>
            </w:r>
            <w:r w:rsidRPr="00E45508">
              <w:t>system</w:t>
            </w:r>
            <w:r w:rsidR="00DE12DA" w:rsidRPr="00E45508">
              <w:t>s.</w:t>
            </w:r>
          </w:p>
          <w:p w14:paraId="1B30B5E2" w14:textId="08E4A90C" w:rsidR="00626183" w:rsidRPr="00E45508" w:rsidRDefault="003C01D4" w:rsidP="00644854">
            <w:pPr>
              <w:pStyle w:val="TableBullet1"/>
            </w:pPr>
            <w:r w:rsidRPr="00E45508">
              <w:t xml:space="preserve">Compliance burden falls on individual businesses </w:t>
            </w:r>
            <w:r w:rsidR="009B4A52" w:rsidRPr="00E45508">
              <w:t xml:space="preserve">risking increased non-compliance. This risk is likely to be exacerbated for </w:t>
            </w:r>
            <w:r w:rsidR="003D3697" w:rsidRPr="00E45508">
              <w:t xml:space="preserve">regulated </w:t>
            </w:r>
            <w:r w:rsidR="009B4A52" w:rsidRPr="00E45508">
              <w:t>small to medium sized businesses.</w:t>
            </w:r>
          </w:p>
        </w:tc>
      </w:tr>
    </w:tbl>
    <w:p w14:paraId="13B51B76" w14:textId="6836B2ED" w:rsidR="4A0AE6D3" w:rsidRPr="00E45508" w:rsidRDefault="4A0AE6D3" w:rsidP="00C44B4B">
      <w:pPr>
        <w:pStyle w:val="Heading3"/>
      </w:pPr>
      <w:bookmarkStart w:id="136" w:name="_Toc177126599"/>
      <w:bookmarkStart w:id="137" w:name="_Toc177493009"/>
      <w:bookmarkStart w:id="138" w:name="_Ref177635564"/>
      <w:bookmarkStart w:id="139" w:name="_Ref178127882"/>
      <w:bookmarkStart w:id="140" w:name="_Toc178230254"/>
      <w:r w:rsidRPr="00E45508">
        <w:t>Option</w:t>
      </w:r>
      <w:r w:rsidR="00421651" w:rsidRPr="00E45508">
        <w:t> 3</w:t>
      </w:r>
      <w:r w:rsidRPr="00E45508">
        <w:t xml:space="preserve">: An </w:t>
      </w:r>
      <w:r w:rsidR="002F3068" w:rsidRPr="00E45508">
        <w:t>e</w:t>
      </w:r>
      <w:r w:rsidRPr="00E45508">
        <w:t>xtended producer responsibility scheme for packaging</w:t>
      </w:r>
      <w:bookmarkEnd w:id="136"/>
      <w:bookmarkEnd w:id="137"/>
      <w:bookmarkEnd w:id="138"/>
      <w:bookmarkEnd w:id="139"/>
      <w:bookmarkEnd w:id="140"/>
    </w:p>
    <w:p w14:paraId="021A1334" w14:textId="42A9F865" w:rsidR="00050CC9" w:rsidRPr="00E45508" w:rsidRDefault="624FA027" w:rsidP="003F54C0">
      <w:r w:rsidRPr="00E45508">
        <w:t>Option</w:t>
      </w:r>
      <w:r w:rsidR="36F14B88" w:rsidRPr="00E45508">
        <w:t> 3</w:t>
      </w:r>
      <w:r w:rsidRPr="00E45508">
        <w:t xml:space="preserve"> </w:t>
      </w:r>
      <w:r w:rsidR="4D998F92" w:rsidRPr="00E45508">
        <w:t>would introduce a</w:t>
      </w:r>
      <w:r w:rsidR="608C9658" w:rsidRPr="00E45508">
        <w:t xml:space="preserve"> national</w:t>
      </w:r>
      <w:r w:rsidR="4D998F92" w:rsidRPr="00E45508">
        <w:t xml:space="preserve"> </w:t>
      </w:r>
      <w:r w:rsidR="720667FF" w:rsidRPr="00E45508">
        <w:t>EPR</w:t>
      </w:r>
      <w:r w:rsidR="4D998F92" w:rsidRPr="00E45508">
        <w:t xml:space="preserve"> scheme</w:t>
      </w:r>
      <w:r w:rsidR="0016681B" w:rsidRPr="00E45508">
        <w:t xml:space="preserve"> (</w:t>
      </w:r>
      <w:r w:rsidR="0016681B" w:rsidRPr="00E45508">
        <w:fldChar w:fldCharType="begin"/>
      </w:r>
      <w:r w:rsidR="0016681B" w:rsidRPr="00E45508">
        <w:instrText xml:space="preserve"> REF _Ref177634410 \h </w:instrText>
      </w:r>
      <w:r w:rsidR="0016681B" w:rsidRPr="00E45508">
        <w:fldChar w:fldCharType="separate"/>
      </w:r>
      <w:r w:rsidR="009A2EC4" w:rsidRPr="00E45508">
        <w:t xml:space="preserve">Box </w:t>
      </w:r>
      <w:r w:rsidR="009A2EC4">
        <w:rPr>
          <w:noProof/>
        </w:rPr>
        <w:t>5</w:t>
      </w:r>
      <w:r w:rsidR="0016681B" w:rsidRPr="00E45508">
        <w:fldChar w:fldCharType="end"/>
      </w:r>
      <w:r w:rsidR="0016681B" w:rsidRPr="00E45508">
        <w:t>)</w:t>
      </w:r>
      <w:r w:rsidR="4D998F92" w:rsidRPr="00E45508">
        <w:t xml:space="preserve"> for packaging</w:t>
      </w:r>
      <w:r w:rsidR="608C9658" w:rsidRPr="00E45508">
        <w:t xml:space="preserve"> </w:t>
      </w:r>
      <w:r w:rsidR="0AD86EA7" w:rsidRPr="00E45508">
        <w:t xml:space="preserve">using </w:t>
      </w:r>
      <w:r w:rsidR="2A9E3B8B" w:rsidRPr="00E45508">
        <w:t xml:space="preserve">a mix of </w:t>
      </w:r>
      <w:r w:rsidR="0AD86EA7" w:rsidRPr="00E45508">
        <w:t>financial mechanisms and regulatory obligations</w:t>
      </w:r>
      <w:r w:rsidR="3F09B933" w:rsidRPr="00E45508">
        <w:t xml:space="preserve"> established under Commonwealth legislation</w:t>
      </w:r>
      <w:r w:rsidR="0AD86EA7" w:rsidRPr="00E45508">
        <w:t xml:space="preserve">. </w:t>
      </w:r>
      <w:r w:rsidR="6B9BFF0A" w:rsidRPr="00E45508">
        <w:t>The</w:t>
      </w:r>
      <w:r w:rsidR="7C90DC82" w:rsidRPr="00E45508">
        <w:t xml:space="preserve"> </w:t>
      </w:r>
      <w:r w:rsidR="1B7532C1" w:rsidRPr="00E45508">
        <w:t>NEPM would be revoked</w:t>
      </w:r>
      <w:r w:rsidR="52F70F28" w:rsidRPr="00E45508">
        <w:t>,</w:t>
      </w:r>
      <w:r w:rsidR="1B7532C1" w:rsidRPr="00E45508">
        <w:t xml:space="preserve"> and state and territory governments would </w:t>
      </w:r>
      <w:r w:rsidR="73420D39" w:rsidRPr="00E45508">
        <w:t xml:space="preserve">make any necessary changes to </w:t>
      </w:r>
      <w:r w:rsidR="336D6AAB" w:rsidRPr="00E45508">
        <w:t>legislation</w:t>
      </w:r>
      <w:r w:rsidR="73420D39" w:rsidRPr="00E45508">
        <w:t xml:space="preserve"> that support</w:t>
      </w:r>
      <w:r w:rsidR="20CC8B83" w:rsidRPr="00E45508">
        <w:t>s</w:t>
      </w:r>
      <w:r w:rsidR="1B7532C1" w:rsidRPr="00E45508">
        <w:t xml:space="preserve"> the NEPM in their jurisdiction</w:t>
      </w:r>
      <w:r w:rsidR="6B9BFF0A" w:rsidRPr="00E45508">
        <w:t>, and the co-regulatory arrangement would cease</w:t>
      </w:r>
      <w:r w:rsidR="1B7532C1" w:rsidRPr="00E45508">
        <w:t>.</w:t>
      </w:r>
    </w:p>
    <w:p w14:paraId="3FE4591A" w14:textId="3B6492C8" w:rsidR="002F0642" w:rsidRPr="00E45508" w:rsidRDefault="009119DF" w:rsidP="003F26EF">
      <w:r>
        <w:t xml:space="preserve">As for Option 2, </w:t>
      </w:r>
      <w:r w:rsidR="00913254">
        <w:t>i</w:t>
      </w:r>
      <w:r w:rsidRPr="00E45508">
        <w:t>ndustry</w:t>
      </w:r>
      <w:r w:rsidR="00E5535D" w:rsidRPr="00E45508">
        <w:t xml:space="preserve"> education </w:t>
      </w:r>
      <w:r w:rsidR="00211606">
        <w:t>c</w:t>
      </w:r>
      <w:r>
        <w:t>ould raise</w:t>
      </w:r>
      <w:r w:rsidR="00E5535D" w:rsidRPr="00E45508">
        <w:t xml:space="preserve"> awareness of </w:t>
      </w:r>
      <w:r w:rsidR="00E5535D">
        <w:t xml:space="preserve">any new </w:t>
      </w:r>
      <w:r>
        <w:t>regulatory obligations</w:t>
      </w:r>
      <w:r w:rsidR="0090019F">
        <w:t>. C</w:t>
      </w:r>
      <w:r w:rsidRPr="00E45508">
        <w:t xml:space="preserve">ommunity </w:t>
      </w:r>
      <w:r w:rsidR="00E5535D" w:rsidRPr="00E45508">
        <w:t>education and behaviour change efforts</w:t>
      </w:r>
      <w:r w:rsidR="00E5535D">
        <w:t xml:space="preserve"> could </w:t>
      </w:r>
      <w:r w:rsidRPr="00E45508">
        <w:t>increase community participation in the arrangements</w:t>
      </w:r>
      <w:r>
        <w:t>.</w:t>
      </w:r>
    </w:p>
    <w:tbl>
      <w:tblPr>
        <w:tblStyle w:val="TableGrid"/>
        <w:tblW w:w="0" w:type="auto"/>
        <w:tblLook w:val="04A0" w:firstRow="1" w:lastRow="0" w:firstColumn="1" w:lastColumn="0" w:noHBand="0" w:noVBand="1"/>
      </w:tblPr>
      <w:tblGrid>
        <w:gridCol w:w="9060"/>
      </w:tblGrid>
      <w:tr w:rsidR="0062223B" w:rsidRPr="00E45508" w14:paraId="097095A1" w14:textId="77777777" w:rsidTr="1EC2C0DA">
        <w:tc>
          <w:tcPr>
            <w:tcW w:w="9060" w:type="dxa"/>
            <w:shd w:val="clear" w:color="auto" w:fill="F2F2F2" w:themeFill="accent6" w:themeFillShade="F2"/>
          </w:tcPr>
          <w:p w14:paraId="73E90942" w14:textId="53F7CBFF" w:rsidR="00EE6BC9" w:rsidRPr="00E45508" w:rsidRDefault="00A825F3" w:rsidP="00C915A5">
            <w:pPr>
              <w:pStyle w:val="Caption"/>
            </w:pPr>
            <w:bookmarkStart w:id="141" w:name="_Ref177634410"/>
            <w:bookmarkStart w:id="142" w:name="_Toc178229395"/>
            <w:r w:rsidRPr="00E45508">
              <w:t xml:space="preserve">Box </w:t>
            </w:r>
            <w:r w:rsidRPr="00E45508">
              <w:fldChar w:fldCharType="begin"/>
            </w:r>
            <w:r w:rsidRPr="00E45508">
              <w:instrText>SEQ Box \* ARABIC</w:instrText>
            </w:r>
            <w:r w:rsidRPr="00E45508">
              <w:fldChar w:fldCharType="separate"/>
            </w:r>
            <w:r w:rsidR="009A2EC4">
              <w:rPr>
                <w:noProof/>
              </w:rPr>
              <w:t>5</w:t>
            </w:r>
            <w:r w:rsidRPr="00E45508">
              <w:fldChar w:fldCharType="end"/>
            </w:r>
            <w:bookmarkEnd w:id="141"/>
            <w:r w:rsidRPr="00E45508">
              <w:t xml:space="preserve">: </w:t>
            </w:r>
            <w:r w:rsidR="2A6AA1D5" w:rsidRPr="00E45508">
              <w:t xml:space="preserve">What is </w:t>
            </w:r>
            <w:r w:rsidR="2DB52EAD" w:rsidRPr="00E45508">
              <w:t>Extended Producer Responsibility</w:t>
            </w:r>
            <w:r w:rsidR="5BC86128" w:rsidRPr="00E45508">
              <w:t>?</w:t>
            </w:r>
            <w:bookmarkEnd w:id="142"/>
          </w:p>
          <w:p w14:paraId="0DE267B8" w14:textId="768CBDDE" w:rsidR="00115BFB" w:rsidRPr="00E45508" w:rsidRDefault="1032243E" w:rsidP="00764062">
            <w:pPr>
              <w:pStyle w:val="BoxText"/>
            </w:pPr>
            <w:r w:rsidRPr="00E45508">
              <w:t>Extended Producer Responsibility</w:t>
            </w:r>
            <w:r w:rsidR="40AB5D9E" w:rsidRPr="00E45508">
              <w:t xml:space="preserve"> (EPR)</w:t>
            </w:r>
            <w:r w:rsidR="55CB224F" w:rsidRPr="00E45508">
              <w:t xml:space="preserve"> is a policy approach that makes producers responsible for their products along the entire lifecycle</w:t>
            </w:r>
            <w:r w:rsidR="605F14E0" w:rsidRPr="00E45508">
              <w:t xml:space="preserve"> by shifting financial or operational responsibility</w:t>
            </w:r>
            <w:r w:rsidR="004B1D68">
              <w:t xml:space="preserve"> to them</w:t>
            </w:r>
            <w:r w:rsidR="00D9057D">
              <w:t xml:space="preserve"> (</w:t>
            </w:r>
            <w:r w:rsidR="00D9057D" w:rsidRPr="00E45508">
              <w:t>OECD 2024</w:t>
            </w:r>
            <w:r w:rsidR="00D9057D">
              <w:t>)</w:t>
            </w:r>
            <w:r w:rsidR="609F0A60" w:rsidRPr="00E45508">
              <w:t>.</w:t>
            </w:r>
            <w:r w:rsidR="55CB224F" w:rsidRPr="00E45508">
              <w:t xml:space="preserve"> </w:t>
            </w:r>
            <w:r w:rsidRPr="00E45508">
              <w:t xml:space="preserve">EPR </w:t>
            </w:r>
            <w:r w:rsidR="500825A1" w:rsidRPr="00E45508">
              <w:t>involves the provision of incentives</w:t>
            </w:r>
            <w:r w:rsidR="382ECA49" w:rsidRPr="00E45508">
              <w:t xml:space="preserve"> </w:t>
            </w:r>
            <w:r w:rsidR="691083E6" w:rsidRPr="00E45508">
              <w:t>(typically in the form of fees)</w:t>
            </w:r>
            <w:r w:rsidR="500825A1" w:rsidRPr="00E45508">
              <w:t xml:space="preserve"> </w:t>
            </w:r>
            <w:r w:rsidR="0A4F8192" w:rsidRPr="00E45508">
              <w:t xml:space="preserve">to </w:t>
            </w:r>
            <w:r w:rsidR="1DFDB8AD" w:rsidRPr="00E45508">
              <w:t xml:space="preserve">encourage </w:t>
            </w:r>
            <w:r w:rsidR="0A4F8192" w:rsidRPr="00E45508">
              <w:t xml:space="preserve">producers to take into account </w:t>
            </w:r>
            <w:r w:rsidR="63AE1F52" w:rsidRPr="00E45508">
              <w:t xml:space="preserve">the full lifecycle and </w:t>
            </w:r>
            <w:r w:rsidR="0A4F8192" w:rsidRPr="00E45508">
              <w:t xml:space="preserve">environmental </w:t>
            </w:r>
            <w:r w:rsidR="63AE1F52" w:rsidRPr="00E45508">
              <w:t xml:space="preserve">impacts caused by </w:t>
            </w:r>
            <w:r w:rsidR="0A4F8192" w:rsidRPr="00E45508">
              <w:t>their products</w:t>
            </w:r>
            <w:r w:rsidR="63AE1F52" w:rsidRPr="00E45508">
              <w:t>, many of which are currently borne by governments and taxpayers</w:t>
            </w:r>
            <w:r w:rsidR="0C153730" w:rsidRPr="00E45508">
              <w:t xml:space="preserve">. </w:t>
            </w:r>
            <w:r w:rsidR="5C3E688F" w:rsidRPr="00E45508">
              <w:t>In</w:t>
            </w:r>
            <w:r w:rsidR="1F872A20" w:rsidRPr="00E45508">
              <w:t xml:space="preserve"> financial EPR</w:t>
            </w:r>
            <w:r w:rsidR="432FEFE7" w:rsidRPr="00E45508">
              <w:t xml:space="preserve">, </w:t>
            </w:r>
            <w:r w:rsidR="3A6985F1" w:rsidRPr="00E45508">
              <w:t>producers pay fees</w:t>
            </w:r>
            <w:r w:rsidR="32A1ADA0" w:rsidRPr="00E45508">
              <w:t xml:space="preserve"> based on the recyclability of their products</w:t>
            </w:r>
            <w:r w:rsidR="3A6985F1" w:rsidRPr="00E45508">
              <w:t xml:space="preserve"> to cover collection and recycling services </w:t>
            </w:r>
            <w:r w:rsidR="32A1ADA0" w:rsidRPr="00E45508">
              <w:t>operated by the public sector.</w:t>
            </w:r>
          </w:p>
          <w:p w14:paraId="04CAE1F7" w14:textId="62D8D320" w:rsidR="002F4B55" w:rsidRPr="00E45508" w:rsidRDefault="002F4B55" w:rsidP="00764062">
            <w:pPr>
              <w:pStyle w:val="BoxText"/>
            </w:pPr>
            <w:r w:rsidRPr="00E45508">
              <w:t xml:space="preserve">EPR has been found to be successful in </w:t>
            </w:r>
            <w:r w:rsidR="00B57237" w:rsidRPr="00E45508">
              <w:t xml:space="preserve">improving data and understanding of material flows, </w:t>
            </w:r>
            <w:r w:rsidR="00DE5D1C" w:rsidRPr="00E45508">
              <w:t xml:space="preserve">ensuring sufficient funding </w:t>
            </w:r>
            <w:r w:rsidR="00B83614" w:rsidRPr="00E45508">
              <w:t xml:space="preserve">to manage products at end-of-life, </w:t>
            </w:r>
            <w:r w:rsidR="000B17AE" w:rsidRPr="00E45508">
              <w:t>and increasing material recovery and recycling rates.</w:t>
            </w:r>
          </w:p>
          <w:p w14:paraId="3712C61E" w14:textId="088C38F1" w:rsidR="006674F4" w:rsidRPr="00E45508" w:rsidRDefault="16B2B4AB" w:rsidP="00764062">
            <w:pPr>
              <w:pStyle w:val="BoxText"/>
            </w:pPr>
            <w:r w:rsidRPr="00E45508">
              <w:t>In addition to holding producers responsible for the end-of-life impacts of their products through EPR, eco-modulation offers a more advanced mechanism</w:t>
            </w:r>
            <w:r w:rsidR="07D90547" w:rsidRPr="00E45508">
              <w:t xml:space="preserve"> </w:t>
            </w:r>
            <w:r w:rsidR="62101C90" w:rsidRPr="00E45508">
              <w:t>to</w:t>
            </w:r>
            <w:r w:rsidR="07D90547" w:rsidRPr="00E45508">
              <w:t xml:space="preserve"> incentivise </w:t>
            </w:r>
            <w:r w:rsidR="5A7C6238" w:rsidRPr="00E45508">
              <w:t xml:space="preserve">circular outcomes and disincentivise </w:t>
            </w:r>
            <w:r w:rsidR="62101C90" w:rsidRPr="00E45508">
              <w:t>product characteristics which impede recyclability or cause environmental harm</w:t>
            </w:r>
            <w:r w:rsidRPr="00E45508">
              <w:t xml:space="preserve">. Eco-modulation can both hold producers accountable for the costs of recovering their products and </w:t>
            </w:r>
            <w:r w:rsidR="1862229A" w:rsidRPr="00E45508">
              <w:t xml:space="preserve">influence changes in product design </w:t>
            </w:r>
            <w:r w:rsidR="07D90547" w:rsidRPr="00E45508">
              <w:t>or function to improve recyclability, reuse, or other circularity outcomes.</w:t>
            </w:r>
          </w:p>
        </w:tc>
      </w:tr>
    </w:tbl>
    <w:p w14:paraId="03552C83" w14:textId="5704804F" w:rsidR="00A825F3" w:rsidRPr="00E45508" w:rsidRDefault="00A825F3" w:rsidP="00A825F3"/>
    <w:p w14:paraId="1C47645C" w14:textId="77777777" w:rsidR="003F26EF" w:rsidRPr="00E45508" w:rsidRDefault="003F26EF" w:rsidP="003F26EF">
      <w:pPr>
        <w:pStyle w:val="Heading4"/>
        <w:numPr>
          <w:ilvl w:val="2"/>
          <w:numId w:val="22"/>
        </w:numPr>
      </w:pPr>
      <w:r w:rsidRPr="00E45508">
        <w:t>Key elements</w:t>
      </w:r>
    </w:p>
    <w:p w14:paraId="79E1CE59" w14:textId="77777777" w:rsidR="003F26EF" w:rsidRPr="00E45508" w:rsidRDefault="003F26EF" w:rsidP="003F26EF">
      <w:r w:rsidRPr="00E45508">
        <w:t>Option 3 has the following key elements which are addressed in turn below:</w:t>
      </w:r>
    </w:p>
    <w:p w14:paraId="66B61D9F" w14:textId="77777777" w:rsidR="003F26EF" w:rsidRPr="00E45508" w:rsidRDefault="003F26EF" w:rsidP="003F26EF">
      <w:pPr>
        <w:pStyle w:val="ListBullet"/>
      </w:pPr>
      <w:r w:rsidRPr="00E45508">
        <w:t>Mandatory requirements</w:t>
      </w:r>
    </w:p>
    <w:p w14:paraId="739B4F2D" w14:textId="77777777" w:rsidR="003F26EF" w:rsidRPr="00E45508" w:rsidRDefault="003F26EF" w:rsidP="003F26EF">
      <w:pPr>
        <w:pStyle w:val="ListBullet"/>
      </w:pPr>
      <w:r w:rsidRPr="00E45508">
        <w:t>Eco-modulated fees</w:t>
      </w:r>
    </w:p>
    <w:p w14:paraId="28395933" w14:textId="77777777" w:rsidR="003F26EF" w:rsidRPr="00E45508" w:rsidRDefault="003F26EF" w:rsidP="003F26EF">
      <w:pPr>
        <w:pStyle w:val="ListBullet"/>
      </w:pPr>
      <w:bookmarkStart w:id="143" w:name="_Hlk176257006"/>
      <w:r w:rsidRPr="00E45508">
        <w:t>System funding</w:t>
      </w:r>
    </w:p>
    <w:bookmarkEnd w:id="143"/>
    <w:p w14:paraId="3B1FCA13" w14:textId="42B8DFCE" w:rsidR="003F26EF" w:rsidRPr="00E45508" w:rsidRDefault="003F26EF" w:rsidP="003F26EF">
      <w:pPr>
        <w:pStyle w:val="ListBullet"/>
      </w:pPr>
      <w:r w:rsidRPr="00E45508">
        <w:t>Scheme outcomes</w:t>
      </w:r>
      <w:r w:rsidR="005F2006">
        <w:t>.</w:t>
      </w:r>
    </w:p>
    <w:p w14:paraId="3C5ACEF2" w14:textId="77777777" w:rsidR="0016681B" w:rsidRPr="00E45508" w:rsidRDefault="0016681B" w:rsidP="00BB325C">
      <w:pPr>
        <w:pStyle w:val="Heading5"/>
        <w:rPr>
          <w:lang w:val="en-AU"/>
        </w:rPr>
      </w:pPr>
      <w:r w:rsidRPr="00E45508">
        <w:rPr>
          <w:lang w:val="en-AU"/>
        </w:rPr>
        <w:t>Mandatory requirements</w:t>
      </w:r>
    </w:p>
    <w:p w14:paraId="02C1DCAE" w14:textId="3643389F" w:rsidR="0016681B" w:rsidRPr="00E45508" w:rsidRDefault="0016681B" w:rsidP="0016681B">
      <w:bookmarkStart w:id="144" w:name="_Hlk177485651"/>
      <w:bookmarkEnd w:id="144"/>
      <w:r w:rsidRPr="00E45508">
        <w:t>Mandatory obligations would also apply under Option 3, including recycled content thresholds, bans on a limited number of materials or additives which impede recycling (e.g. carbon black, oxo</w:t>
      </w:r>
      <w:r w:rsidRPr="00E45508">
        <w:noBreakHyphen/>
        <w:t xml:space="preserve">degradables and PFAS) and mandatory </w:t>
      </w:r>
      <w:r w:rsidR="00D246B3">
        <w:t xml:space="preserve">recyclability </w:t>
      </w:r>
      <w:r w:rsidRPr="00E45508">
        <w:t xml:space="preserve">labelling. However, Option 3 would not implement the </w:t>
      </w:r>
      <w:r w:rsidR="00635524">
        <w:t>progressive</w:t>
      </w:r>
      <w:r w:rsidR="00635524" w:rsidRPr="00E45508">
        <w:t xml:space="preserve"> </w:t>
      </w:r>
      <w:r w:rsidRPr="00E45508">
        <w:t>bans</w:t>
      </w:r>
      <w:r w:rsidR="00576F95">
        <w:t xml:space="preserve"> </w:t>
      </w:r>
      <w:r w:rsidRPr="00E45508">
        <w:t>p</w:t>
      </w:r>
      <w:r w:rsidR="00635524">
        <w:t>rop</w:t>
      </w:r>
      <w:r w:rsidRPr="00E45508">
        <w:t>osed under Option 2.</w:t>
      </w:r>
    </w:p>
    <w:p w14:paraId="6D9E7D4A" w14:textId="311C0C7D" w:rsidR="00421979" w:rsidRPr="00E45508" w:rsidRDefault="4E7E3E13" w:rsidP="00BB325C">
      <w:pPr>
        <w:pStyle w:val="Heading5"/>
        <w:rPr>
          <w:lang w:val="en-AU"/>
        </w:rPr>
      </w:pPr>
      <w:r w:rsidRPr="00E45508">
        <w:rPr>
          <w:lang w:val="en-AU"/>
        </w:rPr>
        <w:t xml:space="preserve">Eco-modulated </w:t>
      </w:r>
      <w:r w:rsidR="7E902A71" w:rsidRPr="00E45508">
        <w:rPr>
          <w:lang w:val="en-AU"/>
        </w:rPr>
        <w:t>EPR</w:t>
      </w:r>
      <w:r w:rsidR="7182B09A" w:rsidRPr="00E45508">
        <w:rPr>
          <w:lang w:val="en-AU"/>
        </w:rPr>
        <w:t xml:space="preserve"> fees</w:t>
      </w:r>
    </w:p>
    <w:p w14:paraId="0FF705FA" w14:textId="74B5D44E" w:rsidR="0046717D" w:rsidRPr="00E45508" w:rsidRDefault="1369E5D0" w:rsidP="007A0B5B">
      <w:r w:rsidRPr="00E45508">
        <w:t>Under Option</w:t>
      </w:r>
      <w:r w:rsidR="00421651" w:rsidRPr="00E45508">
        <w:t> 3</w:t>
      </w:r>
      <w:r w:rsidRPr="00E45508">
        <w:t xml:space="preserve"> regulated entities would pay eco-modulated fees based on the</w:t>
      </w:r>
      <w:r w:rsidR="00B761FB" w:rsidRPr="00E45508">
        <w:t xml:space="preserve"> material type and</w:t>
      </w:r>
      <w:r w:rsidRPr="00E45508">
        <w:t xml:space="preserve"> volume they place on the market.</w:t>
      </w:r>
      <w:r w:rsidR="7C9625EC" w:rsidRPr="00E45508">
        <w:t xml:space="preserve"> </w:t>
      </w:r>
      <w:r w:rsidR="0046717D" w:rsidRPr="00E45508">
        <w:t xml:space="preserve">EPR fees would provide a financial incentive for businesses to reduce their use of </w:t>
      </w:r>
      <w:r w:rsidR="6598EE8A" w:rsidRPr="00E45508">
        <w:t>unnecessary or excessive</w:t>
      </w:r>
      <w:r w:rsidR="0046717D" w:rsidRPr="00E45508">
        <w:t xml:space="preserve"> packaging. </w:t>
      </w:r>
      <w:r w:rsidR="2404ECA3" w:rsidRPr="00E45508">
        <w:t>F</w:t>
      </w:r>
      <w:r w:rsidR="0046717D" w:rsidRPr="00E45508">
        <w:t xml:space="preserve">ees could also be </w:t>
      </w:r>
      <w:r w:rsidR="0DFE6DE3" w:rsidRPr="00E45508">
        <w:t>used to improv</w:t>
      </w:r>
      <w:r w:rsidR="16DF3B48" w:rsidRPr="00E45508">
        <w:t>e</w:t>
      </w:r>
      <w:r w:rsidR="0DFE6DE3" w:rsidRPr="00E45508">
        <w:t xml:space="preserve"> the recyclability of packaging</w:t>
      </w:r>
      <w:r w:rsidR="46F7D15E" w:rsidRPr="00E45508">
        <w:t xml:space="preserve"> by linking them to</w:t>
      </w:r>
      <w:r w:rsidR="4530CEDA" w:rsidRPr="00E45508">
        <w:t xml:space="preserve"> </w:t>
      </w:r>
      <w:r w:rsidR="4A1E817B" w:rsidRPr="00E45508">
        <w:t>a</w:t>
      </w:r>
      <w:r w:rsidR="0046717D" w:rsidRPr="00E45508">
        <w:t xml:space="preserve"> </w:t>
      </w:r>
      <w:r w:rsidR="00E372AC" w:rsidRPr="00E45508">
        <w:t>recyclability grading</w:t>
      </w:r>
      <w:r w:rsidR="00B727B3">
        <w:t xml:space="preserve"> framework</w:t>
      </w:r>
      <w:r w:rsidR="0046717D" w:rsidRPr="00E45508">
        <w:t xml:space="preserve"> through fee modulation</w:t>
      </w:r>
      <w:r w:rsidR="49CABD3E" w:rsidRPr="00E45508">
        <w:t>.</w:t>
      </w:r>
      <w:r w:rsidR="11D96BB5" w:rsidRPr="00E45508">
        <w:t xml:space="preserve"> This would</w:t>
      </w:r>
      <w:r w:rsidR="0046717D" w:rsidRPr="00E45508">
        <w:t xml:space="preserve"> encourage businesses to consider end of life impacts </w:t>
      </w:r>
      <w:r w:rsidR="00EA5131" w:rsidRPr="00E45508">
        <w:t xml:space="preserve">when making </w:t>
      </w:r>
      <w:r w:rsidR="0046717D" w:rsidRPr="00E45508">
        <w:t>packaging design and material decisions</w:t>
      </w:r>
      <w:r w:rsidR="00AB626F" w:rsidRPr="00E45508">
        <w:t xml:space="preserve"> and</w:t>
      </w:r>
      <w:r w:rsidR="0046717D" w:rsidRPr="00E45508">
        <w:t xml:space="preserve"> increase packaging recyclability (</w:t>
      </w:r>
      <w:r w:rsidR="00A15328" w:rsidRPr="00E45508">
        <w:t>s</w:t>
      </w:r>
      <w:r w:rsidR="0046717D" w:rsidRPr="00E45508">
        <w:t xml:space="preserve">ee section </w:t>
      </w:r>
      <w:r w:rsidR="004B5323">
        <w:fldChar w:fldCharType="begin"/>
      </w:r>
      <w:r w:rsidR="004B5323">
        <w:instrText xml:space="preserve"> REF _Ref178126744 \n \h </w:instrText>
      </w:r>
      <w:r w:rsidR="004B5323">
        <w:fldChar w:fldCharType="separate"/>
      </w:r>
      <w:r w:rsidR="009A2EC4">
        <w:t>5.9</w:t>
      </w:r>
      <w:r w:rsidR="004B5323">
        <w:fldChar w:fldCharType="end"/>
      </w:r>
      <w:r w:rsidR="00B5356D">
        <w:t xml:space="preserve"> </w:t>
      </w:r>
      <w:r w:rsidR="0046717D" w:rsidRPr="00E45508">
        <w:t xml:space="preserve">below for more information on design criteria and </w:t>
      </w:r>
      <w:r w:rsidR="007B56D1" w:rsidRPr="00E45508">
        <w:t>recyclability</w:t>
      </w:r>
      <w:r w:rsidR="0046717D" w:rsidRPr="00E45508">
        <w:t>).</w:t>
      </w:r>
    </w:p>
    <w:p w14:paraId="106D241F" w14:textId="729E4342" w:rsidR="00303CE6" w:rsidRPr="00E45508" w:rsidRDefault="63F8A3E1" w:rsidP="007A0B5B">
      <w:r w:rsidRPr="00E45508">
        <w:t xml:space="preserve">Different </w:t>
      </w:r>
      <w:r w:rsidR="646EE3B4" w:rsidRPr="00E45508">
        <w:t>potent</w:t>
      </w:r>
      <w:r w:rsidR="362B55CC" w:rsidRPr="00E45508">
        <w:t>i</w:t>
      </w:r>
      <w:r w:rsidR="646EE3B4" w:rsidRPr="00E45508">
        <w:t>al</w:t>
      </w:r>
      <w:r w:rsidR="1272BF61" w:rsidRPr="00E45508">
        <w:t xml:space="preserve"> </w:t>
      </w:r>
      <w:r w:rsidRPr="00E45508">
        <w:t xml:space="preserve">approaches </w:t>
      </w:r>
      <w:r w:rsidR="00A75C4D" w:rsidRPr="00E45508">
        <w:t xml:space="preserve">to </w:t>
      </w:r>
      <w:r w:rsidR="00BE1DE8">
        <w:t xml:space="preserve">EPR </w:t>
      </w:r>
      <w:r w:rsidR="00A75C4D" w:rsidRPr="00E45508">
        <w:t>fee modulation</w:t>
      </w:r>
      <w:r w:rsidRPr="00E45508">
        <w:t xml:space="preserve"> are outlined in </w:t>
      </w:r>
      <w:r w:rsidR="007A0B5B" w:rsidRPr="00E45508">
        <w:rPr>
          <w:highlight w:val="yellow"/>
        </w:rPr>
        <w:fldChar w:fldCharType="begin"/>
      </w:r>
      <w:r w:rsidR="007A0B5B" w:rsidRPr="00E45508">
        <w:instrText xml:space="preserve"> REF _Ref177161874 \h </w:instrText>
      </w:r>
      <w:r w:rsidR="007A0B5B" w:rsidRPr="00E45508">
        <w:rPr>
          <w:highlight w:val="yellow"/>
        </w:rPr>
        <w:instrText xml:space="preserve"> \* MERGEFORMAT </w:instrText>
      </w:r>
      <w:r w:rsidR="007A0B5B" w:rsidRPr="00E45508">
        <w:rPr>
          <w:highlight w:val="yellow"/>
        </w:rPr>
      </w:r>
      <w:r w:rsidR="007A0B5B" w:rsidRPr="00E45508">
        <w:rPr>
          <w:highlight w:val="yellow"/>
        </w:rPr>
        <w:fldChar w:fldCharType="separate"/>
      </w:r>
      <w:r w:rsidR="009A2EC4" w:rsidRPr="00E45508">
        <w:t xml:space="preserve">Box </w:t>
      </w:r>
      <w:r w:rsidR="009A2EC4">
        <w:rPr>
          <w:noProof/>
        </w:rPr>
        <w:t>6</w:t>
      </w:r>
      <w:r w:rsidR="007A0B5B" w:rsidRPr="00E45508">
        <w:rPr>
          <w:highlight w:val="yellow"/>
        </w:rPr>
        <w:fldChar w:fldCharType="end"/>
      </w:r>
      <w:r w:rsidR="00631CE9">
        <w:t xml:space="preserve">, while </w:t>
      </w:r>
      <w:r w:rsidR="00A87406">
        <w:fldChar w:fldCharType="begin"/>
      </w:r>
      <w:r w:rsidR="00A87406">
        <w:instrText xml:space="preserve"> REF _Ref178173993 \h </w:instrText>
      </w:r>
      <w:r w:rsidR="00A87406">
        <w:fldChar w:fldCharType="separate"/>
      </w:r>
      <w:r w:rsidR="009A2EC4" w:rsidRPr="00E45508">
        <w:t xml:space="preserve">Box </w:t>
      </w:r>
      <w:r w:rsidR="009A2EC4">
        <w:rPr>
          <w:noProof/>
        </w:rPr>
        <w:t>7</w:t>
      </w:r>
      <w:r w:rsidR="00A87406">
        <w:fldChar w:fldCharType="end"/>
      </w:r>
      <w:r w:rsidR="00631CE9">
        <w:t xml:space="preserve"> highlights </w:t>
      </w:r>
      <w:r w:rsidR="3AA10BE9">
        <w:t>how</w:t>
      </w:r>
      <w:r w:rsidR="00631CE9">
        <w:t xml:space="preserve"> Container Deposit Schemes</w:t>
      </w:r>
      <w:r w:rsidR="00E26398">
        <w:t xml:space="preserve"> </w:t>
      </w:r>
      <w:r w:rsidR="185A9E4A" w:rsidRPr="00670E5F">
        <w:t xml:space="preserve">incentivise </w:t>
      </w:r>
      <w:r w:rsidR="00670E5F" w:rsidRPr="00670E5F">
        <w:t>downstream processing and recovery</w:t>
      </w:r>
      <w:r w:rsidR="00631CE9">
        <w:t xml:space="preserve"> of eligible containers</w:t>
      </w:r>
      <w:r w:rsidR="00DA10DE">
        <w:t>.</w:t>
      </w:r>
    </w:p>
    <w:tbl>
      <w:tblPr>
        <w:tblStyle w:val="TableGrid"/>
        <w:tblW w:w="0" w:type="auto"/>
        <w:tblLook w:val="04A0" w:firstRow="1" w:lastRow="0" w:firstColumn="1" w:lastColumn="0" w:noHBand="0" w:noVBand="1"/>
      </w:tblPr>
      <w:tblGrid>
        <w:gridCol w:w="9060"/>
      </w:tblGrid>
      <w:tr w:rsidR="00A848D8" w:rsidRPr="00E45508" w14:paraId="656621E1" w14:textId="77777777" w:rsidTr="1EC2C0DA">
        <w:tc>
          <w:tcPr>
            <w:tcW w:w="9060" w:type="dxa"/>
            <w:shd w:val="clear" w:color="auto" w:fill="F2F2F2" w:themeFill="accent6" w:themeFillShade="F2"/>
          </w:tcPr>
          <w:p w14:paraId="460F7834" w14:textId="28440FD2" w:rsidR="00303CE6" w:rsidRPr="00E45508" w:rsidRDefault="18FB3528" w:rsidP="00C915A5">
            <w:pPr>
              <w:pStyle w:val="Caption"/>
            </w:pPr>
            <w:bookmarkStart w:id="145" w:name="_Ref177161874"/>
            <w:bookmarkStart w:id="146" w:name="_Ref177127327"/>
            <w:bookmarkStart w:id="147" w:name="_Toc178229396"/>
            <w:r w:rsidRPr="00E45508">
              <w:t xml:space="preserve">Box </w:t>
            </w:r>
            <w:r w:rsidR="00347DE5" w:rsidRPr="00E45508">
              <w:fldChar w:fldCharType="begin"/>
            </w:r>
            <w:r w:rsidR="00347DE5" w:rsidRPr="00E45508">
              <w:instrText>SEQ Box \* ARABIC</w:instrText>
            </w:r>
            <w:r w:rsidR="00347DE5" w:rsidRPr="00E45508">
              <w:fldChar w:fldCharType="separate"/>
            </w:r>
            <w:r w:rsidR="009A2EC4">
              <w:rPr>
                <w:noProof/>
              </w:rPr>
              <w:t>6</w:t>
            </w:r>
            <w:r w:rsidR="00347DE5" w:rsidRPr="00E45508">
              <w:fldChar w:fldCharType="end"/>
            </w:r>
            <w:bookmarkEnd w:id="145"/>
            <w:r w:rsidR="00303CE6" w:rsidRPr="00E45508">
              <w:t xml:space="preserve">: Possible approaches to EPR fee modulation using </w:t>
            </w:r>
            <w:r w:rsidR="6383AF49" w:rsidRPr="00E45508">
              <w:t xml:space="preserve">high density </w:t>
            </w:r>
            <w:r w:rsidR="4344AE2C" w:rsidRPr="00E45508">
              <w:t>polyethylene</w:t>
            </w:r>
            <w:r w:rsidR="6383AF49" w:rsidRPr="00E45508">
              <w:t xml:space="preserve"> (</w:t>
            </w:r>
            <w:r w:rsidR="00303CE6" w:rsidRPr="00E45508">
              <w:t>HDPE</w:t>
            </w:r>
            <w:r w:rsidR="6383AF49" w:rsidRPr="00E45508">
              <w:t>)</w:t>
            </w:r>
            <w:r w:rsidR="00303CE6" w:rsidRPr="00E45508">
              <w:t xml:space="preserve"> bottles as an example</w:t>
            </w:r>
            <w:bookmarkEnd w:id="146"/>
            <w:bookmarkEnd w:id="147"/>
          </w:p>
          <w:p w14:paraId="071A85D4" w14:textId="3AB4276F" w:rsidR="62BE77BA" w:rsidRPr="00E45508" w:rsidRDefault="62BE77BA" w:rsidP="00764062">
            <w:pPr>
              <w:pStyle w:val="BoxText"/>
            </w:pPr>
            <w:r w:rsidRPr="00E45508">
              <w:t>POM = Volume of packaging Placed on Market</w:t>
            </w:r>
          </w:p>
          <w:p w14:paraId="5A832C8B" w14:textId="63024941" w:rsidR="00303CE6" w:rsidRPr="00E45508" w:rsidRDefault="63F8A3E1" w:rsidP="00ED38CB">
            <w:pPr>
              <w:pStyle w:val="BoxHeading"/>
            </w:pPr>
            <w:r w:rsidRPr="00E45508">
              <w:t>Basic modulation</w:t>
            </w:r>
          </w:p>
          <w:p w14:paraId="7550BF89" w14:textId="622B2875" w:rsidR="00303CE6" w:rsidRPr="00E45508" w:rsidRDefault="00303CE6" w:rsidP="00DF2EE1">
            <w:pPr>
              <w:pStyle w:val="BoxTextBullet"/>
            </w:pPr>
            <w:r w:rsidRPr="00E45508">
              <w:t xml:space="preserve">Each </w:t>
            </w:r>
            <w:r w:rsidRPr="00DF2EE1">
              <w:t>material</w:t>
            </w:r>
            <w:r w:rsidRPr="00E45508">
              <w:t xml:space="preserve"> would be allocated a fee</w:t>
            </w:r>
            <w:r w:rsidR="75F9CE39" w:rsidRPr="00E45508">
              <w:t xml:space="preserve"> </w:t>
            </w:r>
            <w:r w:rsidR="00AF01BA" w:rsidRPr="00E45508">
              <w:t>amount</w:t>
            </w:r>
            <w:r w:rsidR="75F9CE39" w:rsidRPr="00E45508">
              <w:t xml:space="preserve"> which would be multiplied by the volume of that material placed on the market</w:t>
            </w:r>
            <w:r w:rsidR="005274A8" w:rsidRPr="00E45508">
              <w:t>.</w:t>
            </w:r>
          </w:p>
          <w:p w14:paraId="35D0F251" w14:textId="5CA2C156" w:rsidR="00303CE6" w:rsidRPr="00E45508" w:rsidRDefault="1AB4E918" w:rsidP="00DF2EE1">
            <w:pPr>
              <w:pStyle w:val="BoxTextBullet"/>
              <w:numPr>
                <w:ilvl w:val="1"/>
                <w:numId w:val="9"/>
              </w:numPr>
            </w:pPr>
            <w:r w:rsidRPr="00E45508">
              <w:t xml:space="preserve">Basic </w:t>
            </w:r>
            <w:r w:rsidR="63F8A3E1" w:rsidRPr="00E45508">
              <w:t xml:space="preserve">fee = (POM x </w:t>
            </w:r>
            <w:r w:rsidR="7E648935" w:rsidRPr="00E45508">
              <w:t>HDPE</w:t>
            </w:r>
            <w:r w:rsidR="63F8A3E1" w:rsidRPr="00E45508">
              <w:t xml:space="preserve"> fee)</w:t>
            </w:r>
          </w:p>
          <w:p w14:paraId="179914A6" w14:textId="2A7EF178" w:rsidR="00303CE6" w:rsidRPr="00E45508" w:rsidRDefault="00303CE6" w:rsidP="00EE6CBC">
            <w:pPr>
              <w:pStyle w:val="BoxHeading"/>
            </w:pPr>
            <w:r w:rsidRPr="00E45508">
              <w:t>Advanced modulation</w:t>
            </w:r>
          </w:p>
          <w:p w14:paraId="4991AF89" w14:textId="207F62BC" w:rsidR="001417E2" w:rsidRPr="00E45508" w:rsidRDefault="001417E2" w:rsidP="00DF2EE1">
            <w:pPr>
              <w:pStyle w:val="BoxTextBullet"/>
            </w:pPr>
            <w:r w:rsidRPr="00E45508">
              <w:t>All packaging would be evaluated for recyclability based on its material, additives, labels, chemicals, and other components which may prevent recyclability.</w:t>
            </w:r>
          </w:p>
          <w:p w14:paraId="7508053D" w14:textId="266CD9B5" w:rsidR="001417E2" w:rsidRPr="00E45508" w:rsidRDefault="0E5E89C6" w:rsidP="00DF2EE1">
            <w:pPr>
              <w:pStyle w:val="BoxTextBullet"/>
            </w:pPr>
            <w:r w:rsidRPr="00E45508">
              <w:t>A grade would then be assigned, with more recyclable packaging receiving a higher grade and lower fees</w:t>
            </w:r>
            <w:r w:rsidR="6C6092A4" w:rsidRPr="00E45508">
              <w:t xml:space="preserve"> (see </w:t>
            </w:r>
            <w:r w:rsidR="009C1A40">
              <w:t>s</w:t>
            </w:r>
            <w:r w:rsidR="6C6092A4" w:rsidRPr="00E45508">
              <w:t xml:space="preserve">ection </w:t>
            </w:r>
            <w:r w:rsidR="009923C2">
              <w:fldChar w:fldCharType="begin"/>
            </w:r>
            <w:r w:rsidR="009923C2">
              <w:instrText xml:space="preserve"> REF _Ref178128158 \r \h </w:instrText>
            </w:r>
            <w:r w:rsidR="009923C2">
              <w:fldChar w:fldCharType="separate"/>
            </w:r>
            <w:r w:rsidR="009A2EC4">
              <w:t>5.9</w:t>
            </w:r>
            <w:r w:rsidR="009923C2">
              <w:fldChar w:fldCharType="end"/>
            </w:r>
            <w:r w:rsidR="6C6092A4" w:rsidRPr="00E45508">
              <w:t>)</w:t>
            </w:r>
            <w:r w:rsidRPr="00E45508">
              <w:t>.</w:t>
            </w:r>
          </w:p>
          <w:p w14:paraId="25180A79" w14:textId="5270F344" w:rsidR="001417E2" w:rsidRPr="00E45508" w:rsidRDefault="0E5E89C6" w:rsidP="00DF2EE1">
            <w:pPr>
              <w:pStyle w:val="BoxTextBullet"/>
            </w:pPr>
            <w:r w:rsidRPr="00E45508">
              <w:t xml:space="preserve">Grades would be used to determine </w:t>
            </w:r>
            <w:r w:rsidR="253DA2F9" w:rsidRPr="00E45508">
              <w:t>the</w:t>
            </w:r>
            <w:r w:rsidRPr="00E45508">
              <w:t xml:space="preserve"> fee</w:t>
            </w:r>
            <w:r w:rsidR="253DA2F9" w:rsidRPr="00E45508">
              <w:t xml:space="preserve"> for that type of packaging placed on the market</w:t>
            </w:r>
            <w:r w:rsidRPr="00E45508">
              <w:t>, depending on the volume of packaging placed on the market.</w:t>
            </w:r>
          </w:p>
          <w:p w14:paraId="66B9E50B" w14:textId="683DEFD4" w:rsidR="00303CE6" w:rsidRPr="00E45508" w:rsidRDefault="0062491F" w:rsidP="00DF2EE1">
            <w:pPr>
              <w:pStyle w:val="BoxTextBullet"/>
              <w:numPr>
                <w:ilvl w:val="1"/>
                <w:numId w:val="9"/>
              </w:numPr>
            </w:pPr>
            <w:r w:rsidRPr="00E45508">
              <w:t>A</w:t>
            </w:r>
            <w:r w:rsidR="00303CE6" w:rsidRPr="00E45508">
              <w:t xml:space="preserve"> HDPE bottle falls </w:t>
            </w:r>
            <w:r w:rsidRPr="00E45508">
              <w:t>that is coloured</w:t>
            </w:r>
            <w:r w:rsidR="00327D06" w:rsidRPr="00E45508">
              <w:t xml:space="preserve"> and uses labels that impede recycling and inks that are toxic will fall into a lower category and be charged the higher fee of that category (see </w:t>
            </w:r>
            <w:r w:rsidR="00B9000F">
              <w:fldChar w:fldCharType="begin"/>
            </w:r>
            <w:r w:rsidR="00B9000F">
              <w:instrText xml:space="preserve"> REF _Ref177130634 \h </w:instrText>
            </w:r>
            <w:r w:rsidR="00B9000F">
              <w:fldChar w:fldCharType="separate"/>
            </w:r>
            <w:r w:rsidR="009A2EC4" w:rsidRPr="00E45508">
              <w:t xml:space="preserve">Box </w:t>
            </w:r>
            <w:r w:rsidR="009A2EC4">
              <w:rPr>
                <w:noProof/>
              </w:rPr>
              <w:t>9</w:t>
            </w:r>
            <w:r w:rsidR="009A2EC4" w:rsidRPr="00E45508">
              <w:t>: Design elements under consideration for restriction or to be disincentivised</w:t>
            </w:r>
            <w:r w:rsidR="00B9000F">
              <w:fldChar w:fldCharType="end"/>
            </w:r>
            <w:r w:rsidR="00327D06" w:rsidRPr="00E45508">
              <w:t>).</w:t>
            </w:r>
          </w:p>
          <w:p w14:paraId="0494C572" w14:textId="662D38BA" w:rsidR="00303CE6" w:rsidRPr="00E45508" w:rsidRDefault="00303CE6" w:rsidP="00DF2EE1">
            <w:pPr>
              <w:pStyle w:val="BoxTextBullet"/>
            </w:pPr>
            <w:r w:rsidRPr="00E45508">
              <w:t xml:space="preserve">Fees paid by </w:t>
            </w:r>
            <w:r w:rsidR="00C50D89" w:rsidRPr="00E45508">
              <w:t>regulated entities</w:t>
            </w:r>
            <w:r w:rsidRPr="00E45508">
              <w:t xml:space="preserve"> would be based on the grade the packaging falls into and proportionate to the volume of packaging placed on market.</w:t>
            </w:r>
          </w:p>
          <w:p w14:paraId="5A674FD9" w14:textId="7A2C91FB" w:rsidR="00303CE6" w:rsidRPr="00E45508" w:rsidRDefault="00303CE6" w:rsidP="00DF2EE1">
            <w:pPr>
              <w:pStyle w:val="BoxTextBullet"/>
            </w:pPr>
            <w:r w:rsidRPr="00E45508">
              <w:t xml:space="preserve">Advanced modulation recognises the impact that </w:t>
            </w:r>
            <w:r w:rsidR="002B7615" w:rsidRPr="00E45508">
              <w:t>all packaging components</w:t>
            </w:r>
            <w:r w:rsidR="00B071C2" w:rsidRPr="00E45508">
              <w:t xml:space="preserve"> </w:t>
            </w:r>
            <w:r w:rsidRPr="00E45508">
              <w:t>can have on the downstream management of a product</w:t>
            </w:r>
            <w:r w:rsidR="00B071C2" w:rsidRPr="00E45508">
              <w:t>’s packaging</w:t>
            </w:r>
            <w:r w:rsidRPr="00E45508">
              <w:t xml:space="preserve"> and allows producers to make more changes</w:t>
            </w:r>
            <w:r w:rsidRPr="00E45508" w:rsidDel="007771B1">
              <w:t xml:space="preserve"> </w:t>
            </w:r>
            <w:r w:rsidR="007771B1" w:rsidRPr="00E45508">
              <w:t xml:space="preserve">to </w:t>
            </w:r>
            <w:r w:rsidRPr="00E45508">
              <w:t xml:space="preserve">the design of their packaging </w:t>
            </w:r>
            <w:r w:rsidR="00BD0FBB" w:rsidRPr="00E45508">
              <w:t xml:space="preserve">to improve </w:t>
            </w:r>
            <w:r w:rsidR="0072123E" w:rsidRPr="00E45508">
              <w:t xml:space="preserve">its </w:t>
            </w:r>
            <w:r w:rsidR="00BD0FBB" w:rsidRPr="00E45508">
              <w:t xml:space="preserve">recyclability </w:t>
            </w:r>
            <w:r w:rsidRPr="00E45508">
              <w:t xml:space="preserve">while still </w:t>
            </w:r>
            <w:r w:rsidR="008E7975" w:rsidRPr="00E45508">
              <w:t>being</w:t>
            </w:r>
            <w:r w:rsidRPr="00E45508">
              <w:t xml:space="preserve"> financial liab</w:t>
            </w:r>
            <w:r w:rsidR="00BD0FBB" w:rsidRPr="00E45508">
              <w:t>le</w:t>
            </w:r>
            <w:r w:rsidR="00B071C2" w:rsidRPr="00E45508">
              <w:t xml:space="preserve"> </w:t>
            </w:r>
            <w:r w:rsidR="003C3F33" w:rsidRPr="00E45508">
              <w:t xml:space="preserve">for </w:t>
            </w:r>
            <w:r w:rsidR="00776331" w:rsidRPr="00E45508">
              <w:t xml:space="preserve">the cost of </w:t>
            </w:r>
            <w:r w:rsidR="008C7092" w:rsidRPr="00E45508">
              <w:t>managing these</w:t>
            </w:r>
            <w:r w:rsidR="003C3F33" w:rsidRPr="00E45508">
              <w:t xml:space="preserve"> materials </w:t>
            </w:r>
            <w:r w:rsidR="008C7092" w:rsidRPr="00E45508">
              <w:t>in</w:t>
            </w:r>
            <w:r w:rsidR="003C3F33" w:rsidRPr="00E45508">
              <w:t xml:space="preserve"> the supply chain</w:t>
            </w:r>
            <w:r w:rsidRPr="00E45508">
              <w:t>.</w:t>
            </w:r>
          </w:p>
          <w:p w14:paraId="6A98078A" w14:textId="75551EF1" w:rsidR="00303CE6" w:rsidRPr="00E45508" w:rsidRDefault="00303CE6" w:rsidP="00DF2EE1">
            <w:pPr>
              <w:pStyle w:val="BoxTextBullet"/>
              <w:numPr>
                <w:ilvl w:val="1"/>
                <w:numId w:val="9"/>
              </w:numPr>
            </w:pPr>
            <w:r w:rsidRPr="00E45508">
              <w:t>EPR Fee = HDPE Bottle (grade A</w:t>
            </w:r>
            <w:r w:rsidR="00F7310E" w:rsidRPr="00E45508">
              <w:t xml:space="preserve"> – food contact</w:t>
            </w:r>
            <w:r w:rsidRPr="00E45508">
              <w:t>) fee x POM)</w:t>
            </w:r>
          </w:p>
        </w:tc>
      </w:tr>
    </w:tbl>
    <w:p w14:paraId="69B4E0CA" w14:textId="77777777" w:rsidR="00E044B6" w:rsidRPr="00E45508" w:rsidRDefault="00E044B6" w:rsidP="00594A76"/>
    <w:p w14:paraId="094D743B" w14:textId="2E9BD9CA" w:rsidR="00347DE5" w:rsidRPr="00E45508" w:rsidRDefault="1B2DE0F2" w:rsidP="00594A76">
      <w:r w:rsidRPr="00E45508">
        <w:t xml:space="preserve">Eco-modulated </w:t>
      </w:r>
      <w:r w:rsidR="005A59D4" w:rsidRPr="00E45508">
        <w:t>fee</w:t>
      </w:r>
      <w:r w:rsidR="245F3C22" w:rsidRPr="00E45508">
        <w:t xml:space="preserve">s could </w:t>
      </w:r>
      <w:r w:rsidR="20A19997" w:rsidRPr="00E45508">
        <w:t xml:space="preserve">further </w:t>
      </w:r>
      <w:r w:rsidR="245F3C22" w:rsidRPr="00E45508">
        <w:t>be adjusted</w:t>
      </w:r>
      <w:r w:rsidR="005A59D4" w:rsidRPr="00E45508">
        <w:t xml:space="preserve"> </w:t>
      </w:r>
      <w:r w:rsidR="00DB517D" w:rsidRPr="00E45508">
        <w:t xml:space="preserve">to </w:t>
      </w:r>
      <w:r w:rsidR="00E044B6" w:rsidRPr="00E45508">
        <w:t>incentivise other improvements to packaging placed on the market</w:t>
      </w:r>
      <w:r w:rsidR="00DB517D" w:rsidRPr="00E45508">
        <w:t xml:space="preserve">. </w:t>
      </w:r>
      <w:r w:rsidR="00E044B6" w:rsidRPr="00E45508">
        <w:t xml:space="preserve">For example, </w:t>
      </w:r>
      <w:r w:rsidR="00CB602B" w:rsidRPr="00E45508">
        <w:t>an additional fee component could</w:t>
      </w:r>
      <w:r w:rsidR="00E044B6" w:rsidRPr="00E45508">
        <w:t xml:space="preserve"> be applied for the use of problematic chemicals</w:t>
      </w:r>
      <w:r w:rsidR="7C4C89AE" w:rsidRPr="00E45508">
        <w:t xml:space="preserve"> that impede recyclability</w:t>
      </w:r>
      <w:r w:rsidR="00E044B6" w:rsidRPr="00E45508">
        <w:t xml:space="preserve">, and </w:t>
      </w:r>
      <w:r w:rsidR="70430D65" w:rsidRPr="00E45508">
        <w:t xml:space="preserve">fees reduced </w:t>
      </w:r>
      <w:r w:rsidR="00E044B6" w:rsidRPr="00E45508">
        <w:t>for the use of additional recycled content in excess of the mandated minimums.</w:t>
      </w:r>
    </w:p>
    <w:tbl>
      <w:tblPr>
        <w:tblStyle w:val="TableGrid"/>
        <w:tblW w:w="0" w:type="auto"/>
        <w:tblLook w:val="04A0" w:firstRow="1" w:lastRow="0" w:firstColumn="1" w:lastColumn="0" w:noHBand="0" w:noVBand="1"/>
      </w:tblPr>
      <w:tblGrid>
        <w:gridCol w:w="9060"/>
      </w:tblGrid>
      <w:tr w:rsidR="00D142C5" w:rsidRPr="00E45508" w14:paraId="70F3C37B" w14:textId="77777777">
        <w:tc>
          <w:tcPr>
            <w:tcW w:w="9060" w:type="dxa"/>
            <w:shd w:val="clear" w:color="auto" w:fill="F2F2F2" w:themeFill="accent6" w:themeFillShade="F2"/>
          </w:tcPr>
          <w:p w14:paraId="5368F773" w14:textId="2F97BE7B" w:rsidR="006B1528" w:rsidRPr="006B1528" w:rsidRDefault="00D142C5" w:rsidP="006B1528">
            <w:pPr>
              <w:pStyle w:val="Caption"/>
              <w:rPr>
                <w:lang w:val="en-US"/>
              </w:rPr>
            </w:pPr>
            <w:bookmarkStart w:id="148" w:name="_Hlk177482445"/>
            <w:bookmarkStart w:id="149" w:name="_Ref178173993"/>
            <w:bookmarkStart w:id="150" w:name="_Toc178229397"/>
            <w:bookmarkEnd w:id="148"/>
            <w:r w:rsidRPr="00E45508">
              <w:t xml:space="preserve">Box </w:t>
            </w:r>
            <w:r w:rsidRPr="00E45508">
              <w:fldChar w:fldCharType="begin"/>
            </w:r>
            <w:r w:rsidRPr="00E45508">
              <w:instrText>SEQ Box \* ARABIC</w:instrText>
            </w:r>
            <w:r w:rsidRPr="00E45508">
              <w:fldChar w:fldCharType="separate"/>
            </w:r>
            <w:r w:rsidR="009A2EC4">
              <w:rPr>
                <w:noProof/>
              </w:rPr>
              <w:t>7</w:t>
            </w:r>
            <w:r w:rsidRPr="00E45508">
              <w:fldChar w:fldCharType="end"/>
            </w:r>
            <w:bookmarkEnd w:id="149"/>
            <w:r w:rsidRPr="00E45508">
              <w:t xml:space="preserve">: </w:t>
            </w:r>
            <w:r w:rsidR="006B1528" w:rsidRPr="006B1528">
              <w:rPr>
                <w:lang w:val="en-US"/>
              </w:rPr>
              <w:t>Container Deposit Schemes (CDS)</w:t>
            </w:r>
            <w:r w:rsidR="00C41341">
              <w:rPr>
                <w:lang w:val="en-US"/>
              </w:rPr>
              <w:t xml:space="preserve"> </w:t>
            </w:r>
            <w:r w:rsidR="00861529">
              <w:rPr>
                <w:lang w:val="en-US"/>
              </w:rPr>
              <w:t>-</w:t>
            </w:r>
            <w:r w:rsidR="006B1528" w:rsidRPr="006B1528">
              <w:rPr>
                <w:lang w:val="en-US"/>
              </w:rPr>
              <w:t xml:space="preserve"> </w:t>
            </w:r>
            <w:r w:rsidR="00FE4435">
              <w:rPr>
                <w:lang w:val="en-US"/>
              </w:rPr>
              <w:t>c</w:t>
            </w:r>
            <w:r w:rsidR="006B1528" w:rsidRPr="006B1528">
              <w:rPr>
                <w:lang w:val="en-US"/>
              </w:rPr>
              <w:t xml:space="preserve">ase </w:t>
            </w:r>
            <w:r w:rsidR="00FE4435">
              <w:rPr>
                <w:lang w:val="en-US"/>
              </w:rPr>
              <w:t>s</w:t>
            </w:r>
            <w:r w:rsidR="006B1528" w:rsidRPr="006B1528">
              <w:rPr>
                <w:lang w:val="en-US"/>
              </w:rPr>
              <w:t xml:space="preserve">tudy in </w:t>
            </w:r>
            <w:r w:rsidR="00FE4435">
              <w:rPr>
                <w:lang w:val="en-US"/>
              </w:rPr>
              <w:t>e</w:t>
            </w:r>
            <w:r w:rsidR="006B1528" w:rsidRPr="006B1528">
              <w:rPr>
                <w:lang w:val="en-US"/>
              </w:rPr>
              <w:t xml:space="preserve">ffective </w:t>
            </w:r>
            <w:r w:rsidR="00FE4435">
              <w:rPr>
                <w:lang w:val="en-US"/>
              </w:rPr>
              <w:t>p</w:t>
            </w:r>
            <w:r w:rsidR="006B1528" w:rsidRPr="006B1528">
              <w:rPr>
                <w:lang w:val="en-US"/>
              </w:rPr>
              <w:t xml:space="preserve">roduct </w:t>
            </w:r>
            <w:r w:rsidR="00FE4435">
              <w:rPr>
                <w:lang w:val="en-US"/>
              </w:rPr>
              <w:t>s</w:t>
            </w:r>
            <w:r w:rsidR="006B1528" w:rsidRPr="006B1528">
              <w:rPr>
                <w:lang w:val="en-US"/>
              </w:rPr>
              <w:t>tewardship</w:t>
            </w:r>
            <w:bookmarkEnd w:id="150"/>
          </w:p>
          <w:p w14:paraId="083CCCE3" w14:textId="77777777" w:rsidR="00FA43A0" w:rsidRPr="00FA43A0" w:rsidRDefault="00FA43A0" w:rsidP="00FA43A0">
            <w:pPr>
              <w:pStyle w:val="BoxText"/>
            </w:pPr>
            <w:r w:rsidRPr="00FA43A0">
              <w:t>The Australian Government supports CDS as an effective way to reduce litter and increase resource recovery. State and Territory CDS operate as product stewardship schemes whereby beverage suppliers pay a fee for each container they place on the market. This funds the collection and sortation of those containers which are then sold for recycling. Liable parties are required to pay 10 cents for each container to cover the deposit amount, as well as an additional 2-4 cents per container to cover the operating costs of the schemes.</w:t>
            </w:r>
          </w:p>
          <w:p w14:paraId="7BB6932C" w14:textId="77777777" w:rsidR="00FA43A0" w:rsidRPr="00FA43A0" w:rsidRDefault="00FA43A0" w:rsidP="00FA43A0">
            <w:pPr>
              <w:pStyle w:val="BoxText"/>
            </w:pPr>
            <w:r w:rsidRPr="00FA43A0">
              <w:t>CDS provides a financial incentive to consumers to return used packaging. Consumers receive a 10-cent refund for each eligible beverage container they return to a CDS collection point. Schemes also facilitate the donation of refunds to charities and community groups. CDS is very popular in Australia and has successfully increased the recycling rate of beverage containers, reduced litter, reduced the cost of kerbside collection and sorting, and provided industry with a reliable source of clean, high value recycled materials that can be reprocessed into new products.</w:t>
            </w:r>
          </w:p>
          <w:p w14:paraId="79CBA4C4" w14:textId="77777777" w:rsidR="00D142C5" w:rsidRDefault="00FA43A0" w:rsidP="00FA43A0">
            <w:pPr>
              <w:pStyle w:val="BoxText"/>
            </w:pPr>
            <w:r w:rsidRPr="00FA43A0">
              <w:t>Soon, all Australian jurisdictions will operate CDS. When the Tasmanian scheme commences in 2025, Australia will be the first continent with full coverage of CDS. In 2021, all Australian environment ministers agreed to further improve the schemes by harmonising containers (size and products), refund amounts, container approvals, and community education efforts, ensuring consistent recycling collection strategies across all jurisdictions.</w:t>
            </w:r>
          </w:p>
          <w:p w14:paraId="39F7C2AA" w14:textId="6030854A" w:rsidR="00D142C5" w:rsidRPr="003E65FC" w:rsidRDefault="004C00E9" w:rsidP="002C4E5D">
            <w:pPr>
              <w:pStyle w:val="BoxText"/>
              <w:rPr>
                <w:lang w:val="en-US"/>
              </w:rPr>
            </w:pPr>
            <w:r w:rsidRPr="004C00E9">
              <w:t>The government is considering the interaction between established CDS and Commonwealth packaging</w:t>
            </w:r>
            <w:r w:rsidR="00F8486D">
              <w:t xml:space="preserve"> reform</w:t>
            </w:r>
            <w:r w:rsidRPr="004C00E9">
              <w:t>, including liability, financial obligations, design, and labelling. The government will continue to work with state and territory governments, and industry, to ensure obligations for businesses are not duplicative.</w:t>
            </w:r>
          </w:p>
        </w:tc>
      </w:tr>
    </w:tbl>
    <w:p w14:paraId="0E054C3B" w14:textId="77777777" w:rsidR="00D142C5" w:rsidRPr="00E45508" w:rsidRDefault="00D142C5" w:rsidP="00594A76"/>
    <w:p w14:paraId="40519AF9" w14:textId="49908D7A" w:rsidR="00891387" w:rsidRPr="00E45508" w:rsidRDefault="7926B9B0" w:rsidP="00BB325C">
      <w:pPr>
        <w:pStyle w:val="Heading5"/>
        <w:rPr>
          <w:lang w:val="en-AU"/>
        </w:rPr>
      </w:pPr>
      <w:r w:rsidRPr="00E45508">
        <w:rPr>
          <w:lang w:val="en-AU"/>
        </w:rPr>
        <w:t>System funding</w:t>
      </w:r>
    </w:p>
    <w:p w14:paraId="599C03F0" w14:textId="6F5A2D4C" w:rsidR="00C00CCF" w:rsidRPr="00E45508" w:rsidRDefault="060C6FD2" w:rsidP="003334CF">
      <w:r w:rsidRPr="00E45508">
        <w:t xml:space="preserve">Fees collected from industry </w:t>
      </w:r>
      <w:r w:rsidR="5FB947CE" w:rsidRPr="00E45508">
        <w:t>c</w:t>
      </w:r>
      <w:r w:rsidR="00E46901" w:rsidRPr="00E45508">
        <w:t>ould</w:t>
      </w:r>
      <w:r w:rsidRPr="00E45508">
        <w:t xml:space="preserve"> form the revenue of the EPR scheme</w:t>
      </w:r>
      <w:r w:rsidR="1AD3E4E1" w:rsidRPr="00E45508">
        <w:t xml:space="preserve">, subject to </w:t>
      </w:r>
      <w:r w:rsidR="391CADDB" w:rsidRPr="00E45508">
        <w:t>further</w:t>
      </w:r>
      <w:r w:rsidR="1AD3E4E1" w:rsidRPr="00E45508">
        <w:t xml:space="preserve"> government consideration</w:t>
      </w:r>
      <w:r w:rsidRPr="00E45508">
        <w:t xml:space="preserve">. This revenue </w:t>
      </w:r>
      <w:r w:rsidR="00B20AE4" w:rsidRPr="00E45508">
        <w:t xml:space="preserve">would be subject to </w:t>
      </w:r>
      <w:r w:rsidR="009B6EDB" w:rsidRPr="00E45508">
        <w:t>appropriate</w:t>
      </w:r>
      <w:r w:rsidR="00B20AE4" w:rsidRPr="00E45508">
        <w:t xml:space="preserve"> governance arrangements and </w:t>
      </w:r>
      <w:r w:rsidR="00BF7DB4" w:rsidRPr="00E45508">
        <w:t>c</w:t>
      </w:r>
      <w:r w:rsidR="000045F3" w:rsidRPr="00E45508">
        <w:t>ould</w:t>
      </w:r>
      <w:r w:rsidRPr="00E45508">
        <w:t xml:space="preserve"> be allocated across the supply chain by the scheme administrator to deliver outcomes </w:t>
      </w:r>
      <w:r w:rsidR="27FF45E1" w:rsidRPr="00E45508">
        <w:t>identified</w:t>
      </w:r>
      <w:r w:rsidRPr="00E45508">
        <w:t xml:space="preserve"> </w:t>
      </w:r>
      <w:r w:rsidR="00C54122" w:rsidRPr="00E45508">
        <w:t xml:space="preserve">and agreed </w:t>
      </w:r>
      <w:r w:rsidRPr="00E45508">
        <w:t>by the government. Scheme revenue could be used to fund</w:t>
      </w:r>
      <w:r w:rsidR="0045673E" w:rsidRPr="00E45508">
        <w:t>:</w:t>
      </w:r>
    </w:p>
    <w:p w14:paraId="4B4336DE" w14:textId="7C5127F3" w:rsidR="00C00CCF" w:rsidRPr="00E45508" w:rsidRDefault="060C6FD2" w:rsidP="009C1F84">
      <w:pPr>
        <w:pStyle w:val="ListBullet"/>
      </w:pPr>
      <w:r w:rsidRPr="00E45508">
        <w:t xml:space="preserve">gaps in </w:t>
      </w:r>
      <w:r w:rsidR="00326E77" w:rsidRPr="00E45508">
        <w:t xml:space="preserve">collection, sorting, </w:t>
      </w:r>
      <w:r w:rsidR="006A62D2" w:rsidRPr="00E45508">
        <w:t>recycling</w:t>
      </w:r>
      <w:r w:rsidR="00326E77" w:rsidRPr="00E45508">
        <w:t>,</w:t>
      </w:r>
      <w:r w:rsidR="006A62D2" w:rsidRPr="00E45508">
        <w:t xml:space="preserve"> and reprocessing </w:t>
      </w:r>
      <w:r w:rsidRPr="00E45508">
        <w:t>capa</w:t>
      </w:r>
      <w:r w:rsidR="11D2E10A" w:rsidRPr="00E45508">
        <w:t>city</w:t>
      </w:r>
    </w:p>
    <w:p w14:paraId="7DEDE5BA" w14:textId="6640193E" w:rsidR="00C00CCF" w:rsidRPr="00E45508" w:rsidRDefault="00102B3A" w:rsidP="009C1F84">
      <w:pPr>
        <w:pStyle w:val="ListBullet"/>
      </w:pPr>
      <w:r w:rsidRPr="00E45508">
        <w:t>litter reduction strategies</w:t>
      </w:r>
    </w:p>
    <w:p w14:paraId="69287A8B" w14:textId="01E10170" w:rsidR="001D64E6" w:rsidRPr="00E45508" w:rsidRDefault="00750F28" w:rsidP="009C1F84">
      <w:pPr>
        <w:pStyle w:val="ListBullet"/>
      </w:pPr>
      <w:r w:rsidRPr="00E45508">
        <w:t xml:space="preserve">research and development, including </w:t>
      </w:r>
      <w:r w:rsidR="060C6FD2" w:rsidRPr="00E45508">
        <w:t>innovation to replace problematic packaging formats</w:t>
      </w:r>
    </w:p>
    <w:p w14:paraId="5F4E98C3" w14:textId="2B47758E" w:rsidR="001D64E6" w:rsidRPr="00E45508" w:rsidRDefault="060C6FD2" w:rsidP="009C1F84">
      <w:pPr>
        <w:pStyle w:val="ListBullet"/>
      </w:pPr>
      <w:r w:rsidRPr="00E45508">
        <w:t>technical support to assist with compliance</w:t>
      </w:r>
    </w:p>
    <w:p w14:paraId="4069ECB5" w14:textId="5076A092" w:rsidR="001D64E6" w:rsidRPr="00E45508" w:rsidRDefault="060C6FD2" w:rsidP="009C1F84">
      <w:pPr>
        <w:pStyle w:val="ListBullet"/>
      </w:pPr>
      <w:r w:rsidRPr="00E45508">
        <w:t>consumer education</w:t>
      </w:r>
      <w:r w:rsidR="00410069" w:rsidRPr="00E45508">
        <w:t xml:space="preserve"> to support </w:t>
      </w:r>
      <w:r w:rsidR="004574D8" w:rsidRPr="00E45508">
        <w:t>the transition</w:t>
      </w:r>
      <w:r w:rsidR="00437C30" w:rsidRPr="00E45508">
        <w:t xml:space="preserve"> to, and maintenance of a circular economy for packaging</w:t>
      </w:r>
      <w:r w:rsidRPr="00E45508">
        <w:t>.</w:t>
      </w:r>
    </w:p>
    <w:p w14:paraId="72C1CD2A" w14:textId="36B6CA6C" w:rsidR="00891387" w:rsidRPr="00E45508" w:rsidRDefault="10F7728F" w:rsidP="003334CF">
      <w:r w:rsidRPr="00E45508">
        <w:t>S</w:t>
      </w:r>
      <w:r w:rsidR="060C6FD2" w:rsidRPr="00E45508">
        <w:t xml:space="preserve">cheme funding could also cover </w:t>
      </w:r>
      <w:r w:rsidR="367A39AC" w:rsidRPr="00E45508">
        <w:t>the costs of administering the</w:t>
      </w:r>
      <w:r w:rsidR="060C6FD2" w:rsidRPr="00E45508">
        <w:t xml:space="preserve"> scheme.</w:t>
      </w:r>
      <w:r w:rsidR="00604860" w:rsidRPr="00E45508">
        <w:t xml:space="preserve"> International examples have demonstrated the success that can be achieved by EPR for packaging such as Germany, France</w:t>
      </w:r>
      <w:r w:rsidR="000379DF" w:rsidRPr="00E45508">
        <w:t xml:space="preserve">, </w:t>
      </w:r>
      <w:r w:rsidR="00604860" w:rsidRPr="00E45508">
        <w:t>Italy</w:t>
      </w:r>
      <w:r w:rsidR="00445098" w:rsidRPr="00E45508">
        <w:t>, and Belgium</w:t>
      </w:r>
      <w:r w:rsidR="00604860" w:rsidRPr="00E45508">
        <w:t xml:space="preserve"> (</w:t>
      </w:r>
      <w:r w:rsidR="001D06C1" w:rsidRPr="00E45508">
        <w:t>Gendell &amp; Stoner</w:t>
      </w:r>
      <w:r w:rsidR="00421651" w:rsidRPr="00E45508">
        <w:t> 2</w:t>
      </w:r>
      <w:r w:rsidR="00604860" w:rsidRPr="00E45508">
        <w:t>021)</w:t>
      </w:r>
      <w:r w:rsidR="008A4EF7">
        <w:t>,</w:t>
      </w:r>
      <w:r w:rsidR="00604860" w:rsidRPr="00E45508">
        <w:t xml:space="preserve"> which have seen a significant increase in recycling rates since its introduction.</w:t>
      </w:r>
    </w:p>
    <w:p w14:paraId="66B351D6" w14:textId="21280251" w:rsidR="00891387" w:rsidRPr="00E45508" w:rsidRDefault="4051D383" w:rsidP="00BB325C">
      <w:pPr>
        <w:pStyle w:val="Heading5"/>
        <w:rPr>
          <w:lang w:val="en-AU"/>
        </w:rPr>
      </w:pPr>
      <w:r w:rsidRPr="00E45508">
        <w:rPr>
          <w:lang w:val="en-AU"/>
        </w:rPr>
        <w:t xml:space="preserve">Scheme </w:t>
      </w:r>
      <w:r w:rsidR="64AEB719" w:rsidRPr="00E45508">
        <w:rPr>
          <w:lang w:val="en-AU"/>
        </w:rPr>
        <w:t>outcomes</w:t>
      </w:r>
    </w:p>
    <w:p w14:paraId="091C1FE3" w14:textId="69D62B0A" w:rsidR="0012503D" w:rsidRPr="00E45508" w:rsidRDefault="00202CCA" w:rsidP="003334CF">
      <w:r w:rsidRPr="00E45508">
        <w:t>The government could set</w:t>
      </w:r>
      <w:r w:rsidR="42503A4A" w:rsidRPr="00E45508">
        <w:t xml:space="preserve"> industry-level </w:t>
      </w:r>
      <w:r w:rsidR="709F358A" w:rsidRPr="00E45508">
        <w:t>outcomes</w:t>
      </w:r>
      <w:r w:rsidR="42503A4A" w:rsidRPr="00E45508">
        <w:t xml:space="preserve"> for</w:t>
      </w:r>
      <w:r w:rsidR="21B9B67E" w:rsidRPr="00E45508">
        <w:t xml:space="preserve"> collection, recycling and recovery</w:t>
      </w:r>
      <w:r w:rsidRPr="00E45508">
        <w:t>, reuse, recyclability and consumer education</w:t>
      </w:r>
      <w:r w:rsidR="21B9B67E" w:rsidRPr="00E45508">
        <w:t xml:space="preserve"> </w:t>
      </w:r>
      <w:r w:rsidR="00E53E62" w:rsidRPr="00E45508">
        <w:t xml:space="preserve">to </w:t>
      </w:r>
      <w:r w:rsidR="21B9B67E" w:rsidRPr="00E45508">
        <w:t xml:space="preserve">enhance the effectiveness of EPR to increase </w:t>
      </w:r>
      <w:r w:rsidR="00875F75" w:rsidRPr="00E45508">
        <w:t>packaging circularity</w:t>
      </w:r>
      <w:r w:rsidR="21B9B67E" w:rsidRPr="00E45508">
        <w:t>.</w:t>
      </w:r>
      <w:r w:rsidR="3013C071" w:rsidRPr="00E45508">
        <w:t xml:space="preserve"> </w:t>
      </w:r>
      <w:r w:rsidR="00875F75" w:rsidRPr="00E45508">
        <w:t>T</w:t>
      </w:r>
      <w:r w:rsidR="0AB0F193" w:rsidRPr="00E45508">
        <w:t xml:space="preserve">he scheme administrator would be responsible for </w:t>
      </w:r>
      <w:r w:rsidR="00420BEC" w:rsidRPr="00E45508">
        <w:t>these</w:t>
      </w:r>
      <w:r w:rsidR="0AB0F193" w:rsidRPr="00E45508">
        <w:t xml:space="preserve"> </w:t>
      </w:r>
      <w:r w:rsidR="47E75541" w:rsidRPr="00E45508">
        <w:t xml:space="preserve">outcomes </w:t>
      </w:r>
      <w:r w:rsidR="228BD57A" w:rsidRPr="00E45508">
        <w:t xml:space="preserve">and would use </w:t>
      </w:r>
      <w:r w:rsidR="3EF9349D" w:rsidRPr="00E45508">
        <w:t>scheme revenue</w:t>
      </w:r>
      <w:r w:rsidR="228BD57A" w:rsidRPr="00E45508">
        <w:t xml:space="preserve"> collected from producers to achieve them.</w:t>
      </w:r>
    </w:p>
    <w:p w14:paraId="66A85EEB" w14:textId="2B79BC57" w:rsidR="0016681B" w:rsidRPr="00E45508" w:rsidRDefault="0016681B" w:rsidP="003334CF">
      <w:r w:rsidRPr="00E45508">
        <w:fldChar w:fldCharType="begin"/>
      </w:r>
      <w:r w:rsidRPr="00E45508">
        <w:instrText xml:space="preserve"> REF _Ref177634482 \h </w:instrText>
      </w:r>
      <w:r w:rsidRPr="00E45508">
        <w:fldChar w:fldCharType="separate"/>
      </w:r>
      <w:r w:rsidR="009A2EC4" w:rsidRPr="00E45508">
        <w:t xml:space="preserve">Table </w:t>
      </w:r>
      <w:r w:rsidR="009A2EC4">
        <w:rPr>
          <w:noProof/>
        </w:rPr>
        <w:t>10</w:t>
      </w:r>
      <w:r w:rsidRPr="00E45508">
        <w:fldChar w:fldCharType="end"/>
      </w:r>
      <w:r w:rsidRPr="00E45508">
        <w:t xml:space="preserve"> provides a summary of governance and funding arrangements while </w:t>
      </w:r>
      <w:r w:rsidRPr="00E45508">
        <w:fldChar w:fldCharType="begin"/>
      </w:r>
      <w:r w:rsidRPr="00E45508">
        <w:instrText xml:space="preserve"> REF _Ref177634495 \h </w:instrText>
      </w:r>
      <w:r w:rsidRPr="00E45508">
        <w:fldChar w:fldCharType="separate"/>
      </w:r>
      <w:r w:rsidR="009A2EC4" w:rsidRPr="00E45508">
        <w:t xml:space="preserve">Table </w:t>
      </w:r>
      <w:r w:rsidR="009A2EC4">
        <w:rPr>
          <w:noProof/>
        </w:rPr>
        <w:t>11</w:t>
      </w:r>
      <w:r w:rsidRPr="00E45508">
        <w:fldChar w:fldCharType="end"/>
      </w:r>
      <w:r w:rsidRPr="00E45508">
        <w:t xml:space="preserve"> provides an overview of the benefits and risks for Option 3.</w:t>
      </w:r>
    </w:p>
    <w:p w14:paraId="4BD9EA35" w14:textId="051AAFE3" w:rsidR="003F7D8E" w:rsidRPr="00E45508" w:rsidRDefault="345534B9" w:rsidP="00C915A5">
      <w:pPr>
        <w:pStyle w:val="Caption"/>
      </w:pPr>
      <w:bookmarkStart w:id="151" w:name="_Ref177634482"/>
      <w:bookmarkStart w:id="152" w:name="_Toc178229373"/>
      <w:r w:rsidRPr="00E45508">
        <w:t xml:space="preserve">Table </w:t>
      </w:r>
      <w:r w:rsidR="005472CB" w:rsidRPr="00E45508">
        <w:fldChar w:fldCharType="begin"/>
      </w:r>
      <w:r w:rsidR="005472CB" w:rsidRPr="00E45508">
        <w:instrText xml:space="preserve"> SEQ Table \* ARABIC </w:instrText>
      </w:r>
      <w:r w:rsidR="005472CB" w:rsidRPr="00E45508">
        <w:fldChar w:fldCharType="separate"/>
      </w:r>
      <w:r w:rsidR="009A2EC4">
        <w:rPr>
          <w:noProof/>
        </w:rPr>
        <w:t>10</w:t>
      </w:r>
      <w:r w:rsidR="005472CB" w:rsidRPr="00E45508">
        <w:fldChar w:fldCharType="end"/>
      </w:r>
      <w:bookmarkEnd w:id="151"/>
      <w:r w:rsidRPr="00E45508">
        <w:t>: Option</w:t>
      </w:r>
      <w:r w:rsidR="36F14B88" w:rsidRPr="00E45508">
        <w:t> 3</w:t>
      </w:r>
      <w:r w:rsidRPr="00E45508">
        <w:t xml:space="preserve"> g</w:t>
      </w:r>
      <w:r w:rsidR="68053812" w:rsidRPr="00E45508">
        <w:t>overnance and funding arrangements</w:t>
      </w:r>
      <w:bookmarkEnd w:id="152"/>
    </w:p>
    <w:tbl>
      <w:tblPr>
        <w:tblStyle w:val="PlainTable2"/>
        <w:tblW w:w="0" w:type="auto"/>
        <w:tblLook w:val="0420" w:firstRow="1" w:lastRow="0" w:firstColumn="0" w:lastColumn="0" w:noHBand="0" w:noVBand="1"/>
      </w:tblPr>
      <w:tblGrid>
        <w:gridCol w:w="1701"/>
        <w:gridCol w:w="7315"/>
      </w:tblGrid>
      <w:tr w:rsidR="00985B21" w:rsidRPr="00E45508" w14:paraId="1B01E2F7" w14:textId="77777777" w:rsidTr="00110D4C">
        <w:trPr>
          <w:cnfStyle w:val="100000000000" w:firstRow="1" w:lastRow="0" w:firstColumn="0" w:lastColumn="0" w:oddVBand="0" w:evenVBand="0" w:oddHBand="0" w:evenHBand="0" w:firstRowFirstColumn="0" w:firstRowLastColumn="0" w:lastRowFirstColumn="0" w:lastRowLastColumn="0"/>
          <w:tblHeader/>
        </w:trPr>
        <w:tc>
          <w:tcPr>
            <w:tcW w:w="1701" w:type="dxa"/>
          </w:tcPr>
          <w:p w14:paraId="578568B0" w14:textId="57C293E2" w:rsidR="00985B21" w:rsidRPr="00E45508" w:rsidRDefault="00985B21" w:rsidP="00164CE1">
            <w:pPr>
              <w:pStyle w:val="Tabletext0"/>
            </w:pPr>
            <w:r w:rsidRPr="00E45508">
              <w:t>Parameter</w:t>
            </w:r>
          </w:p>
        </w:tc>
        <w:tc>
          <w:tcPr>
            <w:tcW w:w="7315" w:type="dxa"/>
          </w:tcPr>
          <w:p w14:paraId="340E1329" w14:textId="6F1D9B97" w:rsidR="00985B21" w:rsidRPr="00E45508" w:rsidRDefault="00985B21" w:rsidP="00164CE1">
            <w:pPr>
              <w:pStyle w:val="Tabletext0"/>
            </w:pPr>
            <w:r w:rsidRPr="00E45508">
              <w:t>Description</w:t>
            </w:r>
          </w:p>
        </w:tc>
      </w:tr>
      <w:tr w:rsidR="003F7D8E" w:rsidRPr="00E45508" w14:paraId="5EA7B210" w14:textId="77777777" w:rsidTr="00985B21">
        <w:trPr>
          <w:cnfStyle w:val="000000100000" w:firstRow="0" w:lastRow="0" w:firstColumn="0" w:lastColumn="0" w:oddVBand="0" w:evenVBand="0" w:oddHBand="1" w:evenHBand="0" w:firstRowFirstColumn="0" w:firstRowLastColumn="0" w:lastRowFirstColumn="0" w:lastRowLastColumn="0"/>
        </w:trPr>
        <w:tc>
          <w:tcPr>
            <w:tcW w:w="1701" w:type="dxa"/>
          </w:tcPr>
          <w:p w14:paraId="01FAD244" w14:textId="77777777" w:rsidR="003F7D8E" w:rsidRPr="00E45508" w:rsidRDefault="003F7D8E" w:rsidP="00164CE1">
            <w:pPr>
              <w:pStyle w:val="Tabletext0"/>
            </w:pPr>
            <w:r w:rsidRPr="00E45508">
              <w:t>Scheme</w:t>
            </w:r>
          </w:p>
        </w:tc>
        <w:tc>
          <w:tcPr>
            <w:tcW w:w="7315" w:type="dxa"/>
          </w:tcPr>
          <w:p w14:paraId="0E613A78" w14:textId="7A059864" w:rsidR="003F7D8E" w:rsidRPr="00E45508" w:rsidRDefault="003F7D8E" w:rsidP="00164CE1">
            <w:pPr>
              <w:pStyle w:val="Tabletext0"/>
            </w:pPr>
            <w:r w:rsidRPr="00E45508">
              <w:t xml:space="preserve">The scheme administrator would be responsible for administering the scheme, </w:t>
            </w:r>
            <w:r w:rsidR="012599F5" w:rsidRPr="00E45508">
              <w:t>which</w:t>
            </w:r>
            <w:r w:rsidR="66C7D466" w:rsidRPr="00E45508">
              <w:t xml:space="preserve"> could </w:t>
            </w:r>
            <w:r w:rsidRPr="00E45508">
              <w:t>includ</w:t>
            </w:r>
            <w:r w:rsidR="66C7D466" w:rsidRPr="00E45508">
              <w:t>e</w:t>
            </w:r>
            <w:r w:rsidRPr="00E45508">
              <w:t xml:space="preserve"> </w:t>
            </w:r>
            <w:r w:rsidR="79387087" w:rsidRPr="00E45508">
              <w:t>recommending updates to</w:t>
            </w:r>
            <w:r w:rsidRPr="00E45508">
              <w:t xml:space="preserve"> fee</w:t>
            </w:r>
            <w:r w:rsidR="79387087" w:rsidRPr="00E45508">
              <w:t xml:space="preserve"> settings</w:t>
            </w:r>
            <w:r w:rsidRPr="00E45508">
              <w:t>, and undertak</w:t>
            </w:r>
            <w:r w:rsidR="00BA77BE" w:rsidRPr="00E45508">
              <w:t>e</w:t>
            </w:r>
            <w:r w:rsidRPr="00E45508">
              <w:t xml:space="preserve"> coordinated </w:t>
            </w:r>
            <w:r w:rsidR="6C6671A6" w:rsidRPr="00E45508">
              <w:t xml:space="preserve">collective </w:t>
            </w:r>
            <w:r w:rsidRPr="00E45508">
              <w:t xml:space="preserve">action to meet scheme outcomes set by the government. </w:t>
            </w:r>
            <w:r w:rsidR="0BE0822F" w:rsidRPr="00E45508">
              <w:t>This includes providing support to industry</w:t>
            </w:r>
            <w:r w:rsidR="176F01CB" w:rsidRPr="00E45508">
              <w:t>.</w:t>
            </w:r>
          </w:p>
          <w:p w14:paraId="430CD72D" w14:textId="5099212B" w:rsidR="003F7D8E" w:rsidRPr="00E45508" w:rsidRDefault="003F7D8E" w:rsidP="00164CE1">
            <w:pPr>
              <w:pStyle w:val="Tabletext0"/>
            </w:pPr>
            <w:r w:rsidRPr="00E45508">
              <w:t xml:space="preserve">Given the scheme administrator’s potential spread of responsibilities, engagement across the entire </w:t>
            </w:r>
            <w:r w:rsidRPr="00E45508" w:rsidDel="00FC6BD9">
              <w:t xml:space="preserve">supply </w:t>
            </w:r>
            <w:r w:rsidRPr="00E45508">
              <w:t>chain would be important to underpin effective action.</w:t>
            </w:r>
          </w:p>
        </w:tc>
      </w:tr>
      <w:tr w:rsidR="003F7D8E" w:rsidRPr="00E45508" w14:paraId="7AE94A59" w14:textId="77777777" w:rsidTr="00985B21">
        <w:tc>
          <w:tcPr>
            <w:tcW w:w="1701" w:type="dxa"/>
          </w:tcPr>
          <w:p w14:paraId="6266EC0C" w14:textId="77777777" w:rsidR="003F7D8E" w:rsidRPr="00E45508" w:rsidRDefault="003F7D8E" w:rsidP="00164CE1">
            <w:pPr>
              <w:pStyle w:val="Tabletext0"/>
            </w:pPr>
            <w:r w:rsidRPr="00E45508">
              <w:t>Regulated entities</w:t>
            </w:r>
          </w:p>
        </w:tc>
        <w:tc>
          <w:tcPr>
            <w:tcW w:w="7315" w:type="dxa"/>
          </w:tcPr>
          <w:p w14:paraId="217A7934" w14:textId="6F61EF6B" w:rsidR="003F7D8E" w:rsidRPr="00E45508" w:rsidRDefault="003F7D8E" w:rsidP="00164CE1">
            <w:pPr>
              <w:pStyle w:val="Tabletext0"/>
            </w:pPr>
            <w:r w:rsidRPr="00E45508">
              <w:t>Regulated entities would be responsible for complying with the mandatory requirements and any additional regulatory (e.g. data reporting) and financial requirements (e.g. paying EPR fees) under the scheme.</w:t>
            </w:r>
          </w:p>
          <w:p w14:paraId="7288887E" w14:textId="55F64E33" w:rsidR="003F7D8E" w:rsidRPr="00E45508" w:rsidRDefault="003F7D8E" w:rsidP="00164CE1">
            <w:pPr>
              <w:pStyle w:val="Tabletext0"/>
            </w:pPr>
            <w:r w:rsidRPr="00E45508">
              <w:t xml:space="preserve">Additional obligations could also be placed on actors further down the packaging supply chain to </w:t>
            </w:r>
            <w:r w:rsidR="00A06C8A" w:rsidRPr="00E45508">
              <w:t xml:space="preserve">support </w:t>
            </w:r>
            <w:r w:rsidRPr="00E45508">
              <w:t>the reform objectives (e.g. mandatory data provision and/or minimum performance standards).</w:t>
            </w:r>
          </w:p>
        </w:tc>
      </w:tr>
      <w:tr w:rsidR="003F7D8E" w:rsidRPr="00E45508" w14:paraId="1137E88A" w14:textId="77777777" w:rsidTr="00985B21">
        <w:trPr>
          <w:cnfStyle w:val="000000100000" w:firstRow="0" w:lastRow="0" w:firstColumn="0" w:lastColumn="0" w:oddVBand="0" w:evenVBand="0" w:oddHBand="1" w:evenHBand="0" w:firstRowFirstColumn="0" w:firstRowLastColumn="0" w:lastRowFirstColumn="0" w:lastRowLastColumn="0"/>
        </w:trPr>
        <w:tc>
          <w:tcPr>
            <w:tcW w:w="1701" w:type="dxa"/>
          </w:tcPr>
          <w:p w14:paraId="62D62CD8" w14:textId="77777777" w:rsidR="003F7D8E" w:rsidRPr="00E45508" w:rsidRDefault="003F7D8E" w:rsidP="00164CE1">
            <w:pPr>
              <w:pStyle w:val="Tabletext0"/>
            </w:pPr>
            <w:r w:rsidRPr="00E45508">
              <w:t>Government</w:t>
            </w:r>
          </w:p>
        </w:tc>
        <w:tc>
          <w:tcPr>
            <w:tcW w:w="7315" w:type="dxa"/>
          </w:tcPr>
          <w:p w14:paraId="4D8345B1" w14:textId="77777777" w:rsidR="003F7D8E" w:rsidRPr="00E45508" w:rsidRDefault="003F7D8E" w:rsidP="00164CE1">
            <w:pPr>
              <w:pStyle w:val="Tabletext0"/>
            </w:pPr>
            <w:r w:rsidRPr="00E45508">
              <w:t>The government would be responsible for setting scheme outcomes, establishing and overseeing the scheme administrator and compliance and enforcement. It could also oversee scheme funding distribution.</w:t>
            </w:r>
          </w:p>
          <w:p w14:paraId="40156E5E" w14:textId="4F691367" w:rsidR="003F7D8E" w:rsidRPr="00E45508" w:rsidRDefault="003F7D8E" w:rsidP="00164CE1">
            <w:pPr>
              <w:pStyle w:val="Tabletext0"/>
            </w:pPr>
            <w:r w:rsidRPr="00E45508">
              <w:t>State and territor</w:t>
            </w:r>
            <w:r w:rsidR="00895DC8" w:rsidRPr="00E45508">
              <w:t>y governments could</w:t>
            </w:r>
            <w:r w:rsidRPr="00E45508">
              <w:t xml:space="preserve"> also have a role in supporting</w:t>
            </w:r>
            <w:r w:rsidR="00371F12" w:rsidRPr="00E45508">
              <w:t xml:space="preserve"> </w:t>
            </w:r>
            <w:r w:rsidRPr="00E45508">
              <w:t>assurance and data collection activities.</w:t>
            </w:r>
          </w:p>
        </w:tc>
      </w:tr>
      <w:tr w:rsidR="003F7D8E" w:rsidRPr="00E45508" w14:paraId="339C0870" w14:textId="77777777" w:rsidTr="00985B21">
        <w:tc>
          <w:tcPr>
            <w:tcW w:w="1701" w:type="dxa"/>
          </w:tcPr>
          <w:p w14:paraId="28E0A830" w14:textId="77777777" w:rsidR="003F7D8E" w:rsidRPr="00E45508" w:rsidRDefault="003F7D8E" w:rsidP="00164CE1">
            <w:pPr>
              <w:pStyle w:val="Tabletext0"/>
            </w:pPr>
            <w:r w:rsidRPr="00E45508">
              <w:t>Industry</w:t>
            </w:r>
          </w:p>
        </w:tc>
        <w:tc>
          <w:tcPr>
            <w:tcW w:w="7315" w:type="dxa"/>
          </w:tcPr>
          <w:p w14:paraId="4DA0F9CD" w14:textId="466EBFBA" w:rsidR="003F7D8E" w:rsidRPr="00E45508" w:rsidRDefault="3A294797" w:rsidP="00164CE1">
            <w:pPr>
              <w:pStyle w:val="Tabletext0"/>
            </w:pPr>
            <w:r w:rsidRPr="00E45508">
              <w:t>In addition to participating in the regulated scheme, i</w:t>
            </w:r>
            <w:r w:rsidR="003F7D8E" w:rsidRPr="00E45508">
              <w:t xml:space="preserve">ndustry could choose to take collective action (e.g. through a </w:t>
            </w:r>
            <w:r w:rsidR="078E5122" w:rsidRPr="00E45508">
              <w:t>PRO</w:t>
            </w:r>
            <w:r w:rsidR="003F7D8E" w:rsidRPr="00E45508">
              <w:t xml:space="preserve"> or other industry mechanisms) on a shared product, material or industry area to </w:t>
            </w:r>
            <w:r w:rsidR="2D310281" w:rsidRPr="00E45508">
              <w:t xml:space="preserve">augment the work of the scheme administrator and </w:t>
            </w:r>
            <w:r w:rsidR="003F7D8E" w:rsidRPr="00E45508">
              <w:t xml:space="preserve">support regulated entities with meeting mandatory requirements (e.g. incorporating the minimum amount of recycled content into their packaging). </w:t>
            </w:r>
            <w:r w:rsidR="2D310281" w:rsidRPr="00E45508">
              <w:t xml:space="preserve">Coordination of </w:t>
            </w:r>
            <w:r w:rsidR="078E5122" w:rsidRPr="00E45508">
              <w:t>PRO</w:t>
            </w:r>
            <w:r w:rsidR="42F4BBA1" w:rsidRPr="00E45508">
              <w:t>s’</w:t>
            </w:r>
            <w:r w:rsidR="2D310281" w:rsidRPr="00E45508">
              <w:t xml:space="preserve"> activities could be undertaken by the scheme administrator.</w:t>
            </w:r>
          </w:p>
        </w:tc>
      </w:tr>
      <w:tr w:rsidR="003F7D8E" w:rsidRPr="00E45508" w14:paraId="408B65AA" w14:textId="77777777" w:rsidTr="00985B21">
        <w:trPr>
          <w:cnfStyle w:val="000000100000" w:firstRow="0" w:lastRow="0" w:firstColumn="0" w:lastColumn="0" w:oddVBand="0" w:evenVBand="0" w:oddHBand="1" w:evenHBand="0" w:firstRowFirstColumn="0" w:firstRowLastColumn="0" w:lastRowFirstColumn="0" w:lastRowLastColumn="0"/>
        </w:trPr>
        <w:tc>
          <w:tcPr>
            <w:tcW w:w="1701" w:type="dxa"/>
          </w:tcPr>
          <w:p w14:paraId="03FC77CC" w14:textId="77777777" w:rsidR="003F7D8E" w:rsidRPr="00E45508" w:rsidRDefault="003F7D8E" w:rsidP="00164CE1">
            <w:pPr>
              <w:pStyle w:val="Tabletext0"/>
            </w:pPr>
            <w:r w:rsidRPr="00E45508">
              <w:t>Funding arrangements</w:t>
            </w:r>
          </w:p>
        </w:tc>
        <w:tc>
          <w:tcPr>
            <w:tcW w:w="7315" w:type="dxa"/>
          </w:tcPr>
          <w:p w14:paraId="078C8F0D" w14:textId="5BE5A694" w:rsidR="003F7D8E" w:rsidRPr="00E45508" w:rsidRDefault="68053812" w:rsidP="00164CE1">
            <w:pPr>
              <w:pStyle w:val="Tabletext0"/>
            </w:pPr>
            <w:r w:rsidRPr="00E45508">
              <w:t xml:space="preserve">EPR provides funding mechanisms </w:t>
            </w:r>
            <w:r w:rsidR="0628E91C" w:rsidRPr="00E45508">
              <w:t xml:space="preserve">to </w:t>
            </w:r>
            <w:r w:rsidRPr="00E45508">
              <w:t>support whole of supply chain action</w:t>
            </w:r>
            <w:r w:rsidR="06147CB7" w:rsidRPr="00E45508">
              <w:t>s</w:t>
            </w:r>
            <w:r w:rsidR="341ED497" w:rsidRPr="00E45508">
              <w:t xml:space="preserve">, including </w:t>
            </w:r>
            <w:r w:rsidR="0BB83829" w:rsidRPr="00E45508">
              <w:t xml:space="preserve">research and development, </w:t>
            </w:r>
            <w:r w:rsidR="341ED497" w:rsidRPr="00E45508">
              <w:t>litter</w:t>
            </w:r>
            <w:r w:rsidR="1E6C5E65" w:rsidRPr="00E45508">
              <w:t xml:space="preserve"> reduction</w:t>
            </w:r>
            <w:r w:rsidR="0BB83829" w:rsidRPr="00E45508">
              <w:t xml:space="preserve"> and consumer education</w:t>
            </w:r>
            <w:r w:rsidRPr="00E45508">
              <w:t>.</w:t>
            </w:r>
          </w:p>
          <w:p w14:paraId="36589334" w14:textId="21BE2122" w:rsidR="003F7D8E" w:rsidRPr="00E45508" w:rsidRDefault="00B36D7C" w:rsidP="00164CE1">
            <w:pPr>
              <w:pStyle w:val="Tabletext0"/>
            </w:pPr>
            <w:r w:rsidRPr="00E45508">
              <w:t>Eco-modulated f</w:t>
            </w:r>
            <w:r w:rsidR="003F7D8E" w:rsidRPr="00E45508">
              <w:t xml:space="preserve">ees would be paid by regulated entities </w:t>
            </w:r>
            <w:r w:rsidR="00884344" w:rsidRPr="00E45508">
              <w:t>based on</w:t>
            </w:r>
            <w:r w:rsidR="003F7D8E" w:rsidRPr="00E45508">
              <w:t xml:space="preserve"> the packaging they place on the market.</w:t>
            </w:r>
          </w:p>
          <w:p w14:paraId="7F14158B" w14:textId="55F7BBFB" w:rsidR="003F7D8E" w:rsidRPr="00E45508" w:rsidRDefault="003F7D8E" w:rsidP="00164CE1">
            <w:pPr>
              <w:pStyle w:val="Tabletext0"/>
            </w:pPr>
            <w:r w:rsidRPr="00E45508">
              <w:t xml:space="preserve">Possible cost recovery for </w:t>
            </w:r>
            <w:r w:rsidR="081D60DA" w:rsidRPr="00E45508">
              <w:t>the</w:t>
            </w:r>
            <w:r w:rsidR="0212C746" w:rsidRPr="00E45508">
              <w:t xml:space="preserve"> </w:t>
            </w:r>
            <w:r w:rsidR="08D10208" w:rsidRPr="00E45508">
              <w:t xml:space="preserve">Australian Government </w:t>
            </w:r>
            <w:r w:rsidRPr="00E45508">
              <w:t>administration of arrangements.</w:t>
            </w:r>
          </w:p>
        </w:tc>
      </w:tr>
      <w:tr w:rsidR="003F7D8E" w:rsidRPr="00E45508" w14:paraId="1FDEBE99" w14:textId="77777777" w:rsidTr="00985B21">
        <w:tc>
          <w:tcPr>
            <w:tcW w:w="1701" w:type="dxa"/>
          </w:tcPr>
          <w:p w14:paraId="3EC80173" w14:textId="77777777" w:rsidR="003F7D8E" w:rsidRPr="00E45508" w:rsidRDefault="003F7D8E" w:rsidP="00164CE1">
            <w:pPr>
              <w:pStyle w:val="Tabletext0"/>
            </w:pPr>
            <w:r w:rsidRPr="00E45508">
              <w:t>Reporting and data sharing</w:t>
            </w:r>
          </w:p>
        </w:tc>
        <w:tc>
          <w:tcPr>
            <w:tcW w:w="7315" w:type="dxa"/>
          </w:tcPr>
          <w:p w14:paraId="19EC78B0" w14:textId="4363FEAD" w:rsidR="003F7D8E" w:rsidRPr="00E45508" w:rsidRDefault="003F7D8E" w:rsidP="00164CE1">
            <w:pPr>
              <w:pStyle w:val="Tabletext0"/>
            </w:pPr>
            <w:r w:rsidRPr="00E45508">
              <w:t xml:space="preserve">Regulated entities would report annually to the government </w:t>
            </w:r>
            <w:r w:rsidR="0092397A" w:rsidRPr="00E45508">
              <w:t>or scheme administrator</w:t>
            </w:r>
            <w:r w:rsidRPr="00E45508">
              <w:t xml:space="preserve"> to confirm liability, ensure compliance and provide data to support the arrangements.</w:t>
            </w:r>
          </w:p>
        </w:tc>
      </w:tr>
    </w:tbl>
    <w:p w14:paraId="3081844C" w14:textId="77777777" w:rsidR="003F7D8E" w:rsidRPr="00E45508" w:rsidRDefault="003F7D8E" w:rsidP="009E679F"/>
    <w:p w14:paraId="336A39B9" w14:textId="46BC0567" w:rsidR="00624EC5" w:rsidRPr="00E45508" w:rsidRDefault="005472CB" w:rsidP="00C915A5">
      <w:pPr>
        <w:pStyle w:val="Caption"/>
      </w:pPr>
      <w:bookmarkStart w:id="153" w:name="_Ref177634495"/>
      <w:bookmarkStart w:id="154" w:name="_Toc178229374"/>
      <w:r w:rsidRPr="00E45508">
        <w:t xml:space="preserve">Table </w:t>
      </w:r>
      <w:r w:rsidRPr="00E45508">
        <w:fldChar w:fldCharType="begin"/>
      </w:r>
      <w:r w:rsidRPr="00E45508">
        <w:instrText xml:space="preserve"> SEQ Table \* ARABIC </w:instrText>
      </w:r>
      <w:r w:rsidRPr="00E45508">
        <w:fldChar w:fldCharType="separate"/>
      </w:r>
      <w:r w:rsidR="009A2EC4">
        <w:rPr>
          <w:noProof/>
        </w:rPr>
        <w:t>11</w:t>
      </w:r>
      <w:r w:rsidRPr="00E45508">
        <w:fldChar w:fldCharType="end"/>
      </w:r>
      <w:bookmarkEnd w:id="153"/>
      <w:r w:rsidRPr="00E45508">
        <w:t>: Option</w:t>
      </w:r>
      <w:r w:rsidR="00421651" w:rsidRPr="00E45508">
        <w:t> 3</w:t>
      </w:r>
      <w:r w:rsidRPr="00E45508">
        <w:t xml:space="preserve"> b</w:t>
      </w:r>
      <w:r w:rsidR="00624EC5" w:rsidRPr="00E45508">
        <w:t>enefits and risks</w:t>
      </w:r>
      <w:bookmarkEnd w:id="154"/>
    </w:p>
    <w:tbl>
      <w:tblPr>
        <w:tblStyle w:val="PlainTable2"/>
        <w:tblW w:w="0" w:type="auto"/>
        <w:tblLook w:val="0420" w:firstRow="1" w:lastRow="0" w:firstColumn="0" w:lastColumn="0" w:noHBand="0" w:noVBand="1"/>
      </w:tblPr>
      <w:tblGrid>
        <w:gridCol w:w="1701"/>
        <w:gridCol w:w="7315"/>
      </w:tblGrid>
      <w:tr w:rsidR="00985B21" w:rsidRPr="00E45508" w14:paraId="4C32A9FC" w14:textId="77777777" w:rsidTr="00110D4C">
        <w:trPr>
          <w:cnfStyle w:val="100000000000" w:firstRow="1" w:lastRow="0" w:firstColumn="0" w:lastColumn="0" w:oddVBand="0" w:evenVBand="0" w:oddHBand="0" w:evenHBand="0" w:firstRowFirstColumn="0" w:firstRowLastColumn="0" w:lastRowFirstColumn="0" w:lastRowLastColumn="0"/>
          <w:cantSplit/>
        </w:trPr>
        <w:tc>
          <w:tcPr>
            <w:tcW w:w="1701" w:type="dxa"/>
          </w:tcPr>
          <w:p w14:paraId="3A7DB5E7" w14:textId="3FCC84C0" w:rsidR="00985B21" w:rsidRPr="00E45508" w:rsidRDefault="00985B21" w:rsidP="00110D4C">
            <w:pPr>
              <w:pStyle w:val="Tabletext0"/>
              <w:keepNext/>
            </w:pPr>
            <w:r w:rsidRPr="00E45508">
              <w:t>Parameter</w:t>
            </w:r>
          </w:p>
        </w:tc>
        <w:tc>
          <w:tcPr>
            <w:tcW w:w="7315" w:type="dxa"/>
          </w:tcPr>
          <w:p w14:paraId="03B830BE" w14:textId="11B666D3" w:rsidR="00985B21" w:rsidRPr="00E45508" w:rsidRDefault="00110D4C" w:rsidP="00110D4C">
            <w:pPr>
              <w:pStyle w:val="Tabletext0"/>
              <w:keepNext/>
            </w:pPr>
            <w:r w:rsidRPr="00E45508">
              <w:t>Description</w:t>
            </w:r>
          </w:p>
        </w:tc>
      </w:tr>
      <w:tr w:rsidR="00372A92" w:rsidRPr="00E45508" w14:paraId="307DFCCB" w14:textId="77777777" w:rsidTr="00110D4C">
        <w:trPr>
          <w:cnfStyle w:val="000000100000" w:firstRow="0" w:lastRow="0" w:firstColumn="0" w:lastColumn="0" w:oddVBand="0" w:evenVBand="0" w:oddHBand="1" w:evenHBand="0" w:firstRowFirstColumn="0" w:firstRowLastColumn="0" w:lastRowFirstColumn="0" w:lastRowLastColumn="0"/>
          <w:cantSplit/>
        </w:trPr>
        <w:tc>
          <w:tcPr>
            <w:tcW w:w="1701" w:type="dxa"/>
          </w:tcPr>
          <w:p w14:paraId="1842A324" w14:textId="77777777" w:rsidR="00372A92" w:rsidRPr="00E45508" w:rsidRDefault="00372A92" w:rsidP="00164CE1">
            <w:pPr>
              <w:pStyle w:val="Tabletext0"/>
            </w:pPr>
            <w:r w:rsidRPr="00E45508">
              <w:t>Benefits</w:t>
            </w:r>
          </w:p>
        </w:tc>
        <w:tc>
          <w:tcPr>
            <w:tcW w:w="7315" w:type="dxa"/>
          </w:tcPr>
          <w:p w14:paraId="4F795087" w14:textId="1FBE6C06" w:rsidR="00372A92" w:rsidRPr="00E45508" w:rsidRDefault="15B2EBFA" w:rsidP="00644854">
            <w:pPr>
              <w:pStyle w:val="TableBullet1"/>
            </w:pPr>
            <w:r w:rsidRPr="00E45508">
              <w:t>Stronger behaviour</w:t>
            </w:r>
            <w:r w:rsidR="16B526F8" w:rsidRPr="00E45508">
              <w:t>al</w:t>
            </w:r>
            <w:r w:rsidRPr="00E45508">
              <w:t xml:space="preserve"> incentives to support recyclable design and packaging reduction</w:t>
            </w:r>
            <w:r w:rsidR="17F41659" w:rsidRPr="00E45508">
              <w:t xml:space="preserve">. </w:t>
            </w:r>
            <w:r w:rsidR="00457D85">
              <w:t>F</w:t>
            </w:r>
            <w:r w:rsidR="429CF5C5" w:rsidRPr="00E45508">
              <w:t>ee modulation</w:t>
            </w:r>
            <w:r w:rsidR="00457D85">
              <w:t xml:space="preserve"> can also support incentivising </w:t>
            </w:r>
            <w:r w:rsidR="000A749A">
              <w:t>other improvements to packaging</w:t>
            </w:r>
            <w:r w:rsidR="001B24D1">
              <w:t>,</w:t>
            </w:r>
            <w:r w:rsidR="000A749A">
              <w:t xml:space="preserve"> such as</w:t>
            </w:r>
            <w:r w:rsidR="17F41659" w:rsidRPr="00E45508">
              <w:t xml:space="preserve"> </w:t>
            </w:r>
            <w:r w:rsidR="429CF5C5" w:rsidRPr="00E45508">
              <w:t>the use of recycled content beyond minimum threshold levels</w:t>
            </w:r>
            <w:r w:rsidR="781E6B68" w:rsidRPr="00E45508">
              <w:t>.</w:t>
            </w:r>
          </w:p>
          <w:p w14:paraId="77AFFADA" w14:textId="6F470557" w:rsidR="001C2789" w:rsidRPr="00E45508" w:rsidRDefault="15B2EBFA" w:rsidP="00644854">
            <w:pPr>
              <w:pStyle w:val="TableBullet1"/>
              <w:rPr>
                <w:rFonts w:eastAsia="Times New Roman" w:cs="Times New Roman"/>
                <w:lang w:eastAsia="en-AU"/>
              </w:rPr>
            </w:pPr>
            <w:r w:rsidRPr="00E45508">
              <w:t xml:space="preserve">Flexibility for regulated entities in </w:t>
            </w:r>
            <w:r w:rsidR="2E62C181" w:rsidRPr="00E45508">
              <w:t>determin</w:t>
            </w:r>
            <w:r w:rsidR="43FFDF27" w:rsidRPr="00E45508">
              <w:t>ing</w:t>
            </w:r>
            <w:r w:rsidR="2E62C181" w:rsidRPr="00E45508">
              <w:t xml:space="preserve"> how they prioriti</w:t>
            </w:r>
            <w:r w:rsidR="7B029E87" w:rsidRPr="00E45508">
              <w:t>s</w:t>
            </w:r>
            <w:r w:rsidR="2E62C181" w:rsidRPr="00E45508">
              <w:t>e packaging design crit</w:t>
            </w:r>
            <w:r w:rsidR="7B029E87" w:rsidRPr="00E45508">
              <w:t>eria</w:t>
            </w:r>
            <w:r w:rsidR="2AC5170A" w:rsidRPr="00E45508">
              <w:t xml:space="preserve"> to improve recyclability and reduce eco-modulated fees</w:t>
            </w:r>
            <w:r w:rsidR="4929F74B" w:rsidRPr="00E45508">
              <w:t>.</w:t>
            </w:r>
            <w:r w:rsidR="25F2E4A9" w:rsidRPr="00E45508">
              <w:t xml:space="preserve"> </w:t>
            </w:r>
          </w:p>
          <w:p w14:paraId="7C132A93" w14:textId="575D0089" w:rsidR="00372A92" w:rsidRPr="00E45508" w:rsidRDefault="001C2789" w:rsidP="00644854">
            <w:pPr>
              <w:pStyle w:val="TableBullet1"/>
            </w:pPr>
            <w:r w:rsidRPr="00E45508">
              <w:t>G</w:t>
            </w:r>
            <w:r w:rsidR="00AE4C00" w:rsidRPr="00E45508">
              <w:t xml:space="preserve">reater flexibility to accommodate </w:t>
            </w:r>
            <w:r w:rsidR="001368A0" w:rsidRPr="00E45508">
              <w:t>innovation in</w:t>
            </w:r>
            <w:r w:rsidR="00AE4C00" w:rsidRPr="00E45508">
              <w:t xml:space="preserve"> packaging design and recycling technologies.</w:t>
            </w:r>
          </w:p>
          <w:p w14:paraId="065539F3" w14:textId="3E3F0A02" w:rsidR="00372A92" w:rsidRPr="00E45508" w:rsidRDefault="00372A92" w:rsidP="00644854">
            <w:pPr>
              <w:pStyle w:val="TableBullet1"/>
            </w:pPr>
            <w:r w:rsidRPr="00E45508">
              <w:t xml:space="preserve">Scalable revenue to support </w:t>
            </w:r>
            <w:r w:rsidR="007A1E74" w:rsidRPr="00E45508">
              <w:t xml:space="preserve">the </w:t>
            </w:r>
            <w:r w:rsidR="00714F79" w:rsidRPr="00E45508">
              <w:t>clos</w:t>
            </w:r>
            <w:r w:rsidR="007A1E74" w:rsidRPr="00E45508">
              <w:t>ing of</w:t>
            </w:r>
            <w:r w:rsidR="00714F79" w:rsidRPr="00E45508">
              <w:t xml:space="preserve"> ca</w:t>
            </w:r>
            <w:r w:rsidR="00691931" w:rsidRPr="00E45508">
              <w:t xml:space="preserve">pability and capacity gaps in the </w:t>
            </w:r>
            <w:r w:rsidRPr="00E45508">
              <w:t>packaging system</w:t>
            </w:r>
            <w:r w:rsidR="007A1E74" w:rsidRPr="00E45508">
              <w:t>.</w:t>
            </w:r>
          </w:p>
          <w:p w14:paraId="0E9CCC2A" w14:textId="24510A59" w:rsidR="00372A92" w:rsidRPr="00E45508" w:rsidRDefault="00372A92" w:rsidP="00644854">
            <w:pPr>
              <w:pStyle w:val="TableBullet1"/>
            </w:pPr>
            <w:r w:rsidRPr="00E45508">
              <w:t xml:space="preserve">Alignment with emerging international </w:t>
            </w:r>
            <w:r w:rsidR="005B7288" w:rsidRPr="00E45508">
              <w:t>best practice</w:t>
            </w:r>
            <w:r w:rsidR="00930410" w:rsidRPr="00E45508">
              <w:t xml:space="preserve"> and opportunity to </w:t>
            </w:r>
            <w:r w:rsidR="00CC5D28" w:rsidRPr="00E45508">
              <w:t>increase the influence of EPR across the international packaging market.</w:t>
            </w:r>
          </w:p>
          <w:p w14:paraId="3051132B" w14:textId="55D2BABD" w:rsidR="00372A92" w:rsidRPr="00E45508" w:rsidRDefault="00372A92" w:rsidP="00644854">
            <w:pPr>
              <w:pStyle w:val="TableBullet1"/>
            </w:pPr>
            <w:r w:rsidRPr="00E45508">
              <w:t>Supports industry wide action and outcomes through setting scheme outcomes for the administrator</w:t>
            </w:r>
            <w:r w:rsidR="004C150E" w:rsidRPr="00E45508">
              <w:t>. These could include outcomes for collection, recycling or education which can be harmonised on a national level</w:t>
            </w:r>
            <w:r w:rsidR="00F10086" w:rsidRPr="00E45508">
              <w:t>.</w:t>
            </w:r>
          </w:p>
          <w:p w14:paraId="3C7CD260" w14:textId="25EA7A69" w:rsidR="00372A92" w:rsidRPr="00E45508" w:rsidRDefault="00F805E6" w:rsidP="00644854">
            <w:pPr>
              <w:pStyle w:val="TableBullet1"/>
              <w:rPr>
                <w:rFonts w:eastAsia="Times New Roman" w:cs="Times New Roman"/>
                <w:lang w:eastAsia="en-AU"/>
              </w:rPr>
            </w:pPr>
            <w:r w:rsidRPr="00E45508">
              <w:rPr>
                <w:rFonts w:eastAsia="Times New Roman" w:cs="Times New Roman"/>
                <w:lang w:eastAsia="en-AU"/>
              </w:rPr>
              <w:t>Nationally</w:t>
            </w:r>
            <w:r w:rsidR="008D48D3" w:rsidRPr="00E45508">
              <w:rPr>
                <w:rFonts w:eastAsia="Times New Roman" w:cs="Times New Roman"/>
                <w:lang w:eastAsia="en-AU"/>
              </w:rPr>
              <w:t xml:space="preserve"> consistent approach limits free riding</w:t>
            </w:r>
            <w:r w:rsidR="00A45E47" w:rsidRPr="00E45508">
              <w:rPr>
                <w:rFonts w:eastAsia="Times New Roman" w:cs="Times New Roman"/>
                <w:lang w:eastAsia="en-AU"/>
              </w:rPr>
              <w:t>.</w:t>
            </w:r>
          </w:p>
          <w:p w14:paraId="7E8E5739" w14:textId="4683267A" w:rsidR="00A45E47" w:rsidRPr="00E45508" w:rsidRDefault="0D260C9E" w:rsidP="00644854">
            <w:pPr>
              <w:pStyle w:val="TableBullet1"/>
            </w:pPr>
            <w:r w:rsidRPr="00E45508">
              <w:t xml:space="preserve">Improved consumer </w:t>
            </w:r>
            <w:r w:rsidR="7D210C98" w:rsidRPr="00E45508">
              <w:t xml:space="preserve">recycling </w:t>
            </w:r>
            <w:r w:rsidRPr="00E45508">
              <w:t xml:space="preserve">awareness </w:t>
            </w:r>
            <w:r w:rsidR="7D210C98" w:rsidRPr="00E45508">
              <w:t xml:space="preserve">and behaviours </w:t>
            </w:r>
            <w:r w:rsidRPr="00E45508">
              <w:t xml:space="preserve">through </w:t>
            </w:r>
            <w:r w:rsidR="00390123">
              <w:t>education and</w:t>
            </w:r>
            <w:r w:rsidRPr="00E45508">
              <w:t xml:space="preserve"> mandatory on-pack </w:t>
            </w:r>
            <w:r w:rsidR="006533FF">
              <w:t xml:space="preserve">recyclability </w:t>
            </w:r>
            <w:r w:rsidRPr="00E45508">
              <w:t>labelling</w:t>
            </w:r>
            <w:r w:rsidR="00AE4FCA">
              <w:t>,</w:t>
            </w:r>
            <w:r w:rsidRPr="00E45508">
              <w:t xml:space="preserve"> increas</w:t>
            </w:r>
            <w:r w:rsidR="00AE4FCA">
              <w:t>ing</w:t>
            </w:r>
            <w:r w:rsidRPr="00E45508">
              <w:t xml:space="preserve"> recycling </w:t>
            </w:r>
            <w:r w:rsidR="6B0D76C0" w:rsidRPr="00E45508">
              <w:t xml:space="preserve">rates </w:t>
            </w:r>
            <w:r w:rsidRPr="00E45508">
              <w:t>and improv</w:t>
            </w:r>
            <w:r w:rsidR="00AE4FCA">
              <w:t>ing</w:t>
            </w:r>
            <w:r w:rsidRPr="00E45508">
              <w:t xml:space="preserve"> the quality of kerbside </w:t>
            </w:r>
            <w:r w:rsidR="4A6BC3A7" w:rsidRPr="00E45508">
              <w:t>waste streams</w:t>
            </w:r>
            <w:r w:rsidRPr="00E45508">
              <w:t>.</w:t>
            </w:r>
          </w:p>
          <w:p w14:paraId="42BB8F87" w14:textId="35B53259" w:rsidR="00372A92" w:rsidRPr="00E45508" w:rsidRDefault="0D260C9E" w:rsidP="00644854">
            <w:pPr>
              <w:pStyle w:val="TableBullet1"/>
              <w:rPr>
                <w:rFonts w:eastAsia="Times New Roman" w:cs="Times New Roman"/>
                <w:lang w:eastAsia="en-AU"/>
              </w:rPr>
            </w:pPr>
            <w:r w:rsidRPr="00E45508">
              <w:t>End markets for recycled content are established driving demand for recycled material and supporting improvements in collection and recycling capacity.</w:t>
            </w:r>
          </w:p>
        </w:tc>
      </w:tr>
      <w:tr w:rsidR="00372A92" w:rsidRPr="00E45508" w14:paraId="4889F06C" w14:textId="77777777" w:rsidTr="00110D4C">
        <w:trPr>
          <w:cantSplit/>
        </w:trPr>
        <w:tc>
          <w:tcPr>
            <w:tcW w:w="1701" w:type="dxa"/>
          </w:tcPr>
          <w:p w14:paraId="6C57CDE9" w14:textId="77777777" w:rsidR="00372A92" w:rsidRPr="00E45508" w:rsidRDefault="00372A92" w:rsidP="00164CE1">
            <w:pPr>
              <w:pStyle w:val="Tabletext0"/>
            </w:pPr>
            <w:r w:rsidRPr="00E45508">
              <w:t>Risks</w:t>
            </w:r>
          </w:p>
        </w:tc>
        <w:tc>
          <w:tcPr>
            <w:tcW w:w="7315" w:type="dxa"/>
          </w:tcPr>
          <w:p w14:paraId="67FDEA79" w14:textId="3AF3E3A7" w:rsidR="005A1378" w:rsidRPr="00E45508" w:rsidRDefault="005E4975" w:rsidP="00644854">
            <w:pPr>
              <w:pStyle w:val="TableBullet1"/>
            </w:pPr>
            <w:r w:rsidRPr="00E45508">
              <w:t xml:space="preserve">EPR fee system would be complex and could create </w:t>
            </w:r>
            <w:r w:rsidR="001135D7" w:rsidRPr="00E45508">
              <w:t xml:space="preserve">initial </w:t>
            </w:r>
            <w:r w:rsidRPr="00E45508">
              <w:t>barriers to entry</w:t>
            </w:r>
            <w:r w:rsidR="009D7509" w:rsidRPr="00E45508">
              <w:t xml:space="preserve"> for new producers</w:t>
            </w:r>
            <w:r w:rsidR="00947802" w:rsidRPr="00E45508">
              <w:t>, and challenges in compliance and enforcement.</w:t>
            </w:r>
          </w:p>
          <w:p w14:paraId="7F835F7F" w14:textId="63041A28" w:rsidR="00372A92" w:rsidRPr="00E45508" w:rsidRDefault="00372A92" w:rsidP="00644854">
            <w:pPr>
              <w:pStyle w:val="TableBullet1"/>
            </w:pPr>
            <w:r w:rsidRPr="00E45508">
              <w:t>Inappropriate fee setting can limit change or produce unwanted outcomes</w:t>
            </w:r>
            <w:r w:rsidR="00370E8A" w:rsidRPr="00E45508">
              <w:t xml:space="preserve"> - EPR fees must be high enough to incentivise producers to improve their packaging</w:t>
            </w:r>
            <w:r w:rsidR="000B1F9D" w:rsidRPr="00E45508">
              <w:t xml:space="preserve"> and not simply absorb the additional cost,</w:t>
            </w:r>
            <w:r w:rsidR="00370E8A" w:rsidRPr="00E45508">
              <w:t xml:space="preserve"> but not so high as to push producers to use alternative materials with unintended market and environmental</w:t>
            </w:r>
            <w:r w:rsidR="0089352B" w:rsidRPr="00E45508">
              <w:t xml:space="preserve"> conse</w:t>
            </w:r>
            <w:r w:rsidR="005209B0" w:rsidRPr="00E45508">
              <w:t>quences</w:t>
            </w:r>
            <w:r w:rsidR="001135D7" w:rsidRPr="00E45508">
              <w:t>.</w:t>
            </w:r>
          </w:p>
          <w:p w14:paraId="34AB098A" w14:textId="53D5C393" w:rsidR="00372A92" w:rsidRPr="00E45508" w:rsidRDefault="53CA04E6" w:rsidP="00644854">
            <w:pPr>
              <w:pStyle w:val="TableBullet1"/>
            </w:pPr>
            <w:r w:rsidRPr="00E45508">
              <w:t>Advanced eco-modulated fees could provide more granular behaviour</w:t>
            </w:r>
            <w:r w:rsidR="0A262B61" w:rsidRPr="00E45508">
              <w:t>al</w:t>
            </w:r>
            <w:r w:rsidRPr="00E45508">
              <w:t xml:space="preserve"> incentives</w:t>
            </w:r>
            <w:r w:rsidR="00A40710" w:rsidRPr="00E45508">
              <w:t>;</w:t>
            </w:r>
            <w:r w:rsidRPr="00E45508">
              <w:t xml:space="preserve"> </w:t>
            </w:r>
            <w:r w:rsidR="003F1EE3" w:rsidRPr="00E45508">
              <w:t>however,</w:t>
            </w:r>
            <w:r w:rsidRPr="00E45508">
              <w:t xml:space="preserve"> they would carry greater administrative costs that would need to be recovered. The </w:t>
            </w:r>
            <w:r w:rsidR="78AAA615" w:rsidRPr="00E45508">
              <w:t>basic</w:t>
            </w:r>
            <w:r w:rsidR="4C81B98D" w:rsidRPr="00E45508">
              <w:t xml:space="preserve"> </w:t>
            </w:r>
            <w:r w:rsidRPr="00E45508">
              <w:t xml:space="preserve">approach to modulating EPR fees outlined in </w:t>
            </w:r>
            <w:r w:rsidR="005646F9">
              <w:fldChar w:fldCharType="begin"/>
            </w:r>
            <w:r w:rsidR="005646F9">
              <w:instrText xml:space="preserve"> REF _Ref177161874 \h </w:instrText>
            </w:r>
            <w:r w:rsidR="005646F9">
              <w:fldChar w:fldCharType="separate"/>
            </w:r>
            <w:r w:rsidR="009A2EC4" w:rsidRPr="00E45508">
              <w:t xml:space="preserve">Box </w:t>
            </w:r>
            <w:r w:rsidR="009A2EC4">
              <w:rPr>
                <w:noProof/>
              </w:rPr>
              <w:t>6</w:t>
            </w:r>
            <w:r w:rsidR="005646F9">
              <w:fldChar w:fldCharType="end"/>
            </w:r>
            <w:r w:rsidR="005646F9">
              <w:fldChar w:fldCharType="begin"/>
            </w:r>
            <w:r w:rsidR="005646F9">
              <w:instrText xml:space="preserve"> REF _Ref177161874 \h </w:instrText>
            </w:r>
            <w:r w:rsidR="005646F9">
              <w:fldChar w:fldCharType="separate"/>
            </w:r>
            <w:r w:rsidR="009A2EC4" w:rsidRPr="00E45508">
              <w:t xml:space="preserve">Box </w:t>
            </w:r>
            <w:r w:rsidR="009A2EC4">
              <w:rPr>
                <w:noProof/>
              </w:rPr>
              <w:t>6</w:t>
            </w:r>
            <w:r w:rsidR="005646F9">
              <w:fldChar w:fldCharType="end"/>
            </w:r>
            <w:r w:rsidR="005646F9">
              <w:t xml:space="preserve"> </w:t>
            </w:r>
            <w:r w:rsidRPr="00E45508">
              <w:t xml:space="preserve">could reduce administrative costs, although </w:t>
            </w:r>
            <w:r w:rsidR="17F0E6FE" w:rsidRPr="00E45508">
              <w:t xml:space="preserve">it </w:t>
            </w:r>
            <w:r w:rsidRPr="00E45508">
              <w:t xml:space="preserve">would be </w:t>
            </w:r>
            <w:r w:rsidR="674A1A7D" w:rsidRPr="00E45508">
              <w:t>less</w:t>
            </w:r>
            <w:r w:rsidR="2FACD5EE" w:rsidRPr="00E45508">
              <w:t xml:space="preserve"> </w:t>
            </w:r>
            <w:r w:rsidRPr="00E45508">
              <w:t xml:space="preserve">effective at shifting behaviour </w:t>
            </w:r>
            <w:r w:rsidR="4C81B98D" w:rsidRPr="00E45508">
              <w:t xml:space="preserve">towards </w:t>
            </w:r>
            <w:r w:rsidRPr="00E45508">
              <w:t xml:space="preserve">higher grade packaging. </w:t>
            </w:r>
          </w:p>
          <w:p w14:paraId="2099D4EB" w14:textId="459843B4" w:rsidR="00372A92" w:rsidRPr="00E45508" w:rsidRDefault="00372A92" w:rsidP="00644854">
            <w:pPr>
              <w:pStyle w:val="TableBullet1"/>
            </w:pPr>
            <w:r w:rsidRPr="00E45508">
              <w:t>Misalignment of Australian and international approaches could result in additional costs and impact competition</w:t>
            </w:r>
            <w:r w:rsidR="008245AC" w:rsidRPr="00E45508">
              <w:t>.</w:t>
            </w:r>
          </w:p>
        </w:tc>
      </w:tr>
    </w:tbl>
    <w:p w14:paraId="5C1CAE5F" w14:textId="0F4E1474" w:rsidR="001A7759" w:rsidRPr="00E45508" w:rsidRDefault="001A7759" w:rsidP="001A7759">
      <w:bookmarkStart w:id="155" w:name="_Toc177126600"/>
      <w:bookmarkStart w:id="156" w:name="_Toc177493010"/>
    </w:p>
    <w:p w14:paraId="7CB62D53" w14:textId="4C82EF99" w:rsidR="531D4B67" w:rsidRPr="00E45508" w:rsidRDefault="001A7759" w:rsidP="001A7759">
      <w:pPr>
        <w:pStyle w:val="Heading3"/>
      </w:pPr>
      <w:bookmarkStart w:id="157" w:name="_Toc178230255"/>
      <w:r w:rsidRPr="00E45508">
        <w:t>R</w:t>
      </w:r>
      <w:r w:rsidR="292CCFDE" w:rsidRPr="00E45508">
        <w:t>egulated entities</w:t>
      </w:r>
      <w:r w:rsidR="17DB248A" w:rsidRPr="00E45508">
        <w:t xml:space="preserve"> and liability</w:t>
      </w:r>
      <w:r w:rsidR="292CCFDE" w:rsidRPr="00E45508">
        <w:t xml:space="preserve"> </w:t>
      </w:r>
      <w:r w:rsidR="4BFFFFEC" w:rsidRPr="00E45508">
        <w:t>across</w:t>
      </w:r>
      <w:r w:rsidR="292CCFDE" w:rsidRPr="00E45508">
        <w:t xml:space="preserve"> the </w:t>
      </w:r>
      <w:r w:rsidR="398558FB" w:rsidRPr="00E45508">
        <w:t>options</w:t>
      </w:r>
      <w:bookmarkEnd w:id="155"/>
      <w:bookmarkEnd w:id="156"/>
      <w:bookmarkEnd w:id="157"/>
    </w:p>
    <w:p w14:paraId="77B0C400" w14:textId="5E0D1A06" w:rsidR="00D25EE4" w:rsidRPr="00E45508" w:rsidRDefault="6878802F" w:rsidP="00C915A5">
      <w:r w:rsidRPr="00E45508">
        <w:t xml:space="preserve">Under the current co-regulatory arrangements, the Independent Review found there is a lack of clarity </w:t>
      </w:r>
      <w:r w:rsidR="000D79E3" w:rsidRPr="00E45508">
        <w:t xml:space="preserve">of </w:t>
      </w:r>
      <w:r w:rsidRPr="00E45508">
        <w:t>the businesses intended to be captured</w:t>
      </w:r>
      <w:r w:rsidR="002C4422" w:rsidRPr="00E45508">
        <w:t xml:space="preserve"> (recommendation</w:t>
      </w:r>
      <w:r w:rsidR="00421651" w:rsidRPr="00E45508">
        <w:t> 3</w:t>
      </w:r>
      <w:r w:rsidR="00FF25EB" w:rsidRPr="00E45508">
        <w:t xml:space="preserve">) and </w:t>
      </w:r>
      <w:r w:rsidR="007155C1" w:rsidRPr="00E45508">
        <w:t>the</w:t>
      </w:r>
      <w:r w:rsidR="00B66539" w:rsidRPr="00E45508">
        <w:t>ir</w:t>
      </w:r>
      <w:r w:rsidR="007155C1" w:rsidRPr="00E45508">
        <w:t xml:space="preserve"> ob</w:t>
      </w:r>
      <w:r w:rsidR="004375CD" w:rsidRPr="00E45508">
        <w:t>ligations</w:t>
      </w:r>
      <w:r w:rsidR="002C4422" w:rsidRPr="00E45508">
        <w:t xml:space="preserve"> (recommendation 4)</w:t>
      </w:r>
      <w:r w:rsidRPr="00E45508">
        <w:t xml:space="preserve">. </w:t>
      </w:r>
      <w:r w:rsidR="002F70C7" w:rsidRPr="00E45508">
        <w:t>The f</w:t>
      </w:r>
      <w:r w:rsidRPr="00E45508">
        <w:t>our main issues were identified that contribute to a lack of clarity are:</w:t>
      </w:r>
    </w:p>
    <w:p w14:paraId="535C3267" w14:textId="7020F8A6" w:rsidR="00D25EE4" w:rsidRPr="00E45508" w:rsidRDefault="001821EC" w:rsidP="009C1F84">
      <w:pPr>
        <w:pStyle w:val="ListBullet"/>
      </w:pPr>
      <w:r w:rsidRPr="00E45508">
        <w:t>T</w:t>
      </w:r>
      <w:r w:rsidR="00D25EE4" w:rsidRPr="00E45508">
        <w:t>he definition of ‘brand owner’ differs between jurisdictions, creating complexity for businesses operating across Australia.</w:t>
      </w:r>
    </w:p>
    <w:p w14:paraId="130683BF" w14:textId="1E91C0D6" w:rsidR="00D25EE4" w:rsidRPr="00E45508" w:rsidRDefault="001821EC" w:rsidP="009C1F84">
      <w:pPr>
        <w:pStyle w:val="ListBullet"/>
      </w:pPr>
      <w:r w:rsidRPr="00E45508">
        <w:t>T</w:t>
      </w:r>
      <w:r w:rsidR="00D25EE4" w:rsidRPr="00E45508">
        <w:t xml:space="preserve">he concept of liable brand owner obligations is linked to the concept of ‘consumer packaging’ causing confusion whether current obligations cover both </w:t>
      </w:r>
      <w:r w:rsidR="007D2282">
        <w:t>b</w:t>
      </w:r>
      <w:r w:rsidR="00230EDA" w:rsidRPr="00E45508">
        <w:t>usiness-to-</w:t>
      </w:r>
      <w:r w:rsidR="007D2282">
        <w:t>b</w:t>
      </w:r>
      <w:r w:rsidR="00230EDA" w:rsidRPr="00E45508">
        <w:t>usiness</w:t>
      </w:r>
      <w:r w:rsidR="00D25EE4" w:rsidRPr="00E45508">
        <w:t xml:space="preserve"> and </w:t>
      </w:r>
      <w:r w:rsidR="007D2282">
        <w:t>bu</w:t>
      </w:r>
      <w:r w:rsidR="00230EDA" w:rsidRPr="00E45508">
        <w:t>siness-to-</w:t>
      </w:r>
      <w:r w:rsidR="007D2282">
        <w:t>c</w:t>
      </w:r>
      <w:r w:rsidR="00230EDA" w:rsidRPr="00E45508">
        <w:t>onsumer</w:t>
      </w:r>
      <w:r w:rsidR="00D25EE4" w:rsidRPr="00E45508">
        <w:t xml:space="preserve"> packaging.</w:t>
      </w:r>
    </w:p>
    <w:p w14:paraId="7BF8E032" w14:textId="7B8FBDF6" w:rsidR="00D25EE4" w:rsidRPr="00E45508" w:rsidRDefault="001821EC" w:rsidP="009C1F84">
      <w:pPr>
        <w:pStyle w:val="ListBullet"/>
      </w:pPr>
      <w:r w:rsidRPr="00E45508">
        <w:t>A</w:t>
      </w:r>
      <w:r w:rsidR="00D25EE4" w:rsidRPr="00E45508">
        <w:t xml:space="preserve"> lack of clarity regarding the operation of the $5</w:t>
      </w:r>
      <w:r w:rsidR="007D2282">
        <w:t> </w:t>
      </w:r>
      <w:r w:rsidR="00D25EE4" w:rsidRPr="00E45508">
        <w:t xml:space="preserve">million </w:t>
      </w:r>
      <w:r w:rsidR="002D1633" w:rsidRPr="00E45508">
        <w:t xml:space="preserve">annual turnover </w:t>
      </w:r>
      <w:r w:rsidR="00D25EE4" w:rsidRPr="00E45508">
        <w:t>threshold.</w:t>
      </w:r>
    </w:p>
    <w:p w14:paraId="15BDC5A5" w14:textId="51EB10B7" w:rsidR="00D25EE4" w:rsidRPr="00E45508" w:rsidRDefault="001821EC" w:rsidP="009C1F84">
      <w:pPr>
        <w:pStyle w:val="ListBullet"/>
      </w:pPr>
      <w:r w:rsidRPr="00E45508">
        <w:t>T</w:t>
      </w:r>
      <w:r w:rsidR="00D25EE4" w:rsidRPr="00E45508">
        <w:t>he total number of brand owners captured by the co-regulatory arrangement is not fully understood.</w:t>
      </w:r>
    </w:p>
    <w:p w14:paraId="62D76D51" w14:textId="4A68283A" w:rsidR="00D25EE4" w:rsidRPr="00E45508" w:rsidRDefault="007155C1" w:rsidP="00C915A5">
      <w:r w:rsidRPr="00E45508">
        <w:t>A</w:t>
      </w:r>
      <w:r w:rsidR="002C4422" w:rsidRPr="00E45508">
        <w:t>ll</w:t>
      </w:r>
      <w:r w:rsidR="4F8E1F8B" w:rsidRPr="00E45508">
        <w:t xml:space="preserve"> the proposed</w:t>
      </w:r>
      <w:r w:rsidR="6878802F" w:rsidRPr="00E45508">
        <w:t xml:space="preserve"> </w:t>
      </w:r>
      <w:r w:rsidR="218CEDF2" w:rsidRPr="00E45508">
        <w:t xml:space="preserve">options </w:t>
      </w:r>
      <w:r w:rsidR="6878802F" w:rsidRPr="00E45508">
        <w:t xml:space="preserve">would </w:t>
      </w:r>
      <w:r w:rsidR="4F8E1F8B" w:rsidRPr="00E45508">
        <w:t>seek to</w:t>
      </w:r>
      <w:r w:rsidR="7243D0B6" w:rsidRPr="00E45508">
        <w:t xml:space="preserve"> clari</w:t>
      </w:r>
      <w:r w:rsidR="00473527" w:rsidRPr="00E45508">
        <w:t>f</w:t>
      </w:r>
      <w:r w:rsidR="7243D0B6" w:rsidRPr="00E45508">
        <w:t xml:space="preserve">y </w:t>
      </w:r>
      <w:r w:rsidR="00FF25EB" w:rsidRPr="00E45508">
        <w:t xml:space="preserve">who </w:t>
      </w:r>
      <w:r w:rsidR="006B02AA" w:rsidRPr="00E45508">
        <w:t xml:space="preserve">are </w:t>
      </w:r>
      <w:r w:rsidR="00FF25EB" w:rsidRPr="00E45508">
        <w:t xml:space="preserve">the </w:t>
      </w:r>
      <w:r w:rsidR="6878802F" w:rsidRPr="00E45508">
        <w:t xml:space="preserve">regulated entities in the packaging supply chain </w:t>
      </w:r>
      <w:r w:rsidR="15860D41" w:rsidRPr="00E45508">
        <w:t xml:space="preserve">and ensure entities better understand their obligations. </w:t>
      </w:r>
      <w:r w:rsidR="3AB2B7C2" w:rsidRPr="00E45508">
        <w:t xml:space="preserve">It is likely that all parties regulated under the current system would be captured, </w:t>
      </w:r>
      <w:r w:rsidR="0AD63663" w:rsidRPr="00E45508">
        <w:t xml:space="preserve">with potential for additional parties based on </w:t>
      </w:r>
      <w:r w:rsidR="598432EC" w:rsidRPr="00E45508">
        <w:t>tonnage and activities performed in the supply chain.</w:t>
      </w:r>
      <w:r w:rsidR="15860D41" w:rsidRPr="00E45508">
        <w:t xml:space="preserve"> </w:t>
      </w:r>
      <w:r w:rsidR="39F2979F" w:rsidRPr="00E45508">
        <w:rPr>
          <w:b/>
          <w:bCs/>
        </w:rPr>
        <w:t>Option</w:t>
      </w:r>
      <w:r w:rsidR="00421651" w:rsidRPr="00E45508">
        <w:rPr>
          <w:b/>
          <w:bCs/>
        </w:rPr>
        <w:t> 1</w:t>
      </w:r>
      <w:r w:rsidR="39F2979F" w:rsidRPr="00E45508">
        <w:t xml:space="preserve"> would achieve this through increased </w:t>
      </w:r>
      <w:r w:rsidR="00613209" w:rsidRPr="00E45508">
        <w:t xml:space="preserve">compliance </w:t>
      </w:r>
      <w:r w:rsidR="39F2979F" w:rsidRPr="00E45508">
        <w:t xml:space="preserve">monitoring and </w:t>
      </w:r>
      <w:r w:rsidR="00613209" w:rsidRPr="00E45508">
        <w:t>enforcement</w:t>
      </w:r>
      <w:r w:rsidR="39F2979F" w:rsidRPr="00E45508">
        <w:t>.</w:t>
      </w:r>
    </w:p>
    <w:p w14:paraId="4D00211E" w14:textId="1E35F1E6" w:rsidR="00C857A0" w:rsidRPr="00E45508" w:rsidRDefault="2A0160BD" w:rsidP="00C915A5">
      <w:r w:rsidRPr="00E45508">
        <w:rPr>
          <w:b/>
          <w:bCs/>
        </w:rPr>
        <w:t>O</w:t>
      </w:r>
      <w:r w:rsidR="003338EC" w:rsidRPr="00E45508">
        <w:rPr>
          <w:b/>
          <w:bCs/>
        </w:rPr>
        <w:t>ptions</w:t>
      </w:r>
      <w:r w:rsidR="00421651" w:rsidRPr="00E45508">
        <w:rPr>
          <w:b/>
          <w:bCs/>
        </w:rPr>
        <w:t> 2</w:t>
      </w:r>
      <w:r w:rsidR="003338EC" w:rsidRPr="00E45508">
        <w:rPr>
          <w:b/>
          <w:bCs/>
        </w:rPr>
        <w:t xml:space="preserve"> and</w:t>
      </w:r>
      <w:r w:rsidR="00421651" w:rsidRPr="00E45508">
        <w:rPr>
          <w:b/>
          <w:bCs/>
        </w:rPr>
        <w:t> 3</w:t>
      </w:r>
      <w:r w:rsidR="003338EC" w:rsidRPr="00E45508">
        <w:t xml:space="preserve"> </w:t>
      </w:r>
      <w:r w:rsidR="4FBC551F" w:rsidRPr="00E45508">
        <w:t xml:space="preserve">would also </w:t>
      </w:r>
      <w:r w:rsidR="19D2552B" w:rsidRPr="00E45508">
        <w:t>ensure</w:t>
      </w:r>
      <w:r w:rsidR="4FBC551F" w:rsidRPr="00E45508">
        <w:t xml:space="preserve"> consistency of definitions as Commonwealth legislation would</w:t>
      </w:r>
      <w:r w:rsidR="004C6880" w:rsidRPr="00E45508">
        <w:t xml:space="preserve"> establish</w:t>
      </w:r>
      <w:r w:rsidR="007B14F4" w:rsidRPr="00E45508">
        <w:t xml:space="preserve"> </w:t>
      </w:r>
      <w:r w:rsidR="72728D35" w:rsidRPr="00E45508">
        <w:t xml:space="preserve">nationally </w:t>
      </w:r>
      <w:r w:rsidR="018E6E91" w:rsidRPr="00E45508">
        <w:t>consistent</w:t>
      </w:r>
      <w:r w:rsidR="72728D35" w:rsidRPr="00E45508">
        <w:t xml:space="preserve"> definitions</w:t>
      </w:r>
      <w:r w:rsidR="4FBC551F" w:rsidRPr="00E45508">
        <w:t>.</w:t>
      </w:r>
      <w:r w:rsidR="003B3CBB" w:rsidRPr="00E45508">
        <w:t xml:space="preserve"> </w:t>
      </w:r>
      <w:r w:rsidR="00C857A0" w:rsidRPr="00E45508">
        <w:t>Liability to comply with</w:t>
      </w:r>
      <w:r w:rsidR="00746ECD" w:rsidRPr="00E45508">
        <w:t xml:space="preserve"> the proposed regulatory obligations </w:t>
      </w:r>
      <w:r w:rsidR="00136A09" w:rsidRPr="00E45508">
        <w:t>could</w:t>
      </w:r>
      <w:r w:rsidR="00746ECD" w:rsidRPr="00E45508">
        <w:t xml:space="preserve"> be determined based on</w:t>
      </w:r>
      <w:r w:rsidR="008316CF" w:rsidRPr="00E45508">
        <w:t xml:space="preserve"> annual</w:t>
      </w:r>
      <w:r w:rsidR="00746ECD" w:rsidRPr="00E45508">
        <w:t xml:space="preserve"> </w:t>
      </w:r>
      <w:r w:rsidR="00FE0BC0" w:rsidRPr="00E45508">
        <w:t xml:space="preserve">turnover thresholds and/or </w:t>
      </w:r>
      <w:r w:rsidR="00A3586F" w:rsidRPr="00E45508">
        <w:t>volume of packaging</w:t>
      </w:r>
      <w:r w:rsidR="00C353C7" w:rsidRPr="00E45508">
        <w:t xml:space="preserve"> (tonnage)</w:t>
      </w:r>
      <w:r w:rsidR="00136A09" w:rsidRPr="00E45508">
        <w:t xml:space="preserve"> </w:t>
      </w:r>
      <w:r w:rsidR="00746ECD" w:rsidRPr="00E45508">
        <w:t xml:space="preserve">and the </w:t>
      </w:r>
      <w:r w:rsidR="008316CF" w:rsidRPr="00E45508">
        <w:t xml:space="preserve">nature of the </w:t>
      </w:r>
      <w:r w:rsidR="00746ECD" w:rsidRPr="00E45508">
        <w:t>activities undertaken by an entity</w:t>
      </w:r>
      <w:r w:rsidR="00562AB3" w:rsidRPr="00E45508">
        <w:t xml:space="preserve"> along the whole supply chain</w:t>
      </w:r>
      <w:r w:rsidR="00746ECD" w:rsidRPr="00E45508">
        <w:t>.</w:t>
      </w:r>
      <w:r w:rsidR="00454AC2" w:rsidRPr="00E45508">
        <w:t xml:space="preserve"> </w:t>
      </w:r>
      <w:r w:rsidR="00861590" w:rsidRPr="00E45508">
        <w:t>Regulated e</w:t>
      </w:r>
      <w:r w:rsidR="00454AC2" w:rsidRPr="00E45508">
        <w:t xml:space="preserve">ntities could be liable for one or more category of obligations depending on their business activities. </w:t>
      </w:r>
      <w:r w:rsidR="00F17DF9" w:rsidRPr="00E45508">
        <w:t xml:space="preserve">Categories of obligations could include </w:t>
      </w:r>
      <w:r w:rsidR="001C148A" w:rsidRPr="00E45508">
        <w:t>data</w:t>
      </w:r>
      <w:r w:rsidR="00F17DF9" w:rsidRPr="00E45508">
        <w:t xml:space="preserve"> </w:t>
      </w:r>
      <w:r w:rsidR="00DA28FD" w:rsidRPr="00E45508">
        <w:t xml:space="preserve">sharing </w:t>
      </w:r>
      <w:r w:rsidR="00F17DF9" w:rsidRPr="00E45508">
        <w:t>and reporting</w:t>
      </w:r>
      <w:r w:rsidR="001C148A" w:rsidRPr="00E45508">
        <w:t>, EPR fees, packaging design obligations</w:t>
      </w:r>
      <w:r w:rsidR="003621A0" w:rsidRPr="00E45508">
        <w:t xml:space="preserve"> and</w:t>
      </w:r>
      <w:r w:rsidR="00DA28FD" w:rsidRPr="00E45508">
        <w:t xml:space="preserve"> </w:t>
      </w:r>
      <w:r w:rsidR="001C148A" w:rsidRPr="00E45508">
        <w:t>traceability</w:t>
      </w:r>
      <w:r w:rsidR="000631D0" w:rsidRPr="00E45508">
        <w:t>.</w:t>
      </w:r>
    </w:p>
    <w:p w14:paraId="71F2AE4D" w14:textId="5304B9F5" w:rsidR="00E878E9" w:rsidRPr="00E45508" w:rsidRDefault="00E8111E" w:rsidP="372C486A">
      <w:r w:rsidRPr="00E45508">
        <w:t>For example</w:t>
      </w:r>
      <w:r w:rsidRPr="00E45508" w:rsidDel="00C353C7">
        <w:t>,</w:t>
      </w:r>
      <w:r w:rsidRPr="00E45508">
        <w:t xml:space="preserve"> small businesses </w:t>
      </w:r>
      <w:r w:rsidR="007B4BAB" w:rsidRPr="00E45508">
        <w:t xml:space="preserve">below the </w:t>
      </w:r>
      <w:r w:rsidR="00FD0FD6" w:rsidRPr="00E45508">
        <w:t xml:space="preserve">annual </w:t>
      </w:r>
      <w:r w:rsidR="007B4BAB" w:rsidRPr="00E45508">
        <w:t>turnover and/or tonnage</w:t>
      </w:r>
      <w:r w:rsidR="00FD0FD6" w:rsidRPr="00E45508">
        <w:t xml:space="preserve"> threshold </w:t>
      </w:r>
      <w:r w:rsidRPr="00E45508">
        <w:t xml:space="preserve">may be required to comply with only data and reporting obligations, whereas businesses placing large quantities of packaging on the Australian market could be liable for data and reporting, </w:t>
      </w:r>
      <w:r w:rsidR="00646080" w:rsidRPr="00E45508">
        <w:t xml:space="preserve">EPR fees and </w:t>
      </w:r>
      <w:r w:rsidRPr="00E45508">
        <w:t>packaging design</w:t>
      </w:r>
      <w:r w:rsidRPr="00E45508" w:rsidDel="00646080">
        <w:t xml:space="preserve"> </w:t>
      </w:r>
      <w:r w:rsidR="00977468" w:rsidRPr="00E45508">
        <w:t>obligations.</w:t>
      </w:r>
    </w:p>
    <w:p w14:paraId="1D9B7F24" w14:textId="77777777" w:rsidR="00581F84" w:rsidRPr="00E45508" w:rsidRDefault="00581F84" w:rsidP="00581F84">
      <w:pPr>
        <w:pStyle w:val="Heading3"/>
      </w:pPr>
      <w:bookmarkStart w:id="158" w:name="_Toc177126601"/>
      <w:bookmarkStart w:id="159" w:name="_Toc177493011"/>
      <w:bookmarkStart w:id="160" w:name="_Toc178230256"/>
      <w:bookmarkStart w:id="161" w:name="_Toc177126602"/>
      <w:bookmarkStart w:id="162" w:name="_Toc177493012"/>
      <w:r w:rsidRPr="00E45508">
        <w:t>Scope of packaging across the options</w:t>
      </w:r>
      <w:bookmarkEnd w:id="158"/>
      <w:bookmarkEnd w:id="159"/>
      <w:bookmarkEnd w:id="160"/>
    </w:p>
    <w:p w14:paraId="7169479D" w14:textId="1E202A6B" w:rsidR="00581F84" w:rsidRPr="00E45508" w:rsidRDefault="00581F84" w:rsidP="00581F84">
      <w:r w:rsidRPr="00E45508">
        <w:t xml:space="preserve">Under Options 2 and 3 all packaging placed on the Australian market would be regulated including business-to-consumer and business-to-business packaging, and domestically manufactured and imported packaging. Exclusion from regulation would need to be tied to an </w:t>
      </w:r>
      <w:r w:rsidR="26BC8FC2" w:rsidRPr="00E45508">
        <w:t>evidence</w:t>
      </w:r>
      <w:r w:rsidR="004E43D2">
        <w:noBreakHyphen/>
      </w:r>
      <w:r w:rsidR="26BC8FC2" w:rsidRPr="00E45508">
        <w:t>based</w:t>
      </w:r>
      <w:r w:rsidRPr="00E45508">
        <w:t xml:space="preserve"> justification.</w:t>
      </w:r>
    </w:p>
    <w:p w14:paraId="07B74A81" w14:textId="669F2DA4" w:rsidR="00102701" w:rsidRPr="00E45508" w:rsidRDefault="3E54F8A5" w:rsidP="001A7759">
      <w:pPr>
        <w:pStyle w:val="Heading3"/>
      </w:pPr>
      <w:bookmarkStart w:id="163" w:name="_Ref177742614"/>
      <w:bookmarkStart w:id="164" w:name="_Ref178083802"/>
      <w:bookmarkStart w:id="165" w:name="_Ref178125537"/>
      <w:bookmarkStart w:id="166" w:name="_Toc178230257"/>
      <w:r w:rsidRPr="00E45508">
        <w:t>Packaging obligations across the options</w:t>
      </w:r>
      <w:bookmarkEnd w:id="161"/>
      <w:bookmarkEnd w:id="162"/>
      <w:bookmarkEnd w:id="163"/>
      <w:r w:rsidR="00B76FA0" w:rsidRPr="00E45508">
        <w:t xml:space="preserve"> overview</w:t>
      </w:r>
      <w:bookmarkEnd w:id="164"/>
      <w:bookmarkEnd w:id="165"/>
      <w:bookmarkEnd w:id="166"/>
    </w:p>
    <w:p w14:paraId="2C7A9B56" w14:textId="3BB9235E" w:rsidR="008C4A13" w:rsidRPr="00E45508" w:rsidRDefault="008C4A13" w:rsidP="00C915A5">
      <w:r w:rsidRPr="00E45508">
        <w:t xml:space="preserve">This section outlines the packaging obligations that </w:t>
      </w:r>
      <w:r w:rsidR="00A27AF1" w:rsidRPr="00E45508">
        <w:t>c</w:t>
      </w:r>
      <w:r w:rsidRPr="00E45508">
        <w:t>ould apply to</w:t>
      </w:r>
      <w:r w:rsidR="00A27AF1" w:rsidRPr="00E45508">
        <w:t xml:space="preserve"> regulated </w:t>
      </w:r>
      <w:r w:rsidR="3BA50E1C" w:rsidRPr="00E45508">
        <w:t>entities</w:t>
      </w:r>
      <w:r w:rsidR="00A27AF1" w:rsidRPr="00E45508">
        <w:t xml:space="preserve"> under the options</w:t>
      </w:r>
      <w:r w:rsidR="00EA6DB1" w:rsidRPr="00E45508">
        <w:t>, including</w:t>
      </w:r>
      <w:r w:rsidRPr="00E45508">
        <w:t>:</w:t>
      </w:r>
    </w:p>
    <w:p w14:paraId="76A5F526" w14:textId="5E8CD8D6" w:rsidR="008C4A13" w:rsidRPr="00E45508" w:rsidRDefault="008C4A13" w:rsidP="009C1F84">
      <w:pPr>
        <w:pStyle w:val="ListBullet"/>
      </w:pPr>
      <w:r w:rsidRPr="00E45508">
        <w:t>Improve packaging design – to make packaging safer, reduce waste and improve recyclability.</w:t>
      </w:r>
    </w:p>
    <w:p w14:paraId="57BABAE0" w14:textId="17304A54" w:rsidR="008C4A13" w:rsidRPr="00E45508" w:rsidRDefault="7AC42F07" w:rsidP="009C1F84">
      <w:pPr>
        <w:pStyle w:val="ListBullet"/>
      </w:pPr>
      <w:r w:rsidRPr="00E45508">
        <w:t>Improve</w:t>
      </w:r>
      <w:r w:rsidR="176EF209" w:rsidRPr="00E45508">
        <w:t xml:space="preserve"> </w:t>
      </w:r>
      <w:r w:rsidR="00D246B3">
        <w:t>recyclability</w:t>
      </w:r>
      <w:r w:rsidR="176EF209" w:rsidRPr="00E45508">
        <w:t xml:space="preserve"> labelling – so consumers </w:t>
      </w:r>
      <w:r w:rsidR="68BAD061" w:rsidRPr="00E45508">
        <w:t>understand</w:t>
      </w:r>
      <w:r w:rsidR="176EF209" w:rsidRPr="00E45508">
        <w:t xml:space="preserve"> what can and cannot be recycled and businesses are accountable for their packaging choices.</w:t>
      </w:r>
    </w:p>
    <w:p w14:paraId="5431AB95" w14:textId="7EDB442B" w:rsidR="00BC0DAB" w:rsidRPr="00E45508" w:rsidRDefault="008C4A13" w:rsidP="009C1F84">
      <w:pPr>
        <w:pStyle w:val="ListBullet"/>
      </w:pPr>
      <w:r w:rsidRPr="00E45508">
        <w:t>Recycled content thresholds – to support increased take up of recycled content and create markets for recovered materials.</w:t>
      </w:r>
    </w:p>
    <w:p w14:paraId="114025A7" w14:textId="4752AE04" w:rsidR="00DF25A8" w:rsidRPr="00E45508" w:rsidRDefault="00C537BB" w:rsidP="00F539DB">
      <w:r w:rsidRPr="00E45508">
        <w:fldChar w:fldCharType="begin"/>
      </w:r>
      <w:r w:rsidRPr="00E45508">
        <w:instrText xml:space="preserve"> REF _Ref177636048 \h </w:instrText>
      </w:r>
      <w:r w:rsidRPr="00E45508">
        <w:fldChar w:fldCharType="separate"/>
      </w:r>
      <w:r w:rsidR="009A2EC4" w:rsidRPr="00E45508">
        <w:t xml:space="preserve">Table </w:t>
      </w:r>
      <w:r w:rsidR="009A2EC4">
        <w:rPr>
          <w:noProof/>
        </w:rPr>
        <w:t>13</w:t>
      </w:r>
      <w:r w:rsidRPr="00E45508">
        <w:fldChar w:fldCharType="end"/>
      </w:r>
      <w:r w:rsidRPr="00E45508">
        <w:t xml:space="preserve"> </w:t>
      </w:r>
      <w:r w:rsidR="00164A8A" w:rsidRPr="00E45508">
        <w:t>details</w:t>
      </w:r>
      <w:r w:rsidR="00AC7581" w:rsidRPr="00E45508">
        <w:t xml:space="preserve"> the key features </w:t>
      </w:r>
      <w:r w:rsidR="00164A8A" w:rsidRPr="00E45508">
        <w:t>of</w:t>
      </w:r>
      <w:r w:rsidR="00AC7581" w:rsidRPr="00E45508">
        <w:t xml:space="preserve"> </w:t>
      </w:r>
      <w:r w:rsidR="00164A8A" w:rsidRPr="00E45508">
        <w:t xml:space="preserve">these </w:t>
      </w:r>
      <w:r w:rsidR="00AC7581" w:rsidRPr="00E45508">
        <w:t xml:space="preserve">packaging </w:t>
      </w:r>
      <w:r w:rsidR="00BD0012" w:rsidRPr="00E45508">
        <w:t xml:space="preserve">obligations </w:t>
      </w:r>
      <w:r w:rsidR="00420D2C" w:rsidRPr="00E45508">
        <w:t>under each of the</w:t>
      </w:r>
      <w:r w:rsidR="00AC7581" w:rsidRPr="00E45508">
        <w:t xml:space="preserve"> option</w:t>
      </w:r>
      <w:r w:rsidR="00420D2C" w:rsidRPr="00E45508">
        <w:t>s</w:t>
      </w:r>
      <w:r w:rsidR="00AC7581" w:rsidRPr="00E45508">
        <w:t>. The</w:t>
      </w:r>
      <w:r w:rsidR="00164A8A" w:rsidRPr="00E45508">
        <w:t xml:space="preserve"> listed</w:t>
      </w:r>
      <w:r w:rsidR="00AC7581" w:rsidRPr="00E45508">
        <w:t xml:space="preserve"> </w:t>
      </w:r>
      <w:r w:rsidR="00D16B89" w:rsidRPr="00E45508">
        <w:t xml:space="preserve">packaging obligations, as well as other obligations that </w:t>
      </w:r>
      <w:r w:rsidR="00420D2C" w:rsidRPr="00E45508">
        <w:t>may be necessary</w:t>
      </w:r>
      <w:r w:rsidR="007E2937" w:rsidRPr="00E45508">
        <w:t>,</w:t>
      </w:r>
      <w:r w:rsidR="00AC7581" w:rsidRPr="00E45508">
        <w:t xml:space="preserve"> are </w:t>
      </w:r>
      <w:r w:rsidR="007E2937" w:rsidRPr="00E45508">
        <w:t>further described bel</w:t>
      </w:r>
      <w:r w:rsidR="00164A8A" w:rsidRPr="00E45508">
        <w:t>ow.</w:t>
      </w:r>
    </w:p>
    <w:p w14:paraId="1F936445" w14:textId="77777777" w:rsidR="00F539DB" w:rsidRPr="00E45508" w:rsidRDefault="00F539DB" w:rsidP="00F539DB">
      <w:pPr>
        <w:sectPr w:rsidR="00F539DB" w:rsidRPr="00E45508">
          <w:pgSz w:w="11906" w:h="16838"/>
          <w:pgMar w:top="1418" w:right="1418" w:bottom="1418" w:left="1418" w:header="567" w:footer="283" w:gutter="0"/>
          <w:cols w:space="708"/>
          <w:docGrid w:linePitch="360"/>
        </w:sectPr>
      </w:pPr>
    </w:p>
    <w:p w14:paraId="184FCC3A" w14:textId="31EFA21A" w:rsidR="00F539DB" w:rsidRPr="00E45508" w:rsidRDefault="00F539DB" w:rsidP="00F539DB">
      <w:pPr>
        <w:pStyle w:val="Caption"/>
      </w:pPr>
      <w:bookmarkStart w:id="167" w:name="_Toc178229375"/>
      <w:r w:rsidRPr="00E45508">
        <w:t xml:space="preserve">Table </w:t>
      </w:r>
      <w:r w:rsidRPr="00E45508">
        <w:fldChar w:fldCharType="begin"/>
      </w:r>
      <w:r w:rsidRPr="00E45508">
        <w:instrText xml:space="preserve"> SEQ Table \* ARABIC </w:instrText>
      </w:r>
      <w:r w:rsidRPr="00E45508">
        <w:fldChar w:fldCharType="separate"/>
      </w:r>
      <w:r w:rsidR="009A2EC4">
        <w:rPr>
          <w:noProof/>
        </w:rPr>
        <w:t>12</w:t>
      </w:r>
      <w:r w:rsidRPr="00E45508">
        <w:fldChar w:fldCharType="end"/>
      </w:r>
      <w:r w:rsidRPr="00E45508">
        <w:rPr>
          <w:sz w:val="24"/>
          <w:szCs w:val="18"/>
        </w:rPr>
        <w:t>:</w:t>
      </w:r>
      <w:r w:rsidRPr="00E45508">
        <w:t xml:space="preserve"> Key features of packaging obligations</w:t>
      </w:r>
      <w:r w:rsidR="00192B9F">
        <w:t xml:space="preserve"> under each reform option</w:t>
      </w:r>
      <w:bookmarkEnd w:id="167"/>
    </w:p>
    <w:tbl>
      <w:tblPr>
        <w:tblStyle w:val="PlainTable2"/>
        <w:tblW w:w="14002" w:type="dxa"/>
        <w:tblLook w:val="04A0" w:firstRow="1" w:lastRow="0" w:firstColumn="1" w:lastColumn="0" w:noHBand="0" w:noVBand="1"/>
      </w:tblPr>
      <w:tblGrid>
        <w:gridCol w:w="1488"/>
        <w:gridCol w:w="4943"/>
        <w:gridCol w:w="3785"/>
        <w:gridCol w:w="3786"/>
      </w:tblGrid>
      <w:tr w:rsidR="00F539DB" w:rsidRPr="00E45508" w14:paraId="22747158" w14:textId="77777777" w:rsidTr="00947655">
        <w:trPr>
          <w:cnfStyle w:val="100000000000" w:firstRow="1" w:lastRow="0" w:firstColumn="0" w:lastColumn="0" w:oddVBand="0" w:evenVBand="0" w:oddHBand="0" w:evenHBand="0" w:firstRowFirstColumn="0" w:firstRowLastColumn="0" w:lastRowFirstColumn="0" w:lastRowLastColumn="0"/>
          <w:cantSplit/>
          <w:trHeight w:val="285"/>
          <w:tblHeader/>
        </w:trPr>
        <w:tc>
          <w:tcPr>
            <w:cnfStyle w:val="001000000000" w:firstRow="0" w:lastRow="0" w:firstColumn="1" w:lastColumn="0" w:oddVBand="0" w:evenVBand="0" w:oddHBand="0" w:evenHBand="0" w:firstRowFirstColumn="0" w:firstRowLastColumn="0" w:lastRowFirstColumn="0" w:lastRowLastColumn="0"/>
            <w:tcW w:w="1488" w:type="dxa"/>
            <w:hideMark/>
          </w:tcPr>
          <w:p w14:paraId="485A9214" w14:textId="6550F944" w:rsidR="00F539DB" w:rsidRPr="00E45508" w:rsidRDefault="006A3624">
            <w:pPr>
              <w:pStyle w:val="Tabletext0"/>
            </w:pPr>
            <w:r w:rsidRPr="00E45508">
              <w:t>Packaging obligation</w:t>
            </w:r>
          </w:p>
        </w:tc>
        <w:tc>
          <w:tcPr>
            <w:tcW w:w="4943" w:type="dxa"/>
            <w:hideMark/>
          </w:tcPr>
          <w:p w14:paraId="55A2EE45" w14:textId="77777777" w:rsidR="00F539DB" w:rsidRPr="00E45508" w:rsidRDefault="00F539DB">
            <w:pPr>
              <w:pStyle w:val="Tabletext0"/>
              <w:cnfStyle w:val="100000000000" w:firstRow="1" w:lastRow="0" w:firstColumn="0" w:lastColumn="0" w:oddVBand="0" w:evenVBand="0" w:oddHBand="0" w:evenHBand="0" w:firstRowFirstColumn="0" w:firstRowLastColumn="0" w:lastRowFirstColumn="0" w:lastRowLastColumn="0"/>
              <w:rPr>
                <w:bCs w:val="0"/>
              </w:rPr>
            </w:pPr>
            <w:r w:rsidRPr="00E45508">
              <w:t>Option 1</w:t>
            </w:r>
          </w:p>
        </w:tc>
        <w:tc>
          <w:tcPr>
            <w:tcW w:w="3785" w:type="dxa"/>
            <w:hideMark/>
          </w:tcPr>
          <w:p w14:paraId="669BA135" w14:textId="77777777" w:rsidR="00F539DB" w:rsidRPr="00E45508" w:rsidRDefault="00F539DB">
            <w:pPr>
              <w:pStyle w:val="Tabletext0"/>
              <w:cnfStyle w:val="100000000000" w:firstRow="1" w:lastRow="0" w:firstColumn="0" w:lastColumn="0" w:oddVBand="0" w:evenVBand="0" w:oddHBand="0" w:evenHBand="0" w:firstRowFirstColumn="0" w:firstRowLastColumn="0" w:lastRowFirstColumn="0" w:lastRowLastColumn="0"/>
              <w:rPr>
                <w:b w:val="0"/>
              </w:rPr>
            </w:pPr>
            <w:r w:rsidRPr="00E45508">
              <w:rPr>
                <w:rFonts w:eastAsiaTheme="minorHAnsi"/>
              </w:rPr>
              <w:t>Option 2</w:t>
            </w:r>
          </w:p>
        </w:tc>
        <w:tc>
          <w:tcPr>
            <w:tcW w:w="3786" w:type="dxa"/>
            <w:hideMark/>
          </w:tcPr>
          <w:p w14:paraId="7B846DC7" w14:textId="77777777" w:rsidR="00F539DB" w:rsidRPr="00E45508" w:rsidRDefault="00F539DB">
            <w:pPr>
              <w:pStyle w:val="Tabletext0"/>
              <w:cnfStyle w:val="100000000000" w:firstRow="1" w:lastRow="0" w:firstColumn="0" w:lastColumn="0" w:oddVBand="0" w:evenVBand="0" w:oddHBand="0" w:evenHBand="0" w:firstRowFirstColumn="0" w:firstRowLastColumn="0" w:lastRowFirstColumn="0" w:lastRowLastColumn="0"/>
              <w:rPr>
                <w:b w:val="0"/>
              </w:rPr>
            </w:pPr>
            <w:r w:rsidRPr="00E45508">
              <w:rPr>
                <w:rFonts w:eastAsiaTheme="minorHAnsi"/>
              </w:rPr>
              <w:t>Option 3</w:t>
            </w:r>
          </w:p>
        </w:tc>
      </w:tr>
      <w:tr w:rsidR="00F539DB" w:rsidRPr="00E45508" w14:paraId="51C49E10" w14:textId="77777777" w:rsidTr="00947655">
        <w:trPr>
          <w:cnfStyle w:val="000000100000" w:firstRow="0" w:lastRow="0" w:firstColumn="0" w:lastColumn="0" w:oddVBand="0" w:evenVBand="0" w:oddHBand="1" w:evenHBand="0" w:firstRowFirstColumn="0" w:firstRowLastColumn="0" w:lastRowFirstColumn="0" w:lastRowLastColumn="0"/>
          <w:cantSplit/>
          <w:trHeight w:val="2115"/>
        </w:trPr>
        <w:tc>
          <w:tcPr>
            <w:cnfStyle w:val="001000000000" w:firstRow="0" w:lastRow="0" w:firstColumn="1" w:lastColumn="0" w:oddVBand="0" w:evenVBand="0" w:oddHBand="0" w:evenHBand="0" w:firstRowFirstColumn="0" w:firstRowLastColumn="0" w:lastRowFirstColumn="0" w:lastRowLastColumn="0"/>
            <w:tcW w:w="1488" w:type="dxa"/>
            <w:hideMark/>
          </w:tcPr>
          <w:p w14:paraId="682CEECB" w14:textId="27E4BD4F" w:rsidR="00F539DB" w:rsidRPr="00E45508" w:rsidRDefault="00F539DB">
            <w:pPr>
              <w:pStyle w:val="Tabletext0"/>
              <w:rPr>
                <w:b w:val="0"/>
              </w:rPr>
            </w:pPr>
            <w:r w:rsidRPr="00E45508">
              <w:rPr>
                <w:rFonts w:eastAsiaTheme="minorHAnsi"/>
              </w:rPr>
              <w:t>Design for recyclability </w:t>
            </w:r>
          </w:p>
        </w:tc>
        <w:tc>
          <w:tcPr>
            <w:tcW w:w="4943" w:type="dxa"/>
            <w:hideMark/>
          </w:tcPr>
          <w:p w14:paraId="1ED1D9EF"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No mandatory requirements for design for recyclability under the NEPM.</w:t>
            </w:r>
          </w:p>
          <w:p w14:paraId="73A266C9"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No change to existing arrangements</w:t>
            </w:r>
            <w:r w:rsidRPr="00E45508">
              <w:t>. A</w:t>
            </w:r>
            <w:r w:rsidRPr="00E45508">
              <w:rPr>
                <w:rFonts w:eastAsiaTheme="minorHAnsi"/>
              </w:rPr>
              <w:t>dditional industry guidance could be used to encourage best practice design.</w:t>
            </w:r>
          </w:p>
          <w:p w14:paraId="384E195E" w14:textId="682E42C0"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 xml:space="preserve">Covenant </w:t>
            </w:r>
            <w:r w:rsidR="00EB2221">
              <w:rPr>
                <w:rFonts w:eastAsiaTheme="minorHAnsi"/>
              </w:rPr>
              <w:t>S</w:t>
            </w:r>
            <w:r w:rsidRPr="00E45508">
              <w:rPr>
                <w:rFonts w:eastAsiaTheme="minorHAnsi"/>
              </w:rPr>
              <w:t>ignatories already commit to optimise the design and recovery of their packaging including reducing chemicals of concern and report annually.</w:t>
            </w:r>
          </w:p>
          <w:p w14:paraId="272FF7CD"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t>Eliminating hazardous materials is one of the ten Sustainable Packaging Principles in the Sustainable Packaging Guidelines that support the Covenant.</w:t>
            </w:r>
          </w:p>
          <w:p w14:paraId="76424657"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From 2027, APCO eco-modulated fees creates economic incentives to design packaging for greater recyclability.</w:t>
            </w:r>
            <w:r w:rsidRPr="00E45508">
              <w:t> </w:t>
            </w:r>
          </w:p>
        </w:tc>
        <w:tc>
          <w:tcPr>
            <w:tcW w:w="3785" w:type="dxa"/>
            <w:hideMark/>
          </w:tcPr>
          <w:p w14:paraId="679173C2"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Commonwealth legislated:</w:t>
            </w:r>
          </w:p>
          <w:p w14:paraId="5212D8EE" w14:textId="77777777" w:rsidR="00F539DB" w:rsidRPr="00E45508" w:rsidRDefault="00F539DB">
            <w:pPr>
              <w:pStyle w:val="TableBullet1"/>
              <w:cnfStyle w:val="000000100000" w:firstRow="0" w:lastRow="0" w:firstColumn="0" w:lastColumn="0" w:oddVBand="0" w:evenVBand="0" w:oddHBand="1" w:evenHBand="0" w:firstRowFirstColumn="0" w:firstRowLastColumn="0" w:lastRowFirstColumn="0" w:lastRowLastColumn="0"/>
            </w:pPr>
            <w:r w:rsidRPr="00E45508">
              <w:t>Limited bans on problematic packaging materials, additives or chemicals known to impede recyclability, starting with a limited set of problematic packaging inputs (e.g. carbon black, oxo-degradables, PFAS).</w:t>
            </w:r>
          </w:p>
          <w:p w14:paraId="3818FB2D" w14:textId="77777777" w:rsidR="00F539DB" w:rsidRPr="00E45508" w:rsidRDefault="00F539DB">
            <w:pPr>
              <w:pStyle w:val="TableBullet1"/>
              <w:cnfStyle w:val="000000100000" w:firstRow="0" w:lastRow="0" w:firstColumn="0" w:lastColumn="0" w:oddVBand="0" w:evenVBand="0" w:oddHBand="1" w:evenHBand="0" w:firstRowFirstColumn="0" w:firstRowLastColumn="0" w:lastRowFirstColumn="0" w:lastRowLastColumn="0"/>
            </w:pPr>
            <w:r w:rsidRPr="00E45508">
              <w:t>Progressively ban packaging which does not meet a minimum percentage recyclability threshold.</w:t>
            </w:r>
          </w:p>
        </w:tc>
        <w:tc>
          <w:tcPr>
            <w:tcW w:w="3786" w:type="dxa"/>
            <w:hideMark/>
          </w:tcPr>
          <w:p w14:paraId="3168C996" w14:textId="071160DF"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First ban on a limited set of problematic packaging as per Option 2 AND</w:t>
            </w:r>
          </w:p>
          <w:p w14:paraId="1C0A49F9"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Link EPR fees to recyclability grading of packaging placed on market (e.g. the more problematic to recycle, the higher the fee).</w:t>
            </w:r>
          </w:p>
        </w:tc>
      </w:tr>
      <w:tr w:rsidR="00F539DB" w:rsidRPr="00E45508" w14:paraId="5C825A80" w14:textId="77777777" w:rsidTr="00947655">
        <w:trPr>
          <w:cantSplit/>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14:paraId="7EF0A606" w14:textId="7D5E5B62" w:rsidR="00F539DB" w:rsidRPr="00E45508" w:rsidRDefault="00F539DB">
            <w:pPr>
              <w:pStyle w:val="Tabletext0"/>
              <w:rPr>
                <w:b w:val="0"/>
              </w:rPr>
            </w:pPr>
            <w:r w:rsidRPr="00E45508">
              <w:rPr>
                <w:rFonts w:eastAsiaTheme="minorHAnsi"/>
              </w:rPr>
              <w:t>Labelling</w:t>
            </w:r>
          </w:p>
        </w:tc>
        <w:tc>
          <w:tcPr>
            <w:tcW w:w="4943" w:type="dxa"/>
            <w:hideMark/>
          </w:tcPr>
          <w:p w14:paraId="711E28B1" w14:textId="77777777" w:rsidR="00F539DB" w:rsidRPr="00E45508" w:rsidRDefault="00F539DB">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HAnsi"/>
              </w:rPr>
              <w:t>Would continue current arrangements.</w:t>
            </w:r>
          </w:p>
          <w:p w14:paraId="2D0BF986" w14:textId="77777777" w:rsidR="00F539DB" w:rsidRPr="00E45508" w:rsidRDefault="00F539DB">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HAnsi"/>
              </w:rPr>
              <w:t>Under the current co-regulatory arrangement for packaging, the government supports the use of the ARL as a world-leading education tool designed to help households recycle correctly and assist brand owners to design packaging that can be recycled.</w:t>
            </w:r>
          </w:p>
        </w:tc>
        <w:tc>
          <w:tcPr>
            <w:tcW w:w="3785" w:type="dxa"/>
            <w:hideMark/>
          </w:tcPr>
          <w:p w14:paraId="3F7060D2" w14:textId="49FD5052" w:rsidR="00F539DB" w:rsidRPr="00E45508" w:rsidRDefault="00F539D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5508">
              <w:rPr>
                <w:sz w:val="20"/>
                <w:szCs w:val="20"/>
              </w:rPr>
              <w:t xml:space="preserve">Clear and consistent </w:t>
            </w:r>
            <w:r w:rsidR="00D246B3">
              <w:rPr>
                <w:sz w:val="20"/>
                <w:szCs w:val="20"/>
              </w:rPr>
              <w:t>recyclability</w:t>
            </w:r>
            <w:r w:rsidRPr="00E45508">
              <w:rPr>
                <w:sz w:val="20"/>
                <w:szCs w:val="20"/>
              </w:rPr>
              <w:t xml:space="preserve"> labelling would be mandatory for regulated entities to include on-pack consumer packaging.</w:t>
            </w:r>
          </w:p>
          <w:p w14:paraId="553F3BA5" w14:textId="77777777" w:rsidR="00F539DB" w:rsidRPr="00E45508" w:rsidRDefault="00F539D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45508">
              <w:rPr>
                <w:sz w:val="20"/>
                <w:szCs w:val="20"/>
              </w:rPr>
              <w:t>This will indicate to consumers how the packaging should be disposed of.</w:t>
            </w:r>
          </w:p>
        </w:tc>
        <w:tc>
          <w:tcPr>
            <w:tcW w:w="3786" w:type="dxa"/>
            <w:hideMark/>
          </w:tcPr>
          <w:p w14:paraId="75DFFD3C" w14:textId="77777777" w:rsidR="00F539DB" w:rsidRPr="00E45508" w:rsidRDefault="00F539DB">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HAnsi"/>
              </w:rPr>
              <w:t>As for Option 2.</w:t>
            </w:r>
          </w:p>
          <w:p w14:paraId="2D02CDE6" w14:textId="6B0ACE65" w:rsidR="00F539DB" w:rsidRPr="00E45508" w:rsidRDefault="00F539DB">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HAnsi"/>
              </w:rPr>
              <w:t>Labelling informatio</w:t>
            </w:r>
            <w:r w:rsidRPr="00E45508">
              <w:t>n</w:t>
            </w:r>
            <w:r w:rsidRPr="00E45508">
              <w:rPr>
                <w:rFonts w:eastAsiaTheme="minorHAnsi"/>
              </w:rPr>
              <w:t xml:space="preserve"> could also be required to reflect a recyclability grade (see section </w:t>
            </w:r>
            <w:r w:rsidR="00B5356D">
              <w:rPr>
                <w:rFonts w:eastAsiaTheme="minorHAnsi"/>
              </w:rPr>
              <w:fldChar w:fldCharType="begin"/>
            </w:r>
            <w:r w:rsidR="00B5356D">
              <w:rPr>
                <w:rFonts w:eastAsiaTheme="minorHAnsi"/>
              </w:rPr>
              <w:instrText xml:space="preserve"> REF _Ref178128019 \r \h </w:instrText>
            </w:r>
            <w:r w:rsidR="00B5356D">
              <w:rPr>
                <w:rFonts w:eastAsiaTheme="minorHAnsi"/>
              </w:rPr>
            </w:r>
            <w:r w:rsidR="00B5356D">
              <w:rPr>
                <w:rFonts w:eastAsiaTheme="minorHAnsi"/>
              </w:rPr>
              <w:fldChar w:fldCharType="separate"/>
            </w:r>
            <w:r w:rsidR="009A2EC4">
              <w:rPr>
                <w:rFonts w:eastAsiaTheme="minorHAnsi"/>
              </w:rPr>
              <w:t>5.9</w:t>
            </w:r>
            <w:r w:rsidR="00B5356D">
              <w:rPr>
                <w:rFonts w:eastAsiaTheme="minorHAnsi"/>
              </w:rPr>
              <w:fldChar w:fldCharType="end"/>
            </w:r>
            <w:r w:rsidRPr="00E45508">
              <w:rPr>
                <w:rFonts w:eastAsiaTheme="minorHAnsi"/>
              </w:rPr>
              <w:t xml:space="preserve"> on a draft recyclability grading to be recommended to government).</w:t>
            </w:r>
          </w:p>
          <w:p w14:paraId="5FA1C7FF" w14:textId="77777777" w:rsidR="00F539DB" w:rsidRPr="00E45508" w:rsidRDefault="00F539DB">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HAnsi"/>
              </w:rPr>
              <w:t>This could be on-pack or using a QR code to</w:t>
            </w:r>
            <w:r w:rsidRPr="00E45508">
              <w:t xml:space="preserve"> </w:t>
            </w:r>
            <w:r w:rsidRPr="00E45508">
              <w:rPr>
                <w:rFonts w:eastAsiaTheme="minorHAnsi"/>
              </w:rPr>
              <w:t>allow consumers to make more informed decisions by communicating the whole-of-life impact of packaging.</w:t>
            </w:r>
          </w:p>
        </w:tc>
      </w:tr>
      <w:tr w:rsidR="00F539DB" w:rsidRPr="00E45508" w14:paraId="24909EB0" w14:textId="77777777" w:rsidTr="00947655">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14:paraId="0FD6CAAD" w14:textId="6E779A10" w:rsidR="00F539DB" w:rsidRPr="00E45508" w:rsidRDefault="00F539DB">
            <w:pPr>
              <w:pStyle w:val="Tabletext0"/>
              <w:rPr>
                <w:b w:val="0"/>
              </w:rPr>
            </w:pPr>
            <w:r w:rsidRPr="00E45508">
              <w:rPr>
                <w:rFonts w:eastAsiaTheme="minorHAnsi"/>
              </w:rPr>
              <w:t>Recycled content</w:t>
            </w:r>
          </w:p>
        </w:tc>
        <w:tc>
          <w:tcPr>
            <w:tcW w:w="4943" w:type="dxa"/>
            <w:hideMark/>
          </w:tcPr>
          <w:p w14:paraId="3E2A1116"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No mandatory requirement for recycled content under the legislation that gives effect to the NEPM.</w:t>
            </w:r>
          </w:p>
          <w:p w14:paraId="6EDE4258" w14:textId="0A571EDA"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No change to existing arrangements</w:t>
            </w:r>
            <w:r w:rsidRPr="00E45508">
              <w:t>. A</w:t>
            </w:r>
            <w:r w:rsidRPr="00E45508">
              <w:rPr>
                <w:rFonts w:eastAsiaTheme="minorHAnsi"/>
              </w:rPr>
              <w:t xml:space="preserve">dditional industry guidance could be used to encourage </w:t>
            </w:r>
            <w:r w:rsidR="003E52ED">
              <w:rPr>
                <w:rFonts w:eastAsiaTheme="minorHAnsi"/>
              </w:rPr>
              <w:t>use of recycled content</w:t>
            </w:r>
            <w:r w:rsidRPr="00E45508">
              <w:rPr>
                <w:rFonts w:eastAsiaTheme="minorHAnsi"/>
              </w:rPr>
              <w:t>.</w:t>
            </w:r>
          </w:p>
          <w:p w14:paraId="5FA42380" w14:textId="57AA8E00"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 xml:space="preserve">Covenant </w:t>
            </w:r>
            <w:r w:rsidR="00EB2221">
              <w:rPr>
                <w:rFonts w:eastAsiaTheme="minorHAnsi"/>
              </w:rPr>
              <w:t>S</w:t>
            </w:r>
            <w:r w:rsidRPr="00E45508">
              <w:rPr>
                <w:rFonts w:eastAsiaTheme="minorHAnsi"/>
              </w:rPr>
              <w:t xml:space="preserve">ignatories must already report annually on the use of recycled materials </w:t>
            </w:r>
            <w:r w:rsidR="00D214EC">
              <w:rPr>
                <w:rFonts w:eastAsiaTheme="minorHAnsi"/>
              </w:rPr>
              <w:t>as</w:t>
            </w:r>
            <w:r w:rsidRPr="00E45508">
              <w:rPr>
                <w:rFonts w:eastAsiaTheme="minorHAnsi"/>
              </w:rPr>
              <w:t xml:space="preserve"> one of seven criteria of the Packaging Sustainability Framework </w:t>
            </w:r>
            <w:r w:rsidR="00856211" w:rsidRPr="00E45508">
              <w:rPr>
                <w:rFonts w:eastAsiaTheme="minorHAnsi"/>
              </w:rPr>
              <w:t>(APCO 2020b)</w:t>
            </w:r>
            <w:r w:rsidRPr="00E45508">
              <w:rPr>
                <w:rFonts w:eastAsiaTheme="minorHAnsi"/>
              </w:rPr>
              <w:t>.</w:t>
            </w:r>
          </w:p>
          <w:p w14:paraId="36F2D751"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From 2027, APCO eco-modulated fees creates economic incentives to use more recycled materials in packaging.</w:t>
            </w:r>
          </w:p>
        </w:tc>
        <w:tc>
          <w:tcPr>
            <w:tcW w:w="3785" w:type="dxa"/>
            <w:hideMark/>
          </w:tcPr>
          <w:p w14:paraId="1D3B14E5"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Commonwealth legislated minimum recycled content requirements for packaging placed on the Australian market.</w:t>
            </w:r>
          </w:p>
          <w:p w14:paraId="7E9D6031"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Each regulated entity would be responsible for meeting minimum recycled content thresholds.</w:t>
            </w:r>
          </w:p>
        </w:tc>
        <w:tc>
          <w:tcPr>
            <w:tcW w:w="3786" w:type="dxa"/>
            <w:hideMark/>
          </w:tcPr>
          <w:p w14:paraId="7680312E"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As for Option 2.</w:t>
            </w:r>
          </w:p>
          <w:p w14:paraId="2EEBBBCE" w14:textId="77777777" w:rsidR="00F539DB" w:rsidRPr="00E45508" w:rsidRDefault="00F539DB">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In addition, bonuses applied to EPR fees could further incentivise regulated entities to use recycled content in packaging at rates which exceed minimum thresholds.</w:t>
            </w:r>
          </w:p>
        </w:tc>
      </w:tr>
      <w:tr w:rsidR="00F539DB" w:rsidRPr="00E45508" w14:paraId="6710DF64" w14:textId="77777777" w:rsidTr="00947655">
        <w:trPr>
          <w:cantSplit/>
          <w:trHeight w:val="285"/>
        </w:trPr>
        <w:tc>
          <w:tcPr>
            <w:cnfStyle w:val="001000000000" w:firstRow="0" w:lastRow="0" w:firstColumn="1" w:lastColumn="0" w:oddVBand="0" w:evenVBand="0" w:oddHBand="0" w:evenHBand="0" w:firstRowFirstColumn="0" w:firstRowLastColumn="0" w:lastRowFirstColumn="0" w:lastRowLastColumn="0"/>
            <w:tcW w:w="1488" w:type="dxa"/>
          </w:tcPr>
          <w:p w14:paraId="5B24790A" w14:textId="77777777" w:rsidR="00F539DB" w:rsidRPr="00E45508" w:rsidRDefault="00F539DB">
            <w:pPr>
              <w:pStyle w:val="Tabletext0"/>
              <w:rPr>
                <w:rFonts w:eastAsiaTheme="minorHAnsi"/>
              </w:rPr>
            </w:pPr>
            <w:r w:rsidRPr="00E45508">
              <w:t>Other</w:t>
            </w:r>
          </w:p>
        </w:tc>
        <w:tc>
          <w:tcPr>
            <w:tcW w:w="4943" w:type="dxa"/>
          </w:tcPr>
          <w:p w14:paraId="214449D4" w14:textId="3A3B801F" w:rsidR="00F539DB" w:rsidRPr="00E45508" w:rsidRDefault="00105E56">
            <w:pPr>
              <w:pStyle w:val="Tabletext0"/>
              <w:cnfStyle w:val="000000000000" w:firstRow="0" w:lastRow="0" w:firstColumn="0" w:lastColumn="0" w:oddVBand="0" w:evenVBand="0" w:oddHBand="0" w:evenHBand="0" w:firstRowFirstColumn="0" w:firstRowLastColumn="0" w:lastRowFirstColumn="0" w:lastRowLastColumn="0"/>
              <w:rPr>
                <w:rFonts w:eastAsiaTheme="minorHAnsi"/>
              </w:rPr>
            </w:pPr>
            <w:r>
              <w:t>Would continue current arrangements.</w:t>
            </w:r>
          </w:p>
        </w:tc>
        <w:tc>
          <w:tcPr>
            <w:tcW w:w="3785" w:type="dxa"/>
          </w:tcPr>
          <w:p w14:paraId="53D111A5" w14:textId="534EB877" w:rsidR="00F539DB" w:rsidRPr="00E45508" w:rsidRDefault="00947655">
            <w:pPr>
              <w:pStyle w:val="Tabletext0"/>
              <w:cnfStyle w:val="000000000000" w:firstRow="0" w:lastRow="0" w:firstColumn="0" w:lastColumn="0" w:oddVBand="0" w:evenVBand="0" w:oddHBand="0" w:evenHBand="0" w:firstRowFirstColumn="0" w:firstRowLastColumn="0" w:lastRowFirstColumn="0" w:lastRowLastColumn="0"/>
              <w:rPr>
                <w:rFonts w:eastAsiaTheme="minorHAnsi"/>
              </w:rPr>
            </w:pPr>
            <w:r w:rsidRPr="00E45508">
              <w:t>Other obligations may be necessary, including collection and recycling obligations</w:t>
            </w:r>
            <w:r>
              <w:t>.</w:t>
            </w:r>
          </w:p>
        </w:tc>
        <w:tc>
          <w:tcPr>
            <w:tcW w:w="3786" w:type="dxa"/>
          </w:tcPr>
          <w:p w14:paraId="169ED9A9" w14:textId="0E079157" w:rsidR="00F539DB" w:rsidRPr="00E45508" w:rsidRDefault="00947655">
            <w:pPr>
              <w:pStyle w:val="Tabletext0"/>
              <w:cnfStyle w:val="000000000000" w:firstRow="0" w:lastRow="0" w:firstColumn="0" w:lastColumn="0" w:oddVBand="0" w:evenVBand="0" w:oddHBand="0" w:evenHBand="0" w:firstRowFirstColumn="0" w:firstRowLastColumn="0" w:lastRowFirstColumn="0" w:lastRowLastColumn="0"/>
              <w:rPr>
                <w:rFonts w:eastAsiaTheme="minorHAnsi"/>
              </w:rPr>
            </w:pPr>
            <w:r w:rsidRPr="00E45508">
              <w:t>Other obligations may be necessary, including collection and recycling obligations</w:t>
            </w:r>
            <w:r>
              <w:t>.</w:t>
            </w:r>
          </w:p>
        </w:tc>
      </w:tr>
    </w:tbl>
    <w:p w14:paraId="747A710C" w14:textId="77777777" w:rsidR="00F539DB" w:rsidRPr="00E45508" w:rsidRDefault="00F539DB" w:rsidP="00F539DB">
      <w:pPr>
        <w:sectPr w:rsidR="00F539DB" w:rsidRPr="00E45508" w:rsidSect="00F539DB">
          <w:pgSz w:w="16838" w:h="11906" w:orient="landscape"/>
          <w:pgMar w:top="1418" w:right="1418" w:bottom="1418" w:left="1418" w:header="567" w:footer="283" w:gutter="0"/>
          <w:cols w:space="708"/>
          <w:docGrid w:linePitch="360"/>
        </w:sectPr>
      </w:pPr>
    </w:p>
    <w:p w14:paraId="67418B55" w14:textId="6B2492F4" w:rsidR="0023491D" w:rsidRPr="00E45508" w:rsidRDefault="00952F71" w:rsidP="71D15096">
      <w:pPr>
        <w:pStyle w:val="Heading3"/>
      </w:pPr>
      <w:bookmarkStart w:id="168" w:name="_Ref178126744"/>
      <w:bookmarkStart w:id="169" w:name="_Ref178128019"/>
      <w:bookmarkStart w:id="170" w:name="_Ref178128158"/>
      <w:bookmarkStart w:id="171" w:name="_Toc178230258"/>
      <w:r w:rsidRPr="00E45508">
        <w:t>Improving d</w:t>
      </w:r>
      <w:r w:rsidR="54D61107" w:rsidRPr="00E45508">
        <w:t>esign</w:t>
      </w:r>
      <w:bookmarkEnd w:id="168"/>
      <w:bookmarkEnd w:id="169"/>
      <w:bookmarkEnd w:id="170"/>
      <w:bookmarkEnd w:id="171"/>
    </w:p>
    <w:p w14:paraId="4EB77A98" w14:textId="5F150212" w:rsidR="001B6F5D" w:rsidRPr="00E45508" w:rsidRDefault="54D61107" w:rsidP="00C915A5">
      <w:r w:rsidRPr="00E45508">
        <w:t>Designing packaging to reduce waste and improve recyclability contributes significantly towards a circular economy for packaging in Australia. Sustainable packaging design reduces problematic and unnecessary packaging materials that create waste and impede recycling, increases resource recovery</w:t>
      </w:r>
      <w:r w:rsidR="00E75044" w:rsidRPr="00E45508">
        <w:t xml:space="preserve"> through better quality and higher </w:t>
      </w:r>
      <w:r w:rsidR="000E15E5" w:rsidRPr="00E45508">
        <w:t>value packaging</w:t>
      </w:r>
      <w:r w:rsidR="001530E1" w:rsidRPr="00E45508">
        <w:t xml:space="preserve"> mater</w:t>
      </w:r>
      <w:r w:rsidR="0068206B" w:rsidRPr="00E45508">
        <w:t>ials</w:t>
      </w:r>
      <w:r w:rsidRPr="00E45508">
        <w:t>, and circulates materials in the economy at their highest value</w:t>
      </w:r>
      <w:r w:rsidR="00947655">
        <w:t>.</w:t>
      </w:r>
      <w:r w:rsidR="00330921" w:rsidRPr="00E45508">
        <w:t xml:space="preserve"> </w:t>
      </w:r>
      <w:r w:rsidRPr="00E45508">
        <w:t>By ensuring recyclability of packaging wherever possible</w:t>
      </w:r>
      <w:r w:rsidR="00153EF7">
        <w:t xml:space="preserve"> (see </w:t>
      </w:r>
      <w:r w:rsidR="00153EF7">
        <w:fldChar w:fldCharType="begin"/>
      </w:r>
      <w:r w:rsidR="00153EF7">
        <w:instrText xml:space="preserve"> REF _Ref178178146 \h </w:instrText>
      </w:r>
      <w:r w:rsidR="00153EF7">
        <w:fldChar w:fldCharType="separate"/>
      </w:r>
      <w:r w:rsidR="009A2EC4" w:rsidRPr="00E45508">
        <w:t xml:space="preserve">Box </w:t>
      </w:r>
      <w:r w:rsidR="009A2EC4">
        <w:rPr>
          <w:noProof/>
        </w:rPr>
        <w:t>8</w:t>
      </w:r>
      <w:r w:rsidR="00153EF7">
        <w:fldChar w:fldCharType="end"/>
      </w:r>
      <w:r w:rsidR="005C31B4">
        <w:t xml:space="preserve"> for </w:t>
      </w:r>
      <w:r w:rsidR="00FB52CF">
        <w:t xml:space="preserve">how this </w:t>
      </w:r>
      <w:r w:rsidR="00526E85">
        <w:t xml:space="preserve">could be </w:t>
      </w:r>
      <w:r w:rsidR="000D277A">
        <w:t>defined)</w:t>
      </w:r>
      <w:r w:rsidRPr="00E45508">
        <w:t>, design interventions also support other downstream actions to harmonise collections, reduce contamination, and develop robust domestic end markets</w:t>
      </w:r>
      <w:r w:rsidR="009445C7" w:rsidRPr="00E45508">
        <w:t xml:space="preserve"> for recyclate and products </w:t>
      </w:r>
      <w:r w:rsidR="005C4FCB" w:rsidRPr="00E45508">
        <w:t>containing</w:t>
      </w:r>
      <w:r w:rsidR="009445C7" w:rsidRPr="00E45508">
        <w:t xml:space="preserve"> recycled con</w:t>
      </w:r>
      <w:r w:rsidR="005C4FCB" w:rsidRPr="00E45508">
        <w:t>tent</w:t>
      </w:r>
      <w:r w:rsidRPr="00E45508">
        <w:t>.</w:t>
      </w:r>
    </w:p>
    <w:tbl>
      <w:tblPr>
        <w:tblStyle w:val="TableGrid"/>
        <w:tblW w:w="0" w:type="auto"/>
        <w:tblLook w:val="04A0" w:firstRow="1" w:lastRow="0" w:firstColumn="1" w:lastColumn="0" w:noHBand="0" w:noVBand="1"/>
      </w:tblPr>
      <w:tblGrid>
        <w:gridCol w:w="9060"/>
      </w:tblGrid>
      <w:tr w:rsidR="005472CB" w:rsidRPr="00E45508" w14:paraId="438DF3C6" w14:textId="77777777" w:rsidTr="00243584">
        <w:tc>
          <w:tcPr>
            <w:tcW w:w="9060" w:type="dxa"/>
            <w:shd w:val="clear" w:color="auto" w:fill="F2F2F2" w:themeFill="background1" w:themeFillShade="F2"/>
          </w:tcPr>
          <w:p w14:paraId="76B26455" w14:textId="2C6BA91E" w:rsidR="005472CB" w:rsidRPr="00E45508" w:rsidRDefault="00500985" w:rsidP="00C915A5">
            <w:pPr>
              <w:pStyle w:val="Caption"/>
            </w:pPr>
            <w:bookmarkStart w:id="172" w:name="_Ref178178146"/>
            <w:bookmarkStart w:id="173" w:name="_Toc178229398"/>
            <w:r w:rsidRPr="00E45508">
              <w:t xml:space="preserve">Box </w:t>
            </w:r>
            <w:r w:rsidRPr="00E45508">
              <w:fldChar w:fldCharType="begin"/>
            </w:r>
            <w:r w:rsidRPr="00E45508">
              <w:instrText>SEQ Box \* ARABIC</w:instrText>
            </w:r>
            <w:r w:rsidRPr="00E45508">
              <w:fldChar w:fldCharType="separate"/>
            </w:r>
            <w:r w:rsidR="009A2EC4">
              <w:rPr>
                <w:noProof/>
              </w:rPr>
              <w:t>8</w:t>
            </w:r>
            <w:r w:rsidRPr="00E45508">
              <w:fldChar w:fldCharType="end"/>
            </w:r>
            <w:bookmarkEnd w:id="172"/>
            <w:r w:rsidR="005472CB" w:rsidRPr="00E45508">
              <w:t>: Defining ‘recyclability’</w:t>
            </w:r>
            <w:bookmarkEnd w:id="173"/>
          </w:p>
          <w:p w14:paraId="34BFFEBA" w14:textId="2D475477" w:rsidR="005472CB" w:rsidRPr="00E45508" w:rsidRDefault="005472CB" w:rsidP="00283BD9">
            <w:pPr>
              <w:pStyle w:val="BoxText"/>
            </w:pPr>
            <w:r w:rsidRPr="00E45508">
              <w:t>In improving design requirements for packaging, the department is considering how the definition of recyclability should be determined. As Australia moves from a traditional recycling and litter prevention approach towards a circular economy for packaging, the existence of sustainable end markets is relevant when considering whether a material is recyclable in practice in Australia. Currently, packaging is considered ‘recyclable’ if it is accepted through kerbside or commercial collection or Container Deposit Schemes in more than 80% of Local Government Areas (</w:t>
            </w:r>
            <w:r w:rsidR="00B679FE" w:rsidRPr="00E45508">
              <w:t>ARL</w:t>
            </w:r>
            <w:r w:rsidR="00421651" w:rsidRPr="00E45508">
              <w:t> 2</w:t>
            </w:r>
            <w:r w:rsidR="00B679FE" w:rsidRPr="00E45508">
              <w:t>024</w:t>
            </w:r>
            <w:r w:rsidRPr="00E45508">
              <w:t>).</w:t>
            </w:r>
          </w:p>
          <w:p w14:paraId="19AAABCF" w14:textId="449BE423" w:rsidR="005472CB" w:rsidRPr="00E45508" w:rsidRDefault="005472CB" w:rsidP="00283BD9">
            <w:pPr>
              <w:pStyle w:val="BoxText"/>
            </w:pPr>
            <w:r w:rsidRPr="00E45508">
              <w:t>Design interventions should prioritise packaging that can be recovered through kerbside collection as this provides the most convenience for consumers</w:t>
            </w:r>
            <w:r w:rsidRPr="00E45508" w:rsidDel="00AF3D69">
              <w:t xml:space="preserve"> </w:t>
            </w:r>
            <w:r w:rsidRPr="00E45508">
              <w:t>and operates at scale across the country. Where packaging cannot be recovered through kerbside collection, alternative collection schemes could allow regulated entities to demonstrate their packaging can be recycled, provided the scheme meets certain conditions of scale and access, and meets minimum recycling outcomes.</w:t>
            </w:r>
          </w:p>
        </w:tc>
      </w:tr>
    </w:tbl>
    <w:p w14:paraId="41BA85F0" w14:textId="77777777" w:rsidR="00500985" w:rsidRPr="00E45508" w:rsidRDefault="00500985" w:rsidP="418DB322"/>
    <w:p w14:paraId="54A42721" w14:textId="4E490559" w:rsidR="0023491D" w:rsidRPr="00E45508" w:rsidRDefault="54D61107" w:rsidP="00C915A5">
      <w:r w:rsidRPr="00E45508">
        <w:t xml:space="preserve">Any design </w:t>
      </w:r>
      <w:r w:rsidR="00B81C24" w:rsidRPr="00E45508">
        <w:t>obligations</w:t>
      </w:r>
      <w:r w:rsidRPr="00E45508">
        <w:t xml:space="preserve"> must be developed with consideration of essential functions for packaging, ambition for global best practice design, and the unique and varying geographic challenges and recovery capabilities throughout Australia. Once the recyclability of packaging is consistently high, the </w:t>
      </w:r>
      <w:r w:rsidR="006B6815">
        <w:t>supply</w:t>
      </w:r>
      <w:r w:rsidRPr="00E45508">
        <w:t xml:space="preserve"> chain can be further optimised through the addition of future sustainability criteria, such as the minimisation of emissions or water usage, and food waste.</w:t>
      </w:r>
    </w:p>
    <w:p w14:paraId="669E7059" w14:textId="6EA095C8" w:rsidR="00094095" w:rsidRPr="00E45508" w:rsidRDefault="00094095" w:rsidP="00C915A5">
      <w:r w:rsidRPr="00E45508">
        <w:t xml:space="preserve">In implementing </w:t>
      </w:r>
      <w:r w:rsidR="00B81C24" w:rsidRPr="00E45508">
        <w:t>design</w:t>
      </w:r>
      <w:r w:rsidR="00C479DA" w:rsidRPr="00E45508">
        <w:t xml:space="preserve"> obligations</w:t>
      </w:r>
      <w:r w:rsidRPr="00E45508">
        <w:t>, the government could consider exemptions or transitional arrangements for essential packaging where it cannot meet requirements without compromising its functional requirements. This may include packaging required to meet pharmaceutical safety standards or to guarantee food safety and security in certain circumstances. Another option is to progressively ban non-recyclable packaging or additives over time if industry fails to take sufficient action to improve circularity</w:t>
      </w:r>
      <w:r w:rsidR="00027DAE" w:rsidRPr="00E45508">
        <w:t xml:space="preserve"> (</w:t>
      </w:r>
      <w:r w:rsidR="00C915A5" w:rsidRPr="00E45508">
        <w:t>O</w:t>
      </w:r>
      <w:r w:rsidR="00027DAE" w:rsidRPr="00E45508">
        <w:t>ption</w:t>
      </w:r>
      <w:r w:rsidR="00421651" w:rsidRPr="00E45508">
        <w:t> 2</w:t>
      </w:r>
      <w:r w:rsidR="00027DAE" w:rsidRPr="00E45508">
        <w:t>)</w:t>
      </w:r>
      <w:r w:rsidRPr="00E45508">
        <w:t>.</w:t>
      </w:r>
      <w:r w:rsidR="00673EB1" w:rsidRPr="00673EB1">
        <w:t xml:space="preserve"> </w:t>
      </w:r>
      <w:r w:rsidR="00673EB1">
        <w:fldChar w:fldCharType="begin"/>
      </w:r>
      <w:r w:rsidR="00673EB1">
        <w:instrText xml:space="preserve"> REF _Ref178179679 \h </w:instrText>
      </w:r>
      <w:r w:rsidR="00673EB1">
        <w:fldChar w:fldCharType="separate"/>
      </w:r>
      <w:r w:rsidR="009A2EC4" w:rsidRPr="00E45508">
        <w:t xml:space="preserve">Box </w:t>
      </w:r>
      <w:r w:rsidR="009A2EC4">
        <w:rPr>
          <w:noProof/>
        </w:rPr>
        <w:t>9</w:t>
      </w:r>
      <w:r w:rsidR="00673EB1">
        <w:fldChar w:fldCharType="end"/>
      </w:r>
      <w:r w:rsidR="00673EB1">
        <w:t xml:space="preserve"> outlines potential design elements that could be banned or </w:t>
      </w:r>
      <w:r w:rsidR="006378FC">
        <w:t>disincentivised.</w:t>
      </w:r>
    </w:p>
    <w:p w14:paraId="64EFF2F5" w14:textId="6DE3D7BC" w:rsidR="00103A53" w:rsidRPr="00E45508" w:rsidRDefault="54D61107" w:rsidP="00C915A5">
      <w:r w:rsidRPr="00E45508">
        <w:t xml:space="preserve">For </w:t>
      </w:r>
      <w:r w:rsidR="00A52D85">
        <w:t>design</w:t>
      </w:r>
      <w:r w:rsidR="008708C0">
        <w:t xml:space="preserve"> for recyclability</w:t>
      </w:r>
      <w:r w:rsidR="00A52D85">
        <w:t xml:space="preserve"> </w:t>
      </w:r>
      <w:r w:rsidR="00653CEF" w:rsidRPr="00E45508">
        <w:t>obligations</w:t>
      </w:r>
      <w:r w:rsidRPr="00E45508">
        <w:t xml:space="preserve"> to be implemented and enforced effectively, the government </w:t>
      </w:r>
      <w:r w:rsidR="001A49DB" w:rsidRPr="00E45508">
        <w:t>would</w:t>
      </w:r>
      <w:r w:rsidR="00AF69AB" w:rsidRPr="00E45508">
        <w:t xml:space="preserve"> need to </w:t>
      </w:r>
      <w:r w:rsidRPr="00E45508">
        <w:t xml:space="preserve">develop criteria and tools to assess circularity and recyclability and determine the correct recyclability label, as well as technical design requirements to determine a grading and allow compliance monitoring and enforcement against mandatory </w:t>
      </w:r>
      <w:r w:rsidR="001E0BAC">
        <w:t>requirements</w:t>
      </w:r>
      <w:r w:rsidRPr="00E45508">
        <w:t>.</w:t>
      </w:r>
      <w:r w:rsidR="00BD3AD1">
        <w:t xml:space="preserve"> </w:t>
      </w:r>
    </w:p>
    <w:tbl>
      <w:tblPr>
        <w:tblStyle w:val="TableGrid"/>
        <w:tblW w:w="0" w:type="auto"/>
        <w:tblLook w:val="04A0" w:firstRow="1" w:lastRow="0" w:firstColumn="1" w:lastColumn="0" w:noHBand="0" w:noVBand="1"/>
      </w:tblPr>
      <w:tblGrid>
        <w:gridCol w:w="9060"/>
      </w:tblGrid>
      <w:tr w:rsidR="005472CB" w:rsidRPr="00E45508" w14:paraId="741C999C" w14:textId="77777777" w:rsidTr="00CA1213">
        <w:tc>
          <w:tcPr>
            <w:tcW w:w="9060" w:type="dxa"/>
            <w:shd w:val="clear" w:color="auto" w:fill="F2F2F2" w:themeFill="background1" w:themeFillShade="F2"/>
          </w:tcPr>
          <w:p w14:paraId="699C1DA3" w14:textId="6286C7C1" w:rsidR="005472CB" w:rsidRPr="00E45508" w:rsidRDefault="00DB0DAF" w:rsidP="00C915A5">
            <w:pPr>
              <w:pStyle w:val="Caption"/>
            </w:pPr>
            <w:bookmarkStart w:id="174" w:name="_Ref178179679"/>
            <w:bookmarkStart w:id="175" w:name="_Ref177130634"/>
            <w:bookmarkStart w:id="176" w:name="_Toc178229399"/>
            <w:r w:rsidRPr="00E45508">
              <w:t>B</w:t>
            </w:r>
            <w:r w:rsidR="005472CB" w:rsidRPr="00E45508">
              <w:t xml:space="preserve">ox </w:t>
            </w:r>
            <w:r w:rsidR="005472CB" w:rsidRPr="00E45508">
              <w:fldChar w:fldCharType="begin"/>
            </w:r>
            <w:r w:rsidR="005472CB" w:rsidRPr="00E45508">
              <w:instrText>SEQ Box \* ARABIC</w:instrText>
            </w:r>
            <w:r w:rsidR="005472CB" w:rsidRPr="00E45508">
              <w:fldChar w:fldCharType="separate"/>
            </w:r>
            <w:r w:rsidR="009A2EC4">
              <w:rPr>
                <w:noProof/>
              </w:rPr>
              <w:t>9</w:t>
            </w:r>
            <w:r w:rsidR="005472CB" w:rsidRPr="00E45508">
              <w:fldChar w:fldCharType="end"/>
            </w:r>
            <w:bookmarkEnd w:id="174"/>
            <w:r w:rsidR="005472CB" w:rsidRPr="00E45508">
              <w:t>: Design elements under consideration for restriction or to be disincentivised</w:t>
            </w:r>
            <w:bookmarkEnd w:id="175"/>
            <w:bookmarkEnd w:id="176"/>
          </w:p>
          <w:p w14:paraId="2529DDC5" w14:textId="77777777" w:rsidR="005472CB" w:rsidRPr="00E45508" w:rsidRDefault="005472CB" w:rsidP="00283BD9">
            <w:pPr>
              <w:pStyle w:val="BoxText"/>
            </w:pPr>
            <w:r w:rsidRPr="00E45508">
              <w:t>These include:</w:t>
            </w:r>
          </w:p>
          <w:p w14:paraId="522D8317" w14:textId="77777777" w:rsidR="005472CB" w:rsidRPr="00E45508" w:rsidRDefault="005472CB" w:rsidP="00DF2EE1">
            <w:pPr>
              <w:pStyle w:val="BoxTextBullet"/>
            </w:pPr>
            <w:r w:rsidRPr="00E45508">
              <w:t>Use of mixed or multiple polymers.</w:t>
            </w:r>
          </w:p>
          <w:p w14:paraId="41D9ECEA" w14:textId="1FAC3666" w:rsidR="00CA1213" w:rsidRPr="00E45508" w:rsidRDefault="00CA1213" w:rsidP="00DF2EE1">
            <w:pPr>
              <w:pStyle w:val="BoxTextBullet"/>
            </w:pPr>
            <w:r w:rsidRPr="00E45508">
              <w:t>Inclusion of colours in plastic packaging.</w:t>
            </w:r>
          </w:p>
          <w:p w14:paraId="39A090FB" w14:textId="2ADED68F" w:rsidR="005472CB" w:rsidRPr="00E45508" w:rsidRDefault="005472CB" w:rsidP="00DF2EE1">
            <w:pPr>
              <w:pStyle w:val="BoxTextBullet"/>
            </w:pPr>
            <w:r w:rsidRPr="00E45508">
              <w:t>Suitability of PVC/PDVC, EPS/PS, PETG, non-polyolefin bioplastics (PLA, PHA), PA, nylon, EVOH, AIOx, SiOX, rigid steel, and oxo-degradable polymers in packaging.</w:t>
            </w:r>
          </w:p>
          <w:p w14:paraId="5FE6C0A7" w14:textId="77777777" w:rsidR="005472CB" w:rsidRPr="00E45508" w:rsidRDefault="005472CB" w:rsidP="00DF2EE1">
            <w:pPr>
              <w:pStyle w:val="BoxTextBullet"/>
            </w:pPr>
            <w:r w:rsidRPr="00E45508">
              <w:t>Overwraps, empty space (excess headspace, double walls, and false bottoms).</w:t>
            </w:r>
          </w:p>
          <w:p w14:paraId="3279ADD8" w14:textId="77777777" w:rsidR="005472CB" w:rsidRPr="00E45508" w:rsidRDefault="005472CB" w:rsidP="00DF2EE1">
            <w:pPr>
              <w:pStyle w:val="BoxTextBullet"/>
            </w:pPr>
            <w:r w:rsidRPr="00E45508">
              <w:t>Additives that prevent or impede recycling.</w:t>
            </w:r>
          </w:p>
          <w:p w14:paraId="010F15E2" w14:textId="77777777" w:rsidR="005472CB" w:rsidRPr="00E45508" w:rsidRDefault="005472CB" w:rsidP="00DF2EE1">
            <w:pPr>
              <w:pStyle w:val="BoxTextBullet"/>
            </w:pPr>
            <w:r w:rsidRPr="00E45508">
              <w:t>Additives that reduce the value of recyclate.</w:t>
            </w:r>
          </w:p>
          <w:p w14:paraId="3AC72D7C" w14:textId="4DD5F624" w:rsidR="005472CB" w:rsidRPr="00E45508" w:rsidRDefault="005472CB" w:rsidP="00DF2EE1">
            <w:pPr>
              <w:pStyle w:val="BoxTextBullet"/>
            </w:pPr>
            <w:r w:rsidRPr="00E45508">
              <w:t>Chemicals</w:t>
            </w:r>
            <w:r w:rsidR="006652EC" w:rsidRPr="00E45508">
              <w:t xml:space="preserve"> of concern</w:t>
            </w:r>
            <w:r w:rsidRPr="00E45508">
              <w:t xml:space="preserve"> regulated through other frameworks to protect human health and the environment.</w:t>
            </w:r>
          </w:p>
          <w:p w14:paraId="0628B23D" w14:textId="77777777" w:rsidR="005472CB" w:rsidRPr="00E45508" w:rsidRDefault="005472CB" w:rsidP="00DF2EE1">
            <w:pPr>
              <w:pStyle w:val="BoxTextBullet"/>
            </w:pPr>
            <w:r w:rsidRPr="00E45508">
              <w:t>Use of carbon black.</w:t>
            </w:r>
          </w:p>
          <w:p w14:paraId="624A71F9" w14:textId="77777777" w:rsidR="005472CB" w:rsidRPr="00E45508" w:rsidRDefault="005472CB" w:rsidP="00DF2EE1">
            <w:pPr>
              <w:pStyle w:val="BoxTextBullet"/>
            </w:pPr>
            <w:r w:rsidRPr="00E45508">
              <w:t>Use of silicone, metal parts, wadding, padding, ties, cables, metals, thermosets, pump systems, swing tops with ceramic, and sealing foils not able to be completely removed in container closures.</w:t>
            </w:r>
          </w:p>
          <w:p w14:paraId="5D0356EA" w14:textId="77777777" w:rsidR="005472CB" w:rsidRPr="00E45508" w:rsidRDefault="005472CB" w:rsidP="00DF2EE1">
            <w:pPr>
              <w:pStyle w:val="BoxTextBullet"/>
            </w:pPr>
            <w:r w:rsidRPr="00E45508">
              <w:t>Use of labels and sleeves where they impede recycling.</w:t>
            </w:r>
          </w:p>
          <w:p w14:paraId="642A39B4" w14:textId="77777777" w:rsidR="005472CB" w:rsidRPr="00E45508" w:rsidRDefault="005472CB" w:rsidP="00DF2EE1">
            <w:pPr>
              <w:pStyle w:val="BoxTextBullet"/>
            </w:pPr>
            <w:r w:rsidRPr="00E45508">
              <w:t>Use of inks that are toxic, bleed, or are metallic or mineral based.</w:t>
            </w:r>
          </w:p>
          <w:p w14:paraId="42F4A168" w14:textId="77777777" w:rsidR="005472CB" w:rsidRPr="00E45508" w:rsidRDefault="005472CB" w:rsidP="00DF2EE1">
            <w:pPr>
              <w:pStyle w:val="BoxTextBullet"/>
            </w:pPr>
            <w:r w:rsidRPr="00E45508">
              <w:t>Use of adhesives that are not water soluble or cannot be easily removed in the recycling process.</w:t>
            </w:r>
          </w:p>
          <w:p w14:paraId="611EC29B" w14:textId="3DE0E5A7" w:rsidR="005472CB" w:rsidRPr="00E45508" w:rsidRDefault="005472CB" w:rsidP="00DF2EE1">
            <w:pPr>
              <w:pStyle w:val="BoxTextBullet"/>
            </w:pPr>
            <w:r w:rsidRPr="00E45508">
              <w:t>Packaging that cannot be easily emptied by the consumer where the remaining product impedes recycling.</w:t>
            </w:r>
          </w:p>
        </w:tc>
      </w:tr>
    </w:tbl>
    <w:p w14:paraId="68F965CE" w14:textId="77777777" w:rsidR="00396557" w:rsidRDefault="00396557" w:rsidP="00096CDE"/>
    <w:p w14:paraId="22F8FB47" w14:textId="1BABF2EF" w:rsidR="00096CDE" w:rsidRDefault="006131C2" w:rsidP="00096CDE">
      <w:r>
        <w:t>Potential o</w:t>
      </w:r>
      <w:r w:rsidR="00396557">
        <w:t>bli</w:t>
      </w:r>
      <w:r w:rsidR="00C95792">
        <w:t xml:space="preserve">gations </w:t>
      </w:r>
      <w:r>
        <w:t xml:space="preserve">to improve design, together with other government actions such as </w:t>
      </w:r>
      <w:r w:rsidR="00CD38E3">
        <w:t xml:space="preserve">problematic and </w:t>
      </w:r>
      <w:r w:rsidR="007E1B7F">
        <w:t>single-use</w:t>
      </w:r>
      <w:r w:rsidR="00CD38E3">
        <w:t xml:space="preserve"> phase-outs, </w:t>
      </w:r>
      <w:r w:rsidR="008826D4">
        <w:t xml:space="preserve">will help reduce </w:t>
      </w:r>
      <w:r w:rsidR="00140954">
        <w:t xml:space="preserve">waste. </w:t>
      </w:r>
      <w:r w:rsidR="00B04233">
        <w:t>Govern</w:t>
      </w:r>
      <w:r w:rsidR="007011EF">
        <w:t xml:space="preserve">ments will continue to work together to ensure alignment </w:t>
      </w:r>
      <w:r w:rsidR="007F7747">
        <w:t>between the proposed</w:t>
      </w:r>
      <w:r w:rsidR="00947344">
        <w:t xml:space="preserve"> </w:t>
      </w:r>
      <w:r w:rsidR="00CB7D53">
        <w:t>reform</w:t>
      </w:r>
      <w:r w:rsidR="007F7747">
        <w:t>s</w:t>
      </w:r>
      <w:r w:rsidR="00CB7D53">
        <w:t xml:space="preserve"> and other</w:t>
      </w:r>
      <w:r w:rsidR="00A43B1D">
        <w:t xml:space="preserve"> </w:t>
      </w:r>
      <w:r w:rsidR="00396557" w:rsidRPr="00396557">
        <w:t xml:space="preserve">actions, as outlined in </w:t>
      </w:r>
      <w:r w:rsidR="004118CF">
        <w:fldChar w:fldCharType="begin"/>
      </w:r>
      <w:r w:rsidR="004118CF">
        <w:instrText xml:space="preserve"> REF _Ref178228762 \h </w:instrText>
      </w:r>
      <w:r w:rsidR="004118CF">
        <w:fldChar w:fldCharType="separate"/>
      </w:r>
      <w:r w:rsidR="009A2EC4" w:rsidRPr="00E45508">
        <w:t xml:space="preserve">Box </w:t>
      </w:r>
      <w:r w:rsidR="009A2EC4">
        <w:rPr>
          <w:noProof/>
        </w:rPr>
        <w:t>10</w:t>
      </w:r>
      <w:r w:rsidR="004118CF">
        <w:fldChar w:fldCharType="end"/>
      </w:r>
      <w:r w:rsidR="00E746F1">
        <w:t>.</w:t>
      </w:r>
    </w:p>
    <w:tbl>
      <w:tblPr>
        <w:tblStyle w:val="TableGrid"/>
        <w:tblW w:w="0" w:type="auto"/>
        <w:shd w:val="clear" w:color="auto" w:fill="F2F2F2" w:themeFill="background1" w:themeFillShade="F2"/>
        <w:tblLook w:val="04A0" w:firstRow="1" w:lastRow="0" w:firstColumn="1" w:lastColumn="0" w:noHBand="0" w:noVBand="1"/>
      </w:tblPr>
      <w:tblGrid>
        <w:gridCol w:w="9060"/>
      </w:tblGrid>
      <w:tr w:rsidR="00396557" w:rsidRPr="00E45508" w14:paraId="3FBEF78B" w14:textId="77777777" w:rsidTr="65C30590">
        <w:trPr>
          <w:trHeight w:val="300"/>
        </w:trPr>
        <w:tc>
          <w:tcPr>
            <w:tcW w:w="9060" w:type="dxa"/>
            <w:shd w:val="clear" w:color="auto" w:fill="F2F2F2" w:themeFill="accent6" w:themeFillShade="F2"/>
          </w:tcPr>
          <w:p w14:paraId="129C0915" w14:textId="3069A2A2" w:rsidR="00396557" w:rsidRPr="00E45508" w:rsidRDefault="00396557">
            <w:pPr>
              <w:pStyle w:val="Caption"/>
            </w:pPr>
            <w:bookmarkStart w:id="177" w:name="_Ref178228762"/>
            <w:bookmarkStart w:id="178" w:name="_Toc178229400"/>
            <w:r w:rsidRPr="00E45508">
              <w:t xml:space="preserve">Box </w:t>
            </w:r>
            <w:r w:rsidRPr="00E45508">
              <w:fldChar w:fldCharType="begin"/>
            </w:r>
            <w:r w:rsidRPr="00E45508">
              <w:instrText>SEQ Box \* ARABIC</w:instrText>
            </w:r>
            <w:r w:rsidRPr="00E45508">
              <w:fldChar w:fldCharType="separate"/>
            </w:r>
            <w:r w:rsidR="009A2EC4">
              <w:rPr>
                <w:noProof/>
              </w:rPr>
              <w:t>10</w:t>
            </w:r>
            <w:r w:rsidRPr="00E45508">
              <w:fldChar w:fldCharType="end"/>
            </w:r>
            <w:bookmarkEnd w:id="177"/>
            <w:r>
              <w:t>:</w:t>
            </w:r>
            <w:r w:rsidRPr="00E45508">
              <w:t xml:space="preserve"> Addressing problematic plastic packaging</w:t>
            </w:r>
            <w:bookmarkEnd w:id="178"/>
          </w:p>
          <w:p w14:paraId="07151857" w14:textId="77777777" w:rsidR="00396557" w:rsidRPr="00E45508" w:rsidRDefault="00396557">
            <w:pPr>
              <w:pStyle w:val="BoxText"/>
              <w:rPr>
                <w:rFonts w:eastAsia="Times New Roman"/>
              </w:rPr>
            </w:pPr>
            <w:r w:rsidRPr="00E45508">
              <w:rPr>
                <w:rFonts w:eastAsia="Times New Roman"/>
              </w:rPr>
              <w:t>The government is also working to reduce waste and prevent litter and pollution by supporting state and territory governments to phase out problematic and unnecessary single-use plastic products, including some packaging items.</w:t>
            </w:r>
          </w:p>
          <w:p w14:paraId="4F536D70" w14:textId="77777777" w:rsidR="00396557" w:rsidRPr="00E45508" w:rsidRDefault="00396557">
            <w:pPr>
              <w:pStyle w:val="BoxText"/>
              <w:rPr>
                <w:rFonts w:eastAsia="Times New Roman"/>
              </w:rPr>
            </w:pPr>
            <w:r w:rsidRPr="00E45508">
              <w:rPr>
                <w:rFonts w:eastAsia="Times New Roman"/>
              </w:rPr>
              <w:t>The government has heard from stakeholders that new packaging regulations must provide industry with the certainty they need to further invest and transition to safe and circular packaging design. Reform presents an opportunity to set clear and nationally consistent design requirements for industry.</w:t>
            </w:r>
          </w:p>
          <w:p w14:paraId="4E9A457E" w14:textId="5C165F54" w:rsidR="00396557" w:rsidRPr="00E45508" w:rsidRDefault="00396557">
            <w:pPr>
              <w:pStyle w:val="BoxText"/>
              <w:rPr>
                <w:rFonts w:eastAsia="Times New Roman"/>
              </w:rPr>
            </w:pPr>
            <w:r w:rsidRPr="00E45508">
              <w:rPr>
                <w:rFonts w:eastAsia="Times New Roman"/>
              </w:rPr>
              <w:t xml:space="preserve">The government will continue to work with state and territory governments towards circularity and to harmonise policies to reduce confusion and burden on industry. Depending on the circumstances, this could mean </w:t>
            </w:r>
            <w:r w:rsidRPr="6F24D82E">
              <w:rPr>
                <w:rFonts w:eastAsia="Times New Roman"/>
              </w:rPr>
              <w:t>government</w:t>
            </w:r>
            <w:r w:rsidR="17A15373" w:rsidRPr="6F24D82E">
              <w:rPr>
                <w:rFonts w:eastAsia="Times New Roman"/>
              </w:rPr>
              <w:t>s</w:t>
            </w:r>
            <w:r w:rsidRPr="00E45508">
              <w:rPr>
                <w:rFonts w:eastAsia="Times New Roman"/>
              </w:rPr>
              <w:t xml:space="preserve"> considering one or more policies which:</w:t>
            </w:r>
          </w:p>
          <w:p w14:paraId="0F68CA85" w14:textId="77777777" w:rsidR="00396557" w:rsidRPr="00E45508" w:rsidRDefault="00396557">
            <w:pPr>
              <w:pStyle w:val="BoxTextBullet"/>
            </w:pPr>
            <w:r w:rsidRPr="00E45508">
              <w:t>require design changes to packaging</w:t>
            </w:r>
          </w:p>
          <w:p w14:paraId="422DF854" w14:textId="77777777" w:rsidR="00396557" w:rsidRPr="00E45508" w:rsidRDefault="00396557">
            <w:pPr>
              <w:pStyle w:val="BoxTextBullet"/>
            </w:pPr>
            <w:r w:rsidRPr="00E45508">
              <w:t>incentivise innovation to remove problematic materials</w:t>
            </w:r>
          </w:p>
          <w:p w14:paraId="789C8834" w14:textId="77777777" w:rsidR="00396557" w:rsidRPr="00E45508" w:rsidRDefault="00396557">
            <w:pPr>
              <w:pStyle w:val="BoxTextBullet"/>
            </w:pPr>
            <w:r w:rsidRPr="00E45508">
              <w:t xml:space="preserve">encourage a shift to reuse </w:t>
            </w:r>
            <w:r>
              <w:t xml:space="preserve">and refill </w:t>
            </w:r>
            <w:r w:rsidRPr="00E45508">
              <w:t>systems</w:t>
            </w:r>
          </w:p>
          <w:p w14:paraId="28221CFE" w14:textId="77777777" w:rsidR="00396557" w:rsidRPr="00E45508" w:rsidRDefault="00396557">
            <w:pPr>
              <w:pStyle w:val="BoxTextBullet"/>
            </w:pPr>
            <w:r w:rsidRPr="00E45508">
              <w:t>or in some cases where there are safer and more sustainable replacements, ban highly problematic materials.</w:t>
            </w:r>
          </w:p>
        </w:tc>
      </w:tr>
    </w:tbl>
    <w:p w14:paraId="4A06E281" w14:textId="77777777" w:rsidR="00396557" w:rsidRPr="00E45508" w:rsidRDefault="00396557" w:rsidP="00096CDE"/>
    <w:p w14:paraId="6557494E" w14:textId="0F64A41F" w:rsidR="00096CDE" w:rsidRPr="00E45508" w:rsidRDefault="00096CDE" w:rsidP="07B42C59">
      <w:pPr>
        <w:pStyle w:val="Heading4"/>
      </w:pPr>
      <w:r w:rsidRPr="00E45508">
        <w:t>Independent expert recommendation to the department on packaging design</w:t>
      </w:r>
    </w:p>
    <w:p w14:paraId="60A42E0B" w14:textId="5B3493EC" w:rsidR="00096CDE" w:rsidRPr="00E45508" w:rsidRDefault="00096CDE" w:rsidP="00096CDE">
      <w:r w:rsidRPr="00E45508">
        <w:t xml:space="preserve">In 2024, the department established the National Packaging Design Standard Working Group (the Working Group) to provide technical advice on packaging design </w:t>
      </w:r>
      <w:r w:rsidRPr="00E45508" w:rsidDel="00ED495B">
        <w:t xml:space="preserve">requirements </w:t>
      </w:r>
      <w:r w:rsidRPr="00E45508">
        <w:t>to inform the reform of packaging regulations. The Working Group is comprised of experts in packaging design, manufacturing, recycling, and reprocessing. The department has requested the Working Group develop evidence-based, feasible, future-proofed, and effective guidance for the design of packaging in Australia, in line with circular economy principles.</w:t>
      </w:r>
    </w:p>
    <w:p w14:paraId="15874DBD" w14:textId="77777777" w:rsidR="00096CDE" w:rsidRPr="00E45508" w:rsidRDefault="00096CDE" w:rsidP="00096CDE">
      <w:r w:rsidRPr="00E45508">
        <w:t>Informed by international examples, the Working Group has developed a draft grading framework that proposes to grade packaging based on its recyclability, that considers:</w:t>
      </w:r>
    </w:p>
    <w:p w14:paraId="02BE1B2A" w14:textId="245FBA8E" w:rsidR="00096CDE" w:rsidRPr="00E45508" w:rsidRDefault="00096CDE" w:rsidP="009C1F84">
      <w:pPr>
        <w:pStyle w:val="ListBullet"/>
      </w:pPr>
      <w:r w:rsidRPr="00E45508">
        <w:t>how readily it can be collected, sorted, and recycled in Australia</w:t>
      </w:r>
    </w:p>
    <w:p w14:paraId="5224C305" w14:textId="650F27FC" w:rsidR="00096CDE" w:rsidRPr="00E45508" w:rsidRDefault="00096CDE" w:rsidP="009C1F84">
      <w:pPr>
        <w:pStyle w:val="ListBullet"/>
      </w:pPr>
      <w:r w:rsidRPr="00E45508">
        <w:t>that it does not unduly impact the quality, quantity or value of recycled materials or cause recycling stream contamination</w:t>
      </w:r>
    </w:p>
    <w:p w14:paraId="675A6976" w14:textId="77777777" w:rsidR="00096CDE" w:rsidRPr="00E45508" w:rsidRDefault="00096CDE" w:rsidP="009C1F84">
      <w:pPr>
        <w:pStyle w:val="ListBullet"/>
      </w:pPr>
      <w:r w:rsidRPr="00E45508">
        <w:t>whether there is an established end market for the recycled materials.</w:t>
      </w:r>
    </w:p>
    <w:p w14:paraId="128CD220" w14:textId="028F2353" w:rsidR="00096CDE" w:rsidRPr="00E45508" w:rsidRDefault="00096CDE" w:rsidP="002B3CF9">
      <w:r w:rsidRPr="00E45508">
        <w:t xml:space="preserve">This process is also considering how packaging </w:t>
      </w:r>
      <w:r w:rsidR="00A61C68">
        <w:t>that</w:t>
      </w:r>
      <w:r w:rsidRPr="00E45508">
        <w:t xml:space="preserve"> is necessary but is currently unable to be accepted through kerbside recycling streams at scale would be treated in reformed regulations. This could include liable parties producing non-kerbside recyclable packaging to provide evidence that they are members of an effective alternative collections scheme and are achieving equivalent outcomes to </w:t>
      </w:r>
      <w:r w:rsidR="00EA25FF">
        <w:t>an</w:t>
      </w:r>
      <w:r w:rsidR="00440588">
        <w:t xml:space="preserve">y </w:t>
      </w:r>
      <w:r w:rsidRPr="00E45508">
        <w:t>new mandatory obligations.</w:t>
      </w:r>
    </w:p>
    <w:p w14:paraId="3F65CB93" w14:textId="7DF2DED5" w:rsidR="00096CDE" w:rsidRPr="00E45508" w:rsidRDefault="00096CDE" w:rsidP="002B3CF9">
      <w:r>
        <w:t>The recyclability grading is proposed to support an eco-modulation approach to packaging</w:t>
      </w:r>
      <w:r w:rsidR="00B946A1">
        <w:t xml:space="preserve"> </w:t>
      </w:r>
      <w:r w:rsidR="0019552F">
        <w:t>see section 5.5.1.2 above</w:t>
      </w:r>
      <w:r w:rsidR="00B946A1">
        <w:t xml:space="preserve"> for more information on eco</w:t>
      </w:r>
      <w:r w:rsidR="00D021E1">
        <w:t>-</w:t>
      </w:r>
      <w:r w:rsidR="00B946A1">
        <w:t>modulation</w:t>
      </w:r>
      <w:r w:rsidR="0019552F">
        <w:t>)</w:t>
      </w:r>
      <w:r>
        <w:t>. The Working Group has focused on recyclability as a first step. This work will then provide a foundation for future work on additional design criteria towards the ultimate goal of circularity, including emissions, water, and electricity impacts.</w:t>
      </w:r>
    </w:p>
    <w:p w14:paraId="3F3F97DA" w14:textId="77777777" w:rsidR="00096CDE" w:rsidRPr="00E45508" w:rsidRDefault="00096CDE" w:rsidP="002B3CF9">
      <w:r w:rsidRPr="00E45508">
        <w:t>It is important to note that the grading framework, when finalised, will be a recommendation from an independent advisory group and not government policy. Details of the final design obligations are subject to change.</w:t>
      </w:r>
    </w:p>
    <w:p w14:paraId="329E3034" w14:textId="77777777" w:rsidR="008E2D68" w:rsidRPr="00E45508" w:rsidRDefault="008E2D68" w:rsidP="00854665">
      <w:pPr>
        <w:pStyle w:val="Heading4"/>
      </w:pPr>
      <w:r w:rsidRPr="00E45508">
        <w:t>Addressing chemicals of concern in packaging</w:t>
      </w:r>
    </w:p>
    <w:p w14:paraId="79AC1181" w14:textId="1DE5CCE2" w:rsidR="008E2D68" w:rsidRPr="00E45508" w:rsidRDefault="008E2D68" w:rsidP="00854665">
      <w:r w:rsidRPr="00E45508">
        <w:t>The primary purpose of packaging-specific interventions on chemicals of concern is</w:t>
      </w:r>
      <w:r w:rsidRPr="00E45508">
        <w:rPr>
          <w:b/>
          <w:bCs/>
          <w:i/>
          <w:iCs/>
          <w:color w:val="197B7D"/>
        </w:rPr>
        <w:t xml:space="preserve"> </w:t>
      </w:r>
      <w:r w:rsidRPr="00E45508">
        <w:t>to improve safe circularity of packaging and support sustainable packaging design. It can also help reduce human health and environmental risks.</w:t>
      </w:r>
      <w:r w:rsidR="009426A8">
        <w:t xml:space="preserve"> </w:t>
      </w:r>
      <w:r w:rsidRPr="00E45508">
        <w:t xml:space="preserve">Improving safe circularity can be achieved by </w:t>
      </w:r>
      <w:r w:rsidR="00B725D4">
        <w:t>designing out</w:t>
      </w:r>
      <w:r w:rsidRPr="00E45508">
        <w:t xml:space="preserve"> the use of unnecessary, intentionally added chemicals of concern that impede circularity, and undermine material recovery and value. Interventions to improve circularity may also serve to reduce risks to human health and the environment from exposure to chemicals of concern.</w:t>
      </w:r>
    </w:p>
    <w:p w14:paraId="5928812A" w14:textId="25315627" w:rsidR="008E2D68" w:rsidRPr="00E45508" w:rsidRDefault="008E2D68" w:rsidP="00854665">
      <w:r w:rsidRPr="00E45508">
        <w:t>Best practice packaging design for circularity would mean only using chemical additives that provide a clear and necessary benefit or function. Chemicals added to packaging may be considered for elimination, phase-down or minimisation commensurate with their impact on material circularity. For example, chemicals with a high potential to contaminate recovered material streams</w:t>
      </w:r>
      <w:r w:rsidR="00154511">
        <w:t>,</w:t>
      </w:r>
      <w:r w:rsidRPr="00E45508">
        <w:t xml:space="preserve"> such that they are unsuitable for use</w:t>
      </w:r>
      <w:r w:rsidR="00D15D96">
        <w:t>,</w:t>
      </w:r>
      <w:r w:rsidRPr="00E45508">
        <w:t xml:space="preserve"> may be a candidate for elimination. Chemicals with only a marginal impact on packaging recovery may be suitable for minimisation. Interventions targeting chemicals performing a necessary function in packaging should consider the availability and impacts of their alternatives to avoid unintended consequences such as lost packaging functionality or future impacts to recycling systems.</w:t>
      </w:r>
    </w:p>
    <w:p w14:paraId="17BC81D0" w14:textId="6027206C" w:rsidR="00ED664A" w:rsidRPr="00E45508" w:rsidRDefault="00ED664A" w:rsidP="00ED664A">
      <w:r w:rsidRPr="00E45508">
        <w:fldChar w:fldCharType="begin"/>
      </w:r>
      <w:r w:rsidRPr="00E45508">
        <w:instrText xml:space="preserve"> REF _Ref177633649 \n \h  \* MERGEFORMAT </w:instrText>
      </w:r>
      <w:r w:rsidRPr="00E45508">
        <w:fldChar w:fldCharType="separate"/>
      </w:r>
      <w:r w:rsidR="009A2EC4">
        <w:t>Appendix C</w:t>
      </w:r>
      <w:r w:rsidRPr="00E45508">
        <w:fldChar w:fldCharType="end"/>
      </w:r>
      <w:r w:rsidRPr="00E45508">
        <w:t xml:space="preserve"> proposes chemicals for which the use in packaging should be eliminated, phased-down or minimised.</w:t>
      </w:r>
      <w:r>
        <w:t xml:space="preserve"> </w:t>
      </w:r>
      <w:r>
        <w:fldChar w:fldCharType="begin"/>
      </w:r>
      <w:r>
        <w:instrText xml:space="preserve"> REF _Ref178176406 \h  \* MERGEFORMAT </w:instrText>
      </w:r>
      <w:r>
        <w:fldChar w:fldCharType="separate"/>
      </w:r>
      <w:r w:rsidR="009A2EC4" w:rsidRPr="00E45508">
        <w:t xml:space="preserve">Box </w:t>
      </w:r>
      <w:r w:rsidR="009A2EC4">
        <w:rPr>
          <w:noProof/>
        </w:rPr>
        <w:t>11</w:t>
      </w:r>
      <w:r>
        <w:fldChar w:fldCharType="end"/>
      </w:r>
      <w:r>
        <w:t xml:space="preserve"> above provides a brief overview of PFAS in packaging as one of the chemicals of concern that could be restricted in packaging.</w:t>
      </w:r>
      <w:r w:rsidR="009426A8">
        <w:t xml:space="preserve"> </w:t>
      </w:r>
    </w:p>
    <w:p w14:paraId="6AA05295" w14:textId="234B12BF" w:rsidR="00D050A4" w:rsidRDefault="00D050A4" w:rsidP="00D050A4">
      <w:r w:rsidRPr="00E45508">
        <w:t>Australia has a regulatory framework to protect human health and the environment from the risks of chemical use. Any new requirements for chemicals in packaging would not duplicate existing regulatory requirements.</w:t>
      </w:r>
    </w:p>
    <w:tbl>
      <w:tblPr>
        <w:tblStyle w:val="TableGrid"/>
        <w:tblW w:w="0" w:type="auto"/>
        <w:tblLook w:val="04A0" w:firstRow="1" w:lastRow="0" w:firstColumn="1" w:lastColumn="0" w:noHBand="0" w:noVBand="1"/>
      </w:tblPr>
      <w:tblGrid>
        <w:gridCol w:w="9060"/>
      </w:tblGrid>
      <w:tr w:rsidR="00F90E25" w:rsidRPr="00E45508" w14:paraId="4E6BBC8E" w14:textId="77777777" w:rsidTr="00CA1213">
        <w:tc>
          <w:tcPr>
            <w:tcW w:w="9060" w:type="dxa"/>
            <w:shd w:val="clear" w:color="auto" w:fill="F2F2F2" w:themeFill="background1" w:themeFillShade="F2"/>
          </w:tcPr>
          <w:p w14:paraId="0D9E5E0D" w14:textId="4CA591A2" w:rsidR="00F90E25" w:rsidRPr="00E45508" w:rsidRDefault="00F90E25" w:rsidP="00AF4F08">
            <w:pPr>
              <w:pStyle w:val="Caption"/>
              <w:rPr>
                <w:sz w:val="20"/>
                <w:szCs w:val="20"/>
              </w:rPr>
            </w:pPr>
            <w:bookmarkStart w:id="179" w:name="_Ref178176406"/>
            <w:bookmarkStart w:id="180" w:name="_Toc178229401"/>
            <w:r w:rsidRPr="00E45508">
              <w:t xml:space="preserve">Box </w:t>
            </w:r>
            <w:r w:rsidRPr="00E45508">
              <w:fldChar w:fldCharType="begin"/>
            </w:r>
            <w:r w:rsidRPr="00E45508">
              <w:instrText>SEQ Box \* ARABIC</w:instrText>
            </w:r>
            <w:r w:rsidRPr="00E45508">
              <w:fldChar w:fldCharType="separate"/>
            </w:r>
            <w:r w:rsidR="009A2EC4">
              <w:rPr>
                <w:noProof/>
              </w:rPr>
              <w:t>11</w:t>
            </w:r>
            <w:r w:rsidRPr="00E45508">
              <w:fldChar w:fldCharType="end"/>
            </w:r>
            <w:bookmarkEnd w:id="179"/>
            <w:r w:rsidRPr="00E45508">
              <w:t>: PFAS in packaging</w:t>
            </w:r>
            <w:bookmarkEnd w:id="180"/>
          </w:p>
          <w:p w14:paraId="0F8AC8C1" w14:textId="0116D588" w:rsidR="00F90E25" w:rsidRPr="00E45508" w:rsidRDefault="00F90E25" w:rsidP="00283BD9">
            <w:pPr>
              <w:pStyle w:val="BoxText"/>
            </w:pPr>
            <w:r w:rsidRPr="00E45508">
              <w:t>Australia’s environment ministers have identified the removal of per- and polyfluoroalkyl substances (PFAS) in packaging as an urgent priority for all jurisdictions to be dealt with through packaging regulatory reform</w:t>
            </w:r>
            <w:r w:rsidR="004A28E3" w:rsidRPr="00E45508">
              <w:t xml:space="preserve"> (DCCEEW 2024</w:t>
            </w:r>
            <w:r w:rsidR="00AB77E9">
              <w:t>b</w:t>
            </w:r>
            <w:r w:rsidR="004A28E3" w:rsidRPr="00E45508">
              <w:t>)</w:t>
            </w:r>
            <w:r w:rsidRPr="00E45508">
              <w:t>.</w:t>
            </w:r>
          </w:p>
          <w:p w14:paraId="5A445826" w14:textId="77777777" w:rsidR="00F90E25" w:rsidRPr="00E45508" w:rsidRDefault="00F90E25" w:rsidP="00283BD9">
            <w:pPr>
              <w:pStyle w:val="BoxText"/>
            </w:pPr>
            <w:r w:rsidRPr="00E45508">
              <w:t>PFAS are a group of over 4,700 chemicals. Some PFAS are very effective at resisting heat, stains, grease and water, making them useful chemicals for a range of applications, including certain packaging materials. Unfortunately, their properties also make them problematic in the environment. All PFAS persist in the environment for long periods and accumulate over time. Some PFAS can build up in the bodies of animals and people, can be toxic and travel long distances.</w:t>
            </w:r>
          </w:p>
          <w:p w14:paraId="0AF680F3" w14:textId="47B8CD6A" w:rsidR="00F90E25" w:rsidRPr="00E45508" w:rsidRDefault="00F90E25" w:rsidP="00283BD9">
            <w:pPr>
              <w:pStyle w:val="BoxText"/>
            </w:pPr>
            <w:r w:rsidRPr="00E45508">
              <w:t xml:space="preserve">There is global action to eliminate three groups of the highest concern PFAS – PFOS, PFOA and PFHxS. Standards have been established under the </w:t>
            </w:r>
            <w:hyperlink r:id="rId34" w:history="1">
              <w:r w:rsidRPr="00E45508">
                <w:rPr>
                  <w:rStyle w:val="Hyperlink"/>
                </w:rPr>
                <w:t>Industrial Chemicals Environmental Management Standard</w:t>
              </w:r>
            </w:hyperlink>
            <w:r w:rsidRPr="00E45508">
              <w:t xml:space="preserve"> (IChEMS</w:t>
            </w:r>
            <w:r w:rsidR="000A5B4D">
              <w:t>, DCCEEW 2024d</w:t>
            </w:r>
            <w:r w:rsidRPr="00E45508">
              <w:t>) for PFOS, PFOA and PFHxS. These groups of chemicals will be banned or severely restricted from</w:t>
            </w:r>
            <w:r w:rsidR="00421651" w:rsidRPr="00E45508">
              <w:t> 1</w:t>
            </w:r>
            <w:r w:rsidRPr="00E45508">
              <w:t> July</w:t>
            </w:r>
            <w:r w:rsidR="00421651" w:rsidRPr="00E45508">
              <w:t> 2</w:t>
            </w:r>
            <w:r w:rsidRPr="00E45508">
              <w:t>025.</w:t>
            </w:r>
          </w:p>
          <w:p w14:paraId="2DBDA745" w14:textId="20E7212F" w:rsidR="00F90E25" w:rsidRPr="00E45508" w:rsidRDefault="00F90E25" w:rsidP="00283BD9">
            <w:pPr>
              <w:pStyle w:val="BoxText"/>
            </w:pPr>
            <w:r w:rsidRPr="00E45508">
              <w:t xml:space="preserve">There is general concern about other PFAS because of their persistence and sometimes unknown long-term effects. Where the release of these chemicals into the environment cannot be controlled, such as in products for consumers, they should no longer be used. Under the </w:t>
            </w:r>
            <w:hyperlink r:id="rId35">
              <w:r w:rsidRPr="00E45508">
                <w:rPr>
                  <w:rStyle w:val="Hyperlink"/>
                </w:rPr>
                <w:t>National PFAS Position Statement</w:t>
              </w:r>
            </w:hyperlink>
            <w:r w:rsidR="00B6036D">
              <w:t xml:space="preserve"> (2019),</w:t>
            </w:r>
            <w:r w:rsidRPr="00E45508">
              <w:t xml:space="preserve"> Australian governments have agreed that:</w:t>
            </w:r>
          </w:p>
          <w:p w14:paraId="5FC6D65C" w14:textId="77777777" w:rsidR="00F90E25" w:rsidRPr="00E45508" w:rsidRDefault="00F90E25" w:rsidP="00DF2EE1">
            <w:pPr>
              <w:pStyle w:val="BoxTextBullet"/>
            </w:pPr>
            <w:r w:rsidRPr="00E45508">
              <w:t>use of long-chain PFAS should be eliminated, and</w:t>
            </w:r>
          </w:p>
          <w:p w14:paraId="6A1A6E85" w14:textId="77777777" w:rsidR="00F90E25" w:rsidRPr="00E45508" w:rsidRDefault="00F90E25" w:rsidP="00DF2EE1">
            <w:pPr>
              <w:pStyle w:val="BoxTextBullet"/>
            </w:pPr>
            <w:r w:rsidRPr="00E45508">
              <w:t>transitioning away from the use of chemicals that cause irreversible or long-term contamination of Australia’s environment.</w:t>
            </w:r>
          </w:p>
          <w:p w14:paraId="130EE220" w14:textId="2A03E691" w:rsidR="00F90E25" w:rsidRPr="00E45508" w:rsidRDefault="00F90E25" w:rsidP="00283BD9">
            <w:pPr>
              <w:pStyle w:val="BoxText"/>
            </w:pPr>
            <w:r w:rsidRPr="00E45508">
              <w:t>PFAS additives in packaging contaminate material recovery streams. A</w:t>
            </w:r>
            <w:r w:rsidR="00421651" w:rsidRPr="00E45508">
              <w:t> 2</w:t>
            </w:r>
            <w:r w:rsidRPr="00E45508">
              <w:t>021 study found PFAS in fibre packaging in Australia, with the highest levels in bagasse food takeaway containers. In</w:t>
            </w:r>
            <w:r w:rsidR="00421651" w:rsidRPr="00E45508">
              <w:t> 2</w:t>
            </w:r>
            <w:r w:rsidRPr="00E45508">
              <w:t xml:space="preserve">022, APCO launched an industry-led </w:t>
            </w:r>
            <w:hyperlink r:id="rId36">
              <w:r w:rsidRPr="00E45508">
                <w:rPr>
                  <w:rStyle w:val="Hyperlink"/>
                </w:rPr>
                <w:t>action plan</w:t>
              </w:r>
            </w:hyperlink>
            <w:r w:rsidRPr="00E45508">
              <w:t xml:space="preserve"> to phase</w:t>
            </w:r>
            <w:r w:rsidR="00B37F5E" w:rsidRPr="00E45508">
              <w:t>-</w:t>
            </w:r>
            <w:r w:rsidRPr="00E45508">
              <w:t>out PFAS in fibre-based food contact packaging by the end of</w:t>
            </w:r>
            <w:r w:rsidR="00421651" w:rsidRPr="00E45508">
              <w:t> 2</w:t>
            </w:r>
            <w:r w:rsidRPr="00E45508">
              <w:t>023.</w:t>
            </w:r>
          </w:p>
          <w:p w14:paraId="3D059821" w14:textId="63E69BC4" w:rsidR="00F90E25" w:rsidRPr="00E45508" w:rsidRDefault="00F90E25" w:rsidP="00283BD9">
            <w:pPr>
              <w:pStyle w:val="BoxText"/>
            </w:pPr>
            <w:r w:rsidRPr="00E45508">
              <w:t>Due to its extreme stability and background levels of PFAS in material, PFAS will be present in recycled packaging long after it has been phased</w:t>
            </w:r>
            <w:r w:rsidR="00B37F5E" w:rsidRPr="00E45508">
              <w:t>-</w:t>
            </w:r>
            <w:r w:rsidRPr="00E45508">
              <w:t>out of use. Stopping new sources of PFAS will reduce levels in recycled packaging over time.</w:t>
            </w:r>
          </w:p>
          <w:p w14:paraId="5DE5A805" w14:textId="12525991" w:rsidR="00F90E25" w:rsidRPr="00E45508" w:rsidRDefault="00F90E25" w:rsidP="00283BD9">
            <w:pPr>
              <w:pStyle w:val="BoxText"/>
            </w:pPr>
            <w:r w:rsidRPr="00E45508">
              <w:t>Compostable packaging is not widely accepted in kerbside organics collection. The removal of PFAS and other chemical additives of concern used in packaging may create opportunities for compostable packaging to play a role in aiding food recovery through kerbside organics collections while avoiding impacts to compost quality.</w:t>
            </w:r>
          </w:p>
        </w:tc>
      </w:tr>
    </w:tbl>
    <w:p w14:paraId="03D8AA71" w14:textId="0E15C090" w:rsidR="003A2E37" w:rsidRPr="00E45508" w:rsidRDefault="003A2E37" w:rsidP="0094473E"/>
    <w:p w14:paraId="249FB8B6" w14:textId="3671F381" w:rsidR="0023491D" w:rsidRPr="00E45508" w:rsidRDefault="54D61107" w:rsidP="00870271">
      <w:pPr>
        <w:pStyle w:val="Heading4"/>
      </w:pPr>
      <w:r w:rsidRPr="00E45508">
        <w:t xml:space="preserve">Implementation under the </w:t>
      </w:r>
      <w:r w:rsidR="00992CB7" w:rsidRPr="00E45508">
        <w:t>r</w:t>
      </w:r>
      <w:r w:rsidRPr="00E45508">
        <w:t xml:space="preserve">eform </w:t>
      </w:r>
      <w:r w:rsidR="00992CB7" w:rsidRPr="00E45508">
        <w:t>o</w:t>
      </w:r>
      <w:r w:rsidRPr="00E45508">
        <w:t>ptions</w:t>
      </w:r>
    </w:p>
    <w:p w14:paraId="420AA246" w14:textId="38430000" w:rsidR="00F2396B" w:rsidRPr="00E45508" w:rsidRDefault="00F6522F" w:rsidP="00F2396B">
      <w:pPr>
        <w:rPr>
          <w:rFonts w:cstheme="minorHAnsi"/>
        </w:rPr>
      </w:pPr>
      <w:r w:rsidRPr="00E45508">
        <w:rPr>
          <w:rFonts w:cstheme="minorHAnsi"/>
        </w:rPr>
        <w:fldChar w:fldCharType="begin"/>
      </w:r>
      <w:r w:rsidRPr="00E45508">
        <w:rPr>
          <w:rFonts w:cstheme="minorHAnsi"/>
        </w:rPr>
        <w:instrText xml:space="preserve"> REF _Ref177636048 \h </w:instrText>
      </w:r>
      <w:r w:rsidRPr="00E45508">
        <w:rPr>
          <w:rFonts w:cstheme="minorHAnsi"/>
        </w:rPr>
      </w:r>
      <w:r w:rsidRPr="00E45508">
        <w:rPr>
          <w:rFonts w:cstheme="minorHAnsi"/>
        </w:rPr>
        <w:fldChar w:fldCharType="separate"/>
      </w:r>
      <w:r w:rsidR="009A2EC4" w:rsidRPr="00E45508">
        <w:t xml:space="preserve">Table </w:t>
      </w:r>
      <w:r w:rsidR="009A2EC4">
        <w:rPr>
          <w:noProof/>
        </w:rPr>
        <w:t>13</w:t>
      </w:r>
      <w:r w:rsidRPr="00E45508">
        <w:rPr>
          <w:rFonts w:cstheme="minorHAnsi"/>
        </w:rPr>
        <w:fldChar w:fldCharType="end"/>
      </w:r>
      <w:r w:rsidR="000F6705" w:rsidRPr="00E45508">
        <w:rPr>
          <w:rFonts w:cstheme="minorHAnsi"/>
        </w:rPr>
        <w:t xml:space="preserve"> summari</w:t>
      </w:r>
      <w:r w:rsidR="00BC4EF9" w:rsidRPr="00E45508">
        <w:rPr>
          <w:rFonts w:cstheme="minorHAnsi"/>
        </w:rPr>
        <w:t>s</w:t>
      </w:r>
      <w:r w:rsidR="000F6705" w:rsidRPr="00E45508">
        <w:rPr>
          <w:rFonts w:cstheme="minorHAnsi"/>
        </w:rPr>
        <w:t xml:space="preserve">es how each of the </w:t>
      </w:r>
      <w:r w:rsidR="00722EE0">
        <w:rPr>
          <w:rFonts w:cstheme="minorHAnsi"/>
        </w:rPr>
        <w:t xml:space="preserve">reform </w:t>
      </w:r>
      <w:r w:rsidR="00824E8C" w:rsidRPr="00E45508">
        <w:rPr>
          <w:rFonts w:cstheme="minorHAnsi"/>
        </w:rPr>
        <w:t xml:space="preserve">options </w:t>
      </w:r>
      <w:r w:rsidR="00505189" w:rsidRPr="00E45508">
        <w:rPr>
          <w:rFonts w:cstheme="minorHAnsi"/>
        </w:rPr>
        <w:t xml:space="preserve">would </w:t>
      </w:r>
      <w:r w:rsidR="0081224D" w:rsidRPr="00E45508">
        <w:rPr>
          <w:rFonts w:cstheme="minorHAnsi"/>
        </w:rPr>
        <w:t xml:space="preserve">implement </w:t>
      </w:r>
      <w:r w:rsidR="00D71BB5">
        <w:rPr>
          <w:rFonts w:cstheme="minorHAnsi"/>
        </w:rPr>
        <w:t xml:space="preserve">packaging </w:t>
      </w:r>
      <w:r w:rsidR="003152BC" w:rsidRPr="00E45508">
        <w:rPr>
          <w:rFonts w:eastAsia="Times New Roman" w:cstheme="minorHAnsi"/>
          <w:lang w:eastAsia="en-AU"/>
        </w:rPr>
        <w:t>design</w:t>
      </w:r>
      <w:r w:rsidR="00CF63D5">
        <w:rPr>
          <w:rFonts w:eastAsia="Times New Roman" w:cstheme="minorHAnsi"/>
          <w:lang w:eastAsia="en-AU"/>
        </w:rPr>
        <w:t xml:space="preserve"> for recyclability</w:t>
      </w:r>
      <w:r w:rsidR="003152BC" w:rsidRPr="00E45508">
        <w:rPr>
          <w:rFonts w:eastAsia="Times New Roman" w:cstheme="minorHAnsi"/>
          <w:lang w:eastAsia="en-AU"/>
        </w:rPr>
        <w:t xml:space="preserve"> </w:t>
      </w:r>
      <w:r w:rsidR="00D71BB5">
        <w:rPr>
          <w:rFonts w:eastAsia="Times New Roman" w:cstheme="minorHAnsi"/>
          <w:lang w:eastAsia="en-AU"/>
        </w:rPr>
        <w:t>obligations</w:t>
      </w:r>
      <w:r w:rsidR="00505189" w:rsidRPr="00E45508">
        <w:rPr>
          <w:rFonts w:eastAsia="Times New Roman" w:cstheme="minorHAnsi"/>
          <w:lang w:eastAsia="en-AU"/>
        </w:rPr>
        <w:t>.</w:t>
      </w:r>
    </w:p>
    <w:p w14:paraId="3271B3B9" w14:textId="7F5C440D" w:rsidR="00FF1694" w:rsidRPr="00E45508" w:rsidRDefault="00FF1694" w:rsidP="00A52084">
      <w:pPr>
        <w:pStyle w:val="Caption"/>
        <w:rPr>
          <w:rFonts w:eastAsia="Times New Roman" w:cstheme="minorHAnsi"/>
          <w:sz w:val="18"/>
          <w:szCs w:val="18"/>
          <w:lang w:eastAsia="en-AU"/>
        </w:rPr>
      </w:pPr>
      <w:bookmarkStart w:id="181" w:name="_Ref177636048"/>
      <w:bookmarkStart w:id="182" w:name="_Toc178229376"/>
      <w:r w:rsidRPr="00E45508">
        <w:t xml:space="preserve">Table </w:t>
      </w:r>
      <w:r w:rsidR="00A52084" w:rsidRPr="00E45508">
        <w:fldChar w:fldCharType="begin"/>
      </w:r>
      <w:r w:rsidR="00A52084" w:rsidRPr="00E45508">
        <w:instrText xml:space="preserve"> SEQ Table \* ARABIC </w:instrText>
      </w:r>
      <w:r w:rsidR="00A52084" w:rsidRPr="00E45508">
        <w:fldChar w:fldCharType="separate"/>
      </w:r>
      <w:r w:rsidR="009A2EC4">
        <w:rPr>
          <w:noProof/>
        </w:rPr>
        <w:t>13</w:t>
      </w:r>
      <w:r w:rsidR="00A52084" w:rsidRPr="00E45508">
        <w:fldChar w:fldCharType="end"/>
      </w:r>
      <w:bookmarkEnd w:id="181"/>
      <w:r w:rsidRPr="00E45508">
        <w:rPr>
          <w:rFonts w:eastAsia="Times New Roman" w:cstheme="minorHAnsi"/>
          <w:lang w:eastAsia="en-AU"/>
        </w:rPr>
        <w:t xml:space="preserve">: Implementation of design for recyclability </w:t>
      </w:r>
      <w:r w:rsidR="000D232C">
        <w:rPr>
          <w:rFonts w:eastAsia="Times New Roman" w:cstheme="minorHAnsi"/>
          <w:lang w:eastAsia="en-AU"/>
        </w:rPr>
        <w:t xml:space="preserve">obligations </w:t>
      </w:r>
      <w:r w:rsidRPr="00E45508">
        <w:rPr>
          <w:rFonts w:eastAsia="Times New Roman" w:cstheme="minorHAnsi"/>
          <w:lang w:eastAsia="en-AU"/>
        </w:rPr>
        <w:t>by packaging reform option</w:t>
      </w:r>
      <w:bookmarkEnd w:id="182"/>
    </w:p>
    <w:tbl>
      <w:tblPr>
        <w:tblStyle w:val="PlainTable2"/>
        <w:tblW w:w="8582" w:type="dxa"/>
        <w:tblLook w:val="04A0" w:firstRow="1" w:lastRow="0" w:firstColumn="1" w:lastColumn="0" w:noHBand="0" w:noVBand="1"/>
      </w:tblPr>
      <w:tblGrid>
        <w:gridCol w:w="2716"/>
        <w:gridCol w:w="5866"/>
      </w:tblGrid>
      <w:tr w:rsidR="00032651" w:rsidRPr="00E45508" w14:paraId="7B61AF8C" w14:textId="77777777" w:rsidTr="00FF570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16" w:type="dxa"/>
          </w:tcPr>
          <w:p w14:paraId="1977A97A" w14:textId="52D74EB7" w:rsidR="00032651" w:rsidRPr="00E45508" w:rsidRDefault="00032651" w:rsidP="009E50B6">
            <w:pPr>
              <w:pStyle w:val="Tabletext0"/>
              <w:keepNext/>
              <w:rPr>
                <w:rFonts w:eastAsiaTheme="minorHAnsi"/>
              </w:rPr>
            </w:pPr>
            <w:r w:rsidRPr="00E45508">
              <w:rPr>
                <w:rFonts w:eastAsiaTheme="minorHAnsi"/>
              </w:rPr>
              <w:t>Option</w:t>
            </w:r>
          </w:p>
        </w:tc>
        <w:tc>
          <w:tcPr>
            <w:tcW w:w="5866" w:type="dxa"/>
          </w:tcPr>
          <w:p w14:paraId="1EAD59FB" w14:textId="2E24C38B" w:rsidR="00032651" w:rsidRPr="00E45508" w:rsidRDefault="00FF570C" w:rsidP="009E50B6">
            <w:pPr>
              <w:pStyle w:val="Tabletext0"/>
              <w:keepNext/>
              <w:cnfStyle w:val="100000000000" w:firstRow="1" w:lastRow="0" w:firstColumn="0" w:lastColumn="0" w:oddVBand="0" w:evenVBand="0" w:oddHBand="0" w:evenHBand="0" w:firstRowFirstColumn="0" w:firstRowLastColumn="0" w:lastRowFirstColumn="0" w:lastRowLastColumn="0"/>
              <w:rPr>
                <w:rFonts w:eastAsiaTheme="minorHAnsi"/>
              </w:rPr>
            </w:pPr>
            <w:r w:rsidRPr="00E45508">
              <w:rPr>
                <w:rFonts w:eastAsiaTheme="minorHAnsi"/>
              </w:rPr>
              <w:t>Description</w:t>
            </w:r>
          </w:p>
        </w:tc>
      </w:tr>
      <w:tr w:rsidR="00FF1694" w:rsidRPr="00E45508" w14:paraId="50051C5C" w14:textId="77777777" w:rsidTr="00FF570C">
        <w:trPr>
          <w:cnfStyle w:val="000000100000" w:firstRow="0" w:lastRow="0" w:firstColumn="0" w:lastColumn="0" w:oddVBand="0" w:evenVBand="0" w:oddHBand="1" w:evenHBand="0" w:firstRowFirstColumn="0" w:firstRowLastColumn="0" w:lastRowFirstColumn="0" w:lastRowLastColumn="0"/>
          <w:trHeight w:val="2133"/>
        </w:trPr>
        <w:tc>
          <w:tcPr>
            <w:cnfStyle w:val="001000000000" w:firstRow="0" w:lastRow="0" w:firstColumn="1" w:lastColumn="0" w:oddVBand="0" w:evenVBand="0" w:oddHBand="0" w:evenHBand="0" w:firstRowFirstColumn="0" w:firstRowLastColumn="0" w:lastRowFirstColumn="0" w:lastRowLastColumn="0"/>
            <w:tcW w:w="2716" w:type="dxa"/>
            <w:hideMark/>
          </w:tcPr>
          <w:p w14:paraId="4F08983F" w14:textId="17A768DE" w:rsidR="00FF1694" w:rsidRPr="00E45508" w:rsidRDefault="00FF1694" w:rsidP="00487DF7">
            <w:pPr>
              <w:pStyle w:val="Tabletext0"/>
              <w:rPr>
                <w:b w:val="0"/>
              </w:rPr>
            </w:pPr>
            <w:r w:rsidRPr="00E45508">
              <w:rPr>
                <w:rFonts w:eastAsiaTheme="minorHAnsi"/>
              </w:rPr>
              <w:t>Option</w:t>
            </w:r>
            <w:r w:rsidR="00421651" w:rsidRPr="00E45508">
              <w:rPr>
                <w:rFonts w:eastAsiaTheme="minorHAnsi"/>
              </w:rPr>
              <w:t> 1</w:t>
            </w:r>
            <w:r w:rsidRPr="00E45508">
              <w:t xml:space="preserve"> – Strengthening the administration of the co-regulatory arrangement</w:t>
            </w:r>
          </w:p>
        </w:tc>
        <w:tc>
          <w:tcPr>
            <w:tcW w:w="5866" w:type="dxa"/>
            <w:hideMark/>
          </w:tcPr>
          <w:p w14:paraId="17C59323" w14:textId="1BF83084" w:rsidR="00FF1694" w:rsidRPr="00E45508" w:rsidRDefault="00FF1694" w:rsidP="00FE087A">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No mandatory requirements for design for recyclability under the NEPM.</w:t>
            </w:r>
          </w:p>
          <w:p w14:paraId="526E18F8" w14:textId="0BBE7AE6" w:rsidR="00FF1694" w:rsidRPr="00E45508" w:rsidRDefault="00FF1694" w:rsidP="00FE087A">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EastAsia"/>
              </w:rPr>
              <w:t xml:space="preserve">Covenant </w:t>
            </w:r>
            <w:r w:rsidR="00D214EC">
              <w:rPr>
                <w:rFonts w:eastAsiaTheme="minorEastAsia"/>
              </w:rPr>
              <w:t>S</w:t>
            </w:r>
            <w:r w:rsidRPr="00E45508">
              <w:rPr>
                <w:rFonts w:eastAsiaTheme="minorEastAsia"/>
              </w:rPr>
              <w:t>ignatories already commit to optimise the design and recovery of their packaging including reducing chemicals of concern and report annually. </w:t>
            </w:r>
            <w:r w:rsidR="00277E27" w:rsidRPr="00E45508">
              <w:rPr>
                <w:rFonts w:eastAsiaTheme="minorEastAsia"/>
              </w:rPr>
              <w:t>From</w:t>
            </w:r>
            <w:r w:rsidR="00421651" w:rsidRPr="00E45508">
              <w:rPr>
                <w:rFonts w:eastAsiaTheme="minorEastAsia"/>
              </w:rPr>
              <w:t> 2</w:t>
            </w:r>
            <w:r w:rsidR="00277E27" w:rsidRPr="00E45508">
              <w:rPr>
                <w:rFonts w:eastAsiaTheme="minorEastAsia"/>
              </w:rPr>
              <w:t xml:space="preserve">027, APCO eco-modulated fees </w:t>
            </w:r>
            <w:r w:rsidR="00854665" w:rsidRPr="00E45508">
              <w:rPr>
                <w:rFonts w:eastAsiaTheme="minorEastAsia"/>
              </w:rPr>
              <w:t xml:space="preserve">would </w:t>
            </w:r>
            <w:r w:rsidR="00277E27" w:rsidRPr="00E45508">
              <w:rPr>
                <w:rFonts w:eastAsiaTheme="minorEastAsia"/>
              </w:rPr>
              <w:t xml:space="preserve">create economic incentives to </w:t>
            </w:r>
            <w:r w:rsidR="00854665" w:rsidRPr="00E45508">
              <w:rPr>
                <w:rFonts w:eastAsiaTheme="minorEastAsia"/>
              </w:rPr>
              <w:t xml:space="preserve">improve recyclable </w:t>
            </w:r>
            <w:r w:rsidR="00A012CD" w:rsidRPr="00E45508">
              <w:rPr>
                <w:rFonts w:eastAsiaTheme="minorEastAsia"/>
              </w:rPr>
              <w:t xml:space="preserve">packaging </w:t>
            </w:r>
            <w:r w:rsidR="00277E27" w:rsidRPr="00E45508">
              <w:rPr>
                <w:rFonts w:eastAsiaTheme="minorEastAsia"/>
              </w:rPr>
              <w:t>design.</w:t>
            </w:r>
          </w:p>
          <w:p w14:paraId="64C0B5A3" w14:textId="035AC8CD" w:rsidR="00FF1694" w:rsidRPr="00E45508" w:rsidRDefault="00277E27" w:rsidP="00FE087A">
            <w:pPr>
              <w:pStyle w:val="Tabletext0"/>
              <w:cnfStyle w:val="000000100000" w:firstRow="0" w:lastRow="0" w:firstColumn="0" w:lastColumn="0" w:oddVBand="0" w:evenVBand="0" w:oddHBand="1" w:evenHBand="0" w:firstRowFirstColumn="0" w:firstRowLastColumn="0" w:lastRowFirstColumn="0" w:lastRowLastColumn="0"/>
            </w:pPr>
            <w:r w:rsidRPr="00E45508">
              <w:t>A</w:t>
            </w:r>
            <w:r w:rsidR="007530FA" w:rsidRPr="00E45508">
              <w:rPr>
                <w:rFonts w:eastAsiaTheme="minorHAnsi"/>
              </w:rPr>
              <w:t>dditional industry guidance could be used to encourage best practice design.</w:t>
            </w:r>
          </w:p>
        </w:tc>
      </w:tr>
      <w:tr w:rsidR="00FF1694" w:rsidRPr="00E45508" w14:paraId="4FB3859C" w14:textId="77777777" w:rsidTr="00FF570C">
        <w:trPr>
          <w:trHeight w:val="1644"/>
        </w:trPr>
        <w:tc>
          <w:tcPr>
            <w:cnfStyle w:val="001000000000" w:firstRow="0" w:lastRow="0" w:firstColumn="1" w:lastColumn="0" w:oddVBand="0" w:evenVBand="0" w:oddHBand="0" w:evenHBand="0" w:firstRowFirstColumn="0" w:firstRowLastColumn="0" w:lastRowFirstColumn="0" w:lastRowLastColumn="0"/>
            <w:tcW w:w="2716" w:type="dxa"/>
            <w:hideMark/>
          </w:tcPr>
          <w:p w14:paraId="6F1DCFB5" w14:textId="62639531" w:rsidR="00FF1694" w:rsidRPr="00E45508" w:rsidRDefault="4FEEE188" w:rsidP="00487DF7">
            <w:pPr>
              <w:pStyle w:val="Tabletext0"/>
            </w:pPr>
            <w:r w:rsidRPr="00E45508">
              <w:rPr>
                <w:rFonts w:eastAsiaTheme="minorEastAsia"/>
              </w:rPr>
              <w:t>Option</w:t>
            </w:r>
            <w:r w:rsidR="36F14B88" w:rsidRPr="00E45508">
              <w:rPr>
                <w:rFonts w:eastAsiaTheme="minorEastAsia"/>
              </w:rPr>
              <w:t> 2</w:t>
            </w:r>
            <w:r w:rsidR="36D7D8CB" w:rsidRPr="00E45508">
              <w:t xml:space="preserve"> –</w:t>
            </w:r>
            <w:r w:rsidR="707E1A20" w:rsidRPr="00E45508">
              <w:t xml:space="preserve"> </w:t>
            </w:r>
            <w:r w:rsidR="707E1A20" w:rsidRPr="00E45508">
              <w:rPr>
                <w:lang w:eastAsia="ja-JP"/>
              </w:rPr>
              <w:t>National mandatory requirements for packaging circularity</w:t>
            </w:r>
          </w:p>
        </w:tc>
        <w:tc>
          <w:tcPr>
            <w:tcW w:w="5866" w:type="dxa"/>
            <w:hideMark/>
          </w:tcPr>
          <w:p w14:paraId="65B64E3C" w14:textId="3C33EEF5" w:rsidR="00FF1694" w:rsidRPr="00E45508" w:rsidRDefault="00341DD8" w:rsidP="00FE087A">
            <w:pPr>
              <w:pStyle w:val="Tabletext0"/>
              <w:cnfStyle w:val="000000000000" w:firstRow="0" w:lastRow="0" w:firstColumn="0" w:lastColumn="0" w:oddVBand="0" w:evenVBand="0" w:oddHBand="0" w:evenHBand="0" w:firstRowFirstColumn="0" w:firstRowLastColumn="0" w:lastRowFirstColumn="0" w:lastRowLastColumn="0"/>
            </w:pPr>
            <w:r w:rsidRPr="00E45508">
              <w:t xml:space="preserve">Nationally consistent mandatory requirements to require packaging to be designed to be recycled at scale through </w:t>
            </w:r>
            <w:r w:rsidR="00A52084" w:rsidRPr="00E45508">
              <w:t>C</w:t>
            </w:r>
            <w:r w:rsidR="00FF1694" w:rsidRPr="00E45508">
              <w:t>ommonwealth</w:t>
            </w:r>
            <w:r w:rsidR="00FF1694" w:rsidRPr="00E45508">
              <w:rPr>
                <w:rFonts w:eastAsiaTheme="minorHAnsi"/>
              </w:rPr>
              <w:t xml:space="preserve"> legislated:</w:t>
            </w:r>
          </w:p>
          <w:p w14:paraId="1DE43AD3" w14:textId="50AE49E6" w:rsidR="00FF1694" w:rsidRPr="00E45508" w:rsidRDefault="309F5323" w:rsidP="00FE087A">
            <w:pPr>
              <w:pStyle w:val="TableBullet1"/>
              <w:cnfStyle w:val="000000000000" w:firstRow="0" w:lastRow="0" w:firstColumn="0" w:lastColumn="0" w:oddVBand="0" w:evenVBand="0" w:oddHBand="0" w:evenHBand="0" w:firstRowFirstColumn="0" w:firstRowLastColumn="0" w:lastRowFirstColumn="0" w:lastRowLastColumn="0"/>
            </w:pPr>
            <w:r w:rsidRPr="00E45508">
              <w:t>Limited</w:t>
            </w:r>
            <w:r w:rsidR="4FEEE188" w:rsidRPr="00E45508">
              <w:t xml:space="preserve"> bans on problematic packaging materials, additives or chemicals that are known to impede recyclability</w:t>
            </w:r>
          </w:p>
          <w:p w14:paraId="57B18120" w14:textId="3A3EBCF9" w:rsidR="00FF1694" w:rsidRPr="00E45508" w:rsidRDefault="00FF1694" w:rsidP="00FE087A">
            <w:pPr>
              <w:pStyle w:val="TableBullet1"/>
              <w:cnfStyle w:val="000000000000" w:firstRow="0" w:lastRow="0" w:firstColumn="0" w:lastColumn="0" w:oddVBand="0" w:evenVBand="0" w:oddHBand="0" w:evenHBand="0" w:firstRowFirstColumn="0" w:firstRowLastColumn="0" w:lastRowFirstColumn="0" w:lastRowLastColumn="0"/>
            </w:pPr>
            <w:r w:rsidRPr="00E45508">
              <w:t>Progressive ban</w:t>
            </w:r>
            <w:r w:rsidR="00F04A7D" w:rsidRPr="00E45508">
              <w:t>s of</w:t>
            </w:r>
            <w:r w:rsidRPr="00E45508">
              <w:t xml:space="preserve"> packaging which does not meet a minimum percentage recyclability threshold.</w:t>
            </w:r>
          </w:p>
        </w:tc>
      </w:tr>
      <w:tr w:rsidR="00FF1694" w:rsidRPr="00E45508" w14:paraId="1B95FC5B" w14:textId="77777777" w:rsidTr="00FF570C">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2716" w:type="dxa"/>
            <w:hideMark/>
          </w:tcPr>
          <w:p w14:paraId="35199B79" w14:textId="1E5B8C13" w:rsidR="00FF1694" w:rsidRPr="00E45508" w:rsidRDefault="00FF1694" w:rsidP="00FE087A">
            <w:pPr>
              <w:pStyle w:val="Tabletext0"/>
              <w:rPr>
                <w:b w:val="0"/>
              </w:rPr>
            </w:pPr>
            <w:r w:rsidRPr="00E45508">
              <w:rPr>
                <w:rFonts w:eastAsiaTheme="minorHAnsi"/>
              </w:rPr>
              <w:t>Option</w:t>
            </w:r>
            <w:r w:rsidR="00421651" w:rsidRPr="00E45508">
              <w:rPr>
                <w:rFonts w:eastAsiaTheme="minorHAnsi"/>
              </w:rPr>
              <w:t> 3</w:t>
            </w:r>
            <w:r w:rsidRPr="00E45508">
              <w:t> </w:t>
            </w:r>
            <w:r w:rsidR="008C7607" w:rsidRPr="00E45508">
              <w:t>– an EPR Scheme for packaging</w:t>
            </w:r>
          </w:p>
        </w:tc>
        <w:tc>
          <w:tcPr>
            <w:tcW w:w="5866" w:type="dxa"/>
            <w:hideMark/>
          </w:tcPr>
          <w:p w14:paraId="4935E871" w14:textId="72E48300" w:rsidR="00FF1694" w:rsidRPr="00E45508" w:rsidRDefault="00FF1694" w:rsidP="00FE087A">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EastAsia"/>
              </w:rPr>
              <w:t>First ban on a limited set of problematic packaging as per Option</w:t>
            </w:r>
            <w:r w:rsidR="00421651" w:rsidRPr="00E45508">
              <w:rPr>
                <w:rFonts w:eastAsiaTheme="minorEastAsia"/>
              </w:rPr>
              <w:t> 2</w:t>
            </w:r>
            <w:r w:rsidRPr="00E45508">
              <w:rPr>
                <w:rFonts w:eastAsiaTheme="minorHAnsi"/>
              </w:rPr>
              <w:t xml:space="preserve"> </w:t>
            </w:r>
            <w:r w:rsidRPr="00E45508">
              <w:rPr>
                <w:rFonts w:eastAsiaTheme="minorEastAsia"/>
              </w:rPr>
              <w:t>AND</w:t>
            </w:r>
          </w:p>
          <w:p w14:paraId="34230859" w14:textId="7D6EEBEE" w:rsidR="00FF1694" w:rsidRPr="00E45508" w:rsidRDefault="00FF1694" w:rsidP="00FE087A">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Link EPR fees to recyclability grading of packaging placed on market (e.g. the more problematic to recycle, the higher the fee).</w:t>
            </w:r>
          </w:p>
          <w:p w14:paraId="39969FE9" w14:textId="202C0062" w:rsidR="00FF1694" w:rsidRPr="00E45508" w:rsidRDefault="4FEEE188" w:rsidP="00480073">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EastAsia"/>
              </w:rPr>
              <w:t>Provides an opportunity to disincentivise other problematic packaging and chemicals of concern using fees.</w:t>
            </w:r>
          </w:p>
          <w:p w14:paraId="3F041B3E" w14:textId="29206B82" w:rsidR="00255115" w:rsidRPr="00E45508" w:rsidRDefault="00255115" w:rsidP="00FE087A">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EastAsia"/>
              </w:rPr>
              <w:t xml:space="preserve">Reduces risk of </w:t>
            </w:r>
            <w:r w:rsidR="00500E3B" w:rsidRPr="00E45508">
              <w:rPr>
                <w:rFonts w:eastAsiaTheme="minorEastAsia"/>
              </w:rPr>
              <w:t xml:space="preserve">banning packaging based on their recyclability by weight, which could lead to </w:t>
            </w:r>
            <w:r w:rsidRPr="00E45508">
              <w:rPr>
                <w:rFonts w:eastAsiaTheme="minorEastAsia"/>
              </w:rPr>
              <w:t>regrettable substitution</w:t>
            </w:r>
            <w:r w:rsidR="00A52084" w:rsidRPr="00E45508">
              <w:t>.</w:t>
            </w:r>
          </w:p>
        </w:tc>
      </w:tr>
    </w:tbl>
    <w:p w14:paraId="63FEF8F0" w14:textId="27A013BA" w:rsidR="00FF1694" w:rsidRPr="00E45508" w:rsidRDefault="00FF1694" w:rsidP="00A52084">
      <w:pPr>
        <w:rPr>
          <w:lang w:eastAsia="en-AU"/>
        </w:rPr>
      </w:pPr>
    </w:p>
    <w:p w14:paraId="2202861D" w14:textId="77777777" w:rsidR="00F04A7D" w:rsidRPr="00E45508" w:rsidRDefault="00F04A7D" w:rsidP="00BB325C">
      <w:pPr>
        <w:pStyle w:val="Heading5"/>
        <w:rPr>
          <w:lang w:val="en-AU"/>
        </w:rPr>
      </w:pPr>
      <w:r w:rsidRPr="00E45508">
        <w:rPr>
          <w:lang w:val="en-AU"/>
        </w:rPr>
        <w:t>Problematic packaging format and additives bans</w:t>
      </w:r>
    </w:p>
    <w:p w14:paraId="55DFD8E1" w14:textId="230D51A4" w:rsidR="00F04A7D" w:rsidRPr="00E45508" w:rsidRDefault="00F04A7D" w:rsidP="00F04A7D">
      <w:r w:rsidRPr="00E45508">
        <w:t>Under Option</w:t>
      </w:r>
      <w:r w:rsidR="00421651" w:rsidRPr="00E45508">
        <w:t> 2</w:t>
      </w:r>
      <w:r w:rsidRPr="00E45508">
        <w:t xml:space="preserve"> and</w:t>
      </w:r>
      <w:r w:rsidR="00421651" w:rsidRPr="00E45508">
        <w:t> 3</w:t>
      </w:r>
      <w:r w:rsidRPr="00E45508">
        <w:t>, the government would ban packaging materials or additives known to impede packaging recyclability. Materials that could be subject to an initial ban are:</w:t>
      </w:r>
    </w:p>
    <w:p w14:paraId="0790217C" w14:textId="77777777" w:rsidR="00F04A7D" w:rsidRPr="00E45508" w:rsidRDefault="00F04A7D" w:rsidP="009C1F84">
      <w:pPr>
        <w:pStyle w:val="ListBullet"/>
      </w:pPr>
      <w:r w:rsidRPr="00E45508">
        <w:t>carbon black, which impedes the sorting of packaging at material recovery facilities (MRFs)</w:t>
      </w:r>
    </w:p>
    <w:p w14:paraId="3F613B2F" w14:textId="77777777" w:rsidR="00F04A7D" w:rsidRPr="00E45508" w:rsidRDefault="00F04A7D" w:rsidP="009C1F84">
      <w:pPr>
        <w:pStyle w:val="ListBullet"/>
      </w:pPr>
      <w:r w:rsidRPr="00E45508">
        <w:t>oxo-degradables, which accelerate fragmentation of plastics and result in microplastics that pollute our land and waterways</w:t>
      </w:r>
    </w:p>
    <w:p w14:paraId="10284934" w14:textId="6C009B33" w:rsidR="00F04A7D" w:rsidRPr="00E45508" w:rsidRDefault="309F5323" w:rsidP="009C1F84">
      <w:pPr>
        <w:pStyle w:val="ListBullet"/>
      </w:pPr>
      <w:r w:rsidRPr="00E45508">
        <w:t>a limited set of chemicals (e.g. PFAS) that have significant impacts on recyclability.</w:t>
      </w:r>
    </w:p>
    <w:p w14:paraId="10A7B550" w14:textId="7688AC91" w:rsidR="00870271" w:rsidRPr="00E45508" w:rsidRDefault="309F5323" w:rsidP="00F04A7D">
      <w:r w:rsidRPr="00E45508">
        <w:t xml:space="preserve">Further bans or phase-outs could be prioritised and scaled over time, initially eliminating materials and additives </w:t>
      </w:r>
      <w:r w:rsidR="45761EA7" w:rsidRPr="00E45508">
        <w:t>without</w:t>
      </w:r>
      <w:r w:rsidR="65BBBE79" w:rsidRPr="00E45508">
        <w:t xml:space="preserve"> </w:t>
      </w:r>
      <w:r w:rsidR="693E3F04" w:rsidRPr="00E45508">
        <w:t xml:space="preserve">necessary </w:t>
      </w:r>
      <w:r w:rsidR="45761EA7" w:rsidRPr="00E45508">
        <w:t xml:space="preserve">applications </w:t>
      </w:r>
      <w:r w:rsidRPr="00E45508">
        <w:t>that are known to have significant impacts on the recyclability of packaging.</w:t>
      </w:r>
    </w:p>
    <w:p w14:paraId="6CE488A6" w14:textId="57399306" w:rsidR="00451B95" w:rsidRPr="00E45508" w:rsidRDefault="00AA4E1A" w:rsidP="00BB325C">
      <w:pPr>
        <w:pStyle w:val="Heading5"/>
        <w:rPr>
          <w:lang w:val="en-AU"/>
        </w:rPr>
      </w:pPr>
      <w:r w:rsidRPr="00E45508">
        <w:rPr>
          <w:lang w:val="en-AU"/>
        </w:rPr>
        <w:t xml:space="preserve">Progressive </w:t>
      </w:r>
      <w:r w:rsidR="00110752" w:rsidRPr="00E45508">
        <w:rPr>
          <w:lang w:val="en-AU"/>
        </w:rPr>
        <w:t>b</w:t>
      </w:r>
      <w:r w:rsidRPr="00E45508">
        <w:rPr>
          <w:lang w:val="en-AU"/>
        </w:rPr>
        <w:t>ans</w:t>
      </w:r>
      <w:r w:rsidR="00110752" w:rsidRPr="00E45508">
        <w:rPr>
          <w:lang w:val="en-AU"/>
        </w:rPr>
        <w:t xml:space="preserve"> </w:t>
      </w:r>
      <w:r w:rsidRPr="00E45508">
        <w:rPr>
          <w:lang w:val="en-AU"/>
        </w:rPr>
        <w:t>to mandate m</w:t>
      </w:r>
      <w:r w:rsidR="00451B95" w:rsidRPr="00E45508">
        <w:rPr>
          <w:lang w:val="en-AU"/>
        </w:rPr>
        <w:t>inimum recyclability</w:t>
      </w:r>
      <w:r w:rsidR="00DB4F2A">
        <w:rPr>
          <w:lang w:val="en-AU"/>
        </w:rPr>
        <w:t xml:space="preserve"> per</w:t>
      </w:r>
      <w:r w:rsidR="001954C2">
        <w:rPr>
          <w:lang w:val="en-AU"/>
        </w:rPr>
        <w:t>formance</w:t>
      </w:r>
    </w:p>
    <w:p w14:paraId="165B2B37" w14:textId="2F5F1791" w:rsidR="00451B95" w:rsidRPr="00E45508" w:rsidRDefault="00451B95" w:rsidP="00BE3B44">
      <w:r>
        <w:t>In addition to specific material bans, Option</w:t>
      </w:r>
      <w:r w:rsidR="00421651">
        <w:t> 2</w:t>
      </w:r>
      <w:r>
        <w:t xml:space="preserve"> would introduce progressive bans of packaging with low recyclability. This would require packaging to meet </w:t>
      </w:r>
      <w:r w:rsidR="799B2D43">
        <w:t xml:space="preserve">a minimum </w:t>
      </w:r>
      <w:r w:rsidR="009B1B7D">
        <w:t xml:space="preserve">recyclability </w:t>
      </w:r>
      <w:r w:rsidR="799B2D43">
        <w:t>standard such as</w:t>
      </w:r>
      <w:r w:rsidR="009B1B7D">
        <w:t xml:space="preserve"> </w:t>
      </w:r>
      <w:r>
        <w:t xml:space="preserve">minimum recyclability </w:t>
      </w:r>
      <w:r w:rsidR="001954C2">
        <w:t xml:space="preserve">performance </w:t>
      </w:r>
      <w:r>
        <w:t>grades</w:t>
      </w:r>
      <w:r w:rsidR="0A05A112">
        <w:t xml:space="preserve"> (</w:t>
      </w:r>
      <w:r w:rsidR="1F92E917">
        <w:t>for example</w:t>
      </w:r>
      <w:r>
        <w:t xml:space="preserve"> percentage of recyclability by weight</w:t>
      </w:r>
      <w:r w:rsidR="600BE7F8">
        <w:t>)</w:t>
      </w:r>
      <w:r>
        <w:t xml:space="preserve">. </w:t>
      </w:r>
      <w:r w:rsidR="009369AE">
        <w:t>Bans would</w:t>
      </w:r>
      <w:r w:rsidR="0063439D">
        <w:t xml:space="preserve"> increase over time to continuously improve recycling rates while allowing industries time to develop the requisite manufacturing infrastructure and overcome design challenges. </w:t>
      </w:r>
      <w:r>
        <w:t xml:space="preserve">To implement the scale of change required to support a circular economy, bans would need to ultimately apply to unrecyclable and a large portion of difficult to recycle packaging types. An example of how this may work is provided in </w:t>
      </w:r>
      <w:r>
        <w:fldChar w:fldCharType="begin"/>
      </w:r>
      <w:r>
        <w:instrText xml:space="preserve"> REF _Ref177492604 \h </w:instrText>
      </w:r>
      <w:r>
        <w:fldChar w:fldCharType="separate"/>
      </w:r>
      <w:r w:rsidR="009A2EC4" w:rsidRPr="00E45508">
        <w:t xml:space="preserve">Table </w:t>
      </w:r>
      <w:r w:rsidR="009A2EC4">
        <w:rPr>
          <w:noProof/>
        </w:rPr>
        <w:t>14</w:t>
      </w:r>
      <w:r>
        <w:fldChar w:fldCharType="end"/>
      </w:r>
      <w:r>
        <w:t>.</w:t>
      </w:r>
    </w:p>
    <w:p w14:paraId="2E2E681A" w14:textId="0C8096E8" w:rsidR="004E1FE8" w:rsidRPr="00E45508" w:rsidRDefault="004E1FE8" w:rsidP="00C915A5">
      <w:pPr>
        <w:pStyle w:val="Caption"/>
      </w:pPr>
      <w:bookmarkStart w:id="183" w:name="_Ref177125230"/>
      <w:bookmarkStart w:id="184" w:name="_Ref177492604"/>
      <w:bookmarkStart w:id="185" w:name="_Toc177126679"/>
      <w:bookmarkStart w:id="186" w:name="_Toc178229377"/>
      <w:r w:rsidRPr="00E45508">
        <w:t xml:space="preserve">Table </w:t>
      </w:r>
      <w:bookmarkEnd w:id="183"/>
      <w:r w:rsidR="007938B5" w:rsidRPr="00E45508">
        <w:fldChar w:fldCharType="begin"/>
      </w:r>
      <w:r w:rsidR="007938B5" w:rsidRPr="00E45508">
        <w:instrText xml:space="preserve"> SEQ Table \* ARABIC </w:instrText>
      </w:r>
      <w:r w:rsidR="007938B5" w:rsidRPr="00E45508">
        <w:fldChar w:fldCharType="separate"/>
      </w:r>
      <w:r w:rsidR="009A2EC4">
        <w:rPr>
          <w:noProof/>
        </w:rPr>
        <w:t>14</w:t>
      </w:r>
      <w:r w:rsidR="007938B5" w:rsidRPr="00E45508">
        <w:fldChar w:fldCharType="end"/>
      </w:r>
      <w:bookmarkEnd w:id="184"/>
      <w:r w:rsidRPr="00E45508">
        <w:t>: Example of minimum recyclability performance grading for packaging</w:t>
      </w:r>
      <w:bookmarkEnd w:id="185"/>
      <w:bookmarkEnd w:id="186"/>
    </w:p>
    <w:tbl>
      <w:tblPr>
        <w:tblStyle w:val="PlainTable2"/>
        <w:tblW w:w="5000" w:type="pct"/>
        <w:tblLook w:val="04A0" w:firstRow="1" w:lastRow="0" w:firstColumn="1" w:lastColumn="0" w:noHBand="0" w:noVBand="1"/>
      </w:tblPr>
      <w:tblGrid>
        <w:gridCol w:w="4112"/>
        <w:gridCol w:w="1239"/>
        <w:gridCol w:w="1241"/>
        <w:gridCol w:w="1239"/>
        <w:gridCol w:w="1239"/>
      </w:tblGrid>
      <w:tr w:rsidR="00451B95" w:rsidRPr="00E45508" w14:paraId="3AC5AA71" w14:textId="77777777" w:rsidTr="008E4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42958777" w14:textId="77777777" w:rsidR="00451B95" w:rsidRPr="00E45508" w:rsidRDefault="00451B95" w:rsidP="007938B5">
            <w:pPr>
              <w:pStyle w:val="Tabletext0"/>
            </w:pPr>
            <w:r w:rsidRPr="00E45508">
              <w:t>Grade</w:t>
            </w:r>
          </w:p>
        </w:tc>
        <w:tc>
          <w:tcPr>
            <w:tcW w:w="683" w:type="pct"/>
          </w:tcPr>
          <w:p w14:paraId="7D7AB9B1" w14:textId="77777777" w:rsidR="00451B95" w:rsidRPr="00E45508" w:rsidRDefault="00451B95" w:rsidP="007938B5">
            <w:pPr>
              <w:pStyle w:val="Tabletext0"/>
              <w:cnfStyle w:val="100000000000" w:firstRow="1" w:lastRow="0" w:firstColumn="0" w:lastColumn="0" w:oddVBand="0" w:evenVBand="0" w:oddHBand="0" w:evenHBand="0" w:firstRowFirstColumn="0" w:firstRowLastColumn="0" w:lastRowFirstColumn="0" w:lastRowLastColumn="0"/>
            </w:pPr>
            <w:r w:rsidRPr="00E45508">
              <w:t>A</w:t>
            </w:r>
          </w:p>
        </w:tc>
        <w:tc>
          <w:tcPr>
            <w:tcW w:w="684" w:type="pct"/>
          </w:tcPr>
          <w:p w14:paraId="6832B6DB" w14:textId="77777777" w:rsidR="00451B95" w:rsidRPr="00E45508" w:rsidRDefault="00451B95" w:rsidP="007938B5">
            <w:pPr>
              <w:pStyle w:val="Tabletext0"/>
              <w:cnfStyle w:val="100000000000" w:firstRow="1" w:lastRow="0" w:firstColumn="0" w:lastColumn="0" w:oddVBand="0" w:evenVBand="0" w:oddHBand="0" w:evenHBand="0" w:firstRowFirstColumn="0" w:firstRowLastColumn="0" w:lastRowFirstColumn="0" w:lastRowLastColumn="0"/>
            </w:pPr>
            <w:r w:rsidRPr="00E45508">
              <w:t>B</w:t>
            </w:r>
          </w:p>
        </w:tc>
        <w:tc>
          <w:tcPr>
            <w:tcW w:w="683" w:type="pct"/>
          </w:tcPr>
          <w:p w14:paraId="7C9DDDA0" w14:textId="77777777" w:rsidR="00451B95" w:rsidRPr="00E45508" w:rsidRDefault="00451B95" w:rsidP="007938B5">
            <w:pPr>
              <w:pStyle w:val="Tabletext0"/>
              <w:cnfStyle w:val="100000000000" w:firstRow="1" w:lastRow="0" w:firstColumn="0" w:lastColumn="0" w:oddVBand="0" w:evenVBand="0" w:oddHBand="0" w:evenHBand="0" w:firstRowFirstColumn="0" w:firstRowLastColumn="0" w:lastRowFirstColumn="0" w:lastRowLastColumn="0"/>
            </w:pPr>
            <w:r w:rsidRPr="00E45508">
              <w:t>C</w:t>
            </w:r>
          </w:p>
        </w:tc>
        <w:tc>
          <w:tcPr>
            <w:tcW w:w="684" w:type="pct"/>
          </w:tcPr>
          <w:p w14:paraId="4F4C3CCF" w14:textId="77777777" w:rsidR="00451B95" w:rsidRPr="00E45508" w:rsidRDefault="00451B95" w:rsidP="007938B5">
            <w:pPr>
              <w:pStyle w:val="Tabletext0"/>
              <w:cnfStyle w:val="100000000000" w:firstRow="1" w:lastRow="0" w:firstColumn="0" w:lastColumn="0" w:oddVBand="0" w:evenVBand="0" w:oddHBand="0" w:evenHBand="0" w:firstRowFirstColumn="0" w:firstRowLastColumn="0" w:lastRowFirstColumn="0" w:lastRowLastColumn="0"/>
            </w:pPr>
            <w:r w:rsidRPr="00E45508">
              <w:t>D</w:t>
            </w:r>
          </w:p>
        </w:tc>
      </w:tr>
      <w:tr w:rsidR="00451B95" w:rsidRPr="00E45508" w14:paraId="7FA4DAFC" w14:textId="77777777" w:rsidTr="008E4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4C287157" w14:textId="77777777" w:rsidR="00451B95" w:rsidRPr="00E45508" w:rsidRDefault="00451B95" w:rsidP="007938B5">
            <w:pPr>
              <w:pStyle w:val="Tabletext0"/>
            </w:pPr>
            <w:r w:rsidRPr="00E45508">
              <w:t>Packaging recyclability (% of total weight)</w:t>
            </w:r>
          </w:p>
        </w:tc>
        <w:tc>
          <w:tcPr>
            <w:tcW w:w="683" w:type="pct"/>
          </w:tcPr>
          <w:p w14:paraId="4690EA9A" w14:textId="7645E0A6" w:rsidR="00451B95" w:rsidRPr="00E45508" w:rsidRDefault="00E95242" w:rsidP="007938B5">
            <w:pPr>
              <w:pStyle w:val="Tabletext0"/>
              <w:cnfStyle w:val="000000100000" w:firstRow="0" w:lastRow="0" w:firstColumn="0" w:lastColumn="0" w:oddVBand="0" w:evenVBand="0" w:oddHBand="1" w:evenHBand="0" w:firstRowFirstColumn="0" w:firstRowLastColumn="0" w:lastRowFirstColumn="0" w:lastRowLastColumn="0"/>
            </w:pPr>
            <w:r>
              <w:t>&lt;</w:t>
            </w:r>
            <w:r w:rsidR="00451B95" w:rsidRPr="00E45508">
              <w:t>90%</w:t>
            </w:r>
          </w:p>
        </w:tc>
        <w:tc>
          <w:tcPr>
            <w:tcW w:w="684" w:type="pct"/>
          </w:tcPr>
          <w:p w14:paraId="4084E12C" w14:textId="2AE986C4" w:rsidR="00451B95" w:rsidRPr="00E45508" w:rsidRDefault="00E95242" w:rsidP="007938B5">
            <w:pPr>
              <w:pStyle w:val="Tabletext0"/>
              <w:cnfStyle w:val="000000100000" w:firstRow="0" w:lastRow="0" w:firstColumn="0" w:lastColumn="0" w:oddVBand="0" w:evenVBand="0" w:oddHBand="1" w:evenHBand="0" w:firstRowFirstColumn="0" w:firstRowLastColumn="0" w:lastRowFirstColumn="0" w:lastRowLastColumn="0"/>
            </w:pPr>
            <w:r>
              <w:t>&lt;</w:t>
            </w:r>
            <w:r w:rsidR="00451B95" w:rsidRPr="00E45508">
              <w:t>80%</w:t>
            </w:r>
          </w:p>
        </w:tc>
        <w:tc>
          <w:tcPr>
            <w:tcW w:w="683" w:type="pct"/>
          </w:tcPr>
          <w:p w14:paraId="44BF3CE9" w14:textId="513A61A2" w:rsidR="00451B95" w:rsidRPr="00E45508" w:rsidRDefault="00E95242" w:rsidP="007938B5">
            <w:pPr>
              <w:pStyle w:val="Tabletext0"/>
              <w:cnfStyle w:val="000000100000" w:firstRow="0" w:lastRow="0" w:firstColumn="0" w:lastColumn="0" w:oddVBand="0" w:evenVBand="0" w:oddHBand="1" w:evenHBand="0" w:firstRowFirstColumn="0" w:firstRowLastColumn="0" w:lastRowFirstColumn="0" w:lastRowLastColumn="0"/>
            </w:pPr>
            <w:r>
              <w:t>&lt;</w:t>
            </w:r>
            <w:r w:rsidR="00451B95" w:rsidRPr="00E45508">
              <w:t>70%</w:t>
            </w:r>
          </w:p>
        </w:tc>
        <w:tc>
          <w:tcPr>
            <w:tcW w:w="684" w:type="pct"/>
          </w:tcPr>
          <w:p w14:paraId="77908E02" w14:textId="3A94D870" w:rsidR="00451B95" w:rsidRPr="00E45508" w:rsidRDefault="00E95242" w:rsidP="007938B5">
            <w:pPr>
              <w:pStyle w:val="Tabletext0"/>
              <w:cnfStyle w:val="000000100000" w:firstRow="0" w:lastRow="0" w:firstColumn="0" w:lastColumn="0" w:oddVBand="0" w:evenVBand="0" w:oddHBand="1" w:evenHBand="0" w:firstRowFirstColumn="0" w:firstRowLastColumn="0" w:lastRowFirstColumn="0" w:lastRowLastColumn="0"/>
            </w:pPr>
            <w:r>
              <w:t>&lt;</w:t>
            </w:r>
            <w:r w:rsidR="00451B95" w:rsidRPr="00E45508">
              <w:t>60%</w:t>
            </w:r>
          </w:p>
        </w:tc>
      </w:tr>
    </w:tbl>
    <w:p w14:paraId="19825AE5" w14:textId="77777777" w:rsidR="002E0FC9" w:rsidRPr="00E45508" w:rsidRDefault="002E0FC9" w:rsidP="00626DE2"/>
    <w:p w14:paraId="16417747" w14:textId="781D5CE9" w:rsidR="00451B95" w:rsidRPr="00E45508" w:rsidRDefault="00451B95" w:rsidP="00626DE2">
      <w:r w:rsidRPr="00E45508">
        <w:t xml:space="preserve">In this example, the government could ban packaging graded D so that only packaging with a minimum of 60% recyclability by weight </w:t>
      </w:r>
      <w:r w:rsidR="00F26FB2" w:rsidRPr="00E45508">
        <w:t xml:space="preserve">could </w:t>
      </w:r>
      <w:r w:rsidRPr="00E45508">
        <w:t>be placed on market. Over time, C-graded packaging could be banned, with the result that all material placed on market would have high recyclability.</w:t>
      </w:r>
    </w:p>
    <w:p w14:paraId="52ED1DDD" w14:textId="419009CB" w:rsidR="009A7E6B" w:rsidRPr="00E45508" w:rsidRDefault="009A7E6B" w:rsidP="00626DE2">
      <w:r w:rsidRPr="00E45508">
        <w:t>Option</w:t>
      </w:r>
      <w:r w:rsidR="00421651" w:rsidRPr="00E45508">
        <w:t> 2</w:t>
      </w:r>
      <w:r w:rsidRPr="00E45508">
        <w:t xml:space="preserve"> is expected to help eliminate problematic and unnecessary packaging by moving packaging into more recyclable formats, improving the value of recovered materials.</w:t>
      </w:r>
    </w:p>
    <w:p w14:paraId="694E858D" w14:textId="77777777" w:rsidR="00B31BCE" w:rsidRPr="00E45508" w:rsidRDefault="00C56976" w:rsidP="00BB325C">
      <w:pPr>
        <w:pStyle w:val="Heading5"/>
        <w:rPr>
          <w:lang w:val="en-AU" w:eastAsia="ja-JP"/>
        </w:rPr>
      </w:pPr>
      <w:r w:rsidRPr="00E45508">
        <w:rPr>
          <w:lang w:val="en-AU"/>
        </w:rPr>
        <w:t xml:space="preserve">Eco-modulated fees </w:t>
      </w:r>
      <w:r w:rsidR="00037722" w:rsidRPr="00E45508">
        <w:rPr>
          <w:lang w:val="en-AU"/>
        </w:rPr>
        <w:t>informed by</w:t>
      </w:r>
      <w:r w:rsidR="009E53C0" w:rsidRPr="00E45508">
        <w:rPr>
          <w:lang w:val="en-AU"/>
        </w:rPr>
        <w:t xml:space="preserve"> a recyclability grading framework</w:t>
      </w:r>
    </w:p>
    <w:p w14:paraId="2776896E" w14:textId="440BBE62" w:rsidR="009A55E9" w:rsidRPr="00E45508" w:rsidRDefault="00C51A10" w:rsidP="009E679F">
      <w:r w:rsidRPr="00E45508">
        <w:t>Instead</w:t>
      </w:r>
      <w:r w:rsidR="006B73FD" w:rsidRPr="00E45508">
        <w:t xml:space="preserve"> of </w:t>
      </w:r>
      <w:r w:rsidR="00DA1BE4" w:rsidRPr="00E45508">
        <w:t>progressive</w:t>
      </w:r>
      <w:r w:rsidR="006B73FD" w:rsidRPr="00E45508">
        <w:t xml:space="preserve"> bans</w:t>
      </w:r>
      <w:r w:rsidRPr="00E45508">
        <w:t>,</w:t>
      </w:r>
      <w:r w:rsidR="006B73FD" w:rsidRPr="00E45508">
        <w:t xml:space="preserve"> Option</w:t>
      </w:r>
      <w:r w:rsidR="00421651" w:rsidRPr="00E45508">
        <w:t> 3</w:t>
      </w:r>
      <w:r w:rsidR="006B73FD" w:rsidRPr="00E45508">
        <w:t xml:space="preserve"> would use</w:t>
      </w:r>
      <w:r w:rsidRPr="00E45508">
        <w:t xml:space="preserve"> eco-modulation of fees </w:t>
      </w:r>
      <w:r w:rsidR="006B73FD" w:rsidRPr="00E45508">
        <w:t xml:space="preserve">to </w:t>
      </w:r>
      <w:r w:rsidRPr="00E45508">
        <w:t>incentivise circular design choices and disincentivise the use of non-recyclable materials</w:t>
      </w:r>
      <w:r w:rsidR="00640EE9" w:rsidRPr="00E45508">
        <w:t xml:space="preserve"> and chemicals of concern</w:t>
      </w:r>
      <w:r w:rsidRPr="00E45508">
        <w:t xml:space="preserve">. </w:t>
      </w:r>
      <w:r w:rsidR="00F85367">
        <w:fldChar w:fldCharType="begin"/>
      </w:r>
      <w:r w:rsidR="00F85367">
        <w:instrText xml:space="preserve"> REF _Ref177747984 \h </w:instrText>
      </w:r>
      <w:r w:rsidR="00F85367">
        <w:fldChar w:fldCharType="separate"/>
      </w:r>
      <w:r w:rsidR="009A2EC4" w:rsidRPr="00E45508">
        <w:t xml:space="preserve">Box </w:t>
      </w:r>
      <w:r w:rsidR="009A2EC4">
        <w:rPr>
          <w:noProof/>
        </w:rPr>
        <w:t>12</w:t>
      </w:r>
      <w:r w:rsidR="00F85367">
        <w:fldChar w:fldCharType="end"/>
      </w:r>
      <w:r w:rsidR="005270FA" w:rsidRPr="005270FA">
        <w:t xml:space="preserve"> </w:t>
      </w:r>
      <w:r w:rsidR="0003422F">
        <w:t>provides a</w:t>
      </w:r>
      <w:r w:rsidR="005270FA">
        <w:t>n e</w:t>
      </w:r>
      <w:r w:rsidR="005270FA" w:rsidRPr="005270FA">
        <w:t xml:space="preserve">xample </w:t>
      </w:r>
      <w:r w:rsidR="00F85367">
        <w:t xml:space="preserve">of </w:t>
      </w:r>
      <w:r w:rsidR="00C200EB">
        <w:t xml:space="preserve">how </w:t>
      </w:r>
      <w:r w:rsidR="0003422F">
        <w:t>th</w:t>
      </w:r>
      <w:r w:rsidR="00F85367">
        <w:t>is</w:t>
      </w:r>
      <w:r w:rsidR="00C200EB">
        <w:t xml:space="preserve"> could work</w:t>
      </w:r>
      <w:r w:rsidR="0003422F">
        <w:t>.</w:t>
      </w:r>
      <w:r w:rsidR="005270FA" w:rsidRPr="005270FA">
        <w:t xml:space="preserve"> </w:t>
      </w:r>
      <w:r w:rsidRPr="00E45508">
        <w:t>This would support innovation to improve design and recycling technologies. It would also reduce the risk of regrettable substitutions with worse environmental and recycling outcomes that could result from bans.</w:t>
      </w:r>
    </w:p>
    <w:tbl>
      <w:tblPr>
        <w:tblStyle w:val="TableGrid"/>
        <w:tblW w:w="0" w:type="auto"/>
        <w:shd w:val="clear" w:color="auto" w:fill="F2F2F2" w:themeFill="background1" w:themeFillShade="F2"/>
        <w:tblLook w:val="04A0" w:firstRow="1" w:lastRow="0" w:firstColumn="1" w:lastColumn="0" w:noHBand="0" w:noVBand="1"/>
      </w:tblPr>
      <w:tblGrid>
        <w:gridCol w:w="9060"/>
      </w:tblGrid>
      <w:tr w:rsidR="00702951" w:rsidRPr="00E45508" w14:paraId="7120DF60" w14:textId="77777777" w:rsidTr="00702951">
        <w:tc>
          <w:tcPr>
            <w:tcW w:w="9060" w:type="dxa"/>
            <w:shd w:val="clear" w:color="auto" w:fill="F2F2F2" w:themeFill="background1" w:themeFillShade="F2"/>
          </w:tcPr>
          <w:p w14:paraId="386DBF94" w14:textId="1EDE0F14" w:rsidR="00702951" w:rsidRPr="00E45508" w:rsidRDefault="00702951" w:rsidP="00702951">
            <w:pPr>
              <w:pStyle w:val="Caption"/>
            </w:pPr>
            <w:bookmarkStart w:id="187" w:name="_Ref177747984"/>
            <w:bookmarkStart w:id="188" w:name="_Toc178229402"/>
            <w:r w:rsidRPr="00E45508">
              <w:t xml:space="preserve">Box </w:t>
            </w:r>
            <w:r w:rsidRPr="00E45508">
              <w:fldChar w:fldCharType="begin"/>
            </w:r>
            <w:r w:rsidRPr="00E45508">
              <w:instrText>SEQ Box \* ARABIC</w:instrText>
            </w:r>
            <w:r w:rsidRPr="00E45508">
              <w:fldChar w:fldCharType="separate"/>
            </w:r>
            <w:r w:rsidR="009A2EC4">
              <w:rPr>
                <w:noProof/>
              </w:rPr>
              <w:t>12</w:t>
            </w:r>
            <w:r w:rsidRPr="00E45508">
              <w:fldChar w:fldCharType="end"/>
            </w:r>
            <w:bookmarkEnd w:id="187"/>
            <w:r w:rsidRPr="00E45508">
              <w:t>: Example of eco-modulation informed by a recyclability grading framework</w:t>
            </w:r>
            <w:bookmarkEnd w:id="188"/>
          </w:p>
          <w:p w14:paraId="7E5C6B92" w14:textId="77777777" w:rsidR="00702951" w:rsidRPr="00E45508" w:rsidRDefault="00702951" w:rsidP="00702951">
            <w:pPr>
              <w:pStyle w:val="BoxText"/>
            </w:pPr>
            <w:r w:rsidRPr="00E45508">
              <w:t>A recyclability grading framework could provide the foundation of eco-modulated fees to incentivise circular packaging design.</w:t>
            </w:r>
          </w:p>
          <w:p w14:paraId="3A97B4C7" w14:textId="77777777" w:rsidR="00702951" w:rsidRPr="00E45508" w:rsidRDefault="00702951" w:rsidP="00702951">
            <w:pPr>
              <w:pStyle w:val="BoxHeading"/>
            </w:pPr>
            <w:r w:rsidRPr="00E45508">
              <w:t>Packaging assessment</w:t>
            </w:r>
          </w:p>
          <w:p w14:paraId="68FF1021" w14:textId="77777777" w:rsidR="00702951" w:rsidRPr="00E45508" w:rsidRDefault="00702951" w:rsidP="00702951">
            <w:pPr>
              <w:pStyle w:val="BoxText"/>
            </w:pPr>
            <w:r w:rsidRPr="00E45508">
              <w:t>Packaging could be assessed against the grading framework to determine the recyclability of a packaging in Australia. For example, higher grades of packaging could exhibit the following characteristics:</w:t>
            </w:r>
          </w:p>
          <w:p w14:paraId="1C1ABA07" w14:textId="77777777" w:rsidR="00702951" w:rsidRPr="00E45508" w:rsidRDefault="00702951" w:rsidP="00DF2EE1">
            <w:pPr>
              <w:pStyle w:val="BoxTextBullet"/>
              <w:numPr>
                <w:ilvl w:val="0"/>
                <w:numId w:val="13"/>
              </w:numPr>
            </w:pPr>
            <w:r w:rsidRPr="00E45508">
              <w:t>The packaging is accepted in kerbside recycling bins for at least 80% of Australian households or is accepted in CDS or other approved product stewardship scheme</w:t>
            </w:r>
          </w:p>
          <w:p w14:paraId="485F5192" w14:textId="77777777" w:rsidR="00702951" w:rsidRPr="00E45508" w:rsidRDefault="00702951" w:rsidP="00DF2EE1">
            <w:pPr>
              <w:pStyle w:val="BoxTextBullet"/>
              <w:numPr>
                <w:ilvl w:val="0"/>
                <w:numId w:val="13"/>
              </w:numPr>
            </w:pPr>
            <w:r w:rsidRPr="00E45508">
              <w:t>The packaging does not disrupt operations in MRFs or recycling processors</w:t>
            </w:r>
          </w:p>
          <w:p w14:paraId="0BC91C45" w14:textId="77777777" w:rsidR="00702951" w:rsidRPr="00E45508" w:rsidRDefault="00702951" w:rsidP="00DF2EE1">
            <w:pPr>
              <w:pStyle w:val="BoxTextBullet"/>
              <w:numPr>
                <w:ilvl w:val="0"/>
                <w:numId w:val="13"/>
              </w:numPr>
            </w:pPr>
            <w:r w:rsidRPr="00E45508">
              <w:t>The packaging has sustainable end-markets.</w:t>
            </w:r>
          </w:p>
          <w:p w14:paraId="3D4E2875" w14:textId="3F451F65" w:rsidR="00702951" w:rsidRPr="00E45508" w:rsidRDefault="00702951" w:rsidP="00702951">
            <w:pPr>
              <w:pStyle w:val="BoxText"/>
            </w:pPr>
            <w:r w:rsidRPr="00E45508">
              <w:t xml:space="preserve">Based on the assessment, the packaging would receive a grade that would have an associated fee (see </w:t>
            </w:r>
            <w:r w:rsidR="00FD5737">
              <w:fldChar w:fldCharType="begin"/>
            </w:r>
            <w:r w:rsidR="00FD5737">
              <w:instrText xml:space="preserve"> REF _Ref177161874 \h </w:instrText>
            </w:r>
            <w:r w:rsidR="00FD5737">
              <w:fldChar w:fldCharType="separate"/>
            </w:r>
            <w:r w:rsidR="009A2EC4" w:rsidRPr="00E45508">
              <w:t xml:space="preserve">Box </w:t>
            </w:r>
            <w:r w:rsidR="009A2EC4">
              <w:rPr>
                <w:noProof/>
              </w:rPr>
              <w:t>6</w:t>
            </w:r>
            <w:r w:rsidR="00FD5737">
              <w:fldChar w:fldCharType="end"/>
            </w:r>
            <w:r w:rsidR="00FD5737">
              <w:t xml:space="preserve"> </w:t>
            </w:r>
            <w:r w:rsidRPr="00E45508">
              <w:t>for possible approaches to EPR eco-modulation). Under basic and advanced eco-modulation approaches, packaging with high recyclability would pay a lower eco-modulated fee than packaging that is difficult to recycle on non-recyclable.</w:t>
            </w:r>
          </w:p>
          <w:p w14:paraId="05999CCC" w14:textId="7A72DC7A" w:rsidR="00702951" w:rsidRPr="00E45508" w:rsidRDefault="00702951" w:rsidP="00702951">
            <w:pPr>
              <w:pStyle w:val="BoxText"/>
            </w:pPr>
            <w:r w:rsidRPr="00E45508">
              <w:t>An online recyclability evaluation tool could be implemented based on the grading framework to assist regulated entities with the grading of their packaging and could support mandatory recyclability labelling.</w:t>
            </w:r>
          </w:p>
        </w:tc>
      </w:tr>
    </w:tbl>
    <w:p w14:paraId="5DA33123" w14:textId="2DDB838B" w:rsidR="005D6FC1" w:rsidRPr="00E45508" w:rsidRDefault="2E25C1D0" w:rsidP="15E68406">
      <w:pPr>
        <w:pStyle w:val="Heading3"/>
      </w:pPr>
      <w:bookmarkStart w:id="189" w:name="_Toc178230259"/>
      <w:r w:rsidRPr="00E45508">
        <w:t>Improved</w:t>
      </w:r>
      <w:r w:rsidR="4E10D4DD" w:rsidRPr="00E45508">
        <w:t xml:space="preserve"> </w:t>
      </w:r>
      <w:r w:rsidR="000262BB" w:rsidRPr="00E45508">
        <w:t>r</w:t>
      </w:r>
      <w:r w:rsidR="005D6FC1" w:rsidRPr="00E45508">
        <w:t>ecycl</w:t>
      </w:r>
      <w:r w:rsidR="005E5133" w:rsidRPr="00E45508">
        <w:t>ability</w:t>
      </w:r>
      <w:r w:rsidR="005D6FC1" w:rsidRPr="00E45508">
        <w:t xml:space="preserve"> labelling</w:t>
      </w:r>
      <w:bookmarkEnd w:id="189"/>
    </w:p>
    <w:p w14:paraId="4DA0F193" w14:textId="0E3A4D5F" w:rsidR="005D6FC1" w:rsidRPr="00E45508" w:rsidRDefault="005D6FC1" w:rsidP="00F36B88">
      <w:r w:rsidRPr="00E45508">
        <w:t>As part of industry’s responsibility for the packaging it places on the market, businesses must be accountable for how they represent a product or packaging was made, how it should be disposed of, and the outcome of its waste.</w:t>
      </w:r>
    </w:p>
    <w:p w14:paraId="4EB7D182" w14:textId="63025895" w:rsidR="00C564D4" w:rsidRPr="00E45508" w:rsidRDefault="00C564D4" w:rsidP="00C564D4">
      <w:r w:rsidRPr="00E45508">
        <w:t xml:space="preserve">The reform options will seek to ensure clear and consistent </w:t>
      </w:r>
      <w:r w:rsidR="00C167BF">
        <w:t>recyclability</w:t>
      </w:r>
      <w:r w:rsidRPr="00E45508">
        <w:t xml:space="preserve"> labelling is used so packaging is recycled, valuable recycling streams aren’t contaminated, and consumers aren’t confused when disposing of packaging. Improving the design of packaging and increasing the number of products carrying clear disposal instructions will support increased recycling rates and the use of recycled materials in packaging.</w:t>
      </w:r>
    </w:p>
    <w:p w14:paraId="11C9D68D" w14:textId="77777777" w:rsidR="000851BD" w:rsidRPr="00E45508" w:rsidRDefault="000851BD" w:rsidP="15E68406">
      <w:pPr>
        <w:pStyle w:val="Heading4"/>
      </w:pPr>
      <w:r w:rsidRPr="00E45508">
        <w:t>Implementation under the reform options</w:t>
      </w:r>
    </w:p>
    <w:p w14:paraId="3F939D8E" w14:textId="3E51F39C" w:rsidR="000851BD" w:rsidRPr="00E45508" w:rsidRDefault="00941C88" w:rsidP="00C564D4">
      <w:pPr>
        <w:rPr>
          <w:rFonts w:cstheme="minorHAnsi"/>
        </w:rPr>
      </w:pPr>
      <w:r w:rsidRPr="00E45508">
        <w:rPr>
          <w:rFonts w:cstheme="minorHAnsi"/>
        </w:rPr>
        <w:fldChar w:fldCharType="begin"/>
      </w:r>
      <w:r w:rsidRPr="00E45508">
        <w:rPr>
          <w:rFonts w:cstheme="minorHAnsi"/>
        </w:rPr>
        <w:instrText xml:space="preserve"> REF _Ref177638804 \h </w:instrText>
      </w:r>
      <w:r w:rsidRPr="00E45508">
        <w:rPr>
          <w:rFonts w:cstheme="minorHAnsi"/>
        </w:rPr>
      </w:r>
      <w:r w:rsidRPr="00E45508">
        <w:rPr>
          <w:rFonts w:cstheme="minorHAnsi"/>
        </w:rPr>
        <w:fldChar w:fldCharType="separate"/>
      </w:r>
      <w:r w:rsidR="009A2EC4" w:rsidRPr="00E45508">
        <w:t xml:space="preserve">Table </w:t>
      </w:r>
      <w:r w:rsidR="009A2EC4">
        <w:rPr>
          <w:noProof/>
        </w:rPr>
        <w:t>15</w:t>
      </w:r>
      <w:r w:rsidRPr="00E45508">
        <w:rPr>
          <w:rFonts w:cstheme="minorHAnsi"/>
        </w:rPr>
        <w:fldChar w:fldCharType="end"/>
      </w:r>
      <w:r w:rsidR="000851BD" w:rsidRPr="00E45508">
        <w:rPr>
          <w:rFonts w:cstheme="minorHAnsi"/>
        </w:rPr>
        <w:t xml:space="preserve"> summari</w:t>
      </w:r>
      <w:r w:rsidR="00E45508">
        <w:rPr>
          <w:rFonts w:cstheme="minorHAnsi"/>
        </w:rPr>
        <w:t>s</w:t>
      </w:r>
      <w:r w:rsidR="000851BD" w:rsidRPr="00E45508">
        <w:rPr>
          <w:rFonts w:cstheme="minorHAnsi"/>
        </w:rPr>
        <w:t xml:space="preserve">es how each of the options would implement </w:t>
      </w:r>
      <w:r w:rsidR="000851BD" w:rsidRPr="00E45508">
        <w:rPr>
          <w:rFonts w:eastAsia="Times New Roman" w:cstheme="minorHAnsi"/>
          <w:lang w:eastAsia="en-AU"/>
        </w:rPr>
        <w:t>recycl</w:t>
      </w:r>
      <w:r w:rsidR="002B1789">
        <w:rPr>
          <w:rFonts w:eastAsia="Times New Roman" w:cstheme="minorHAnsi"/>
          <w:lang w:eastAsia="en-AU"/>
        </w:rPr>
        <w:t>ability</w:t>
      </w:r>
      <w:r w:rsidR="00EB0F14" w:rsidRPr="00E45508">
        <w:rPr>
          <w:rFonts w:eastAsia="Times New Roman" w:cstheme="minorHAnsi"/>
          <w:lang w:eastAsia="en-AU"/>
        </w:rPr>
        <w:t xml:space="preserve"> labelling</w:t>
      </w:r>
      <w:r w:rsidR="000851BD" w:rsidRPr="00E45508">
        <w:rPr>
          <w:rFonts w:eastAsia="Times New Roman" w:cstheme="minorHAnsi"/>
          <w:lang w:eastAsia="en-AU"/>
        </w:rPr>
        <w:t xml:space="preserve"> </w:t>
      </w:r>
      <w:r w:rsidR="002B1789">
        <w:rPr>
          <w:rFonts w:eastAsia="Times New Roman" w:cstheme="minorHAnsi"/>
          <w:lang w:eastAsia="en-AU"/>
        </w:rPr>
        <w:t>obligations</w:t>
      </w:r>
      <w:r w:rsidR="000851BD" w:rsidRPr="00E45508">
        <w:rPr>
          <w:rFonts w:eastAsia="Times New Roman" w:cstheme="minorHAnsi"/>
          <w:lang w:eastAsia="en-AU"/>
        </w:rPr>
        <w:t>.</w:t>
      </w:r>
    </w:p>
    <w:p w14:paraId="6C64DC41" w14:textId="3B8A9B74" w:rsidR="00C564D4" w:rsidRPr="00E45508" w:rsidRDefault="00C564D4" w:rsidP="007938B5">
      <w:pPr>
        <w:pStyle w:val="Caption"/>
      </w:pPr>
      <w:bookmarkStart w:id="190" w:name="_Ref177638804"/>
      <w:bookmarkStart w:id="191" w:name="_Toc178229378"/>
      <w:r w:rsidRPr="00E45508">
        <w:t xml:space="preserve">Table </w:t>
      </w:r>
      <w:r w:rsidR="007938B5" w:rsidRPr="00E45508">
        <w:fldChar w:fldCharType="begin"/>
      </w:r>
      <w:r w:rsidR="007938B5" w:rsidRPr="00E45508">
        <w:instrText xml:space="preserve"> SEQ Table \* ARABIC </w:instrText>
      </w:r>
      <w:r w:rsidR="007938B5" w:rsidRPr="00E45508">
        <w:fldChar w:fldCharType="separate"/>
      </w:r>
      <w:r w:rsidR="009A2EC4">
        <w:rPr>
          <w:noProof/>
        </w:rPr>
        <w:t>15</w:t>
      </w:r>
      <w:r w:rsidR="007938B5" w:rsidRPr="00E45508">
        <w:fldChar w:fldCharType="end"/>
      </w:r>
      <w:bookmarkEnd w:id="190"/>
      <w:r w:rsidRPr="00E45508">
        <w:t>: Implementation of recycl</w:t>
      </w:r>
      <w:r w:rsidR="00ED19F7">
        <w:t>ability</w:t>
      </w:r>
      <w:r w:rsidRPr="00E45508">
        <w:t xml:space="preserve"> labelling </w:t>
      </w:r>
      <w:r w:rsidR="00ED19F7">
        <w:t xml:space="preserve">obligations </w:t>
      </w:r>
      <w:r w:rsidRPr="00E45508">
        <w:t>by packaging reform option</w:t>
      </w:r>
      <w:bookmarkEnd w:id="191"/>
    </w:p>
    <w:tbl>
      <w:tblPr>
        <w:tblStyle w:val="PlainTable2"/>
        <w:tblW w:w="8297" w:type="dxa"/>
        <w:tblLook w:val="04A0" w:firstRow="1" w:lastRow="0" w:firstColumn="1" w:lastColumn="0" w:noHBand="0" w:noVBand="1"/>
      </w:tblPr>
      <w:tblGrid>
        <w:gridCol w:w="1574"/>
        <w:gridCol w:w="6723"/>
      </w:tblGrid>
      <w:tr w:rsidR="009D1F9A" w:rsidRPr="00E45508" w14:paraId="496E3DB1" w14:textId="77777777" w:rsidTr="0072241D">
        <w:trPr>
          <w:cnfStyle w:val="100000000000" w:firstRow="1" w:lastRow="0" w:firstColumn="0" w:lastColumn="0" w:oddVBand="0" w:evenVBand="0" w:oddHBand="0"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574" w:type="dxa"/>
          </w:tcPr>
          <w:p w14:paraId="0A88F7A9" w14:textId="133BE284" w:rsidR="009D1F9A" w:rsidRPr="00E45508" w:rsidRDefault="009D1F9A" w:rsidP="00600050">
            <w:pPr>
              <w:pStyle w:val="Tabletext0"/>
              <w:keepNext/>
              <w:rPr>
                <w:rFonts w:eastAsiaTheme="minorHAnsi"/>
              </w:rPr>
            </w:pPr>
            <w:r w:rsidRPr="00E45508">
              <w:rPr>
                <w:rFonts w:eastAsiaTheme="minorHAnsi"/>
              </w:rPr>
              <w:t>Option</w:t>
            </w:r>
          </w:p>
        </w:tc>
        <w:tc>
          <w:tcPr>
            <w:tcW w:w="6723" w:type="dxa"/>
          </w:tcPr>
          <w:p w14:paraId="4391BF8C" w14:textId="33416B8C" w:rsidR="009D1F9A" w:rsidRPr="00E45508" w:rsidRDefault="009D1F9A" w:rsidP="007938B5">
            <w:pPr>
              <w:pStyle w:val="Tabletext0"/>
              <w:cnfStyle w:val="100000000000" w:firstRow="1" w:lastRow="0" w:firstColumn="0" w:lastColumn="0" w:oddVBand="0" w:evenVBand="0" w:oddHBand="0" w:evenHBand="0" w:firstRowFirstColumn="0" w:firstRowLastColumn="0" w:lastRowFirstColumn="0" w:lastRowLastColumn="0"/>
            </w:pPr>
            <w:r w:rsidRPr="00E45508">
              <w:t>Description</w:t>
            </w:r>
          </w:p>
        </w:tc>
      </w:tr>
      <w:tr w:rsidR="008C7607" w:rsidRPr="00E45508" w14:paraId="6E7292D2" w14:textId="77777777" w:rsidTr="0072241D">
        <w:trPr>
          <w:cnfStyle w:val="000000100000" w:firstRow="0" w:lastRow="0" w:firstColumn="0" w:lastColumn="0" w:oddVBand="0" w:evenVBand="0" w:oddHBand="1" w:evenHBand="0" w:firstRowFirstColumn="0" w:firstRowLastColumn="0" w:lastRowFirstColumn="0" w:lastRowLastColumn="0"/>
          <w:cantSplit/>
          <w:trHeight w:val="937"/>
        </w:trPr>
        <w:tc>
          <w:tcPr>
            <w:cnfStyle w:val="001000000000" w:firstRow="0" w:lastRow="0" w:firstColumn="1" w:lastColumn="0" w:oddVBand="0" w:evenVBand="0" w:oddHBand="0" w:evenHBand="0" w:firstRowFirstColumn="0" w:firstRowLastColumn="0" w:lastRowFirstColumn="0" w:lastRowLastColumn="0"/>
            <w:tcW w:w="1574" w:type="dxa"/>
          </w:tcPr>
          <w:p w14:paraId="6C32F744" w14:textId="52946A62" w:rsidR="008C7607" w:rsidRPr="00E45508" w:rsidRDefault="008C7607" w:rsidP="007938B5">
            <w:pPr>
              <w:pStyle w:val="Tabletext0"/>
              <w:rPr>
                <w:b w:val="0"/>
              </w:rPr>
            </w:pPr>
            <w:r w:rsidRPr="00E45508">
              <w:rPr>
                <w:rFonts w:eastAsiaTheme="minorHAnsi"/>
              </w:rPr>
              <w:t>Option</w:t>
            </w:r>
            <w:r w:rsidR="00421651" w:rsidRPr="00E45508">
              <w:rPr>
                <w:rFonts w:eastAsiaTheme="minorHAnsi"/>
              </w:rPr>
              <w:t> 1</w:t>
            </w:r>
            <w:r w:rsidRPr="00E45508">
              <w:t xml:space="preserve"> – Strengthening the administration of the co-regulatory arrangement</w:t>
            </w:r>
          </w:p>
        </w:tc>
        <w:tc>
          <w:tcPr>
            <w:tcW w:w="6723" w:type="dxa"/>
            <w:hideMark/>
          </w:tcPr>
          <w:p w14:paraId="0605C0AD" w14:textId="5D750ACC" w:rsidR="008C7607" w:rsidRPr="00E45508" w:rsidRDefault="00706851" w:rsidP="007938B5">
            <w:pPr>
              <w:pStyle w:val="Tabletext0"/>
              <w:cnfStyle w:val="000000100000" w:firstRow="0" w:lastRow="0" w:firstColumn="0" w:lastColumn="0" w:oddVBand="0" w:evenVBand="0" w:oddHBand="1" w:evenHBand="0" w:firstRowFirstColumn="0" w:firstRowLastColumn="0" w:lastRowFirstColumn="0" w:lastRowLastColumn="0"/>
            </w:pPr>
            <w:r w:rsidRPr="00E45508">
              <w:t>C</w:t>
            </w:r>
            <w:r w:rsidR="008C7607" w:rsidRPr="00E45508">
              <w:rPr>
                <w:rFonts w:eastAsiaTheme="minorHAnsi"/>
              </w:rPr>
              <w:t>ontinue current arrangements</w:t>
            </w:r>
            <w:r w:rsidRPr="00E45508">
              <w:t>:</w:t>
            </w:r>
          </w:p>
          <w:p w14:paraId="65EB65E0" w14:textId="4C53ABC0" w:rsidR="008C7607" w:rsidRPr="00E45508" w:rsidRDefault="1B0F7B85" w:rsidP="007938B5">
            <w:pPr>
              <w:pStyle w:val="Tabletext0"/>
              <w:cnfStyle w:val="000000100000" w:firstRow="0" w:lastRow="0" w:firstColumn="0" w:lastColumn="0" w:oddVBand="0" w:evenVBand="0" w:oddHBand="1" w:evenHBand="0" w:firstRowFirstColumn="0" w:firstRowLastColumn="0" w:lastRowFirstColumn="0" w:lastRowLastColumn="0"/>
              <w:rPr>
                <w:rFonts w:eastAsiaTheme="minorEastAsia"/>
              </w:rPr>
            </w:pPr>
            <w:r w:rsidRPr="00E45508">
              <w:rPr>
                <w:rFonts w:eastAsiaTheme="minorEastAsia"/>
              </w:rPr>
              <w:t>T</w:t>
            </w:r>
            <w:r w:rsidR="008C7607" w:rsidRPr="00E45508">
              <w:rPr>
                <w:rFonts w:eastAsiaTheme="minorEastAsia"/>
              </w:rPr>
              <w:t>he government supports the use of the ARL as a world-leading education tool designed to help households recycle correctly and assist brand owners to design packaging that can be recycled</w:t>
            </w:r>
            <w:r w:rsidR="5BFAF0BF" w:rsidRPr="00E45508">
              <w:rPr>
                <w:rFonts w:eastAsiaTheme="minorEastAsia"/>
              </w:rPr>
              <w:t xml:space="preserve">. </w:t>
            </w:r>
            <w:r w:rsidR="18480F7C" w:rsidRPr="00E45508">
              <w:rPr>
                <w:rFonts w:eastAsiaTheme="minorEastAsia"/>
              </w:rPr>
              <w:t>Strengthened arrangements under Option 1 would improve the uptake and effectiveness of the ARL.</w:t>
            </w:r>
          </w:p>
          <w:p w14:paraId="25BD6904" w14:textId="7EFF76B1" w:rsidR="008C7607" w:rsidRPr="00E45508" w:rsidRDefault="008C7607" w:rsidP="007938B5">
            <w:pPr>
              <w:pStyle w:val="Tabletext0"/>
              <w:cnfStyle w:val="000000100000" w:firstRow="0" w:lastRow="0" w:firstColumn="0" w:lastColumn="0" w:oddVBand="0" w:evenVBand="0" w:oddHBand="1" w:evenHBand="0" w:firstRowFirstColumn="0" w:firstRowLastColumn="0" w:lastRowFirstColumn="0" w:lastRowLastColumn="0"/>
            </w:pPr>
            <w:r w:rsidRPr="00E45508">
              <w:t>Enhanced education efforts could</w:t>
            </w:r>
            <w:r w:rsidR="00B42AF7" w:rsidRPr="00E45508">
              <w:t xml:space="preserve"> also</w:t>
            </w:r>
            <w:r w:rsidRPr="00E45508">
              <w:t xml:space="preserve"> encourage better purchasing decisions (such as avoidance of unnecessary or problematic packaging) and disposal decisions. For example, increased awareness and use of the </w:t>
            </w:r>
            <w:r w:rsidR="009F29B3" w:rsidRPr="00E45508">
              <w:t>ARL</w:t>
            </w:r>
            <w:r w:rsidRPr="00E45508">
              <w:t xml:space="preserve"> would increase participation in recycling systems to increase recovery and reduce contamination. The efforts would complement existing initiatives such as harmonisation of kerbside recycling systems.</w:t>
            </w:r>
          </w:p>
        </w:tc>
      </w:tr>
      <w:tr w:rsidR="008C7607" w:rsidRPr="00E45508" w14:paraId="2871D0E2" w14:textId="77777777" w:rsidTr="0072241D">
        <w:trPr>
          <w:cantSplit/>
          <w:trHeight w:val="1086"/>
        </w:trPr>
        <w:tc>
          <w:tcPr>
            <w:cnfStyle w:val="001000000000" w:firstRow="0" w:lastRow="0" w:firstColumn="1" w:lastColumn="0" w:oddVBand="0" w:evenVBand="0" w:oddHBand="0" w:evenHBand="0" w:firstRowFirstColumn="0" w:firstRowLastColumn="0" w:lastRowFirstColumn="0" w:lastRowLastColumn="0"/>
            <w:tcW w:w="1574" w:type="dxa"/>
          </w:tcPr>
          <w:p w14:paraId="1CC10B4F" w14:textId="2980C9E5" w:rsidR="008C7607" w:rsidRPr="00E45508" w:rsidRDefault="008C7607" w:rsidP="007938B5">
            <w:pPr>
              <w:pStyle w:val="Tabletext0"/>
              <w:rPr>
                <w:b w:val="0"/>
                <w:lang w:eastAsia="ja-JP"/>
              </w:rPr>
            </w:pPr>
            <w:r w:rsidRPr="00E45508">
              <w:rPr>
                <w:rFonts w:eastAsiaTheme="minorHAnsi"/>
              </w:rPr>
              <w:t>Option</w:t>
            </w:r>
            <w:r w:rsidR="00421651" w:rsidRPr="00E45508">
              <w:rPr>
                <w:rFonts w:eastAsiaTheme="minorHAnsi"/>
              </w:rPr>
              <w:t> 2</w:t>
            </w:r>
            <w:r w:rsidR="00E25BE4" w:rsidRPr="00E45508">
              <w:t xml:space="preserve"> – </w:t>
            </w:r>
            <w:r w:rsidRPr="00E45508">
              <w:rPr>
                <w:lang w:eastAsia="ja-JP"/>
              </w:rPr>
              <w:t>National mandatory requirements for packaging circularity</w:t>
            </w:r>
          </w:p>
          <w:p w14:paraId="24D4165A" w14:textId="77777777" w:rsidR="008C7607" w:rsidRPr="00E45508" w:rsidRDefault="008C7607" w:rsidP="007938B5">
            <w:pPr>
              <w:pStyle w:val="Tabletext0"/>
              <w:rPr>
                <w:b w:val="0"/>
              </w:rPr>
            </w:pPr>
          </w:p>
        </w:tc>
        <w:tc>
          <w:tcPr>
            <w:tcW w:w="6723" w:type="dxa"/>
            <w:hideMark/>
          </w:tcPr>
          <w:p w14:paraId="4D1E4CD1" w14:textId="2930C127" w:rsidR="008C7607" w:rsidRPr="00E45508" w:rsidRDefault="008C7607" w:rsidP="007938B5">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EastAsia"/>
              </w:rPr>
              <w:t xml:space="preserve">Clear and consistent </w:t>
            </w:r>
            <w:r w:rsidR="00832D48">
              <w:rPr>
                <w:rFonts w:eastAsiaTheme="minorEastAsia"/>
              </w:rPr>
              <w:t>recyclability</w:t>
            </w:r>
            <w:r w:rsidRPr="00E45508">
              <w:rPr>
                <w:rFonts w:eastAsiaTheme="minorEastAsia"/>
              </w:rPr>
              <w:t xml:space="preserve"> labelling would be mandatory for regulated entities to include on-pack </w:t>
            </w:r>
            <w:r w:rsidR="0018130C" w:rsidRPr="00E45508">
              <w:rPr>
                <w:rFonts w:eastAsiaTheme="minorEastAsia"/>
              </w:rPr>
              <w:t xml:space="preserve">for </w:t>
            </w:r>
            <w:r w:rsidRPr="00E45508">
              <w:rPr>
                <w:rFonts w:eastAsiaTheme="minorEastAsia"/>
              </w:rPr>
              <w:t>consumer packaging.</w:t>
            </w:r>
          </w:p>
          <w:p w14:paraId="1E75CE23" w14:textId="623DB02C" w:rsidR="008C7607" w:rsidRPr="00E45508" w:rsidRDefault="008C7607" w:rsidP="007938B5">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HAnsi"/>
              </w:rPr>
              <w:t>This will indicate to consumers how the packaging should be disposed of. It would be expected to improve packaging recovery rates and reduce contamination in recovery streams.</w:t>
            </w:r>
          </w:p>
        </w:tc>
      </w:tr>
      <w:tr w:rsidR="008C7607" w:rsidRPr="00E45508" w14:paraId="647376F2" w14:textId="77777777" w:rsidTr="0072241D">
        <w:trPr>
          <w:cnfStyle w:val="000000100000" w:firstRow="0" w:lastRow="0" w:firstColumn="0" w:lastColumn="0" w:oddVBand="0" w:evenVBand="0" w:oddHBand="1" w:evenHBand="0" w:firstRowFirstColumn="0" w:firstRowLastColumn="0" w:lastRowFirstColumn="0" w:lastRowLastColumn="0"/>
          <w:cantSplit/>
          <w:trHeight w:val="1086"/>
        </w:trPr>
        <w:tc>
          <w:tcPr>
            <w:cnfStyle w:val="001000000000" w:firstRow="0" w:lastRow="0" w:firstColumn="1" w:lastColumn="0" w:oddVBand="0" w:evenVBand="0" w:oddHBand="0" w:evenHBand="0" w:firstRowFirstColumn="0" w:firstRowLastColumn="0" w:lastRowFirstColumn="0" w:lastRowLastColumn="0"/>
            <w:tcW w:w="1574" w:type="dxa"/>
          </w:tcPr>
          <w:p w14:paraId="46B0027F" w14:textId="35A86629" w:rsidR="008C7607" w:rsidRPr="00E45508" w:rsidRDefault="008C7607" w:rsidP="007938B5">
            <w:pPr>
              <w:pStyle w:val="Tabletext0"/>
              <w:rPr>
                <w:b w:val="0"/>
              </w:rPr>
            </w:pPr>
            <w:r w:rsidRPr="00E45508">
              <w:rPr>
                <w:rFonts w:eastAsiaTheme="minorHAnsi"/>
              </w:rPr>
              <w:t>Option</w:t>
            </w:r>
            <w:r w:rsidR="00421651" w:rsidRPr="00E45508">
              <w:rPr>
                <w:rFonts w:eastAsiaTheme="minorHAnsi"/>
              </w:rPr>
              <w:t> 3</w:t>
            </w:r>
            <w:r w:rsidRPr="00E45508">
              <w:t> – an EPR Scheme for packaging</w:t>
            </w:r>
          </w:p>
        </w:tc>
        <w:tc>
          <w:tcPr>
            <w:tcW w:w="6723" w:type="dxa"/>
            <w:hideMark/>
          </w:tcPr>
          <w:p w14:paraId="616DE3A9" w14:textId="6EF048E4" w:rsidR="008C7607" w:rsidRPr="00E45508" w:rsidRDefault="008C7607" w:rsidP="007938B5">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As for Option</w:t>
            </w:r>
            <w:r w:rsidR="00421651" w:rsidRPr="00E45508">
              <w:rPr>
                <w:rFonts w:eastAsiaTheme="minorHAnsi"/>
              </w:rPr>
              <w:t> 2</w:t>
            </w:r>
            <w:r w:rsidRPr="00E45508">
              <w:rPr>
                <w:rFonts w:eastAsiaTheme="minorHAnsi"/>
              </w:rPr>
              <w:t>.</w:t>
            </w:r>
          </w:p>
          <w:p w14:paraId="4FC3C414" w14:textId="34FA8384" w:rsidR="008C7607" w:rsidRPr="00E45508" w:rsidRDefault="008C7607" w:rsidP="007938B5">
            <w:pPr>
              <w:pStyle w:val="Tabletext0"/>
              <w:cnfStyle w:val="000000100000" w:firstRow="0" w:lastRow="0" w:firstColumn="0" w:lastColumn="0" w:oddVBand="0" w:evenVBand="0" w:oddHBand="1" w:evenHBand="0" w:firstRowFirstColumn="0" w:firstRowLastColumn="0" w:lastRowFirstColumn="0" w:lastRowLastColumn="0"/>
              <w:rPr>
                <w:rFonts w:eastAsiaTheme="minorEastAsia"/>
              </w:rPr>
            </w:pPr>
            <w:r w:rsidRPr="00E45508">
              <w:rPr>
                <w:rFonts w:eastAsiaTheme="minorEastAsia"/>
              </w:rPr>
              <w:t xml:space="preserve">Labelling information may also be required to reflect a recyclability grade (see </w:t>
            </w:r>
            <w:r w:rsidR="009B6FAC" w:rsidRPr="00E45508">
              <w:fldChar w:fldCharType="begin"/>
            </w:r>
            <w:r w:rsidR="009B6FAC" w:rsidRPr="00E45508">
              <w:rPr>
                <w:rFonts w:eastAsiaTheme="minorEastAsia"/>
              </w:rPr>
              <w:instrText xml:space="preserve"> REF _Ref177747984 \h </w:instrText>
            </w:r>
            <w:r w:rsidR="009B6FAC" w:rsidRPr="00E45508">
              <w:fldChar w:fldCharType="separate"/>
            </w:r>
            <w:r w:rsidR="009A2EC4" w:rsidRPr="00E45508">
              <w:t xml:space="preserve">Box </w:t>
            </w:r>
            <w:r w:rsidR="009A2EC4">
              <w:rPr>
                <w:noProof/>
              </w:rPr>
              <w:t>12</w:t>
            </w:r>
            <w:r w:rsidR="009B6FAC" w:rsidRPr="00E45508">
              <w:fldChar w:fldCharType="end"/>
            </w:r>
            <w:r w:rsidR="009B6FAC" w:rsidRPr="00E45508">
              <w:t xml:space="preserve"> </w:t>
            </w:r>
            <w:r w:rsidR="00453687" w:rsidRPr="00E45508">
              <w:t>for an example of</w:t>
            </w:r>
            <w:r w:rsidRPr="00E45508">
              <w:rPr>
                <w:rFonts w:eastAsiaTheme="minorEastAsia"/>
              </w:rPr>
              <w:t xml:space="preserve"> recyclability grading).</w:t>
            </w:r>
          </w:p>
          <w:p w14:paraId="24460C82" w14:textId="31E86CF4" w:rsidR="008C7607" w:rsidRPr="00E45508" w:rsidRDefault="008C7607" w:rsidP="007938B5">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This would allow consumers to make more informed decisions by communicating the whole-of-life impact of packaging.</w:t>
            </w:r>
          </w:p>
          <w:p w14:paraId="2E5A9784" w14:textId="214190CF" w:rsidR="008C7607" w:rsidRPr="00E45508" w:rsidRDefault="008C7607" w:rsidP="007938B5">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EastAsia"/>
              </w:rPr>
              <w:t>This additional information would further increase transparency around material use and recyclability and apply pressure to producers to improve design choices.</w:t>
            </w:r>
          </w:p>
        </w:tc>
      </w:tr>
    </w:tbl>
    <w:p w14:paraId="217663EF" w14:textId="77777777" w:rsidR="00C564D4" w:rsidRPr="00E45508" w:rsidRDefault="00C564D4" w:rsidP="00F36B88"/>
    <w:p w14:paraId="194A6141" w14:textId="730FD185" w:rsidR="415E5C36" w:rsidRPr="00E45508" w:rsidRDefault="415E5C36" w:rsidP="15E68406">
      <w:pPr>
        <w:pStyle w:val="Heading3"/>
      </w:pPr>
      <w:bookmarkStart w:id="192" w:name="_Ref177990936"/>
      <w:bookmarkStart w:id="193" w:name="_Toc178230260"/>
      <w:r w:rsidRPr="00E45508">
        <w:t>Recycled content thresholds</w:t>
      </w:r>
      <w:bookmarkEnd w:id="192"/>
      <w:bookmarkEnd w:id="193"/>
    </w:p>
    <w:p w14:paraId="6DBAC651" w14:textId="4529B6FA" w:rsidR="415E5C36" w:rsidRPr="00E45508" w:rsidRDefault="415E5C36" w:rsidP="418DB322">
      <w:r w:rsidRPr="00E45508">
        <w:t>Australia's transition towards a circular economy requires more materials to be recovered and used at their highest value for longer. Increasing material circularity relies on strong and reliable markets for recovered materials to provide investment certainty across the supply chain.</w:t>
      </w:r>
    </w:p>
    <w:p w14:paraId="6D11CA1E" w14:textId="7BDF6EB6" w:rsidR="415E5C36" w:rsidRPr="00E45508" w:rsidRDefault="415E5C36">
      <w:r w:rsidRPr="00E45508">
        <w:t xml:space="preserve">APCO is charged with delivering the </w:t>
      </w:r>
      <w:r w:rsidR="00C01141">
        <w:t>National Packaging Targets (</w:t>
      </w:r>
      <w:r w:rsidR="004232A0" w:rsidRPr="00E45508">
        <w:t>NPTs</w:t>
      </w:r>
      <w:r w:rsidR="00C01141">
        <w:t>)</w:t>
      </w:r>
      <w:r w:rsidRPr="00E45508">
        <w:t xml:space="preserve"> and will continue to lead work on recycled content targets </w:t>
      </w:r>
      <w:r w:rsidR="00461832" w:rsidRPr="00E45508">
        <w:t>while reform progresses</w:t>
      </w:r>
      <w:r w:rsidRPr="00E45508">
        <w:t>. APCO has produced three reports, informed by engagement with industry, to support discussion on this topic.</w:t>
      </w:r>
    </w:p>
    <w:p w14:paraId="6FF7634D" w14:textId="3BAE0A76" w:rsidR="415E5C36" w:rsidRPr="00E45508" w:rsidRDefault="415E5C36" w:rsidP="009C1F84">
      <w:pPr>
        <w:pStyle w:val="ListBullet"/>
      </w:pPr>
      <w:hyperlink r:id="rId37">
        <w:r w:rsidRPr="00E45508">
          <w:rPr>
            <w:rStyle w:val="Hyperlink"/>
          </w:rPr>
          <w:t>Recycled content options paper for packaging</w:t>
        </w:r>
      </w:hyperlink>
      <w:r w:rsidRPr="00E45508">
        <w:t xml:space="preserve"> (APCO</w:t>
      </w:r>
      <w:r w:rsidR="00421651" w:rsidRPr="00E45508">
        <w:t> 2</w:t>
      </w:r>
      <w:r w:rsidRPr="00E45508">
        <w:t>024</w:t>
      </w:r>
      <w:r w:rsidR="000D6856">
        <w:t>c</w:t>
      </w:r>
      <w:r w:rsidRPr="00E45508">
        <w:t>)</w:t>
      </w:r>
    </w:p>
    <w:p w14:paraId="1147FC02" w14:textId="1ED414FB" w:rsidR="415E5C36" w:rsidRPr="00E45508" w:rsidRDefault="415E5C36" w:rsidP="009C1F84">
      <w:pPr>
        <w:pStyle w:val="ListBullet"/>
      </w:pPr>
      <w:hyperlink r:id="rId38">
        <w:r w:rsidRPr="00E45508">
          <w:rPr>
            <w:rStyle w:val="Hyperlink"/>
          </w:rPr>
          <w:t>Traceability data requirements</w:t>
        </w:r>
      </w:hyperlink>
      <w:r w:rsidRPr="00E45508">
        <w:t xml:space="preserve"> (APCO</w:t>
      </w:r>
      <w:r w:rsidR="00421651" w:rsidRPr="00E45508">
        <w:t> 2</w:t>
      </w:r>
      <w:r w:rsidRPr="00E45508">
        <w:t>024</w:t>
      </w:r>
      <w:r w:rsidR="000D6856">
        <w:t>d</w:t>
      </w:r>
      <w:r w:rsidRPr="00E45508">
        <w:t>)</w:t>
      </w:r>
    </w:p>
    <w:p w14:paraId="693ED31C" w14:textId="493598EE" w:rsidR="415E5C36" w:rsidRPr="00E45508" w:rsidRDefault="415E5C36" w:rsidP="009C1F84">
      <w:pPr>
        <w:pStyle w:val="ListBullet"/>
      </w:pPr>
      <w:hyperlink r:id="rId39">
        <w:r w:rsidRPr="00E45508">
          <w:rPr>
            <w:rStyle w:val="Hyperlink"/>
          </w:rPr>
          <w:t>Traceability technical solutions</w:t>
        </w:r>
      </w:hyperlink>
      <w:r w:rsidRPr="00E45508">
        <w:t xml:space="preserve"> (APCO</w:t>
      </w:r>
      <w:r w:rsidR="00421651" w:rsidRPr="00E45508">
        <w:t> 2</w:t>
      </w:r>
      <w:r w:rsidRPr="00E45508">
        <w:t>024</w:t>
      </w:r>
      <w:r w:rsidR="000D6856">
        <w:t>e</w:t>
      </w:r>
      <w:r w:rsidRPr="00E45508">
        <w:t>)</w:t>
      </w:r>
    </w:p>
    <w:p w14:paraId="4C113F79" w14:textId="618A352B" w:rsidR="415E5C36" w:rsidRPr="00E45508" w:rsidRDefault="415E5C36" w:rsidP="00926668">
      <w:pPr>
        <w:spacing w:before="240"/>
      </w:pPr>
      <w:r w:rsidRPr="00E45508">
        <w:t>Instruments such as legislated targets and financial instruments are being used elsewhere to increase the use of recycled content in packaging. Examples include the European Union's</w:t>
      </w:r>
      <w:r w:rsidR="00421651" w:rsidRPr="00E45508">
        <w:t> 3</w:t>
      </w:r>
      <w:r w:rsidRPr="00E45508">
        <w:t>0% recycled content mandate for plastic beverage bottles by</w:t>
      </w:r>
      <w:r w:rsidR="00421651" w:rsidRPr="00E45508">
        <w:t> 2</w:t>
      </w:r>
      <w:r w:rsidRPr="00E45508">
        <w:t xml:space="preserve">030 </w:t>
      </w:r>
      <w:r w:rsidR="001E1CD6" w:rsidRPr="00E45508">
        <w:t>(EU</w:t>
      </w:r>
      <w:r w:rsidR="00421651" w:rsidRPr="00E45508">
        <w:t> 2</w:t>
      </w:r>
      <w:r w:rsidR="001E1CD6" w:rsidRPr="00E45508">
        <w:t>019)</w:t>
      </w:r>
      <w:r w:rsidRPr="00E45508">
        <w:t xml:space="preserve"> and the United Kingdom's tax on plastic packaging with less than</w:t>
      </w:r>
      <w:r w:rsidR="00421651" w:rsidRPr="00E45508">
        <w:t> 3</w:t>
      </w:r>
      <w:r w:rsidRPr="00E45508">
        <w:t>0% recycled content</w:t>
      </w:r>
      <w:r w:rsidR="004C1F96" w:rsidRPr="00E45508">
        <w:t xml:space="preserve"> (UK Government</w:t>
      </w:r>
      <w:r w:rsidR="00421651" w:rsidRPr="00E45508">
        <w:t> 2</w:t>
      </w:r>
      <w:r w:rsidR="009B66A3" w:rsidRPr="00E45508">
        <w:t>021)</w:t>
      </w:r>
      <w:r w:rsidRPr="00E45508">
        <w:t>. Similar initiatives have been implemented in parts of the United States, including California’s 50% recycled content target for plastic beverage containers by</w:t>
      </w:r>
      <w:r w:rsidR="00421651" w:rsidRPr="00E45508">
        <w:t> 2</w:t>
      </w:r>
      <w:r w:rsidRPr="00E45508">
        <w:t>030</w:t>
      </w:r>
      <w:r w:rsidR="00B87351" w:rsidRPr="00E45508">
        <w:t xml:space="preserve"> (</w:t>
      </w:r>
      <w:r w:rsidR="00606BB3" w:rsidRPr="00E45508">
        <w:t>CA Government</w:t>
      </w:r>
      <w:r w:rsidR="00421651" w:rsidRPr="00E45508">
        <w:t> 2</w:t>
      </w:r>
      <w:r w:rsidR="0005171F" w:rsidRPr="00E45508">
        <w:t>020)</w:t>
      </w:r>
      <w:r w:rsidRPr="00E45508">
        <w:t xml:space="preserve"> and Maine's</w:t>
      </w:r>
      <w:r w:rsidR="00421651" w:rsidRPr="00E45508">
        <w:t> 2</w:t>
      </w:r>
      <w:r w:rsidRPr="00E45508">
        <w:t>5% mandate for plastic beverage containers by</w:t>
      </w:r>
      <w:r w:rsidR="00421651" w:rsidRPr="00E45508">
        <w:t> 2</w:t>
      </w:r>
      <w:r w:rsidRPr="00E45508">
        <w:t>026</w:t>
      </w:r>
      <w:r w:rsidR="00047112" w:rsidRPr="00E45508">
        <w:t xml:space="preserve"> (Maine Government</w:t>
      </w:r>
      <w:r w:rsidR="00421651" w:rsidRPr="00E45508">
        <w:t> 2</w:t>
      </w:r>
      <w:r w:rsidR="00180BB7" w:rsidRPr="00E45508">
        <w:t>022)</w:t>
      </w:r>
      <w:r w:rsidRPr="00E45508">
        <w:t>.</w:t>
      </w:r>
    </w:p>
    <w:p w14:paraId="334110AA" w14:textId="40DAFBFA" w:rsidR="415E5C36" w:rsidRPr="00E45508" w:rsidRDefault="415E5C36">
      <w:r w:rsidRPr="00E45508">
        <w:t xml:space="preserve">By adopting similar standards to major international markets, Australia can facilitate smoother trade and </w:t>
      </w:r>
      <w:r w:rsidR="006F54D6" w:rsidRPr="00E45508">
        <w:t xml:space="preserve">material and product </w:t>
      </w:r>
      <w:r w:rsidR="004F0FD3" w:rsidRPr="00E45508">
        <w:t>flows and</w:t>
      </w:r>
      <w:r w:rsidRPr="00E45508">
        <w:t xml:space="preserve"> reduce administrative burdens for industry while ensuring Australian products can compete effectively in these jurisdictions.</w:t>
      </w:r>
    </w:p>
    <w:p w14:paraId="43D0351B" w14:textId="77777777" w:rsidR="00941C88" w:rsidRPr="00E45508" w:rsidRDefault="00941C88" w:rsidP="15E68406">
      <w:pPr>
        <w:pStyle w:val="Heading4"/>
      </w:pPr>
      <w:r w:rsidRPr="00E45508">
        <w:t>Implementation under the reform options</w:t>
      </w:r>
    </w:p>
    <w:p w14:paraId="25921438" w14:textId="4A9EB6A2" w:rsidR="00941C88" w:rsidRPr="00E45508" w:rsidRDefault="003F6FCA" w:rsidP="00941C88">
      <w:pPr>
        <w:rPr>
          <w:rFonts w:cstheme="minorHAnsi"/>
        </w:rPr>
      </w:pPr>
      <w:r w:rsidRPr="00E45508">
        <w:rPr>
          <w:rFonts w:cstheme="minorHAnsi"/>
        </w:rPr>
        <w:fldChar w:fldCharType="begin"/>
      </w:r>
      <w:r w:rsidRPr="00E45508">
        <w:rPr>
          <w:rFonts w:cstheme="minorHAnsi"/>
        </w:rPr>
        <w:instrText xml:space="preserve"> REF _Ref177638839 \h </w:instrText>
      </w:r>
      <w:r w:rsidRPr="00E45508">
        <w:rPr>
          <w:rFonts w:cstheme="minorHAnsi"/>
        </w:rPr>
      </w:r>
      <w:r w:rsidRPr="00E45508">
        <w:rPr>
          <w:rFonts w:cstheme="minorHAnsi"/>
        </w:rPr>
        <w:fldChar w:fldCharType="separate"/>
      </w:r>
      <w:r w:rsidR="009A2EC4" w:rsidRPr="00E45508">
        <w:t>Table </w:t>
      </w:r>
      <w:r w:rsidR="009A2EC4">
        <w:rPr>
          <w:noProof/>
        </w:rPr>
        <w:t>16</w:t>
      </w:r>
      <w:r w:rsidRPr="00E45508">
        <w:rPr>
          <w:rFonts w:cstheme="minorHAnsi"/>
        </w:rPr>
        <w:fldChar w:fldCharType="end"/>
      </w:r>
      <w:r w:rsidR="00941C88" w:rsidRPr="00E45508">
        <w:rPr>
          <w:rFonts w:cstheme="minorHAnsi"/>
        </w:rPr>
        <w:t xml:space="preserve"> summari</w:t>
      </w:r>
      <w:r w:rsidR="00E45508">
        <w:rPr>
          <w:rFonts w:cstheme="minorHAnsi"/>
        </w:rPr>
        <w:t>s</w:t>
      </w:r>
      <w:r w:rsidR="00941C88" w:rsidRPr="00E45508">
        <w:rPr>
          <w:rFonts w:cstheme="minorHAnsi"/>
        </w:rPr>
        <w:t xml:space="preserve">es how each of the options would implement </w:t>
      </w:r>
      <w:r w:rsidR="005108A8" w:rsidRPr="00E45508">
        <w:rPr>
          <w:rFonts w:eastAsia="Times New Roman" w:cstheme="minorHAnsi"/>
          <w:lang w:eastAsia="en-AU"/>
        </w:rPr>
        <w:t>recycled content</w:t>
      </w:r>
      <w:r w:rsidR="00941C88" w:rsidRPr="00E45508">
        <w:rPr>
          <w:rFonts w:eastAsia="Times New Roman" w:cstheme="minorHAnsi"/>
          <w:lang w:eastAsia="en-AU"/>
        </w:rPr>
        <w:t xml:space="preserve"> </w:t>
      </w:r>
      <w:r w:rsidR="00B046FC">
        <w:rPr>
          <w:rFonts w:eastAsia="Times New Roman" w:cstheme="minorHAnsi"/>
          <w:lang w:eastAsia="en-AU"/>
        </w:rPr>
        <w:t>obligations</w:t>
      </w:r>
      <w:r w:rsidR="00941C88" w:rsidRPr="00E45508">
        <w:rPr>
          <w:rFonts w:eastAsia="Times New Roman" w:cstheme="minorHAnsi"/>
          <w:lang w:eastAsia="en-AU"/>
        </w:rPr>
        <w:t>.</w:t>
      </w:r>
    </w:p>
    <w:p w14:paraId="32093DFA" w14:textId="6C702C4D" w:rsidR="00912A7E" w:rsidRPr="00E45508" w:rsidRDefault="00596422" w:rsidP="007938B5">
      <w:pPr>
        <w:pStyle w:val="Caption"/>
      </w:pPr>
      <w:bookmarkStart w:id="194" w:name="_Ref177638839"/>
      <w:bookmarkStart w:id="195" w:name="_Toc178229379"/>
      <w:r w:rsidRPr="00E45508">
        <w:t>Table </w:t>
      </w:r>
      <w:r w:rsidRPr="00E45508">
        <w:fldChar w:fldCharType="begin"/>
      </w:r>
      <w:r w:rsidRPr="00E45508">
        <w:instrText xml:space="preserve"> SEQ Table \* ARABIC </w:instrText>
      </w:r>
      <w:r w:rsidRPr="00E45508">
        <w:fldChar w:fldCharType="separate"/>
      </w:r>
      <w:r w:rsidR="009A2EC4">
        <w:rPr>
          <w:noProof/>
        </w:rPr>
        <w:t>16</w:t>
      </w:r>
      <w:r w:rsidRPr="00E45508">
        <w:fldChar w:fldCharType="end"/>
      </w:r>
      <w:bookmarkEnd w:id="194"/>
      <w:r w:rsidR="00912A7E" w:rsidRPr="00E45508">
        <w:t xml:space="preserve">: Implementation of recycled content </w:t>
      </w:r>
      <w:r w:rsidR="00FB34F1">
        <w:t>obligations</w:t>
      </w:r>
      <w:r w:rsidR="00912A7E" w:rsidRPr="00E45508">
        <w:t xml:space="preserve"> by packaging reform option</w:t>
      </w:r>
      <w:bookmarkEnd w:id="195"/>
    </w:p>
    <w:tbl>
      <w:tblPr>
        <w:tblStyle w:val="PlainTable2"/>
        <w:tblW w:w="8552" w:type="dxa"/>
        <w:tblLook w:val="04A0" w:firstRow="1" w:lastRow="0" w:firstColumn="1" w:lastColumn="0" w:noHBand="0" w:noVBand="1"/>
      </w:tblPr>
      <w:tblGrid>
        <w:gridCol w:w="1622"/>
        <w:gridCol w:w="6930"/>
      </w:tblGrid>
      <w:tr w:rsidR="009D1F9A" w:rsidRPr="00E45508" w14:paraId="5737CF94" w14:textId="77777777" w:rsidTr="009D1F9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22" w:type="dxa"/>
          </w:tcPr>
          <w:p w14:paraId="5776E013" w14:textId="2B5F87E5" w:rsidR="009D1F9A" w:rsidRPr="00E45508" w:rsidRDefault="009D1F9A" w:rsidP="00A95D11">
            <w:pPr>
              <w:pStyle w:val="Tabletext0"/>
              <w:rPr>
                <w:rFonts w:eastAsiaTheme="minorHAnsi"/>
              </w:rPr>
            </w:pPr>
            <w:r w:rsidRPr="00E45508">
              <w:rPr>
                <w:rFonts w:eastAsiaTheme="minorHAnsi"/>
              </w:rPr>
              <w:t>Option</w:t>
            </w:r>
          </w:p>
        </w:tc>
        <w:tc>
          <w:tcPr>
            <w:tcW w:w="6930" w:type="dxa"/>
          </w:tcPr>
          <w:p w14:paraId="067F2840" w14:textId="47909688" w:rsidR="009D1F9A" w:rsidRPr="00E45508" w:rsidRDefault="009D1F9A" w:rsidP="00A95D11">
            <w:pPr>
              <w:pStyle w:val="Tabletext0"/>
              <w:cnfStyle w:val="100000000000" w:firstRow="1" w:lastRow="0" w:firstColumn="0" w:lastColumn="0" w:oddVBand="0" w:evenVBand="0" w:oddHBand="0" w:evenHBand="0" w:firstRowFirstColumn="0" w:firstRowLastColumn="0" w:lastRowFirstColumn="0" w:lastRowLastColumn="0"/>
              <w:rPr>
                <w:rFonts w:eastAsiaTheme="minorHAnsi"/>
              </w:rPr>
            </w:pPr>
            <w:r w:rsidRPr="00E45508">
              <w:rPr>
                <w:rFonts w:eastAsiaTheme="minorHAnsi"/>
              </w:rPr>
              <w:t>Description</w:t>
            </w:r>
          </w:p>
        </w:tc>
      </w:tr>
      <w:tr w:rsidR="008C7607" w:rsidRPr="00E45508" w14:paraId="7651C99C" w14:textId="77777777" w:rsidTr="009D1F9A">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622" w:type="dxa"/>
          </w:tcPr>
          <w:p w14:paraId="7622AE02" w14:textId="2816DA8B" w:rsidR="008C7607" w:rsidRPr="00E45508" w:rsidRDefault="008C7607" w:rsidP="00A95D11">
            <w:pPr>
              <w:pStyle w:val="Tabletext0"/>
              <w:rPr>
                <w:b w:val="0"/>
              </w:rPr>
            </w:pPr>
            <w:r w:rsidRPr="00E45508">
              <w:rPr>
                <w:rFonts w:eastAsiaTheme="minorHAnsi"/>
              </w:rPr>
              <w:t>Option</w:t>
            </w:r>
            <w:r w:rsidR="00421651" w:rsidRPr="00E45508">
              <w:rPr>
                <w:rFonts w:eastAsiaTheme="minorHAnsi"/>
              </w:rPr>
              <w:t> 1</w:t>
            </w:r>
            <w:r w:rsidR="00A95D11" w:rsidRPr="00E45508">
              <w:t> </w:t>
            </w:r>
            <w:r w:rsidRPr="00E45508">
              <w:t>–Strengthening the administration of the co-regulatory arrangement</w:t>
            </w:r>
          </w:p>
        </w:tc>
        <w:tc>
          <w:tcPr>
            <w:tcW w:w="6930" w:type="dxa"/>
            <w:hideMark/>
          </w:tcPr>
          <w:p w14:paraId="128E7A75" w14:textId="5891288B" w:rsidR="008C7607" w:rsidRPr="00E45508" w:rsidRDefault="008C7607" w:rsidP="00A95D11">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No mandatory requirement for recycled content under the legislation that gives effect to the NEPM.</w:t>
            </w:r>
          </w:p>
          <w:p w14:paraId="7EFC99E4" w14:textId="0D4257C3" w:rsidR="008C7607" w:rsidRPr="00E45508" w:rsidRDefault="008C7607" w:rsidP="00A95D11">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 xml:space="preserve">No change to existing arrangements however additional industry guidance could be used to encourage </w:t>
            </w:r>
            <w:r w:rsidR="003E52ED">
              <w:rPr>
                <w:rFonts w:eastAsiaTheme="minorHAnsi"/>
              </w:rPr>
              <w:t>the use of recycled content</w:t>
            </w:r>
            <w:r w:rsidRPr="00E45508">
              <w:rPr>
                <w:rFonts w:eastAsiaTheme="minorHAnsi"/>
              </w:rPr>
              <w:t>.</w:t>
            </w:r>
          </w:p>
          <w:p w14:paraId="3BA8B34B" w14:textId="0BD24CB7" w:rsidR="008C7607" w:rsidRPr="00E45508" w:rsidRDefault="008C7607" w:rsidP="00A95D11">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 xml:space="preserve">Covenant signatories must already report annually on the use of recycled materials </w:t>
            </w:r>
            <w:r w:rsidR="00D214EC">
              <w:rPr>
                <w:rFonts w:eastAsiaTheme="minorHAnsi"/>
              </w:rPr>
              <w:t>as</w:t>
            </w:r>
            <w:r w:rsidRPr="00E45508">
              <w:rPr>
                <w:rFonts w:eastAsiaTheme="minorHAnsi"/>
              </w:rPr>
              <w:t xml:space="preserve"> one of seven criteria of the Packaging Sustainability Framework </w:t>
            </w:r>
            <w:r w:rsidR="00170AE0" w:rsidRPr="00E45508">
              <w:rPr>
                <w:rFonts w:eastAsiaTheme="minorHAnsi"/>
              </w:rPr>
              <w:t>(APCO 2020b)</w:t>
            </w:r>
            <w:r w:rsidRPr="00E45508">
              <w:rPr>
                <w:rFonts w:eastAsiaTheme="minorHAnsi"/>
              </w:rPr>
              <w:t>.</w:t>
            </w:r>
          </w:p>
          <w:p w14:paraId="51F31AA3" w14:textId="4F95C96A" w:rsidR="008C7607" w:rsidRPr="00E45508" w:rsidRDefault="008C7607" w:rsidP="00A95D11">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From</w:t>
            </w:r>
            <w:r w:rsidR="00421651" w:rsidRPr="00E45508">
              <w:rPr>
                <w:rFonts w:eastAsiaTheme="minorHAnsi"/>
              </w:rPr>
              <w:t> 2</w:t>
            </w:r>
            <w:r w:rsidRPr="00E45508">
              <w:rPr>
                <w:rFonts w:eastAsiaTheme="minorHAnsi"/>
              </w:rPr>
              <w:t>027, APCO eco-modulated fees creates economic incentives to use more recycled materials in packaging.</w:t>
            </w:r>
          </w:p>
        </w:tc>
      </w:tr>
      <w:tr w:rsidR="008C7607" w:rsidRPr="00E45508" w14:paraId="4402A17E" w14:textId="77777777" w:rsidTr="009D1F9A">
        <w:trPr>
          <w:trHeight w:val="1082"/>
        </w:trPr>
        <w:tc>
          <w:tcPr>
            <w:cnfStyle w:val="001000000000" w:firstRow="0" w:lastRow="0" w:firstColumn="1" w:lastColumn="0" w:oddVBand="0" w:evenVBand="0" w:oddHBand="0" w:evenHBand="0" w:firstRowFirstColumn="0" w:firstRowLastColumn="0" w:lastRowFirstColumn="0" w:lastRowLastColumn="0"/>
            <w:tcW w:w="1622" w:type="dxa"/>
          </w:tcPr>
          <w:p w14:paraId="30170DB2" w14:textId="4440E4AC" w:rsidR="008C7607" w:rsidRPr="00E45508" w:rsidRDefault="008C7607" w:rsidP="00A95D11">
            <w:pPr>
              <w:pStyle w:val="Tabletext0"/>
              <w:rPr>
                <w:b w:val="0"/>
                <w:lang w:eastAsia="ja-JP"/>
              </w:rPr>
            </w:pPr>
            <w:r w:rsidRPr="00E45508">
              <w:rPr>
                <w:rFonts w:eastAsiaTheme="minorHAnsi"/>
              </w:rPr>
              <w:t>Option</w:t>
            </w:r>
            <w:r w:rsidR="00421651" w:rsidRPr="00E45508">
              <w:rPr>
                <w:rFonts w:eastAsiaTheme="minorHAnsi"/>
              </w:rPr>
              <w:t> 2</w:t>
            </w:r>
            <w:r w:rsidRPr="00E45508">
              <w:t> </w:t>
            </w:r>
            <w:r w:rsidR="00A95D11" w:rsidRPr="00E45508">
              <w:t>–</w:t>
            </w:r>
            <w:r w:rsidRPr="00E45508">
              <w:t xml:space="preserve"> National</w:t>
            </w:r>
            <w:r w:rsidRPr="00E45508">
              <w:rPr>
                <w:lang w:eastAsia="ja-JP"/>
              </w:rPr>
              <w:t xml:space="preserve"> mandatory requirements for packaging circularity</w:t>
            </w:r>
          </w:p>
        </w:tc>
        <w:tc>
          <w:tcPr>
            <w:tcW w:w="6930" w:type="dxa"/>
            <w:hideMark/>
          </w:tcPr>
          <w:p w14:paraId="1BD998C8" w14:textId="71638E96" w:rsidR="008C7607" w:rsidRPr="00E45508" w:rsidRDefault="485A40E0" w:rsidP="002A4907">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EastAsia"/>
              </w:rPr>
              <w:t>Commonwealth legislated minimum recycled content requirements as a single set of obligations for packaging placed on the Australian market.</w:t>
            </w:r>
          </w:p>
          <w:p w14:paraId="05C6E58F" w14:textId="42207A95" w:rsidR="008C7607" w:rsidRPr="00E45508" w:rsidRDefault="008C7607" w:rsidP="00A95D11">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HAnsi"/>
              </w:rPr>
              <w:t>Would be expected to help increase demand for and develop end markets for recycled content.</w:t>
            </w:r>
          </w:p>
          <w:p w14:paraId="3A615B91" w14:textId="06C2B340" w:rsidR="008C7607" w:rsidRPr="00E45508" w:rsidRDefault="008C7607" w:rsidP="00A95D11">
            <w:pPr>
              <w:pStyle w:val="Tabletext0"/>
              <w:cnfStyle w:val="000000000000" w:firstRow="0" w:lastRow="0" w:firstColumn="0" w:lastColumn="0" w:oddVBand="0" w:evenVBand="0" w:oddHBand="0" w:evenHBand="0" w:firstRowFirstColumn="0" w:firstRowLastColumn="0" w:lastRowFirstColumn="0" w:lastRowLastColumn="0"/>
            </w:pPr>
            <w:r w:rsidRPr="00E45508">
              <w:rPr>
                <w:rFonts w:eastAsiaTheme="minorHAnsi"/>
              </w:rPr>
              <w:t>Each regulated entity would be responsible for meeting minimum recycled content thresholds.</w:t>
            </w:r>
          </w:p>
        </w:tc>
      </w:tr>
      <w:tr w:rsidR="008C7607" w:rsidRPr="00E45508" w14:paraId="48D137BC" w14:textId="77777777" w:rsidTr="009D1F9A">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22" w:type="dxa"/>
          </w:tcPr>
          <w:p w14:paraId="4A71B87E" w14:textId="7B93523F" w:rsidR="008C7607" w:rsidRPr="00E45508" w:rsidRDefault="008C7607" w:rsidP="00A95D11">
            <w:pPr>
              <w:pStyle w:val="Tabletext0"/>
              <w:rPr>
                <w:b w:val="0"/>
              </w:rPr>
            </w:pPr>
            <w:r w:rsidRPr="00E45508">
              <w:rPr>
                <w:rFonts w:eastAsiaTheme="minorHAnsi"/>
              </w:rPr>
              <w:t>Option</w:t>
            </w:r>
            <w:r w:rsidR="00421651" w:rsidRPr="00E45508">
              <w:rPr>
                <w:rFonts w:eastAsiaTheme="minorHAnsi"/>
              </w:rPr>
              <w:t> 3</w:t>
            </w:r>
            <w:r w:rsidRPr="00E45508">
              <w:t> – an EPR Scheme for packaging</w:t>
            </w:r>
          </w:p>
        </w:tc>
        <w:tc>
          <w:tcPr>
            <w:tcW w:w="6930" w:type="dxa"/>
            <w:hideMark/>
          </w:tcPr>
          <w:p w14:paraId="20AE3878" w14:textId="4893A702" w:rsidR="008C7607" w:rsidRPr="00E45508" w:rsidRDefault="008C7607" w:rsidP="00A95D11">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HAnsi"/>
              </w:rPr>
              <w:t>As for Option</w:t>
            </w:r>
            <w:r w:rsidR="00421651" w:rsidRPr="00E45508">
              <w:rPr>
                <w:rFonts w:eastAsiaTheme="minorHAnsi"/>
              </w:rPr>
              <w:t> 2</w:t>
            </w:r>
            <w:r w:rsidRPr="00E45508">
              <w:rPr>
                <w:rFonts w:eastAsiaTheme="minorHAnsi"/>
              </w:rPr>
              <w:t>.</w:t>
            </w:r>
          </w:p>
          <w:p w14:paraId="56B917B4" w14:textId="077E7C8E" w:rsidR="008C7607" w:rsidRPr="00E45508" w:rsidRDefault="485A40E0" w:rsidP="009E7150">
            <w:pPr>
              <w:pStyle w:val="Tabletext0"/>
              <w:cnfStyle w:val="000000100000" w:firstRow="0" w:lastRow="0" w:firstColumn="0" w:lastColumn="0" w:oddVBand="0" w:evenVBand="0" w:oddHBand="1" w:evenHBand="0" w:firstRowFirstColumn="0" w:firstRowLastColumn="0" w:lastRowFirstColumn="0" w:lastRowLastColumn="0"/>
            </w:pPr>
            <w:r w:rsidRPr="00E45508">
              <w:rPr>
                <w:rFonts w:eastAsiaTheme="minorEastAsia"/>
              </w:rPr>
              <w:t xml:space="preserve">In addition, bonuses applied to EPR fees (as outlined in section </w:t>
            </w:r>
            <w:r w:rsidR="00261596">
              <w:fldChar w:fldCharType="begin"/>
            </w:r>
            <w:r w:rsidR="00261596">
              <w:rPr>
                <w:rFonts w:eastAsiaTheme="minorEastAsia"/>
              </w:rPr>
              <w:instrText xml:space="preserve"> REF _Ref178127882 \r \h </w:instrText>
            </w:r>
            <w:r w:rsidR="00261596">
              <w:fldChar w:fldCharType="separate"/>
            </w:r>
            <w:r w:rsidR="009A2EC4">
              <w:rPr>
                <w:rFonts w:eastAsiaTheme="minorEastAsia"/>
              </w:rPr>
              <w:t>5.5</w:t>
            </w:r>
            <w:r w:rsidR="00261596">
              <w:fldChar w:fldCharType="end"/>
            </w:r>
            <w:r w:rsidRPr="00E45508">
              <w:rPr>
                <w:rFonts w:eastAsiaTheme="minorEastAsia"/>
              </w:rPr>
              <w:t>) could further incentivise regulated entities to use recycled content in packaging at rates which exceed minimum thresholds</w:t>
            </w:r>
            <w:r w:rsidR="4ECB6923" w:rsidRPr="00E45508">
              <w:rPr>
                <w:rFonts w:eastAsiaTheme="minorEastAsia"/>
              </w:rPr>
              <w:t>.</w:t>
            </w:r>
          </w:p>
          <w:p w14:paraId="15CF3281" w14:textId="547566E1" w:rsidR="004F5B1B" w:rsidRPr="00E45508" w:rsidRDefault="008C7607" w:rsidP="00A95D11">
            <w:pPr>
              <w:pStyle w:val="Tabletext0"/>
              <w:cnfStyle w:val="000000100000" w:firstRow="0" w:lastRow="0" w:firstColumn="0" w:lastColumn="0" w:oddVBand="0" w:evenVBand="0" w:oddHBand="1" w:evenHBand="0" w:firstRowFirstColumn="0" w:firstRowLastColumn="0" w:lastRowFirstColumn="0" w:lastRowLastColumn="0"/>
              <w:rPr>
                <w:rFonts w:eastAsiaTheme="minorEastAsia"/>
              </w:rPr>
            </w:pPr>
            <w:r w:rsidRPr="00E45508">
              <w:rPr>
                <w:rFonts w:eastAsiaTheme="minorEastAsia"/>
              </w:rPr>
              <w:t xml:space="preserve">This </w:t>
            </w:r>
            <w:r w:rsidR="47E6A3C3" w:rsidRPr="00E45508">
              <w:rPr>
                <w:rFonts w:eastAsiaTheme="minorEastAsia"/>
              </w:rPr>
              <w:t>c</w:t>
            </w:r>
            <w:r w:rsidRPr="00E45508">
              <w:rPr>
                <w:rFonts w:eastAsiaTheme="minorEastAsia"/>
              </w:rPr>
              <w:t xml:space="preserve">ould support the creation of end markets enabled through mandatory recycled content regulation </w:t>
            </w:r>
            <w:r w:rsidR="1892B9CF" w:rsidRPr="00E45508">
              <w:rPr>
                <w:rFonts w:eastAsiaTheme="minorEastAsia"/>
              </w:rPr>
              <w:t>if</w:t>
            </w:r>
            <w:r w:rsidR="0B04D821" w:rsidRPr="00E45508">
              <w:rPr>
                <w:rFonts w:eastAsiaTheme="minorEastAsia"/>
              </w:rPr>
              <w:t xml:space="preserve"> fees could be used</w:t>
            </w:r>
            <w:r w:rsidRPr="00E45508">
              <w:rPr>
                <w:rFonts w:eastAsiaTheme="minorEastAsia"/>
              </w:rPr>
              <w:t xml:space="preserve"> could further support investment across the </w:t>
            </w:r>
            <w:r w:rsidRPr="00E45508" w:rsidDel="00EA798D">
              <w:rPr>
                <w:rFonts w:eastAsiaTheme="minorEastAsia"/>
              </w:rPr>
              <w:t>supply</w:t>
            </w:r>
            <w:r w:rsidRPr="00E45508">
              <w:rPr>
                <w:rFonts w:eastAsiaTheme="minorEastAsia"/>
              </w:rPr>
              <w:t xml:space="preserve"> chain, including in research and infrastructure that increases recycled content in products and the development of end markets.</w:t>
            </w:r>
          </w:p>
        </w:tc>
      </w:tr>
    </w:tbl>
    <w:p w14:paraId="42E90921" w14:textId="77777777" w:rsidR="00912A7E" w:rsidRPr="00E45508" w:rsidRDefault="00912A7E" w:rsidP="418DB322">
      <w:pPr>
        <w:rPr>
          <w:b/>
          <w:bCs/>
        </w:rPr>
      </w:pPr>
    </w:p>
    <w:p w14:paraId="2762C688" w14:textId="77FCE882" w:rsidR="415E5C36" w:rsidRPr="00E45508" w:rsidRDefault="00C06463" w:rsidP="00397A1A">
      <w:pPr>
        <w:pStyle w:val="Heading5"/>
        <w:rPr>
          <w:lang w:val="en-AU"/>
        </w:rPr>
      </w:pPr>
      <w:r w:rsidRPr="00E45508">
        <w:rPr>
          <w:lang w:val="en-AU"/>
        </w:rPr>
        <w:t xml:space="preserve">Proposed </w:t>
      </w:r>
      <w:r w:rsidR="00421651" w:rsidRPr="00E45508">
        <w:rPr>
          <w:lang w:val="en-AU"/>
        </w:rPr>
        <w:t>r</w:t>
      </w:r>
      <w:r w:rsidRPr="00E45508">
        <w:rPr>
          <w:lang w:val="en-AU"/>
        </w:rPr>
        <w:t xml:space="preserve">ecycled </w:t>
      </w:r>
      <w:r w:rsidR="00421651" w:rsidRPr="00E45508">
        <w:rPr>
          <w:lang w:val="en-AU"/>
        </w:rPr>
        <w:t>c</w:t>
      </w:r>
      <w:r w:rsidRPr="00E45508">
        <w:rPr>
          <w:lang w:val="en-AU"/>
        </w:rPr>
        <w:t xml:space="preserve">ontent </w:t>
      </w:r>
      <w:r w:rsidR="00421651" w:rsidRPr="00E45508">
        <w:rPr>
          <w:lang w:val="en-AU"/>
        </w:rPr>
        <w:t>t</w:t>
      </w:r>
      <w:r w:rsidR="415E5C36" w:rsidRPr="00E45508">
        <w:rPr>
          <w:lang w:val="en-AU"/>
        </w:rPr>
        <w:t>hresholds</w:t>
      </w:r>
      <w:r w:rsidRPr="00E45508">
        <w:rPr>
          <w:lang w:val="en-AU"/>
        </w:rPr>
        <w:t xml:space="preserve"> under </w:t>
      </w:r>
      <w:r w:rsidR="004E6CFB" w:rsidRPr="00E45508">
        <w:rPr>
          <w:lang w:val="en-AU"/>
        </w:rPr>
        <w:t>O</w:t>
      </w:r>
      <w:r w:rsidRPr="00E45508">
        <w:rPr>
          <w:lang w:val="en-AU"/>
        </w:rPr>
        <w:t>ptions</w:t>
      </w:r>
      <w:r w:rsidR="00421651" w:rsidRPr="00E45508">
        <w:rPr>
          <w:lang w:val="en-AU"/>
        </w:rPr>
        <w:t> 2</w:t>
      </w:r>
      <w:r w:rsidRPr="00E45508">
        <w:rPr>
          <w:lang w:val="en-AU"/>
        </w:rPr>
        <w:t xml:space="preserve"> and</w:t>
      </w:r>
      <w:r w:rsidR="00421651" w:rsidRPr="00E45508">
        <w:rPr>
          <w:lang w:val="en-AU"/>
        </w:rPr>
        <w:t> 3</w:t>
      </w:r>
    </w:p>
    <w:p w14:paraId="408720F4" w14:textId="250C346D" w:rsidR="415E5C36" w:rsidRPr="00E45508" w:rsidRDefault="0072763C" w:rsidP="008E1133">
      <w:r w:rsidRPr="00E45508">
        <w:fldChar w:fldCharType="begin"/>
      </w:r>
      <w:r w:rsidRPr="00E45508">
        <w:instrText xml:space="preserve"> REF _Ref177125947 \h </w:instrText>
      </w:r>
      <w:r w:rsidR="00115342" w:rsidRPr="00E45508">
        <w:instrText xml:space="preserve"> \* MERGEFORMAT </w:instrText>
      </w:r>
      <w:r w:rsidRPr="00E45508">
        <w:fldChar w:fldCharType="separate"/>
      </w:r>
      <w:r w:rsidR="009A2EC4" w:rsidRPr="00E45508">
        <w:t xml:space="preserve">Table </w:t>
      </w:r>
      <w:r w:rsidR="009A2EC4">
        <w:rPr>
          <w:noProof/>
        </w:rPr>
        <w:t>17</w:t>
      </w:r>
      <w:r w:rsidRPr="00E45508">
        <w:fldChar w:fldCharType="end"/>
      </w:r>
      <w:r w:rsidRPr="00E45508">
        <w:t xml:space="preserve"> </w:t>
      </w:r>
      <w:r w:rsidR="415E5C36" w:rsidRPr="00E45508">
        <w:t xml:space="preserve">outlines </w:t>
      </w:r>
      <w:r w:rsidR="00775526" w:rsidRPr="00E45508">
        <w:t>proposed</w:t>
      </w:r>
      <w:r w:rsidR="415E5C36" w:rsidRPr="00E45508">
        <w:t xml:space="preserve"> minimum recycled content thresholds for various packaging materials and polymers by year and by application (food grade and non-food grade applications)</w:t>
      </w:r>
      <w:r w:rsidR="00E50807" w:rsidRPr="00E45508">
        <w:t>,</w:t>
      </w:r>
      <w:r w:rsidR="000A4661">
        <w:t xml:space="preserve"> </w:t>
      </w:r>
      <w:r w:rsidR="00E50807" w:rsidRPr="00E45508">
        <w:t>subject to consul</w:t>
      </w:r>
      <w:r w:rsidR="005C7135" w:rsidRPr="00E45508">
        <w:t>tation</w:t>
      </w:r>
      <w:r w:rsidR="415E5C36" w:rsidRPr="00E45508">
        <w:t>.</w:t>
      </w:r>
    </w:p>
    <w:p w14:paraId="4633A10C" w14:textId="751A6A95" w:rsidR="415E5C36" w:rsidRPr="00E45508" w:rsidRDefault="415E5C36" w:rsidP="00115342">
      <w:r w:rsidRPr="00E45508">
        <w:t>The thresholds in years</w:t>
      </w:r>
      <w:r w:rsidR="00421651" w:rsidRPr="00E45508">
        <w:t> 1</w:t>
      </w:r>
      <w:r w:rsidRPr="00E45508">
        <w:t xml:space="preserve"> and</w:t>
      </w:r>
      <w:r w:rsidR="00421651" w:rsidRPr="00E45508">
        <w:t> 3</w:t>
      </w:r>
      <w:r w:rsidRPr="00E45508">
        <w:t xml:space="preserve"> following implementation are based on the existing</w:t>
      </w:r>
      <w:r w:rsidR="00B511CF" w:rsidRPr="00E45508">
        <w:t xml:space="preserve"> </w:t>
      </w:r>
      <w:r w:rsidR="00596022" w:rsidRPr="00E45508">
        <w:t>NPTs</w:t>
      </w:r>
      <w:r w:rsidR="00A242A3" w:rsidRPr="00E45508">
        <w:t xml:space="preserve"> (see </w:t>
      </w:r>
      <w:r w:rsidR="00A242A3" w:rsidRPr="00E45508">
        <w:fldChar w:fldCharType="begin"/>
      </w:r>
      <w:r w:rsidR="00A242A3" w:rsidRPr="00E45508">
        <w:instrText xml:space="preserve"> REF _Ref177644804 \h </w:instrText>
      </w:r>
      <w:r w:rsidR="00A242A3" w:rsidRPr="00E45508">
        <w:fldChar w:fldCharType="separate"/>
      </w:r>
      <w:r w:rsidR="009A2EC4" w:rsidRPr="00E45508">
        <w:t xml:space="preserve">Table </w:t>
      </w:r>
      <w:r w:rsidR="009A2EC4">
        <w:rPr>
          <w:noProof/>
        </w:rPr>
        <w:t>18</w:t>
      </w:r>
      <w:r w:rsidR="00A242A3" w:rsidRPr="00E45508">
        <w:fldChar w:fldCharType="end"/>
      </w:r>
      <w:r w:rsidR="00C01141">
        <w:t>)</w:t>
      </w:r>
      <w:r w:rsidRPr="00E45508">
        <w:t>. The thresholds then aim to drive performance beyond the</w:t>
      </w:r>
      <w:r w:rsidR="00421651" w:rsidRPr="00E45508">
        <w:t> 2</w:t>
      </w:r>
      <w:r w:rsidRPr="00E45508">
        <w:t>025 recycled content targets and towards better practice over the longer term. The thresholds increase in future years to align with proposed requirements in the European Union's Packaging and Packaging Waste Regulation (PPWR)</w:t>
      </w:r>
      <w:r w:rsidR="00F63218" w:rsidRPr="00E45508">
        <w:t xml:space="preserve"> </w:t>
      </w:r>
      <w:r w:rsidR="008672DA" w:rsidRPr="00E45508">
        <w:t xml:space="preserve">provided at </w:t>
      </w:r>
      <w:r w:rsidR="008672DA" w:rsidRPr="00E45508">
        <w:fldChar w:fldCharType="begin"/>
      </w:r>
      <w:r w:rsidR="008672DA" w:rsidRPr="00E45508">
        <w:instrText xml:space="preserve"> REF _Ref177645505 \h </w:instrText>
      </w:r>
      <w:r w:rsidR="008672DA" w:rsidRPr="00E45508">
        <w:fldChar w:fldCharType="separate"/>
      </w:r>
      <w:r w:rsidR="009A2EC4" w:rsidRPr="00E45508">
        <w:t xml:space="preserve">Table </w:t>
      </w:r>
      <w:r w:rsidR="009A2EC4">
        <w:rPr>
          <w:noProof/>
        </w:rPr>
        <w:t>19</w:t>
      </w:r>
      <w:r w:rsidR="008672DA" w:rsidRPr="00E45508">
        <w:fldChar w:fldCharType="end"/>
      </w:r>
      <w:r w:rsidR="008672DA" w:rsidRPr="00E45508">
        <w:t xml:space="preserve"> </w:t>
      </w:r>
      <w:r w:rsidR="00F63218" w:rsidRPr="00E45508">
        <w:t>(E</w:t>
      </w:r>
      <w:r w:rsidR="00BA7649" w:rsidRPr="00E45508">
        <w:t>uropean Parliament</w:t>
      </w:r>
      <w:r w:rsidR="00421651" w:rsidRPr="00E45508">
        <w:t> 2</w:t>
      </w:r>
      <w:r w:rsidR="00F63218" w:rsidRPr="00E45508">
        <w:t>024)</w:t>
      </w:r>
      <w:r w:rsidRPr="00E45508">
        <w:t>.</w:t>
      </w:r>
    </w:p>
    <w:p w14:paraId="0FCD75B7" w14:textId="686553C3" w:rsidR="009C637E" w:rsidRPr="00E45508" w:rsidRDefault="009C637E" w:rsidP="00115342">
      <w:r w:rsidRPr="00E45508">
        <w:t xml:space="preserve">A phased approach to implementing </w:t>
      </w:r>
      <w:r w:rsidR="00FD0776" w:rsidRPr="00E45508">
        <w:t>minimu</w:t>
      </w:r>
      <w:r w:rsidRPr="00E45508">
        <w:t xml:space="preserve">m recycled content thresholds would allow the market to adjust, enabling </w:t>
      </w:r>
      <w:r w:rsidR="002A62D2" w:rsidRPr="00E45508">
        <w:t>regulated entities</w:t>
      </w:r>
      <w:r w:rsidRPr="00E45508">
        <w:t xml:space="preserve"> to </w:t>
      </w:r>
      <w:r w:rsidR="00D31153" w:rsidRPr="00E45508">
        <w:t xml:space="preserve">test and </w:t>
      </w:r>
      <w:r w:rsidRPr="00E45508">
        <w:t>modify packaging design and supplier contracts</w:t>
      </w:r>
      <w:r w:rsidR="00D31153" w:rsidRPr="00E45508">
        <w:t xml:space="preserve"> and invest in new manufacturing equipment</w:t>
      </w:r>
      <w:r w:rsidR="00077393" w:rsidRPr="00E45508">
        <w:t xml:space="preserve"> where needed</w:t>
      </w:r>
      <w:r w:rsidRPr="00E45508">
        <w:t>. Additionally, recyclers and material reprocessors could prepare to meet increased demand for recycled materials.</w:t>
      </w:r>
    </w:p>
    <w:p w14:paraId="7EC7B1C4" w14:textId="7D63F5F8" w:rsidR="415E5C36" w:rsidRPr="00E45508" w:rsidRDefault="415E5C36" w:rsidP="00115342">
      <w:r w:rsidRPr="00E45508">
        <w:t>The thresholds for</w:t>
      </w:r>
      <w:r w:rsidR="00421651" w:rsidRPr="00E45508">
        <w:t> 2</w:t>
      </w:r>
      <w:r w:rsidRPr="00E45508">
        <w:t>035 and</w:t>
      </w:r>
      <w:r w:rsidR="00421651" w:rsidRPr="00E45508">
        <w:t> 2</w:t>
      </w:r>
      <w:r w:rsidRPr="00E45508">
        <w:t>040 are indicative only, informed by APCO’s report (2024</w:t>
      </w:r>
      <w:r w:rsidR="003625ED">
        <w:t>c</w:t>
      </w:r>
      <w:r w:rsidRPr="00E45508">
        <w:t xml:space="preserve">) which suggests what may be achievable. These will be refined through consultation </w:t>
      </w:r>
      <w:r w:rsidR="009D4594" w:rsidRPr="00E45508">
        <w:t>processes and</w:t>
      </w:r>
      <w:r w:rsidRPr="00E45508">
        <w:t xml:space="preserve"> would require periodic review and potential adjustments.</w:t>
      </w:r>
    </w:p>
    <w:p w14:paraId="6C7F9455" w14:textId="53CFDAD6" w:rsidR="415E5C36" w:rsidRPr="00E45508" w:rsidRDefault="00496474" w:rsidP="00C915A5">
      <w:pPr>
        <w:pStyle w:val="Caption"/>
      </w:pPr>
      <w:bookmarkStart w:id="196" w:name="_Ref177125947"/>
      <w:bookmarkStart w:id="197" w:name="_Ref177126060"/>
      <w:bookmarkStart w:id="198" w:name="_Toc177126680"/>
      <w:bookmarkStart w:id="199" w:name="_Ref177990750"/>
      <w:bookmarkStart w:id="200" w:name="_Ref177990790"/>
      <w:bookmarkStart w:id="201" w:name="_Toc178229380"/>
      <w:r w:rsidRPr="00E45508">
        <w:t xml:space="preserve">Table </w:t>
      </w:r>
      <w:r w:rsidRPr="00E45508">
        <w:fldChar w:fldCharType="begin"/>
      </w:r>
      <w:r w:rsidRPr="00E45508">
        <w:instrText xml:space="preserve"> SEQ Table \* ARABIC </w:instrText>
      </w:r>
      <w:r w:rsidRPr="00E45508">
        <w:fldChar w:fldCharType="separate"/>
      </w:r>
      <w:r w:rsidR="009A2EC4">
        <w:rPr>
          <w:noProof/>
        </w:rPr>
        <w:t>17</w:t>
      </w:r>
      <w:r w:rsidRPr="00E45508">
        <w:fldChar w:fldCharType="end"/>
      </w:r>
      <w:bookmarkEnd w:id="196"/>
      <w:r w:rsidR="415E5C36" w:rsidRPr="00E45508">
        <w:t xml:space="preserve">: </w:t>
      </w:r>
      <w:r w:rsidR="00FD4BAA" w:rsidRPr="00E45508">
        <w:t>Proposed</w:t>
      </w:r>
      <w:r w:rsidR="415E5C36" w:rsidRPr="00E45508">
        <w:t xml:space="preserve"> minimum post-consumer recycled content </w:t>
      </w:r>
      <w:bookmarkEnd w:id="197"/>
      <w:bookmarkEnd w:id="198"/>
      <w:r w:rsidR="00B42365" w:rsidRPr="00E45508">
        <w:t>thresholds</w:t>
      </w:r>
      <w:bookmarkEnd w:id="199"/>
      <w:bookmarkEnd w:id="200"/>
      <w:bookmarkEnd w:id="201"/>
    </w:p>
    <w:tbl>
      <w:tblPr>
        <w:tblStyle w:val="PlainTable2"/>
        <w:tblW w:w="0" w:type="auto"/>
        <w:tblLook w:val="04A0" w:firstRow="1" w:lastRow="0" w:firstColumn="1" w:lastColumn="0" w:noHBand="0" w:noVBand="1"/>
      </w:tblPr>
      <w:tblGrid>
        <w:gridCol w:w="1764"/>
        <w:gridCol w:w="2467"/>
        <w:gridCol w:w="1053"/>
        <w:gridCol w:w="1053"/>
        <w:gridCol w:w="1037"/>
        <w:gridCol w:w="1100"/>
      </w:tblGrid>
      <w:tr w:rsidR="00775526" w:rsidRPr="00E45508" w14:paraId="31D621CA" w14:textId="77777777" w:rsidTr="004614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59F5F0E" w14:textId="77777777" w:rsidR="00775526" w:rsidRPr="00E45508" w:rsidRDefault="00775526" w:rsidP="00775526">
            <w:pPr>
              <w:pStyle w:val="Tabletext0"/>
            </w:pPr>
            <w:r w:rsidRPr="00E45508">
              <w:t>Material</w:t>
            </w:r>
          </w:p>
        </w:tc>
        <w:tc>
          <w:tcPr>
            <w:tcW w:w="0" w:type="auto"/>
          </w:tcPr>
          <w:p w14:paraId="0E0E75A1" w14:textId="5FD083C1" w:rsidR="00775526" w:rsidRPr="00E45508" w:rsidRDefault="00775526" w:rsidP="00775526">
            <w:pPr>
              <w:pStyle w:val="Tabletext0"/>
              <w:cnfStyle w:val="100000000000" w:firstRow="1" w:lastRow="0" w:firstColumn="0" w:lastColumn="0" w:oddVBand="0" w:evenVBand="0" w:oddHBand="0" w:evenHBand="0" w:firstRowFirstColumn="0" w:firstRowLastColumn="0" w:lastRowFirstColumn="0" w:lastRowLastColumn="0"/>
            </w:pPr>
            <w:r w:rsidRPr="00E45508">
              <w:t>Category</w:t>
            </w:r>
            <w:r w:rsidR="00664CD5" w:rsidRPr="00E45508">
              <w:t xml:space="preserve"> and </w:t>
            </w:r>
            <w:r w:rsidR="00A242A3" w:rsidRPr="00E45508">
              <w:t>application</w:t>
            </w:r>
          </w:p>
        </w:tc>
        <w:tc>
          <w:tcPr>
            <w:tcW w:w="0" w:type="auto"/>
          </w:tcPr>
          <w:p w14:paraId="5BC35749" w14:textId="382AC7B5" w:rsidR="00775526" w:rsidRPr="00E45508" w:rsidRDefault="00775526" w:rsidP="00775526">
            <w:pPr>
              <w:pStyle w:val="Tabletext0"/>
              <w:cnfStyle w:val="100000000000" w:firstRow="1" w:lastRow="0" w:firstColumn="0" w:lastColumn="0" w:oddVBand="0" w:evenVBand="0" w:oddHBand="0" w:evenHBand="0" w:firstRowFirstColumn="0" w:firstRowLastColumn="0" w:lastRowFirstColumn="0" w:lastRowLastColumn="0"/>
            </w:pPr>
            <w:r w:rsidRPr="00E45508">
              <w:t>Year 1 (%)</w:t>
            </w:r>
          </w:p>
        </w:tc>
        <w:tc>
          <w:tcPr>
            <w:tcW w:w="0" w:type="auto"/>
          </w:tcPr>
          <w:p w14:paraId="6FF87564" w14:textId="5C3C4BB6" w:rsidR="00775526" w:rsidRPr="00E45508" w:rsidRDefault="00775526" w:rsidP="00775526">
            <w:pPr>
              <w:pStyle w:val="Tabletext0"/>
              <w:cnfStyle w:val="100000000000" w:firstRow="1" w:lastRow="0" w:firstColumn="0" w:lastColumn="0" w:oddVBand="0" w:evenVBand="0" w:oddHBand="0" w:evenHBand="0" w:firstRowFirstColumn="0" w:firstRowLastColumn="0" w:lastRowFirstColumn="0" w:lastRowLastColumn="0"/>
            </w:pPr>
            <w:r w:rsidRPr="00E45508">
              <w:t>Year 3 (%)</w:t>
            </w:r>
          </w:p>
        </w:tc>
        <w:tc>
          <w:tcPr>
            <w:tcW w:w="0" w:type="auto"/>
          </w:tcPr>
          <w:p w14:paraId="29BC706B" w14:textId="3BE59434" w:rsidR="00775526" w:rsidRPr="00E45508" w:rsidRDefault="00775526" w:rsidP="00775526">
            <w:pPr>
              <w:pStyle w:val="Tabletext0"/>
              <w:cnfStyle w:val="100000000000" w:firstRow="1" w:lastRow="0" w:firstColumn="0" w:lastColumn="0" w:oddVBand="0" w:evenVBand="0" w:oddHBand="0" w:evenHBand="0" w:firstRowFirstColumn="0" w:firstRowLastColumn="0" w:lastRowFirstColumn="0" w:lastRowLastColumn="0"/>
            </w:pPr>
            <w:r w:rsidRPr="00E45508">
              <w:t>2035</w:t>
            </w:r>
            <w:r w:rsidR="00161791" w:rsidRPr="00E45508">
              <w:t>*</w:t>
            </w:r>
            <w:r w:rsidRPr="00E45508">
              <w:t xml:space="preserve"> (%)</w:t>
            </w:r>
          </w:p>
        </w:tc>
        <w:tc>
          <w:tcPr>
            <w:tcW w:w="0" w:type="auto"/>
          </w:tcPr>
          <w:p w14:paraId="3D3192B6" w14:textId="7F868C67" w:rsidR="00775526" w:rsidRPr="00E45508" w:rsidRDefault="00775526" w:rsidP="00775526">
            <w:pPr>
              <w:pStyle w:val="Tabletext0"/>
              <w:cnfStyle w:val="100000000000" w:firstRow="1" w:lastRow="0" w:firstColumn="0" w:lastColumn="0" w:oddVBand="0" w:evenVBand="0" w:oddHBand="0" w:evenHBand="0" w:firstRowFirstColumn="0" w:firstRowLastColumn="0" w:lastRowFirstColumn="0" w:lastRowLastColumn="0"/>
            </w:pPr>
            <w:r w:rsidRPr="00E45508">
              <w:t>2040</w:t>
            </w:r>
            <w:r w:rsidR="00161791" w:rsidRPr="00E45508">
              <w:t>)*</w:t>
            </w:r>
            <w:r w:rsidRPr="00E45508">
              <w:t xml:space="preserve"> (%)</w:t>
            </w:r>
          </w:p>
        </w:tc>
      </w:tr>
      <w:tr w:rsidR="00775526" w:rsidRPr="00E45508" w14:paraId="494798E3" w14:textId="77777777" w:rsidTr="004614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EDB1BC5" w14:textId="77777777" w:rsidR="00775526" w:rsidRPr="00E45508" w:rsidRDefault="00775526" w:rsidP="00775526">
            <w:pPr>
              <w:pStyle w:val="Tabletext0"/>
            </w:pPr>
            <w:r w:rsidRPr="00E45508">
              <w:t>Plastic</w:t>
            </w:r>
          </w:p>
        </w:tc>
        <w:tc>
          <w:tcPr>
            <w:tcW w:w="0" w:type="auto"/>
          </w:tcPr>
          <w:p w14:paraId="36C54928" w14:textId="77777777" w:rsidR="00775526" w:rsidRPr="00E45508" w:rsidRDefault="00775526" w:rsidP="00775526">
            <w:pPr>
              <w:pStyle w:val="Tabletext0"/>
              <w:cnfStyle w:val="000000100000" w:firstRow="0" w:lastRow="0" w:firstColumn="0" w:lastColumn="0" w:oddVBand="0" w:evenVBand="0" w:oddHBand="1" w:evenHBand="0" w:firstRowFirstColumn="0" w:firstRowLastColumn="0" w:lastRowFirstColumn="0" w:lastRowLastColumn="0"/>
            </w:pPr>
            <w:r w:rsidRPr="00E45508">
              <w:t>PET: non-food grade</w:t>
            </w:r>
          </w:p>
        </w:tc>
        <w:tc>
          <w:tcPr>
            <w:tcW w:w="0" w:type="auto"/>
          </w:tcPr>
          <w:p w14:paraId="49944F49"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30</w:t>
            </w:r>
          </w:p>
        </w:tc>
        <w:tc>
          <w:tcPr>
            <w:tcW w:w="0" w:type="auto"/>
          </w:tcPr>
          <w:p w14:paraId="59B26F7F"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35</w:t>
            </w:r>
          </w:p>
        </w:tc>
        <w:tc>
          <w:tcPr>
            <w:tcW w:w="0" w:type="auto"/>
          </w:tcPr>
          <w:p w14:paraId="2D6C3C05"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45</w:t>
            </w:r>
          </w:p>
        </w:tc>
        <w:tc>
          <w:tcPr>
            <w:tcW w:w="0" w:type="auto"/>
          </w:tcPr>
          <w:p w14:paraId="2C476056"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65</w:t>
            </w:r>
          </w:p>
        </w:tc>
      </w:tr>
      <w:tr w:rsidR="00775526" w:rsidRPr="00E45508" w14:paraId="60A50132" w14:textId="77777777" w:rsidTr="00461470">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5AC1078B" w14:textId="77777777" w:rsidR="00775526" w:rsidRPr="00E45508" w:rsidRDefault="00775526" w:rsidP="00775526">
            <w:pPr>
              <w:pStyle w:val="Tabletext0"/>
            </w:pPr>
          </w:p>
        </w:tc>
        <w:tc>
          <w:tcPr>
            <w:tcW w:w="0" w:type="auto"/>
          </w:tcPr>
          <w:p w14:paraId="3A4B397C" w14:textId="77777777" w:rsidR="00775526" w:rsidRPr="00E45508" w:rsidRDefault="00775526" w:rsidP="00775526">
            <w:pPr>
              <w:pStyle w:val="Tabletext0"/>
              <w:cnfStyle w:val="000000000000" w:firstRow="0" w:lastRow="0" w:firstColumn="0" w:lastColumn="0" w:oddVBand="0" w:evenVBand="0" w:oddHBand="0" w:evenHBand="0" w:firstRowFirstColumn="0" w:firstRowLastColumn="0" w:lastRowFirstColumn="0" w:lastRowLastColumn="0"/>
            </w:pPr>
            <w:r w:rsidRPr="00E45508">
              <w:t>PET: food grade</w:t>
            </w:r>
          </w:p>
        </w:tc>
        <w:tc>
          <w:tcPr>
            <w:tcW w:w="0" w:type="auto"/>
          </w:tcPr>
          <w:p w14:paraId="72E929A7"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0" w:type="auto"/>
          </w:tcPr>
          <w:p w14:paraId="75EFE32D"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30</w:t>
            </w:r>
          </w:p>
        </w:tc>
        <w:tc>
          <w:tcPr>
            <w:tcW w:w="0" w:type="auto"/>
          </w:tcPr>
          <w:p w14:paraId="0EEB2AC3"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40</w:t>
            </w:r>
          </w:p>
        </w:tc>
        <w:tc>
          <w:tcPr>
            <w:tcW w:w="0" w:type="auto"/>
          </w:tcPr>
          <w:p w14:paraId="6ED44697"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50</w:t>
            </w:r>
          </w:p>
        </w:tc>
      </w:tr>
      <w:tr w:rsidR="00775526" w:rsidRPr="00E45508" w14:paraId="5D78740A" w14:textId="77777777" w:rsidTr="004614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352BBC32" w14:textId="77777777" w:rsidR="00775526" w:rsidRPr="00E45508" w:rsidRDefault="00775526" w:rsidP="00775526">
            <w:pPr>
              <w:pStyle w:val="Tabletext0"/>
            </w:pPr>
          </w:p>
        </w:tc>
        <w:tc>
          <w:tcPr>
            <w:tcW w:w="0" w:type="auto"/>
          </w:tcPr>
          <w:p w14:paraId="69DFAC9E" w14:textId="77777777" w:rsidR="00775526" w:rsidRPr="00E45508" w:rsidRDefault="00775526" w:rsidP="00775526">
            <w:pPr>
              <w:pStyle w:val="Tabletext0"/>
              <w:cnfStyle w:val="000000100000" w:firstRow="0" w:lastRow="0" w:firstColumn="0" w:lastColumn="0" w:oddVBand="0" w:evenVBand="0" w:oddHBand="1" w:evenHBand="0" w:firstRowFirstColumn="0" w:firstRowLastColumn="0" w:lastRowFirstColumn="0" w:lastRowLastColumn="0"/>
            </w:pPr>
            <w:r w:rsidRPr="00E45508">
              <w:t>HDPE: non-food grade</w:t>
            </w:r>
          </w:p>
        </w:tc>
        <w:tc>
          <w:tcPr>
            <w:tcW w:w="0" w:type="auto"/>
          </w:tcPr>
          <w:p w14:paraId="44EE1D2A"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20</w:t>
            </w:r>
          </w:p>
        </w:tc>
        <w:tc>
          <w:tcPr>
            <w:tcW w:w="0" w:type="auto"/>
          </w:tcPr>
          <w:p w14:paraId="7DE1A015"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35</w:t>
            </w:r>
          </w:p>
        </w:tc>
        <w:tc>
          <w:tcPr>
            <w:tcW w:w="0" w:type="auto"/>
          </w:tcPr>
          <w:p w14:paraId="53C73EF0"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45</w:t>
            </w:r>
          </w:p>
        </w:tc>
        <w:tc>
          <w:tcPr>
            <w:tcW w:w="0" w:type="auto"/>
          </w:tcPr>
          <w:p w14:paraId="1DC65A07"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65</w:t>
            </w:r>
          </w:p>
        </w:tc>
      </w:tr>
      <w:tr w:rsidR="00775526" w:rsidRPr="00E45508" w14:paraId="6D749FF1" w14:textId="77777777" w:rsidTr="00461470">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710897FE" w14:textId="77777777" w:rsidR="00775526" w:rsidRPr="00E45508" w:rsidRDefault="00775526" w:rsidP="00775526">
            <w:pPr>
              <w:pStyle w:val="Tabletext0"/>
            </w:pPr>
          </w:p>
        </w:tc>
        <w:tc>
          <w:tcPr>
            <w:tcW w:w="0" w:type="auto"/>
          </w:tcPr>
          <w:p w14:paraId="71BBEED8" w14:textId="77777777" w:rsidR="00775526" w:rsidRPr="00E45508" w:rsidRDefault="00775526" w:rsidP="00775526">
            <w:pPr>
              <w:pStyle w:val="Tabletext0"/>
              <w:cnfStyle w:val="000000000000" w:firstRow="0" w:lastRow="0" w:firstColumn="0" w:lastColumn="0" w:oddVBand="0" w:evenVBand="0" w:oddHBand="0" w:evenHBand="0" w:firstRowFirstColumn="0" w:firstRowLastColumn="0" w:lastRowFirstColumn="0" w:lastRowLastColumn="0"/>
            </w:pPr>
            <w:r w:rsidRPr="00E45508">
              <w:t>HDPE: food grade</w:t>
            </w:r>
          </w:p>
        </w:tc>
        <w:tc>
          <w:tcPr>
            <w:tcW w:w="0" w:type="auto"/>
          </w:tcPr>
          <w:p w14:paraId="51C6D32C"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0" w:type="auto"/>
          </w:tcPr>
          <w:p w14:paraId="53A01ED1"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10</w:t>
            </w:r>
          </w:p>
        </w:tc>
        <w:tc>
          <w:tcPr>
            <w:tcW w:w="0" w:type="auto"/>
          </w:tcPr>
          <w:p w14:paraId="40CB1DFA"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15</w:t>
            </w:r>
          </w:p>
        </w:tc>
        <w:tc>
          <w:tcPr>
            <w:tcW w:w="0" w:type="auto"/>
          </w:tcPr>
          <w:p w14:paraId="4B49E8CB"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25</w:t>
            </w:r>
          </w:p>
        </w:tc>
      </w:tr>
      <w:tr w:rsidR="00775526" w:rsidRPr="00E45508" w14:paraId="4230762F" w14:textId="77777777" w:rsidTr="0046147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vMerge/>
          </w:tcPr>
          <w:p w14:paraId="2E28C57B" w14:textId="77777777" w:rsidR="00775526" w:rsidRPr="00E45508" w:rsidRDefault="00775526" w:rsidP="00775526">
            <w:pPr>
              <w:pStyle w:val="Tabletext0"/>
            </w:pPr>
          </w:p>
        </w:tc>
        <w:tc>
          <w:tcPr>
            <w:tcW w:w="0" w:type="auto"/>
          </w:tcPr>
          <w:p w14:paraId="6D2CCCEF" w14:textId="77777777" w:rsidR="00775526" w:rsidRPr="00E45508" w:rsidRDefault="00775526" w:rsidP="00775526">
            <w:pPr>
              <w:pStyle w:val="Tabletext0"/>
              <w:cnfStyle w:val="000000100000" w:firstRow="0" w:lastRow="0" w:firstColumn="0" w:lastColumn="0" w:oddVBand="0" w:evenVBand="0" w:oddHBand="1" w:evenHBand="0" w:firstRowFirstColumn="0" w:firstRowLastColumn="0" w:lastRowFirstColumn="0" w:lastRowLastColumn="0"/>
            </w:pPr>
            <w:r w:rsidRPr="00E45508">
              <w:t>LDPE: non-food grade</w:t>
            </w:r>
          </w:p>
        </w:tc>
        <w:tc>
          <w:tcPr>
            <w:tcW w:w="0" w:type="auto"/>
          </w:tcPr>
          <w:p w14:paraId="6ABED113"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10</w:t>
            </w:r>
          </w:p>
        </w:tc>
        <w:tc>
          <w:tcPr>
            <w:tcW w:w="0" w:type="auto"/>
          </w:tcPr>
          <w:p w14:paraId="3567C79B"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35</w:t>
            </w:r>
          </w:p>
        </w:tc>
        <w:tc>
          <w:tcPr>
            <w:tcW w:w="0" w:type="auto"/>
          </w:tcPr>
          <w:p w14:paraId="696148E4"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45</w:t>
            </w:r>
          </w:p>
        </w:tc>
        <w:tc>
          <w:tcPr>
            <w:tcW w:w="0" w:type="auto"/>
          </w:tcPr>
          <w:p w14:paraId="54364CE3"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65</w:t>
            </w:r>
          </w:p>
        </w:tc>
      </w:tr>
      <w:tr w:rsidR="00775526" w:rsidRPr="00E45508" w14:paraId="424D00E8" w14:textId="77777777" w:rsidTr="00461470">
        <w:trPr>
          <w:trHeight w:val="540"/>
        </w:trPr>
        <w:tc>
          <w:tcPr>
            <w:cnfStyle w:val="001000000000" w:firstRow="0" w:lastRow="0" w:firstColumn="1" w:lastColumn="0" w:oddVBand="0" w:evenVBand="0" w:oddHBand="0" w:evenHBand="0" w:firstRowFirstColumn="0" w:firstRowLastColumn="0" w:lastRowFirstColumn="0" w:lastRowLastColumn="0"/>
            <w:tcW w:w="0" w:type="auto"/>
            <w:vMerge/>
          </w:tcPr>
          <w:p w14:paraId="5832BB1F" w14:textId="77777777" w:rsidR="00775526" w:rsidRPr="00E45508" w:rsidRDefault="00775526" w:rsidP="00775526">
            <w:pPr>
              <w:pStyle w:val="Tabletext0"/>
            </w:pPr>
          </w:p>
        </w:tc>
        <w:tc>
          <w:tcPr>
            <w:tcW w:w="0" w:type="auto"/>
          </w:tcPr>
          <w:p w14:paraId="2D416A22" w14:textId="77777777" w:rsidR="00775526" w:rsidRPr="00E45508" w:rsidRDefault="00775526" w:rsidP="00775526">
            <w:pPr>
              <w:pStyle w:val="Tabletext0"/>
              <w:cnfStyle w:val="000000000000" w:firstRow="0" w:lastRow="0" w:firstColumn="0" w:lastColumn="0" w:oddVBand="0" w:evenVBand="0" w:oddHBand="0" w:evenHBand="0" w:firstRowFirstColumn="0" w:firstRowLastColumn="0" w:lastRowFirstColumn="0" w:lastRowLastColumn="0"/>
            </w:pPr>
            <w:r w:rsidRPr="00E45508">
              <w:t>LDPE: food grade</w:t>
            </w:r>
          </w:p>
        </w:tc>
        <w:tc>
          <w:tcPr>
            <w:tcW w:w="0" w:type="auto"/>
          </w:tcPr>
          <w:p w14:paraId="419153F9"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0" w:type="auto"/>
          </w:tcPr>
          <w:p w14:paraId="7F4F4514"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10</w:t>
            </w:r>
          </w:p>
        </w:tc>
        <w:tc>
          <w:tcPr>
            <w:tcW w:w="0" w:type="auto"/>
          </w:tcPr>
          <w:p w14:paraId="1F1A175D"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15</w:t>
            </w:r>
          </w:p>
        </w:tc>
        <w:tc>
          <w:tcPr>
            <w:tcW w:w="0" w:type="auto"/>
          </w:tcPr>
          <w:p w14:paraId="46FF1171"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25</w:t>
            </w:r>
          </w:p>
        </w:tc>
      </w:tr>
      <w:tr w:rsidR="00775526" w:rsidRPr="00E45508" w14:paraId="1F278D32" w14:textId="77777777" w:rsidTr="0046147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vMerge/>
          </w:tcPr>
          <w:p w14:paraId="1F288A7E" w14:textId="77777777" w:rsidR="00775526" w:rsidRPr="00E45508" w:rsidRDefault="00775526" w:rsidP="00775526">
            <w:pPr>
              <w:pStyle w:val="Tabletext0"/>
            </w:pPr>
          </w:p>
        </w:tc>
        <w:tc>
          <w:tcPr>
            <w:tcW w:w="0" w:type="auto"/>
          </w:tcPr>
          <w:p w14:paraId="7155BED0" w14:textId="77777777" w:rsidR="00775526" w:rsidRPr="00E45508" w:rsidRDefault="00775526" w:rsidP="00775526">
            <w:pPr>
              <w:pStyle w:val="Tabletext0"/>
              <w:cnfStyle w:val="000000100000" w:firstRow="0" w:lastRow="0" w:firstColumn="0" w:lastColumn="0" w:oddVBand="0" w:evenVBand="0" w:oddHBand="1" w:evenHBand="0" w:firstRowFirstColumn="0" w:firstRowLastColumn="0" w:lastRowFirstColumn="0" w:lastRowLastColumn="0"/>
            </w:pPr>
            <w:r w:rsidRPr="00E45508">
              <w:t>PP: non-food grade</w:t>
            </w:r>
          </w:p>
        </w:tc>
        <w:tc>
          <w:tcPr>
            <w:tcW w:w="0" w:type="auto"/>
          </w:tcPr>
          <w:p w14:paraId="018636DD"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20</w:t>
            </w:r>
          </w:p>
        </w:tc>
        <w:tc>
          <w:tcPr>
            <w:tcW w:w="0" w:type="auto"/>
          </w:tcPr>
          <w:p w14:paraId="14F37529"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35</w:t>
            </w:r>
          </w:p>
        </w:tc>
        <w:tc>
          <w:tcPr>
            <w:tcW w:w="0" w:type="auto"/>
          </w:tcPr>
          <w:p w14:paraId="5AE25433"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45</w:t>
            </w:r>
          </w:p>
        </w:tc>
        <w:tc>
          <w:tcPr>
            <w:tcW w:w="0" w:type="auto"/>
          </w:tcPr>
          <w:p w14:paraId="37C5179C"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65</w:t>
            </w:r>
          </w:p>
        </w:tc>
      </w:tr>
      <w:tr w:rsidR="00775526" w:rsidRPr="00E45508" w14:paraId="5006E3B0" w14:textId="77777777" w:rsidTr="00461470">
        <w:trPr>
          <w:trHeight w:val="540"/>
        </w:trPr>
        <w:tc>
          <w:tcPr>
            <w:cnfStyle w:val="001000000000" w:firstRow="0" w:lastRow="0" w:firstColumn="1" w:lastColumn="0" w:oddVBand="0" w:evenVBand="0" w:oddHBand="0" w:evenHBand="0" w:firstRowFirstColumn="0" w:firstRowLastColumn="0" w:lastRowFirstColumn="0" w:lastRowLastColumn="0"/>
            <w:tcW w:w="0" w:type="auto"/>
            <w:vMerge/>
          </w:tcPr>
          <w:p w14:paraId="4B60829E" w14:textId="77777777" w:rsidR="00775526" w:rsidRPr="00E45508" w:rsidRDefault="00775526" w:rsidP="00775526">
            <w:pPr>
              <w:pStyle w:val="Tabletext0"/>
            </w:pPr>
          </w:p>
        </w:tc>
        <w:tc>
          <w:tcPr>
            <w:tcW w:w="0" w:type="auto"/>
          </w:tcPr>
          <w:p w14:paraId="507FBDDD" w14:textId="77777777" w:rsidR="00775526" w:rsidRPr="00E45508" w:rsidRDefault="00775526" w:rsidP="00775526">
            <w:pPr>
              <w:pStyle w:val="Tabletext0"/>
              <w:cnfStyle w:val="000000000000" w:firstRow="0" w:lastRow="0" w:firstColumn="0" w:lastColumn="0" w:oddVBand="0" w:evenVBand="0" w:oddHBand="0" w:evenHBand="0" w:firstRowFirstColumn="0" w:firstRowLastColumn="0" w:lastRowFirstColumn="0" w:lastRowLastColumn="0"/>
            </w:pPr>
            <w:r w:rsidRPr="00E45508">
              <w:t>PP: food grade</w:t>
            </w:r>
          </w:p>
        </w:tc>
        <w:tc>
          <w:tcPr>
            <w:tcW w:w="0" w:type="auto"/>
          </w:tcPr>
          <w:p w14:paraId="4FA3B8A7"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0" w:type="auto"/>
          </w:tcPr>
          <w:p w14:paraId="56EFB1B0"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10</w:t>
            </w:r>
          </w:p>
        </w:tc>
        <w:tc>
          <w:tcPr>
            <w:tcW w:w="0" w:type="auto"/>
          </w:tcPr>
          <w:p w14:paraId="448090AB"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15</w:t>
            </w:r>
          </w:p>
        </w:tc>
        <w:tc>
          <w:tcPr>
            <w:tcW w:w="0" w:type="auto"/>
          </w:tcPr>
          <w:p w14:paraId="133AC0E6"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25</w:t>
            </w:r>
          </w:p>
        </w:tc>
      </w:tr>
      <w:tr w:rsidR="00775526" w:rsidRPr="00E45508" w14:paraId="1D08BA9A" w14:textId="77777777" w:rsidTr="0046147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vMerge/>
          </w:tcPr>
          <w:p w14:paraId="3359B041" w14:textId="77777777" w:rsidR="00775526" w:rsidRPr="00E45508" w:rsidRDefault="00775526" w:rsidP="00775526">
            <w:pPr>
              <w:pStyle w:val="Tabletext0"/>
            </w:pPr>
          </w:p>
        </w:tc>
        <w:tc>
          <w:tcPr>
            <w:tcW w:w="0" w:type="auto"/>
          </w:tcPr>
          <w:p w14:paraId="12CB74E0" w14:textId="77777777" w:rsidR="00775526" w:rsidRPr="00E45508" w:rsidRDefault="00775526" w:rsidP="00775526">
            <w:pPr>
              <w:pStyle w:val="Tabletext0"/>
              <w:cnfStyle w:val="000000100000" w:firstRow="0" w:lastRow="0" w:firstColumn="0" w:lastColumn="0" w:oddVBand="0" w:evenVBand="0" w:oddHBand="1" w:evenHBand="0" w:firstRowFirstColumn="0" w:firstRowLastColumn="0" w:lastRowFirstColumn="0" w:lastRowLastColumn="0"/>
            </w:pPr>
            <w:r w:rsidRPr="00E45508">
              <w:t>Other: non-food grade</w:t>
            </w:r>
          </w:p>
        </w:tc>
        <w:tc>
          <w:tcPr>
            <w:tcW w:w="0" w:type="auto"/>
          </w:tcPr>
          <w:p w14:paraId="224F5EE3"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10</w:t>
            </w:r>
          </w:p>
        </w:tc>
        <w:tc>
          <w:tcPr>
            <w:tcW w:w="0" w:type="auto"/>
          </w:tcPr>
          <w:p w14:paraId="59F7F611"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35</w:t>
            </w:r>
          </w:p>
        </w:tc>
        <w:tc>
          <w:tcPr>
            <w:tcW w:w="0" w:type="auto"/>
          </w:tcPr>
          <w:p w14:paraId="18A7CE95"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45</w:t>
            </w:r>
          </w:p>
        </w:tc>
        <w:tc>
          <w:tcPr>
            <w:tcW w:w="0" w:type="auto"/>
          </w:tcPr>
          <w:p w14:paraId="78ACECE3"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65</w:t>
            </w:r>
          </w:p>
        </w:tc>
      </w:tr>
      <w:tr w:rsidR="00775526" w:rsidRPr="00E45508" w14:paraId="6B1238B5" w14:textId="77777777" w:rsidTr="00461470">
        <w:trPr>
          <w:trHeight w:val="405"/>
        </w:trPr>
        <w:tc>
          <w:tcPr>
            <w:cnfStyle w:val="001000000000" w:firstRow="0" w:lastRow="0" w:firstColumn="1" w:lastColumn="0" w:oddVBand="0" w:evenVBand="0" w:oddHBand="0" w:evenHBand="0" w:firstRowFirstColumn="0" w:firstRowLastColumn="0" w:lastRowFirstColumn="0" w:lastRowLastColumn="0"/>
            <w:tcW w:w="0" w:type="auto"/>
            <w:vMerge/>
          </w:tcPr>
          <w:p w14:paraId="72EB5C6A" w14:textId="77777777" w:rsidR="00775526" w:rsidRPr="00E45508" w:rsidRDefault="00775526" w:rsidP="00775526">
            <w:pPr>
              <w:pStyle w:val="Tabletext0"/>
            </w:pPr>
          </w:p>
        </w:tc>
        <w:tc>
          <w:tcPr>
            <w:tcW w:w="0" w:type="auto"/>
          </w:tcPr>
          <w:p w14:paraId="4A4550BC" w14:textId="77777777" w:rsidR="00775526" w:rsidRPr="00E45508" w:rsidRDefault="00775526" w:rsidP="00775526">
            <w:pPr>
              <w:pStyle w:val="Tabletext0"/>
              <w:cnfStyle w:val="000000000000" w:firstRow="0" w:lastRow="0" w:firstColumn="0" w:lastColumn="0" w:oddVBand="0" w:evenVBand="0" w:oddHBand="0" w:evenHBand="0" w:firstRowFirstColumn="0" w:firstRowLastColumn="0" w:lastRowFirstColumn="0" w:lastRowLastColumn="0"/>
            </w:pPr>
            <w:r w:rsidRPr="00E45508">
              <w:t>Other: food grade</w:t>
            </w:r>
          </w:p>
        </w:tc>
        <w:tc>
          <w:tcPr>
            <w:tcW w:w="0" w:type="auto"/>
          </w:tcPr>
          <w:p w14:paraId="60370A72"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0" w:type="auto"/>
          </w:tcPr>
          <w:p w14:paraId="3A98A290"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10</w:t>
            </w:r>
          </w:p>
        </w:tc>
        <w:tc>
          <w:tcPr>
            <w:tcW w:w="0" w:type="auto"/>
          </w:tcPr>
          <w:p w14:paraId="0CA13E6A"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15</w:t>
            </w:r>
          </w:p>
        </w:tc>
        <w:tc>
          <w:tcPr>
            <w:tcW w:w="0" w:type="auto"/>
          </w:tcPr>
          <w:p w14:paraId="20E422A8"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25</w:t>
            </w:r>
          </w:p>
        </w:tc>
      </w:tr>
      <w:tr w:rsidR="00775526" w:rsidRPr="00E45508" w14:paraId="5CD167BA" w14:textId="77777777" w:rsidTr="004614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35166201" w14:textId="01473B9E" w:rsidR="00775526" w:rsidRPr="00E45508" w:rsidRDefault="00B42365" w:rsidP="00775526">
            <w:pPr>
              <w:pStyle w:val="Tabletext0"/>
            </w:pPr>
            <w:r w:rsidRPr="00E45508">
              <w:t>Paper/paperboard</w:t>
            </w:r>
          </w:p>
        </w:tc>
        <w:tc>
          <w:tcPr>
            <w:tcW w:w="0" w:type="auto"/>
          </w:tcPr>
          <w:p w14:paraId="36BA89B8" w14:textId="1AF1EDBD" w:rsidR="00775526" w:rsidRPr="00E45508" w:rsidRDefault="00E52F73" w:rsidP="00775526">
            <w:pPr>
              <w:pStyle w:val="Tabletext0"/>
              <w:cnfStyle w:val="000000100000" w:firstRow="0" w:lastRow="0" w:firstColumn="0" w:lastColumn="0" w:oddVBand="0" w:evenVBand="0" w:oddHBand="1" w:evenHBand="0" w:firstRowFirstColumn="0" w:firstRowLastColumn="0" w:lastRowFirstColumn="0" w:lastRowLastColumn="0"/>
            </w:pPr>
            <w:r w:rsidRPr="00E45508">
              <w:t>All</w:t>
            </w:r>
            <w:r w:rsidR="00775526" w:rsidRPr="00E45508">
              <w:t>: combined</w:t>
            </w:r>
          </w:p>
        </w:tc>
        <w:tc>
          <w:tcPr>
            <w:tcW w:w="0" w:type="auto"/>
          </w:tcPr>
          <w:p w14:paraId="2D422B04"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60</w:t>
            </w:r>
          </w:p>
        </w:tc>
        <w:tc>
          <w:tcPr>
            <w:tcW w:w="0" w:type="auto"/>
          </w:tcPr>
          <w:p w14:paraId="5E7903C1"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65</w:t>
            </w:r>
          </w:p>
        </w:tc>
        <w:tc>
          <w:tcPr>
            <w:tcW w:w="0" w:type="auto"/>
          </w:tcPr>
          <w:p w14:paraId="6391F201"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70</w:t>
            </w:r>
          </w:p>
        </w:tc>
        <w:tc>
          <w:tcPr>
            <w:tcW w:w="0" w:type="auto"/>
          </w:tcPr>
          <w:p w14:paraId="70FE09F8"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75</w:t>
            </w:r>
          </w:p>
        </w:tc>
      </w:tr>
      <w:tr w:rsidR="00775526" w:rsidRPr="00E45508" w14:paraId="437109B7" w14:textId="77777777" w:rsidTr="00461470">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885357E" w14:textId="77777777" w:rsidR="00775526" w:rsidRPr="00E45508" w:rsidRDefault="00775526" w:rsidP="00775526">
            <w:pPr>
              <w:pStyle w:val="Tabletext0"/>
            </w:pPr>
            <w:r w:rsidRPr="00E45508">
              <w:t>Glass</w:t>
            </w:r>
          </w:p>
        </w:tc>
        <w:tc>
          <w:tcPr>
            <w:tcW w:w="0" w:type="auto"/>
          </w:tcPr>
          <w:p w14:paraId="59620454" w14:textId="10A04A28" w:rsidR="00775526" w:rsidRPr="00E45508" w:rsidRDefault="00E52F73" w:rsidP="00775526">
            <w:pPr>
              <w:pStyle w:val="Tabletext0"/>
              <w:cnfStyle w:val="000000000000" w:firstRow="0" w:lastRow="0" w:firstColumn="0" w:lastColumn="0" w:oddVBand="0" w:evenVBand="0" w:oddHBand="0" w:evenHBand="0" w:firstRowFirstColumn="0" w:firstRowLastColumn="0" w:lastRowFirstColumn="0" w:lastRowLastColumn="0"/>
            </w:pPr>
            <w:r w:rsidRPr="00E45508">
              <w:t>All</w:t>
            </w:r>
            <w:r w:rsidR="00775526" w:rsidRPr="00E45508">
              <w:t>: combined</w:t>
            </w:r>
          </w:p>
        </w:tc>
        <w:tc>
          <w:tcPr>
            <w:tcW w:w="0" w:type="auto"/>
          </w:tcPr>
          <w:p w14:paraId="204CF764"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50</w:t>
            </w:r>
          </w:p>
        </w:tc>
        <w:tc>
          <w:tcPr>
            <w:tcW w:w="0" w:type="auto"/>
          </w:tcPr>
          <w:p w14:paraId="43BB67E2"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55</w:t>
            </w:r>
          </w:p>
        </w:tc>
        <w:tc>
          <w:tcPr>
            <w:tcW w:w="0" w:type="auto"/>
          </w:tcPr>
          <w:p w14:paraId="078D178E"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60</w:t>
            </w:r>
          </w:p>
        </w:tc>
        <w:tc>
          <w:tcPr>
            <w:tcW w:w="0" w:type="auto"/>
          </w:tcPr>
          <w:p w14:paraId="4ACD5CE1"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70</w:t>
            </w:r>
          </w:p>
        </w:tc>
      </w:tr>
      <w:tr w:rsidR="00775526" w:rsidRPr="00E45508" w14:paraId="2CA77DFB" w14:textId="77777777" w:rsidTr="004614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8E937C" w14:textId="77777777" w:rsidR="00775526" w:rsidRPr="00E45508" w:rsidRDefault="00775526" w:rsidP="00775526">
            <w:pPr>
              <w:pStyle w:val="Tabletext0"/>
            </w:pPr>
            <w:r w:rsidRPr="00E45508">
              <w:t>Metal</w:t>
            </w:r>
          </w:p>
        </w:tc>
        <w:tc>
          <w:tcPr>
            <w:tcW w:w="0" w:type="auto"/>
          </w:tcPr>
          <w:p w14:paraId="12BCEC5E" w14:textId="77777777" w:rsidR="00775526" w:rsidRPr="00E45508" w:rsidRDefault="00775526" w:rsidP="00775526">
            <w:pPr>
              <w:pStyle w:val="Tabletext0"/>
              <w:cnfStyle w:val="000000100000" w:firstRow="0" w:lastRow="0" w:firstColumn="0" w:lastColumn="0" w:oddVBand="0" w:evenVBand="0" w:oddHBand="1" w:evenHBand="0" w:firstRowFirstColumn="0" w:firstRowLastColumn="0" w:lastRowFirstColumn="0" w:lastRowLastColumn="0"/>
            </w:pPr>
            <w:r w:rsidRPr="00E45508">
              <w:t>Aluminium: non-food grade</w:t>
            </w:r>
          </w:p>
        </w:tc>
        <w:tc>
          <w:tcPr>
            <w:tcW w:w="0" w:type="auto"/>
          </w:tcPr>
          <w:p w14:paraId="74C49056"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35</w:t>
            </w:r>
          </w:p>
        </w:tc>
        <w:tc>
          <w:tcPr>
            <w:tcW w:w="0" w:type="auto"/>
          </w:tcPr>
          <w:p w14:paraId="33E22A4E"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45</w:t>
            </w:r>
          </w:p>
        </w:tc>
        <w:tc>
          <w:tcPr>
            <w:tcW w:w="0" w:type="auto"/>
          </w:tcPr>
          <w:p w14:paraId="067DBDF1"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55</w:t>
            </w:r>
          </w:p>
        </w:tc>
        <w:tc>
          <w:tcPr>
            <w:tcW w:w="0" w:type="auto"/>
          </w:tcPr>
          <w:p w14:paraId="20EC8498"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80</w:t>
            </w:r>
          </w:p>
        </w:tc>
      </w:tr>
      <w:tr w:rsidR="00775526" w:rsidRPr="00E45508" w14:paraId="5A52FC52" w14:textId="77777777" w:rsidTr="00461470">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3098D9F4" w14:textId="77777777" w:rsidR="00775526" w:rsidRPr="00E45508" w:rsidRDefault="00775526" w:rsidP="00775526">
            <w:pPr>
              <w:pStyle w:val="Tabletext0"/>
            </w:pPr>
          </w:p>
        </w:tc>
        <w:tc>
          <w:tcPr>
            <w:tcW w:w="0" w:type="auto"/>
          </w:tcPr>
          <w:p w14:paraId="72EE4253" w14:textId="77777777" w:rsidR="00775526" w:rsidRPr="00E45508" w:rsidRDefault="00775526" w:rsidP="00775526">
            <w:pPr>
              <w:pStyle w:val="Tabletext0"/>
              <w:cnfStyle w:val="000000000000" w:firstRow="0" w:lastRow="0" w:firstColumn="0" w:lastColumn="0" w:oddVBand="0" w:evenVBand="0" w:oddHBand="0" w:evenHBand="0" w:firstRowFirstColumn="0" w:firstRowLastColumn="0" w:lastRowFirstColumn="0" w:lastRowLastColumn="0"/>
            </w:pPr>
            <w:r w:rsidRPr="00E45508">
              <w:t>Aluminium: food grade</w:t>
            </w:r>
          </w:p>
        </w:tc>
        <w:tc>
          <w:tcPr>
            <w:tcW w:w="0" w:type="auto"/>
          </w:tcPr>
          <w:p w14:paraId="39735E71"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0" w:type="auto"/>
          </w:tcPr>
          <w:p w14:paraId="19FAEB4C"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35</w:t>
            </w:r>
          </w:p>
        </w:tc>
        <w:tc>
          <w:tcPr>
            <w:tcW w:w="0" w:type="auto"/>
          </w:tcPr>
          <w:p w14:paraId="4A2178B5"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55</w:t>
            </w:r>
          </w:p>
        </w:tc>
        <w:tc>
          <w:tcPr>
            <w:tcW w:w="0" w:type="auto"/>
          </w:tcPr>
          <w:p w14:paraId="01209724"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80</w:t>
            </w:r>
          </w:p>
        </w:tc>
      </w:tr>
      <w:tr w:rsidR="00775526" w:rsidRPr="00E45508" w14:paraId="742EFEBD" w14:textId="77777777" w:rsidTr="004614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3CA6B121" w14:textId="77777777" w:rsidR="00775526" w:rsidRPr="00E45508" w:rsidRDefault="00775526" w:rsidP="00775526">
            <w:pPr>
              <w:pStyle w:val="Tabletext0"/>
            </w:pPr>
          </w:p>
        </w:tc>
        <w:tc>
          <w:tcPr>
            <w:tcW w:w="0" w:type="auto"/>
          </w:tcPr>
          <w:p w14:paraId="61E60E09" w14:textId="77777777" w:rsidR="00775526" w:rsidRPr="00E45508" w:rsidRDefault="00775526" w:rsidP="00775526">
            <w:pPr>
              <w:pStyle w:val="Tabletext0"/>
              <w:cnfStyle w:val="000000100000" w:firstRow="0" w:lastRow="0" w:firstColumn="0" w:lastColumn="0" w:oddVBand="0" w:evenVBand="0" w:oddHBand="1" w:evenHBand="0" w:firstRowFirstColumn="0" w:firstRowLastColumn="0" w:lastRowFirstColumn="0" w:lastRowLastColumn="0"/>
            </w:pPr>
            <w:r w:rsidRPr="00E45508">
              <w:t>Steel: non-food grade</w:t>
            </w:r>
          </w:p>
        </w:tc>
        <w:tc>
          <w:tcPr>
            <w:tcW w:w="0" w:type="auto"/>
          </w:tcPr>
          <w:p w14:paraId="51B5614F"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20</w:t>
            </w:r>
          </w:p>
        </w:tc>
        <w:tc>
          <w:tcPr>
            <w:tcW w:w="0" w:type="auto"/>
          </w:tcPr>
          <w:p w14:paraId="3662FF13"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35</w:t>
            </w:r>
          </w:p>
        </w:tc>
        <w:tc>
          <w:tcPr>
            <w:tcW w:w="0" w:type="auto"/>
          </w:tcPr>
          <w:p w14:paraId="0EE03A8C"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w:t>
            </w:r>
          </w:p>
        </w:tc>
        <w:tc>
          <w:tcPr>
            <w:tcW w:w="0" w:type="auto"/>
          </w:tcPr>
          <w:p w14:paraId="4B32BAA4" w14:textId="77777777" w:rsidR="00775526" w:rsidRPr="00E45508" w:rsidRDefault="00775526"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40</w:t>
            </w:r>
          </w:p>
        </w:tc>
      </w:tr>
      <w:tr w:rsidR="00775526" w:rsidRPr="00E45508" w14:paraId="5FF654C8" w14:textId="77777777" w:rsidTr="00461470">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9EF9EB5" w14:textId="77777777" w:rsidR="00775526" w:rsidRPr="00E45508" w:rsidRDefault="00775526" w:rsidP="00775526">
            <w:pPr>
              <w:pStyle w:val="Tabletext0"/>
            </w:pPr>
          </w:p>
        </w:tc>
        <w:tc>
          <w:tcPr>
            <w:tcW w:w="0" w:type="auto"/>
          </w:tcPr>
          <w:p w14:paraId="08A85DF3" w14:textId="77777777" w:rsidR="00775526" w:rsidRPr="00E45508" w:rsidRDefault="00775526" w:rsidP="00775526">
            <w:pPr>
              <w:pStyle w:val="Tabletext0"/>
              <w:cnfStyle w:val="000000000000" w:firstRow="0" w:lastRow="0" w:firstColumn="0" w:lastColumn="0" w:oddVBand="0" w:evenVBand="0" w:oddHBand="0" w:evenHBand="0" w:firstRowFirstColumn="0" w:firstRowLastColumn="0" w:lastRowFirstColumn="0" w:lastRowLastColumn="0"/>
            </w:pPr>
            <w:r w:rsidRPr="00E45508">
              <w:t>Steel: food grade</w:t>
            </w:r>
          </w:p>
        </w:tc>
        <w:tc>
          <w:tcPr>
            <w:tcW w:w="0" w:type="auto"/>
          </w:tcPr>
          <w:p w14:paraId="3E28DEBC"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0" w:type="auto"/>
          </w:tcPr>
          <w:p w14:paraId="40F5B9A0"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35</w:t>
            </w:r>
          </w:p>
        </w:tc>
        <w:tc>
          <w:tcPr>
            <w:tcW w:w="0" w:type="auto"/>
          </w:tcPr>
          <w:p w14:paraId="2DDEF51C"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0" w:type="auto"/>
          </w:tcPr>
          <w:p w14:paraId="5D6DFFAC" w14:textId="77777777" w:rsidR="00775526" w:rsidRPr="00E45508" w:rsidRDefault="00775526" w:rsidP="00425C18">
            <w:pPr>
              <w:pStyle w:val="Tabletext0"/>
              <w:jc w:val="right"/>
              <w:cnfStyle w:val="000000000000" w:firstRow="0" w:lastRow="0" w:firstColumn="0" w:lastColumn="0" w:oddVBand="0" w:evenVBand="0" w:oddHBand="0" w:evenHBand="0" w:firstRowFirstColumn="0" w:firstRowLastColumn="0" w:lastRowFirstColumn="0" w:lastRowLastColumn="0"/>
            </w:pPr>
            <w:r w:rsidRPr="00E45508">
              <w:t>40</w:t>
            </w:r>
          </w:p>
        </w:tc>
      </w:tr>
    </w:tbl>
    <w:p w14:paraId="2FF8AB28" w14:textId="319859CE" w:rsidR="00050C6E" w:rsidRPr="00E45508" w:rsidRDefault="00161791">
      <w:pPr>
        <w:spacing w:after="0" w:line="240" w:lineRule="auto"/>
        <w:rPr>
          <w:rFonts w:ascii="Calibri" w:hAnsi="Calibri"/>
          <w:b/>
          <w:bCs/>
          <w:sz w:val="20"/>
          <w:szCs w:val="20"/>
        </w:rPr>
      </w:pPr>
      <w:r w:rsidRPr="00E45508">
        <w:rPr>
          <w:sz w:val="20"/>
          <w:szCs w:val="20"/>
        </w:rPr>
        <w:t>*</w:t>
      </w:r>
      <w:r w:rsidR="00865A99" w:rsidRPr="00E45508">
        <w:rPr>
          <w:sz w:val="20"/>
          <w:szCs w:val="20"/>
        </w:rPr>
        <w:t xml:space="preserve"> Indicative</w:t>
      </w:r>
      <w:r w:rsidR="00E66672" w:rsidRPr="00E45508">
        <w:rPr>
          <w:sz w:val="20"/>
          <w:szCs w:val="20"/>
        </w:rPr>
        <w:t xml:space="preserve"> only</w:t>
      </w:r>
      <w:r w:rsidR="00050C6E" w:rsidRPr="00E45508">
        <w:rPr>
          <w:sz w:val="20"/>
          <w:szCs w:val="20"/>
        </w:rPr>
        <w:br w:type="page"/>
      </w:r>
    </w:p>
    <w:p w14:paraId="5A1BBBB5" w14:textId="6714F9DB" w:rsidR="00E305CB" w:rsidRPr="00E45508" w:rsidRDefault="00E305CB" w:rsidP="00E305CB">
      <w:pPr>
        <w:pStyle w:val="Caption"/>
      </w:pPr>
      <w:bookmarkStart w:id="202" w:name="_Ref177644804"/>
      <w:bookmarkStart w:id="203" w:name="_Toc178229381"/>
      <w:r w:rsidRPr="00E45508">
        <w:t xml:space="preserve">Table </w:t>
      </w:r>
      <w:r w:rsidRPr="00E45508">
        <w:fldChar w:fldCharType="begin"/>
      </w:r>
      <w:r w:rsidRPr="00E45508">
        <w:instrText xml:space="preserve"> SEQ Table \* ARABIC </w:instrText>
      </w:r>
      <w:r w:rsidRPr="00E45508">
        <w:fldChar w:fldCharType="separate"/>
      </w:r>
      <w:r w:rsidR="009A2EC4">
        <w:rPr>
          <w:noProof/>
        </w:rPr>
        <w:t>18</w:t>
      </w:r>
      <w:r w:rsidRPr="00E45508">
        <w:fldChar w:fldCharType="end"/>
      </w:r>
      <w:bookmarkEnd w:id="202"/>
      <w:r w:rsidRPr="00E45508">
        <w:t xml:space="preserve">: </w:t>
      </w:r>
      <w:r w:rsidR="00C61CA2" w:rsidRPr="00E45508">
        <w:t xml:space="preserve">Australia’s current </w:t>
      </w:r>
      <w:r w:rsidR="00AF5F1D" w:rsidRPr="00E45508">
        <w:t>recycled content targets</w:t>
      </w:r>
      <w:r w:rsidR="00C9115F" w:rsidRPr="00E45508">
        <w:t xml:space="preserve"> and </w:t>
      </w:r>
      <w:r w:rsidR="00E06C12" w:rsidRPr="00E45508">
        <w:t>rates</w:t>
      </w:r>
      <w:r w:rsidR="00353A70" w:rsidRPr="00E45508">
        <w:t xml:space="preserve"> by material</w:t>
      </w:r>
      <w:bookmarkEnd w:id="203"/>
    </w:p>
    <w:tbl>
      <w:tblPr>
        <w:tblStyle w:val="PlainTable2"/>
        <w:tblW w:w="0" w:type="auto"/>
        <w:tblLook w:val="04A0" w:firstRow="1" w:lastRow="0" w:firstColumn="1" w:lastColumn="0" w:noHBand="0" w:noVBand="1"/>
      </w:tblPr>
      <w:tblGrid>
        <w:gridCol w:w="1764"/>
        <w:gridCol w:w="2772"/>
        <w:gridCol w:w="949"/>
        <w:gridCol w:w="2312"/>
      </w:tblGrid>
      <w:tr w:rsidR="00461470" w:rsidRPr="00E45508" w14:paraId="4B8DA599" w14:textId="77777777" w:rsidTr="00B002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29CA450" w14:textId="77777777" w:rsidR="00E305CB" w:rsidRPr="00E45508" w:rsidRDefault="00E305CB">
            <w:pPr>
              <w:pStyle w:val="Tabletext0"/>
            </w:pPr>
            <w:r w:rsidRPr="00E45508">
              <w:t>Material</w:t>
            </w:r>
          </w:p>
        </w:tc>
        <w:tc>
          <w:tcPr>
            <w:tcW w:w="2772" w:type="dxa"/>
          </w:tcPr>
          <w:p w14:paraId="7E58972E" w14:textId="249B283C" w:rsidR="00E305CB" w:rsidRPr="00E45508" w:rsidRDefault="00E305CB">
            <w:pPr>
              <w:pStyle w:val="Tabletext0"/>
              <w:cnfStyle w:val="100000000000" w:firstRow="1" w:lastRow="0" w:firstColumn="0" w:lastColumn="0" w:oddVBand="0" w:evenVBand="0" w:oddHBand="0" w:evenHBand="0" w:firstRowFirstColumn="0" w:firstRowLastColumn="0" w:lastRowFirstColumn="0" w:lastRowLastColumn="0"/>
            </w:pPr>
            <w:r w:rsidRPr="00E45508">
              <w:t>Category</w:t>
            </w:r>
            <w:r w:rsidR="00A242A3" w:rsidRPr="00E45508">
              <w:t xml:space="preserve"> and application</w:t>
            </w:r>
          </w:p>
        </w:tc>
        <w:tc>
          <w:tcPr>
            <w:tcW w:w="949" w:type="dxa"/>
          </w:tcPr>
          <w:p w14:paraId="27ACC54F" w14:textId="4E5DA4E7" w:rsidR="00E305CB" w:rsidRPr="00E45508" w:rsidRDefault="00B42365" w:rsidP="00B42365">
            <w:pPr>
              <w:pStyle w:val="Tabletext0"/>
              <w:cnfStyle w:val="100000000000" w:firstRow="1" w:lastRow="0" w:firstColumn="0" w:lastColumn="0" w:oddVBand="0" w:evenVBand="0" w:oddHBand="0" w:evenHBand="0" w:firstRowFirstColumn="0" w:firstRowLastColumn="0" w:lastRowFirstColumn="0" w:lastRowLastColumn="0"/>
            </w:pPr>
            <w:r w:rsidRPr="00E45508">
              <w:t xml:space="preserve">2025 </w:t>
            </w:r>
            <w:r w:rsidR="00425C18" w:rsidRPr="00E45508">
              <w:t>NPT</w:t>
            </w:r>
            <w:r w:rsidRPr="00E45508">
              <w:t>s (%)</w:t>
            </w:r>
          </w:p>
        </w:tc>
        <w:tc>
          <w:tcPr>
            <w:tcW w:w="2312" w:type="dxa"/>
          </w:tcPr>
          <w:p w14:paraId="2A1A3C72" w14:textId="59C1888C" w:rsidR="00E305CB" w:rsidRPr="00E45508" w:rsidRDefault="00B42365">
            <w:pPr>
              <w:pStyle w:val="Tabletext0"/>
              <w:cnfStyle w:val="100000000000" w:firstRow="1" w:lastRow="0" w:firstColumn="0" w:lastColumn="0" w:oddVBand="0" w:evenVBand="0" w:oddHBand="0" w:evenHBand="0" w:firstRowFirstColumn="0" w:firstRowLastColumn="0" w:lastRowFirstColumn="0" w:lastRowLastColumn="0"/>
            </w:pPr>
            <w:r w:rsidRPr="00E45508">
              <w:t>Post consumer recycled content 2021</w:t>
            </w:r>
            <w:r w:rsidR="00425C18" w:rsidRPr="00E45508">
              <w:noBreakHyphen/>
            </w:r>
            <w:r w:rsidRPr="00E45508">
              <w:t>22 (%)</w:t>
            </w:r>
          </w:p>
        </w:tc>
      </w:tr>
      <w:tr w:rsidR="00461470" w:rsidRPr="00E45508" w14:paraId="70D28437" w14:textId="77777777" w:rsidTr="00B002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416C3AA" w14:textId="77777777" w:rsidR="00E305CB" w:rsidRPr="00E45508" w:rsidRDefault="00E305CB">
            <w:pPr>
              <w:pStyle w:val="Tabletext0"/>
            </w:pPr>
            <w:r w:rsidRPr="00E45508">
              <w:t>Plastic</w:t>
            </w:r>
          </w:p>
        </w:tc>
        <w:tc>
          <w:tcPr>
            <w:tcW w:w="2772" w:type="dxa"/>
          </w:tcPr>
          <w:p w14:paraId="485D0582" w14:textId="780291BA" w:rsidR="00E305CB" w:rsidRPr="00E45508" w:rsidRDefault="00E11380">
            <w:pPr>
              <w:pStyle w:val="Tabletext0"/>
              <w:cnfStyle w:val="000000100000" w:firstRow="0" w:lastRow="0" w:firstColumn="0" w:lastColumn="0" w:oddVBand="0" w:evenVBand="0" w:oddHBand="1" w:evenHBand="0" w:firstRowFirstColumn="0" w:firstRowLastColumn="0" w:lastRowFirstColumn="0" w:lastRowLastColumn="0"/>
            </w:pPr>
            <w:r w:rsidRPr="00E45508">
              <w:t>All</w:t>
            </w:r>
          </w:p>
        </w:tc>
        <w:tc>
          <w:tcPr>
            <w:tcW w:w="949" w:type="dxa"/>
          </w:tcPr>
          <w:p w14:paraId="33A92145" w14:textId="0CA62369" w:rsidR="00E305CB" w:rsidRPr="00E45508" w:rsidRDefault="00425C18"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20</w:t>
            </w:r>
          </w:p>
        </w:tc>
        <w:tc>
          <w:tcPr>
            <w:tcW w:w="2312" w:type="dxa"/>
          </w:tcPr>
          <w:p w14:paraId="7A6E341F" w14:textId="7ECECE4E" w:rsidR="00E305CB" w:rsidRPr="00E45508" w:rsidRDefault="00E11380" w:rsidP="00425C18">
            <w:pPr>
              <w:pStyle w:val="Tabletext0"/>
              <w:jc w:val="right"/>
              <w:cnfStyle w:val="000000100000" w:firstRow="0" w:lastRow="0" w:firstColumn="0" w:lastColumn="0" w:oddVBand="0" w:evenVBand="0" w:oddHBand="1" w:evenHBand="0" w:firstRowFirstColumn="0" w:firstRowLastColumn="0" w:lastRowFirstColumn="0" w:lastRowLastColumn="0"/>
            </w:pPr>
            <w:r w:rsidRPr="00E45508">
              <w:t>6</w:t>
            </w:r>
          </w:p>
        </w:tc>
      </w:tr>
      <w:tr w:rsidR="00E11380" w:rsidRPr="00E45508" w14:paraId="0E31713B" w14:textId="77777777" w:rsidTr="00B002D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77B4F3C" w14:textId="77777777" w:rsidR="00E11380" w:rsidRPr="00E45508" w:rsidRDefault="00E11380" w:rsidP="00E11380">
            <w:pPr>
              <w:pStyle w:val="Tabletext0"/>
            </w:pPr>
          </w:p>
        </w:tc>
        <w:tc>
          <w:tcPr>
            <w:tcW w:w="2772" w:type="dxa"/>
          </w:tcPr>
          <w:p w14:paraId="109B761C" w14:textId="183F670B" w:rsidR="00E11380" w:rsidRPr="00E45508" w:rsidRDefault="00E11380" w:rsidP="00E11380">
            <w:pPr>
              <w:pStyle w:val="Tabletext0"/>
              <w:cnfStyle w:val="000000000000" w:firstRow="0" w:lastRow="0" w:firstColumn="0" w:lastColumn="0" w:oddVBand="0" w:evenVBand="0" w:oddHBand="0" w:evenHBand="0" w:firstRowFirstColumn="0" w:firstRowLastColumn="0" w:lastRowFirstColumn="0" w:lastRowLastColumn="0"/>
            </w:pPr>
            <w:r w:rsidRPr="00E45508">
              <w:t>PET</w:t>
            </w:r>
          </w:p>
        </w:tc>
        <w:tc>
          <w:tcPr>
            <w:tcW w:w="949" w:type="dxa"/>
          </w:tcPr>
          <w:p w14:paraId="370EC453" w14:textId="3D68F6BF" w:rsidR="00E11380" w:rsidRPr="00E45508" w:rsidRDefault="00E11380" w:rsidP="00E11380">
            <w:pPr>
              <w:pStyle w:val="Tabletext0"/>
              <w:jc w:val="right"/>
              <w:cnfStyle w:val="000000000000" w:firstRow="0" w:lastRow="0" w:firstColumn="0" w:lastColumn="0" w:oddVBand="0" w:evenVBand="0" w:oddHBand="0" w:evenHBand="0" w:firstRowFirstColumn="0" w:firstRowLastColumn="0" w:lastRowFirstColumn="0" w:lastRowLastColumn="0"/>
            </w:pPr>
            <w:r w:rsidRPr="00E45508">
              <w:t>30</w:t>
            </w:r>
          </w:p>
        </w:tc>
        <w:tc>
          <w:tcPr>
            <w:tcW w:w="2312" w:type="dxa"/>
          </w:tcPr>
          <w:p w14:paraId="4C8E67D0" w14:textId="1C848F0D" w:rsidR="00E11380" w:rsidRPr="00E45508" w:rsidRDefault="00E11380" w:rsidP="00E11380">
            <w:pPr>
              <w:pStyle w:val="Tabletext0"/>
              <w:jc w:val="right"/>
              <w:cnfStyle w:val="000000000000" w:firstRow="0" w:lastRow="0" w:firstColumn="0" w:lastColumn="0" w:oddVBand="0" w:evenVBand="0" w:oddHBand="0" w:evenHBand="0" w:firstRowFirstColumn="0" w:firstRowLastColumn="0" w:lastRowFirstColumn="0" w:lastRowLastColumn="0"/>
            </w:pPr>
            <w:r w:rsidRPr="00E45508">
              <w:t>1</w:t>
            </w:r>
            <w:r w:rsidR="007D2A12" w:rsidRPr="00E45508">
              <w:t>9</w:t>
            </w:r>
          </w:p>
        </w:tc>
      </w:tr>
      <w:tr w:rsidR="00461470" w:rsidRPr="00E45508" w14:paraId="77B64064" w14:textId="77777777" w:rsidTr="00B002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6439434" w14:textId="77777777" w:rsidR="00E11380" w:rsidRPr="00E45508" w:rsidRDefault="00E11380" w:rsidP="00E11380">
            <w:pPr>
              <w:pStyle w:val="Tabletext0"/>
            </w:pPr>
          </w:p>
        </w:tc>
        <w:tc>
          <w:tcPr>
            <w:tcW w:w="2772" w:type="dxa"/>
          </w:tcPr>
          <w:p w14:paraId="09995181" w14:textId="6C43156D" w:rsidR="00E11380" w:rsidRPr="00E45508" w:rsidRDefault="00E11380" w:rsidP="00E11380">
            <w:pPr>
              <w:pStyle w:val="Tabletext0"/>
              <w:cnfStyle w:val="000000100000" w:firstRow="0" w:lastRow="0" w:firstColumn="0" w:lastColumn="0" w:oddVBand="0" w:evenVBand="0" w:oddHBand="1" w:evenHBand="0" w:firstRowFirstColumn="0" w:firstRowLastColumn="0" w:lastRowFirstColumn="0" w:lastRowLastColumn="0"/>
            </w:pPr>
            <w:r w:rsidRPr="00E45508">
              <w:t>HDPE</w:t>
            </w:r>
          </w:p>
        </w:tc>
        <w:tc>
          <w:tcPr>
            <w:tcW w:w="949" w:type="dxa"/>
          </w:tcPr>
          <w:p w14:paraId="59D887B2" w14:textId="27B10DA7" w:rsidR="00E11380" w:rsidRPr="00E45508" w:rsidRDefault="00E11380" w:rsidP="00E11380">
            <w:pPr>
              <w:pStyle w:val="Tabletext0"/>
              <w:jc w:val="right"/>
              <w:cnfStyle w:val="000000100000" w:firstRow="0" w:lastRow="0" w:firstColumn="0" w:lastColumn="0" w:oddVBand="0" w:evenVBand="0" w:oddHBand="1" w:evenHBand="0" w:firstRowFirstColumn="0" w:firstRowLastColumn="0" w:lastRowFirstColumn="0" w:lastRowLastColumn="0"/>
            </w:pPr>
            <w:r w:rsidRPr="00E45508">
              <w:t>20</w:t>
            </w:r>
          </w:p>
        </w:tc>
        <w:tc>
          <w:tcPr>
            <w:tcW w:w="2312" w:type="dxa"/>
          </w:tcPr>
          <w:p w14:paraId="62DA9C97" w14:textId="2470B479" w:rsidR="00E11380" w:rsidRPr="00E45508" w:rsidRDefault="007D2A12" w:rsidP="00E11380">
            <w:pPr>
              <w:pStyle w:val="Tabletext0"/>
              <w:jc w:val="right"/>
              <w:cnfStyle w:val="000000100000" w:firstRow="0" w:lastRow="0" w:firstColumn="0" w:lastColumn="0" w:oddVBand="0" w:evenVBand="0" w:oddHBand="1" w:evenHBand="0" w:firstRowFirstColumn="0" w:firstRowLastColumn="0" w:lastRowFirstColumn="0" w:lastRowLastColumn="0"/>
            </w:pPr>
            <w:r w:rsidRPr="00E45508">
              <w:t>6</w:t>
            </w:r>
          </w:p>
        </w:tc>
      </w:tr>
      <w:tr w:rsidR="00E11380" w:rsidRPr="00E45508" w14:paraId="385F5A13" w14:textId="77777777" w:rsidTr="00B002D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E7675DD" w14:textId="77777777" w:rsidR="00E11380" w:rsidRPr="00E45508" w:rsidRDefault="00E11380" w:rsidP="00E11380">
            <w:pPr>
              <w:pStyle w:val="Tabletext0"/>
            </w:pPr>
          </w:p>
        </w:tc>
        <w:tc>
          <w:tcPr>
            <w:tcW w:w="2772" w:type="dxa"/>
          </w:tcPr>
          <w:p w14:paraId="31948544" w14:textId="6C6A6A92" w:rsidR="00E11380" w:rsidRPr="00E45508" w:rsidRDefault="00E11380" w:rsidP="00E11380">
            <w:pPr>
              <w:pStyle w:val="Tabletext0"/>
              <w:cnfStyle w:val="000000000000" w:firstRow="0" w:lastRow="0" w:firstColumn="0" w:lastColumn="0" w:oddVBand="0" w:evenVBand="0" w:oddHBand="0" w:evenHBand="0" w:firstRowFirstColumn="0" w:firstRowLastColumn="0" w:lastRowFirstColumn="0" w:lastRowLastColumn="0"/>
            </w:pPr>
            <w:r w:rsidRPr="00E45508">
              <w:t>LDPE</w:t>
            </w:r>
          </w:p>
        </w:tc>
        <w:tc>
          <w:tcPr>
            <w:tcW w:w="949" w:type="dxa"/>
          </w:tcPr>
          <w:p w14:paraId="29C93D59" w14:textId="49875CF2" w:rsidR="00E11380" w:rsidRPr="00E45508" w:rsidRDefault="00E11380" w:rsidP="00E11380">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2312" w:type="dxa"/>
          </w:tcPr>
          <w:p w14:paraId="2843494A" w14:textId="12C85C21" w:rsidR="00E11380" w:rsidRPr="00E45508" w:rsidRDefault="007D2A12" w:rsidP="00E11380">
            <w:pPr>
              <w:pStyle w:val="Tabletext0"/>
              <w:jc w:val="right"/>
              <w:cnfStyle w:val="000000000000" w:firstRow="0" w:lastRow="0" w:firstColumn="0" w:lastColumn="0" w:oddVBand="0" w:evenVBand="0" w:oddHBand="0" w:evenHBand="0" w:firstRowFirstColumn="0" w:firstRowLastColumn="0" w:lastRowFirstColumn="0" w:lastRowLastColumn="0"/>
            </w:pPr>
            <w:r w:rsidRPr="00E45508">
              <w:t>2</w:t>
            </w:r>
          </w:p>
        </w:tc>
      </w:tr>
      <w:tr w:rsidR="00461470" w:rsidRPr="00E45508" w14:paraId="3254FC6B" w14:textId="77777777" w:rsidTr="00B002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E84A09A" w14:textId="77777777" w:rsidR="00E11380" w:rsidRPr="00E45508" w:rsidRDefault="00E11380" w:rsidP="00E11380">
            <w:pPr>
              <w:pStyle w:val="Tabletext0"/>
            </w:pPr>
          </w:p>
        </w:tc>
        <w:tc>
          <w:tcPr>
            <w:tcW w:w="2772" w:type="dxa"/>
          </w:tcPr>
          <w:p w14:paraId="1111EBB2" w14:textId="334EACAC" w:rsidR="00E11380" w:rsidRPr="00E45508" w:rsidRDefault="00E11380" w:rsidP="00E11380">
            <w:pPr>
              <w:pStyle w:val="Tabletext0"/>
              <w:cnfStyle w:val="000000100000" w:firstRow="0" w:lastRow="0" w:firstColumn="0" w:lastColumn="0" w:oddVBand="0" w:evenVBand="0" w:oddHBand="1" w:evenHBand="0" w:firstRowFirstColumn="0" w:firstRowLastColumn="0" w:lastRowFirstColumn="0" w:lastRowLastColumn="0"/>
            </w:pPr>
            <w:r w:rsidRPr="00E45508">
              <w:t>PP</w:t>
            </w:r>
          </w:p>
        </w:tc>
        <w:tc>
          <w:tcPr>
            <w:tcW w:w="949" w:type="dxa"/>
          </w:tcPr>
          <w:p w14:paraId="778BC488" w14:textId="4822DECE" w:rsidR="00E11380" w:rsidRPr="00E45508" w:rsidRDefault="00E11380" w:rsidP="00E11380">
            <w:pPr>
              <w:pStyle w:val="Tabletext0"/>
              <w:jc w:val="right"/>
              <w:cnfStyle w:val="000000100000" w:firstRow="0" w:lastRow="0" w:firstColumn="0" w:lastColumn="0" w:oddVBand="0" w:evenVBand="0" w:oddHBand="1" w:evenHBand="0" w:firstRowFirstColumn="0" w:firstRowLastColumn="0" w:lastRowFirstColumn="0" w:lastRowLastColumn="0"/>
            </w:pPr>
            <w:r w:rsidRPr="00E45508">
              <w:t>20</w:t>
            </w:r>
          </w:p>
        </w:tc>
        <w:tc>
          <w:tcPr>
            <w:tcW w:w="2312" w:type="dxa"/>
          </w:tcPr>
          <w:p w14:paraId="47FF9070" w14:textId="2B830D1F" w:rsidR="00E11380" w:rsidRPr="00E45508" w:rsidRDefault="007D2A12" w:rsidP="00E11380">
            <w:pPr>
              <w:pStyle w:val="Tabletext0"/>
              <w:jc w:val="right"/>
              <w:cnfStyle w:val="000000100000" w:firstRow="0" w:lastRow="0" w:firstColumn="0" w:lastColumn="0" w:oddVBand="0" w:evenVBand="0" w:oddHBand="1" w:evenHBand="0" w:firstRowFirstColumn="0" w:firstRowLastColumn="0" w:lastRowFirstColumn="0" w:lastRowLastColumn="0"/>
            </w:pPr>
            <w:r w:rsidRPr="00E45508">
              <w:t>6</w:t>
            </w:r>
          </w:p>
        </w:tc>
      </w:tr>
      <w:tr w:rsidR="00461470" w:rsidRPr="00E45508" w14:paraId="44A5B546" w14:textId="77777777" w:rsidTr="00B002D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E560971" w14:textId="77777777" w:rsidR="00E11380" w:rsidRPr="00E45508" w:rsidRDefault="00E11380" w:rsidP="00E11380">
            <w:pPr>
              <w:pStyle w:val="Tabletext0"/>
            </w:pPr>
          </w:p>
        </w:tc>
        <w:tc>
          <w:tcPr>
            <w:tcW w:w="2772" w:type="dxa"/>
          </w:tcPr>
          <w:p w14:paraId="05B503A1" w14:textId="41A54E2A" w:rsidR="00E11380" w:rsidRPr="00E45508" w:rsidRDefault="00E11380" w:rsidP="00E11380">
            <w:pPr>
              <w:pStyle w:val="Tabletext0"/>
              <w:cnfStyle w:val="000000000000" w:firstRow="0" w:lastRow="0" w:firstColumn="0" w:lastColumn="0" w:oddVBand="0" w:evenVBand="0" w:oddHBand="0" w:evenHBand="0" w:firstRowFirstColumn="0" w:firstRowLastColumn="0" w:lastRowFirstColumn="0" w:lastRowLastColumn="0"/>
            </w:pPr>
            <w:r w:rsidRPr="00E45508">
              <w:t>Other</w:t>
            </w:r>
          </w:p>
        </w:tc>
        <w:tc>
          <w:tcPr>
            <w:tcW w:w="949" w:type="dxa"/>
          </w:tcPr>
          <w:p w14:paraId="0C58E739" w14:textId="69059E22" w:rsidR="00E11380" w:rsidRPr="00E45508" w:rsidRDefault="00E11380" w:rsidP="00E11380">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2312" w:type="dxa"/>
          </w:tcPr>
          <w:p w14:paraId="49AB1DDE" w14:textId="5D9B1B67" w:rsidR="00E11380" w:rsidRPr="00E45508" w:rsidRDefault="007D2A12" w:rsidP="00E11380">
            <w:pPr>
              <w:pStyle w:val="Tabletext0"/>
              <w:jc w:val="right"/>
              <w:cnfStyle w:val="000000000000" w:firstRow="0" w:lastRow="0" w:firstColumn="0" w:lastColumn="0" w:oddVBand="0" w:evenVBand="0" w:oddHBand="0" w:evenHBand="0" w:firstRowFirstColumn="0" w:firstRowLastColumn="0" w:lastRowFirstColumn="0" w:lastRowLastColumn="0"/>
            </w:pPr>
            <w:r w:rsidRPr="00E45508">
              <w:t>0</w:t>
            </w:r>
          </w:p>
        </w:tc>
      </w:tr>
      <w:tr w:rsidR="00461470" w:rsidRPr="00E45508" w14:paraId="49F24BF9" w14:textId="77777777" w:rsidTr="00B002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EF11007" w14:textId="372B5E89" w:rsidR="00E11380" w:rsidRPr="00E45508" w:rsidRDefault="00E11380" w:rsidP="00E11380">
            <w:pPr>
              <w:pStyle w:val="Tabletext0"/>
            </w:pPr>
            <w:r w:rsidRPr="00E45508">
              <w:t>Paper/paperboard</w:t>
            </w:r>
          </w:p>
        </w:tc>
        <w:tc>
          <w:tcPr>
            <w:tcW w:w="2772" w:type="dxa"/>
          </w:tcPr>
          <w:p w14:paraId="51008740" w14:textId="6E36F3D9" w:rsidR="00E11380" w:rsidRPr="00E45508" w:rsidRDefault="00461470" w:rsidP="00E11380">
            <w:pPr>
              <w:pStyle w:val="Tabletext0"/>
              <w:cnfStyle w:val="000000100000" w:firstRow="0" w:lastRow="0" w:firstColumn="0" w:lastColumn="0" w:oddVBand="0" w:evenVBand="0" w:oddHBand="1" w:evenHBand="0" w:firstRowFirstColumn="0" w:firstRowLastColumn="0" w:lastRowFirstColumn="0" w:lastRowLastColumn="0"/>
            </w:pPr>
            <w:r w:rsidRPr="00E45508">
              <w:t>All</w:t>
            </w:r>
          </w:p>
        </w:tc>
        <w:tc>
          <w:tcPr>
            <w:tcW w:w="949" w:type="dxa"/>
          </w:tcPr>
          <w:p w14:paraId="1C51909F" w14:textId="1F7BD6CC" w:rsidR="00E11380" w:rsidRPr="00E45508" w:rsidRDefault="00461470" w:rsidP="00E11380">
            <w:pPr>
              <w:pStyle w:val="Tabletext0"/>
              <w:jc w:val="right"/>
              <w:cnfStyle w:val="000000100000" w:firstRow="0" w:lastRow="0" w:firstColumn="0" w:lastColumn="0" w:oddVBand="0" w:evenVBand="0" w:oddHBand="1" w:evenHBand="0" w:firstRowFirstColumn="0" w:firstRowLastColumn="0" w:lastRowFirstColumn="0" w:lastRowLastColumn="0"/>
            </w:pPr>
            <w:r w:rsidRPr="00E45508">
              <w:t>60</w:t>
            </w:r>
          </w:p>
        </w:tc>
        <w:tc>
          <w:tcPr>
            <w:tcW w:w="2312" w:type="dxa"/>
          </w:tcPr>
          <w:p w14:paraId="0025EC99" w14:textId="58853ECF" w:rsidR="00E11380" w:rsidRPr="00E45508" w:rsidRDefault="00461470" w:rsidP="00E11380">
            <w:pPr>
              <w:pStyle w:val="Tabletext0"/>
              <w:jc w:val="right"/>
              <w:cnfStyle w:val="000000100000" w:firstRow="0" w:lastRow="0" w:firstColumn="0" w:lastColumn="0" w:oddVBand="0" w:evenVBand="0" w:oddHBand="1" w:evenHBand="0" w:firstRowFirstColumn="0" w:firstRowLastColumn="0" w:lastRowFirstColumn="0" w:lastRowLastColumn="0"/>
            </w:pPr>
            <w:r w:rsidRPr="00E45508">
              <w:t>54</w:t>
            </w:r>
          </w:p>
        </w:tc>
      </w:tr>
      <w:tr w:rsidR="00461470" w:rsidRPr="00E45508" w14:paraId="4AB41A0B" w14:textId="77777777" w:rsidTr="00B002D5">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F59779B" w14:textId="77777777" w:rsidR="00E11380" w:rsidRPr="00E45508" w:rsidRDefault="00E11380" w:rsidP="00E11380">
            <w:pPr>
              <w:pStyle w:val="Tabletext0"/>
            </w:pPr>
            <w:r w:rsidRPr="00E45508">
              <w:t>Glass</w:t>
            </w:r>
          </w:p>
        </w:tc>
        <w:tc>
          <w:tcPr>
            <w:tcW w:w="2772" w:type="dxa"/>
          </w:tcPr>
          <w:p w14:paraId="564E6FF7" w14:textId="5FF60E5B" w:rsidR="00E11380" w:rsidRPr="00E45508" w:rsidRDefault="00461470" w:rsidP="00E11380">
            <w:pPr>
              <w:pStyle w:val="Tabletext0"/>
              <w:cnfStyle w:val="000000000000" w:firstRow="0" w:lastRow="0" w:firstColumn="0" w:lastColumn="0" w:oddVBand="0" w:evenVBand="0" w:oddHBand="0" w:evenHBand="0" w:firstRowFirstColumn="0" w:firstRowLastColumn="0" w:lastRowFirstColumn="0" w:lastRowLastColumn="0"/>
            </w:pPr>
            <w:r w:rsidRPr="00E45508">
              <w:t>All</w:t>
            </w:r>
          </w:p>
        </w:tc>
        <w:tc>
          <w:tcPr>
            <w:tcW w:w="949" w:type="dxa"/>
          </w:tcPr>
          <w:p w14:paraId="1A2A3DE9" w14:textId="138FAECA" w:rsidR="00E11380" w:rsidRPr="00E45508" w:rsidRDefault="006B7859" w:rsidP="000139AF">
            <w:pPr>
              <w:pStyle w:val="Tabletext0"/>
              <w:jc w:val="right"/>
              <w:cnfStyle w:val="000000000000" w:firstRow="0" w:lastRow="0" w:firstColumn="0" w:lastColumn="0" w:oddVBand="0" w:evenVBand="0" w:oddHBand="0" w:evenHBand="0" w:firstRowFirstColumn="0" w:firstRowLastColumn="0" w:lastRowFirstColumn="0" w:lastRowLastColumn="0"/>
            </w:pPr>
            <w:r w:rsidRPr="00E45508">
              <w:t>50</w:t>
            </w:r>
          </w:p>
        </w:tc>
        <w:tc>
          <w:tcPr>
            <w:tcW w:w="2312" w:type="dxa"/>
          </w:tcPr>
          <w:p w14:paraId="6195CBB0" w14:textId="51C72ECE" w:rsidR="00E11380" w:rsidRPr="00E45508" w:rsidRDefault="000139AF" w:rsidP="00E11380">
            <w:pPr>
              <w:pStyle w:val="Tabletext0"/>
              <w:jc w:val="right"/>
              <w:cnfStyle w:val="000000000000" w:firstRow="0" w:lastRow="0" w:firstColumn="0" w:lastColumn="0" w:oddVBand="0" w:evenVBand="0" w:oddHBand="0" w:evenHBand="0" w:firstRowFirstColumn="0" w:firstRowLastColumn="0" w:lastRowFirstColumn="0" w:lastRowLastColumn="0"/>
            </w:pPr>
            <w:r w:rsidRPr="00E45508">
              <w:t>41</w:t>
            </w:r>
          </w:p>
        </w:tc>
      </w:tr>
      <w:tr w:rsidR="00954EAB" w:rsidRPr="00E45508" w14:paraId="4E8FDD96" w14:textId="77777777" w:rsidTr="00B002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A58028A" w14:textId="77777777" w:rsidR="00954EAB" w:rsidRPr="00E45508" w:rsidRDefault="00954EAB" w:rsidP="00E11380">
            <w:pPr>
              <w:pStyle w:val="Tabletext0"/>
            </w:pPr>
            <w:r w:rsidRPr="00E45508">
              <w:t>Metal</w:t>
            </w:r>
          </w:p>
        </w:tc>
        <w:tc>
          <w:tcPr>
            <w:tcW w:w="2772" w:type="dxa"/>
          </w:tcPr>
          <w:p w14:paraId="1D667394" w14:textId="3165D68E" w:rsidR="00954EAB" w:rsidRPr="00E45508" w:rsidRDefault="00954EAB" w:rsidP="00E11380">
            <w:pPr>
              <w:pStyle w:val="Tabletext0"/>
              <w:cnfStyle w:val="000000100000" w:firstRow="0" w:lastRow="0" w:firstColumn="0" w:lastColumn="0" w:oddVBand="0" w:evenVBand="0" w:oddHBand="1" w:evenHBand="0" w:firstRowFirstColumn="0" w:firstRowLastColumn="0" w:lastRowFirstColumn="0" w:lastRowLastColumn="0"/>
            </w:pPr>
            <w:r w:rsidRPr="00E45508">
              <w:t>All</w:t>
            </w:r>
          </w:p>
        </w:tc>
        <w:tc>
          <w:tcPr>
            <w:tcW w:w="949" w:type="dxa"/>
          </w:tcPr>
          <w:p w14:paraId="7E6CA996" w14:textId="39BBBD48" w:rsidR="00954EAB" w:rsidRPr="00E45508" w:rsidRDefault="00954EAB" w:rsidP="00E11380">
            <w:pPr>
              <w:pStyle w:val="Tabletext0"/>
              <w:jc w:val="right"/>
              <w:cnfStyle w:val="000000100000" w:firstRow="0" w:lastRow="0" w:firstColumn="0" w:lastColumn="0" w:oddVBand="0" w:evenVBand="0" w:oddHBand="1" w:evenHBand="0" w:firstRowFirstColumn="0" w:firstRowLastColumn="0" w:lastRowFirstColumn="0" w:lastRowLastColumn="0"/>
            </w:pPr>
            <w:r w:rsidRPr="00E45508">
              <w:t>35</w:t>
            </w:r>
          </w:p>
        </w:tc>
        <w:tc>
          <w:tcPr>
            <w:tcW w:w="2312" w:type="dxa"/>
          </w:tcPr>
          <w:p w14:paraId="29B2E1DE" w14:textId="74CADC7B" w:rsidR="00954EAB" w:rsidRPr="00E45508" w:rsidRDefault="00954EAB" w:rsidP="00E11380">
            <w:pPr>
              <w:pStyle w:val="Tabletext0"/>
              <w:jc w:val="right"/>
              <w:cnfStyle w:val="000000100000" w:firstRow="0" w:lastRow="0" w:firstColumn="0" w:lastColumn="0" w:oddVBand="0" w:evenVBand="0" w:oddHBand="1" w:evenHBand="0" w:firstRowFirstColumn="0" w:firstRowLastColumn="0" w:lastRowFirstColumn="0" w:lastRowLastColumn="0"/>
            </w:pPr>
            <w:r w:rsidRPr="00E45508">
              <w:t>13</w:t>
            </w:r>
          </w:p>
        </w:tc>
      </w:tr>
      <w:tr w:rsidR="00954EAB" w:rsidRPr="00E45508" w14:paraId="55B6373F" w14:textId="77777777" w:rsidTr="00B002D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B7266CE" w14:textId="77777777" w:rsidR="00954EAB" w:rsidRPr="00E45508" w:rsidRDefault="00954EAB" w:rsidP="00954EAB">
            <w:pPr>
              <w:pStyle w:val="Tabletext0"/>
            </w:pPr>
          </w:p>
        </w:tc>
        <w:tc>
          <w:tcPr>
            <w:tcW w:w="2772" w:type="dxa"/>
          </w:tcPr>
          <w:p w14:paraId="2EDED357" w14:textId="26E9A253" w:rsidR="00954EAB" w:rsidRPr="00E45508" w:rsidRDefault="00954EAB" w:rsidP="00954EAB">
            <w:pPr>
              <w:pStyle w:val="Tabletext0"/>
              <w:cnfStyle w:val="000000000000" w:firstRow="0" w:lastRow="0" w:firstColumn="0" w:lastColumn="0" w:oddVBand="0" w:evenVBand="0" w:oddHBand="0" w:evenHBand="0" w:firstRowFirstColumn="0" w:firstRowLastColumn="0" w:lastRowFirstColumn="0" w:lastRowLastColumn="0"/>
            </w:pPr>
            <w:r w:rsidRPr="00E45508">
              <w:t>Aluminium: non-food grade</w:t>
            </w:r>
          </w:p>
        </w:tc>
        <w:tc>
          <w:tcPr>
            <w:tcW w:w="949" w:type="dxa"/>
          </w:tcPr>
          <w:p w14:paraId="355E76AA" w14:textId="70824B39" w:rsidR="00954EAB" w:rsidRPr="00E45508" w:rsidRDefault="00954EAB" w:rsidP="00954EAB">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2312" w:type="dxa"/>
          </w:tcPr>
          <w:p w14:paraId="03FB2B3B" w14:textId="14E09F42" w:rsidR="00954EAB" w:rsidRPr="00E45508" w:rsidRDefault="00954EAB" w:rsidP="00954EAB">
            <w:pPr>
              <w:pStyle w:val="Tabletext0"/>
              <w:jc w:val="right"/>
              <w:cnfStyle w:val="000000000000" w:firstRow="0" w:lastRow="0" w:firstColumn="0" w:lastColumn="0" w:oddVBand="0" w:evenVBand="0" w:oddHBand="0" w:evenHBand="0" w:firstRowFirstColumn="0" w:firstRowLastColumn="0" w:lastRowFirstColumn="0" w:lastRowLastColumn="0"/>
            </w:pPr>
            <w:r w:rsidRPr="00E45508">
              <w:t>6</w:t>
            </w:r>
          </w:p>
        </w:tc>
      </w:tr>
      <w:tr w:rsidR="00954EAB" w:rsidRPr="00E45508" w14:paraId="78F6E821" w14:textId="77777777" w:rsidTr="00B002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E6A977E" w14:textId="77777777" w:rsidR="00954EAB" w:rsidRPr="00E45508" w:rsidRDefault="00954EAB" w:rsidP="00954EAB">
            <w:pPr>
              <w:pStyle w:val="Tabletext0"/>
            </w:pPr>
          </w:p>
        </w:tc>
        <w:tc>
          <w:tcPr>
            <w:tcW w:w="2772" w:type="dxa"/>
          </w:tcPr>
          <w:p w14:paraId="4A428621" w14:textId="6C050618" w:rsidR="00954EAB" w:rsidRPr="00E45508" w:rsidRDefault="00954EAB" w:rsidP="00954EAB">
            <w:pPr>
              <w:pStyle w:val="Tabletext0"/>
              <w:cnfStyle w:val="000000100000" w:firstRow="0" w:lastRow="0" w:firstColumn="0" w:lastColumn="0" w:oddVBand="0" w:evenVBand="0" w:oddHBand="1" w:evenHBand="0" w:firstRowFirstColumn="0" w:firstRowLastColumn="0" w:lastRowFirstColumn="0" w:lastRowLastColumn="0"/>
            </w:pPr>
            <w:r w:rsidRPr="00E45508">
              <w:t>Aluminium: food grade</w:t>
            </w:r>
          </w:p>
        </w:tc>
        <w:tc>
          <w:tcPr>
            <w:tcW w:w="949" w:type="dxa"/>
          </w:tcPr>
          <w:p w14:paraId="75207328" w14:textId="518CB72D" w:rsidR="00954EAB" w:rsidRPr="00E45508" w:rsidRDefault="00954EAB" w:rsidP="00954EAB">
            <w:pPr>
              <w:pStyle w:val="Tabletext0"/>
              <w:jc w:val="right"/>
              <w:cnfStyle w:val="000000100000" w:firstRow="0" w:lastRow="0" w:firstColumn="0" w:lastColumn="0" w:oddVBand="0" w:evenVBand="0" w:oddHBand="1" w:evenHBand="0" w:firstRowFirstColumn="0" w:firstRowLastColumn="0" w:lastRowFirstColumn="0" w:lastRowLastColumn="0"/>
            </w:pPr>
            <w:r w:rsidRPr="00E45508">
              <w:t>-</w:t>
            </w:r>
          </w:p>
        </w:tc>
        <w:tc>
          <w:tcPr>
            <w:tcW w:w="2312" w:type="dxa"/>
          </w:tcPr>
          <w:p w14:paraId="78EEB732" w14:textId="27DBC18C" w:rsidR="00954EAB" w:rsidRPr="00E45508" w:rsidRDefault="00954EAB" w:rsidP="00954EAB">
            <w:pPr>
              <w:pStyle w:val="Tabletext0"/>
              <w:jc w:val="right"/>
              <w:cnfStyle w:val="000000100000" w:firstRow="0" w:lastRow="0" w:firstColumn="0" w:lastColumn="0" w:oddVBand="0" w:evenVBand="0" w:oddHBand="1" w:evenHBand="0" w:firstRowFirstColumn="0" w:firstRowLastColumn="0" w:lastRowFirstColumn="0" w:lastRowLastColumn="0"/>
            </w:pPr>
            <w:r w:rsidRPr="00E45508">
              <w:t>24</w:t>
            </w:r>
          </w:p>
        </w:tc>
      </w:tr>
      <w:tr w:rsidR="00954EAB" w:rsidRPr="00E45508" w14:paraId="3A42C4F4" w14:textId="77777777" w:rsidTr="00B002D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312E41F" w14:textId="77777777" w:rsidR="00954EAB" w:rsidRPr="00E45508" w:rsidRDefault="00954EAB" w:rsidP="00954EAB">
            <w:pPr>
              <w:pStyle w:val="Tabletext0"/>
            </w:pPr>
          </w:p>
        </w:tc>
        <w:tc>
          <w:tcPr>
            <w:tcW w:w="2772" w:type="dxa"/>
          </w:tcPr>
          <w:p w14:paraId="56C6392D" w14:textId="17C7AC8D" w:rsidR="00954EAB" w:rsidRPr="00E45508" w:rsidRDefault="00954EAB" w:rsidP="00954EAB">
            <w:pPr>
              <w:pStyle w:val="Tabletext0"/>
              <w:cnfStyle w:val="000000000000" w:firstRow="0" w:lastRow="0" w:firstColumn="0" w:lastColumn="0" w:oddVBand="0" w:evenVBand="0" w:oddHBand="0" w:evenHBand="0" w:firstRowFirstColumn="0" w:firstRowLastColumn="0" w:lastRowFirstColumn="0" w:lastRowLastColumn="0"/>
            </w:pPr>
            <w:r w:rsidRPr="00E45508">
              <w:t>Steel: non-food grade</w:t>
            </w:r>
          </w:p>
        </w:tc>
        <w:tc>
          <w:tcPr>
            <w:tcW w:w="949" w:type="dxa"/>
          </w:tcPr>
          <w:p w14:paraId="0D8C4ADE" w14:textId="1E5C21BA" w:rsidR="00954EAB" w:rsidRPr="00E45508" w:rsidRDefault="00954EAB" w:rsidP="00954EAB">
            <w:pPr>
              <w:pStyle w:val="Tabletext0"/>
              <w:jc w:val="right"/>
              <w:cnfStyle w:val="000000000000" w:firstRow="0" w:lastRow="0" w:firstColumn="0" w:lastColumn="0" w:oddVBand="0" w:evenVBand="0" w:oddHBand="0" w:evenHBand="0" w:firstRowFirstColumn="0" w:firstRowLastColumn="0" w:lastRowFirstColumn="0" w:lastRowLastColumn="0"/>
            </w:pPr>
            <w:r w:rsidRPr="00E45508">
              <w:t>-</w:t>
            </w:r>
          </w:p>
        </w:tc>
        <w:tc>
          <w:tcPr>
            <w:tcW w:w="2312" w:type="dxa"/>
          </w:tcPr>
          <w:p w14:paraId="5A20E01E" w14:textId="00BDF690" w:rsidR="00954EAB" w:rsidRPr="00E45508" w:rsidRDefault="00954EAB" w:rsidP="00954EAB">
            <w:pPr>
              <w:pStyle w:val="Tabletext0"/>
              <w:jc w:val="right"/>
              <w:cnfStyle w:val="000000000000" w:firstRow="0" w:lastRow="0" w:firstColumn="0" w:lastColumn="0" w:oddVBand="0" w:evenVBand="0" w:oddHBand="0" w:evenHBand="0" w:firstRowFirstColumn="0" w:firstRowLastColumn="0" w:lastRowFirstColumn="0" w:lastRowLastColumn="0"/>
            </w:pPr>
            <w:r w:rsidRPr="00E45508">
              <w:t>12</w:t>
            </w:r>
          </w:p>
        </w:tc>
      </w:tr>
      <w:tr w:rsidR="00954EAB" w:rsidRPr="00E45508" w14:paraId="5600E83A" w14:textId="77777777" w:rsidTr="00B002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42A468A" w14:textId="77777777" w:rsidR="00954EAB" w:rsidRPr="00E45508" w:rsidRDefault="00954EAB" w:rsidP="00954EAB">
            <w:pPr>
              <w:pStyle w:val="Tabletext0"/>
            </w:pPr>
          </w:p>
        </w:tc>
        <w:tc>
          <w:tcPr>
            <w:tcW w:w="2772" w:type="dxa"/>
          </w:tcPr>
          <w:p w14:paraId="44E1101F" w14:textId="62334B01" w:rsidR="00954EAB" w:rsidRPr="00E45508" w:rsidRDefault="00954EAB" w:rsidP="00954EAB">
            <w:pPr>
              <w:pStyle w:val="Tabletext0"/>
              <w:cnfStyle w:val="000000100000" w:firstRow="0" w:lastRow="0" w:firstColumn="0" w:lastColumn="0" w:oddVBand="0" w:evenVBand="0" w:oddHBand="1" w:evenHBand="0" w:firstRowFirstColumn="0" w:firstRowLastColumn="0" w:lastRowFirstColumn="0" w:lastRowLastColumn="0"/>
            </w:pPr>
            <w:r w:rsidRPr="00E45508">
              <w:t>Steel: food grade</w:t>
            </w:r>
          </w:p>
        </w:tc>
        <w:tc>
          <w:tcPr>
            <w:tcW w:w="949" w:type="dxa"/>
          </w:tcPr>
          <w:p w14:paraId="093455FF" w14:textId="4F869105" w:rsidR="00954EAB" w:rsidRPr="00E45508" w:rsidRDefault="00954EAB" w:rsidP="00954EAB">
            <w:pPr>
              <w:pStyle w:val="Tabletext0"/>
              <w:jc w:val="right"/>
              <w:cnfStyle w:val="000000100000" w:firstRow="0" w:lastRow="0" w:firstColumn="0" w:lastColumn="0" w:oddVBand="0" w:evenVBand="0" w:oddHBand="1" w:evenHBand="0" w:firstRowFirstColumn="0" w:firstRowLastColumn="0" w:lastRowFirstColumn="0" w:lastRowLastColumn="0"/>
            </w:pPr>
            <w:r w:rsidRPr="00E45508">
              <w:t>-</w:t>
            </w:r>
          </w:p>
        </w:tc>
        <w:tc>
          <w:tcPr>
            <w:tcW w:w="2312" w:type="dxa"/>
          </w:tcPr>
          <w:p w14:paraId="37D3DE38" w14:textId="12A89695" w:rsidR="00954EAB" w:rsidRPr="00E45508" w:rsidRDefault="00954EAB" w:rsidP="00954EAB">
            <w:pPr>
              <w:pStyle w:val="Tabletext0"/>
              <w:jc w:val="right"/>
              <w:cnfStyle w:val="000000100000" w:firstRow="0" w:lastRow="0" w:firstColumn="0" w:lastColumn="0" w:oddVBand="0" w:evenVBand="0" w:oddHBand="1" w:evenHBand="0" w:firstRowFirstColumn="0" w:firstRowLastColumn="0" w:lastRowFirstColumn="0" w:lastRowLastColumn="0"/>
            </w:pPr>
            <w:r w:rsidRPr="00E45508">
              <w:t>7</w:t>
            </w:r>
          </w:p>
        </w:tc>
      </w:tr>
    </w:tbl>
    <w:p w14:paraId="1999AA31" w14:textId="77777777" w:rsidR="003761F4" w:rsidRPr="00E45508" w:rsidRDefault="003761F4" w:rsidP="00775526"/>
    <w:p w14:paraId="78952D69" w14:textId="056CF45B" w:rsidR="0018745B" w:rsidRPr="00E45508" w:rsidRDefault="0018745B" w:rsidP="0018745B">
      <w:pPr>
        <w:pStyle w:val="Caption"/>
      </w:pPr>
      <w:bookmarkStart w:id="204" w:name="_Ref177645505"/>
      <w:bookmarkStart w:id="205" w:name="_Toc178229382"/>
      <w:r w:rsidRPr="00E45508">
        <w:t xml:space="preserve">Table </w:t>
      </w:r>
      <w:r w:rsidRPr="00E45508">
        <w:fldChar w:fldCharType="begin"/>
      </w:r>
      <w:r w:rsidRPr="00E45508">
        <w:instrText xml:space="preserve"> SEQ Table \* ARABIC </w:instrText>
      </w:r>
      <w:r w:rsidRPr="00E45508">
        <w:fldChar w:fldCharType="separate"/>
      </w:r>
      <w:r w:rsidR="009A2EC4">
        <w:rPr>
          <w:noProof/>
        </w:rPr>
        <w:t>19</w:t>
      </w:r>
      <w:r w:rsidRPr="00E45508">
        <w:fldChar w:fldCharType="end"/>
      </w:r>
      <w:bookmarkEnd w:id="204"/>
      <w:r w:rsidRPr="00E45508">
        <w:t xml:space="preserve">: EU proposed minimum post-consumer recycled content thresholds for </w:t>
      </w:r>
      <w:r w:rsidR="00492CA6" w:rsidRPr="00E45508">
        <w:t>plastic packaging</w:t>
      </w:r>
      <w:bookmarkEnd w:id="205"/>
    </w:p>
    <w:tbl>
      <w:tblPr>
        <w:tblStyle w:val="PlainTable2"/>
        <w:tblW w:w="0" w:type="auto"/>
        <w:tblLook w:val="0420" w:firstRow="1" w:lastRow="0" w:firstColumn="0" w:lastColumn="0" w:noHBand="0" w:noVBand="1"/>
      </w:tblPr>
      <w:tblGrid>
        <w:gridCol w:w="2290"/>
        <w:gridCol w:w="938"/>
        <w:gridCol w:w="938"/>
      </w:tblGrid>
      <w:tr w:rsidR="00492CA6" w:rsidRPr="00E45508" w14:paraId="58AD1E1A" w14:textId="77777777" w:rsidTr="00492CA6">
        <w:trPr>
          <w:cnfStyle w:val="100000000000" w:firstRow="1" w:lastRow="0" w:firstColumn="0" w:lastColumn="0" w:oddVBand="0" w:evenVBand="0" w:oddHBand="0" w:evenHBand="0" w:firstRowFirstColumn="0" w:firstRowLastColumn="0" w:lastRowFirstColumn="0" w:lastRowLastColumn="0"/>
          <w:trHeight w:val="300"/>
        </w:trPr>
        <w:tc>
          <w:tcPr>
            <w:tcW w:w="0" w:type="auto"/>
          </w:tcPr>
          <w:p w14:paraId="19A3B654" w14:textId="77777777" w:rsidR="00492CA6" w:rsidRPr="00E45508" w:rsidRDefault="00492CA6">
            <w:pPr>
              <w:pStyle w:val="Tabletext0"/>
            </w:pPr>
            <w:r w:rsidRPr="00E45508">
              <w:t>Category and application</w:t>
            </w:r>
          </w:p>
        </w:tc>
        <w:tc>
          <w:tcPr>
            <w:tcW w:w="0" w:type="auto"/>
          </w:tcPr>
          <w:p w14:paraId="38966A04" w14:textId="1FD58AF6" w:rsidR="00492CA6" w:rsidRPr="00E45508" w:rsidRDefault="00492CA6">
            <w:pPr>
              <w:pStyle w:val="Tabletext0"/>
            </w:pPr>
            <w:r w:rsidRPr="00E45508">
              <w:t>2030 (%)</w:t>
            </w:r>
          </w:p>
        </w:tc>
        <w:tc>
          <w:tcPr>
            <w:tcW w:w="0" w:type="auto"/>
          </w:tcPr>
          <w:p w14:paraId="7D6DE973" w14:textId="76507C06" w:rsidR="00492CA6" w:rsidRPr="00E45508" w:rsidRDefault="00492CA6">
            <w:pPr>
              <w:pStyle w:val="Tabletext0"/>
            </w:pPr>
            <w:r w:rsidRPr="00E45508">
              <w:t>2040 (%)</w:t>
            </w:r>
          </w:p>
        </w:tc>
      </w:tr>
      <w:tr w:rsidR="00492CA6" w:rsidRPr="00E45508" w14:paraId="0CEF2DB9" w14:textId="77777777" w:rsidTr="00492CA6">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3F6E3E1D" w14:textId="77777777" w:rsidR="00492CA6" w:rsidRPr="00E45508" w:rsidRDefault="00492CA6" w:rsidP="0018745B">
            <w:pPr>
              <w:pStyle w:val="Tabletext0"/>
            </w:pPr>
            <w:r w:rsidRPr="00E45508">
              <w:t>PET: non-food grade</w:t>
            </w:r>
          </w:p>
        </w:tc>
        <w:tc>
          <w:tcPr>
            <w:tcW w:w="0" w:type="auto"/>
            <w:vAlign w:val="center"/>
          </w:tcPr>
          <w:p w14:paraId="0351A45F" w14:textId="51554447" w:rsidR="00492CA6" w:rsidRPr="00E45508" w:rsidRDefault="00492CA6" w:rsidP="0018745B">
            <w:pPr>
              <w:pStyle w:val="Tabletext0"/>
              <w:jc w:val="right"/>
            </w:pPr>
            <w:r w:rsidRPr="00E45508">
              <w:t>35</w:t>
            </w:r>
          </w:p>
        </w:tc>
        <w:tc>
          <w:tcPr>
            <w:tcW w:w="0" w:type="auto"/>
            <w:vAlign w:val="center"/>
          </w:tcPr>
          <w:p w14:paraId="6E1B8F13" w14:textId="791A3443" w:rsidR="00492CA6" w:rsidRPr="00E45508" w:rsidRDefault="00492CA6" w:rsidP="0018745B">
            <w:pPr>
              <w:pStyle w:val="Tabletext0"/>
              <w:jc w:val="right"/>
            </w:pPr>
            <w:r w:rsidRPr="00E45508">
              <w:rPr>
                <w:rFonts w:eastAsia="Calibri"/>
              </w:rPr>
              <w:t>65</w:t>
            </w:r>
          </w:p>
        </w:tc>
      </w:tr>
      <w:tr w:rsidR="00492CA6" w:rsidRPr="00E45508" w14:paraId="56E1833F" w14:textId="77777777" w:rsidTr="00492CA6">
        <w:trPr>
          <w:trHeight w:val="300"/>
        </w:trPr>
        <w:tc>
          <w:tcPr>
            <w:tcW w:w="0" w:type="auto"/>
          </w:tcPr>
          <w:p w14:paraId="47A81ED5" w14:textId="77777777" w:rsidR="00492CA6" w:rsidRPr="00E45508" w:rsidRDefault="00492CA6" w:rsidP="0018745B">
            <w:pPr>
              <w:pStyle w:val="Tabletext0"/>
            </w:pPr>
            <w:r w:rsidRPr="00E45508">
              <w:t>PET: food grade</w:t>
            </w:r>
          </w:p>
        </w:tc>
        <w:tc>
          <w:tcPr>
            <w:tcW w:w="0" w:type="auto"/>
            <w:vAlign w:val="center"/>
          </w:tcPr>
          <w:p w14:paraId="17B3B077" w14:textId="194C0CBA" w:rsidR="00492CA6" w:rsidRPr="00E45508" w:rsidRDefault="00492CA6" w:rsidP="0018745B">
            <w:pPr>
              <w:pStyle w:val="Tabletext0"/>
              <w:jc w:val="right"/>
            </w:pPr>
            <w:r w:rsidRPr="00E45508">
              <w:t>30</w:t>
            </w:r>
          </w:p>
        </w:tc>
        <w:tc>
          <w:tcPr>
            <w:tcW w:w="0" w:type="auto"/>
            <w:vAlign w:val="center"/>
          </w:tcPr>
          <w:p w14:paraId="63858BF6" w14:textId="75CD5E68" w:rsidR="00492CA6" w:rsidRPr="00E45508" w:rsidRDefault="00492CA6" w:rsidP="0018745B">
            <w:pPr>
              <w:pStyle w:val="Tabletext0"/>
              <w:jc w:val="right"/>
            </w:pPr>
            <w:r w:rsidRPr="00E45508">
              <w:rPr>
                <w:rFonts w:eastAsia="Calibri"/>
              </w:rPr>
              <w:t>50</w:t>
            </w:r>
          </w:p>
        </w:tc>
      </w:tr>
      <w:tr w:rsidR="00492CA6" w:rsidRPr="00E45508" w14:paraId="48F9F6BA" w14:textId="77777777" w:rsidTr="00492CA6">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3340CB87" w14:textId="77777777" w:rsidR="00492CA6" w:rsidRPr="00E45508" w:rsidRDefault="00492CA6" w:rsidP="0018745B">
            <w:pPr>
              <w:pStyle w:val="Tabletext0"/>
            </w:pPr>
            <w:r w:rsidRPr="00E45508">
              <w:t>HDPE: non-food grade</w:t>
            </w:r>
          </w:p>
        </w:tc>
        <w:tc>
          <w:tcPr>
            <w:tcW w:w="0" w:type="auto"/>
            <w:vAlign w:val="center"/>
          </w:tcPr>
          <w:p w14:paraId="57CCC99E" w14:textId="6E94641B" w:rsidR="00492CA6" w:rsidRPr="00E45508" w:rsidRDefault="00492CA6" w:rsidP="0018745B">
            <w:pPr>
              <w:pStyle w:val="Tabletext0"/>
              <w:jc w:val="right"/>
            </w:pPr>
            <w:r w:rsidRPr="00E45508">
              <w:t>35</w:t>
            </w:r>
          </w:p>
        </w:tc>
        <w:tc>
          <w:tcPr>
            <w:tcW w:w="0" w:type="auto"/>
            <w:vAlign w:val="center"/>
          </w:tcPr>
          <w:p w14:paraId="665F887D" w14:textId="720A1F88" w:rsidR="00492CA6" w:rsidRPr="00E45508" w:rsidRDefault="00492CA6" w:rsidP="0018745B">
            <w:pPr>
              <w:pStyle w:val="Tabletext0"/>
              <w:jc w:val="right"/>
            </w:pPr>
            <w:r w:rsidRPr="00E45508">
              <w:rPr>
                <w:rFonts w:eastAsia="Calibri"/>
              </w:rPr>
              <w:t>65</w:t>
            </w:r>
          </w:p>
        </w:tc>
      </w:tr>
      <w:tr w:rsidR="00492CA6" w:rsidRPr="00E45508" w14:paraId="0E37C138" w14:textId="77777777" w:rsidTr="00492CA6">
        <w:trPr>
          <w:trHeight w:val="300"/>
        </w:trPr>
        <w:tc>
          <w:tcPr>
            <w:tcW w:w="0" w:type="auto"/>
          </w:tcPr>
          <w:p w14:paraId="6790EE0B" w14:textId="77777777" w:rsidR="00492CA6" w:rsidRPr="00E45508" w:rsidRDefault="00492CA6" w:rsidP="0018745B">
            <w:pPr>
              <w:pStyle w:val="Tabletext0"/>
            </w:pPr>
            <w:r w:rsidRPr="00E45508">
              <w:t>HDPE: food grade</w:t>
            </w:r>
          </w:p>
        </w:tc>
        <w:tc>
          <w:tcPr>
            <w:tcW w:w="0" w:type="auto"/>
            <w:vAlign w:val="center"/>
          </w:tcPr>
          <w:p w14:paraId="3E0912AF" w14:textId="0A0A99D7" w:rsidR="00492CA6" w:rsidRPr="00E45508" w:rsidRDefault="00492CA6" w:rsidP="0018745B">
            <w:pPr>
              <w:pStyle w:val="Tabletext0"/>
              <w:jc w:val="right"/>
            </w:pPr>
            <w:r w:rsidRPr="00E45508">
              <w:t>10</w:t>
            </w:r>
          </w:p>
        </w:tc>
        <w:tc>
          <w:tcPr>
            <w:tcW w:w="0" w:type="auto"/>
            <w:vAlign w:val="center"/>
          </w:tcPr>
          <w:p w14:paraId="7D1E929F" w14:textId="019AC5EF" w:rsidR="00492CA6" w:rsidRPr="00E45508" w:rsidRDefault="00492CA6" w:rsidP="0018745B">
            <w:pPr>
              <w:pStyle w:val="Tabletext0"/>
              <w:jc w:val="right"/>
            </w:pPr>
            <w:r w:rsidRPr="00E45508">
              <w:rPr>
                <w:rFonts w:eastAsia="Calibri"/>
              </w:rPr>
              <w:t>25</w:t>
            </w:r>
          </w:p>
        </w:tc>
      </w:tr>
      <w:tr w:rsidR="00492CA6" w:rsidRPr="00E45508" w14:paraId="1E653407" w14:textId="77777777" w:rsidTr="00492CA6">
        <w:trPr>
          <w:cnfStyle w:val="000000100000" w:firstRow="0" w:lastRow="0" w:firstColumn="0" w:lastColumn="0" w:oddVBand="0" w:evenVBand="0" w:oddHBand="1" w:evenHBand="0" w:firstRowFirstColumn="0" w:firstRowLastColumn="0" w:lastRowFirstColumn="0" w:lastRowLastColumn="0"/>
          <w:trHeight w:val="540"/>
        </w:trPr>
        <w:tc>
          <w:tcPr>
            <w:tcW w:w="0" w:type="auto"/>
          </w:tcPr>
          <w:p w14:paraId="636C8604" w14:textId="77777777" w:rsidR="00492CA6" w:rsidRPr="00E45508" w:rsidRDefault="00492CA6" w:rsidP="0018745B">
            <w:pPr>
              <w:pStyle w:val="Tabletext0"/>
            </w:pPr>
            <w:r w:rsidRPr="00E45508">
              <w:t>LDPE: non-food grade</w:t>
            </w:r>
          </w:p>
        </w:tc>
        <w:tc>
          <w:tcPr>
            <w:tcW w:w="0" w:type="auto"/>
            <w:vAlign w:val="center"/>
          </w:tcPr>
          <w:p w14:paraId="555E2018" w14:textId="30D2D64F" w:rsidR="00492CA6" w:rsidRPr="00E45508" w:rsidRDefault="00492CA6" w:rsidP="0018745B">
            <w:pPr>
              <w:pStyle w:val="Tabletext0"/>
              <w:jc w:val="right"/>
            </w:pPr>
            <w:r w:rsidRPr="00E45508">
              <w:t>35</w:t>
            </w:r>
          </w:p>
        </w:tc>
        <w:tc>
          <w:tcPr>
            <w:tcW w:w="0" w:type="auto"/>
            <w:vAlign w:val="center"/>
          </w:tcPr>
          <w:p w14:paraId="17020DFD" w14:textId="44E56430" w:rsidR="00492CA6" w:rsidRPr="00E45508" w:rsidRDefault="00492CA6" w:rsidP="0018745B">
            <w:pPr>
              <w:pStyle w:val="Tabletext0"/>
              <w:jc w:val="right"/>
            </w:pPr>
            <w:r w:rsidRPr="00E45508">
              <w:rPr>
                <w:rFonts w:eastAsia="Calibri"/>
              </w:rPr>
              <w:t>65</w:t>
            </w:r>
          </w:p>
        </w:tc>
      </w:tr>
      <w:tr w:rsidR="00492CA6" w:rsidRPr="00E45508" w14:paraId="2AC66F1E" w14:textId="77777777" w:rsidTr="00492CA6">
        <w:trPr>
          <w:trHeight w:val="540"/>
        </w:trPr>
        <w:tc>
          <w:tcPr>
            <w:tcW w:w="0" w:type="auto"/>
          </w:tcPr>
          <w:p w14:paraId="5BBC3619" w14:textId="77777777" w:rsidR="00492CA6" w:rsidRPr="00E45508" w:rsidRDefault="00492CA6" w:rsidP="0018745B">
            <w:pPr>
              <w:pStyle w:val="Tabletext0"/>
            </w:pPr>
            <w:r w:rsidRPr="00E45508">
              <w:t>LDPE: food grade</w:t>
            </w:r>
          </w:p>
        </w:tc>
        <w:tc>
          <w:tcPr>
            <w:tcW w:w="0" w:type="auto"/>
            <w:vAlign w:val="center"/>
          </w:tcPr>
          <w:p w14:paraId="5E743EC9" w14:textId="7AC71ECA" w:rsidR="00492CA6" w:rsidRPr="00E45508" w:rsidRDefault="00492CA6" w:rsidP="0018745B">
            <w:pPr>
              <w:pStyle w:val="Tabletext0"/>
              <w:jc w:val="right"/>
            </w:pPr>
            <w:r w:rsidRPr="00E45508">
              <w:t>10</w:t>
            </w:r>
          </w:p>
        </w:tc>
        <w:tc>
          <w:tcPr>
            <w:tcW w:w="0" w:type="auto"/>
            <w:vAlign w:val="center"/>
          </w:tcPr>
          <w:p w14:paraId="2C999FD4" w14:textId="2EFAB239" w:rsidR="00492CA6" w:rsidRPr="00E45508" w:rsidRDefault="00492CA6" w:rsidP="0018745B">
            <w:pPr>
              <w:pStyle w:val="Tabletext0"/>
              <w:jc w:val="right"/>
            </w:pPr>
            <w:r w:rsidRPr="00E45508">
              <w:rPr>
                <w:rFonts w:eastAsia="Calibri"/>
              </w:rPr>
              <w:t>25</w:t>
            </w:r>
          </w:p>
        </w:tc>
      </w:tr>
      <w:tr w:rsidR="00492CA6" w:rsidRPr="00E45508" w14:paraId="55569A12" w14:textId="77777777" w:rsidTr="00492CA6">
        <w:trPr>
          <w:cnfStyle w:val="000000100000" w:firstRow="0" w:lastRow="0" w:firstColumn="0" w:lastColumn="0" w:oddVBand="0" w:evenVBand="0" w:oddHBand="1" w:evenHBand="0" w:firstRowFirstColumn="0" w:firstRowLastColumn="0" w:lastRowFirstColumn="0" w:lastRowLastColumn="0"/>
          <w:trHeight w:val="540"/>
        </w:trPr>
        <w:tc>
          <w:tcPr>
            <w:tcW w:w="0" w:type="auto"/>
          </w:tcPr>
          <w:p w14:paraId="65EAF582" w14:textId="77777777" w:rsidR="00492CA6" w:rsidRPr="00E45508" w:rsidRDefault="00492CA6" w:rsidP="0018745B">
            <w:pPr>
              <w:pStyle w:val="Tabletext0"/>
            </w:pPr>
            <w:r w:rsidRPr="00E45508">
              <w:t>PP: non-food grade</w:t>
            </w:r>
          </w:p>
        </w:tc>
        <w:tc>
          <w:tcPr>
            <w:tcW w:w="0" w:type="auto"/>
            <w:vAlign w:val="center"/>
          </w:tcPr>
          <w:p w14:paraId="01D96FB2" w14:textId="64D3C478" w:rsidR="00492CA6" w:rsidRPr="00E45508" w:rsidRDefault="00492CA6" w:rsidP="0018745B">
            <w:pPr>
              <w:pStyle w:val="Tabletext0"/>
              <w:jc w:val="right"/>
            </w:pPr>
            <w:r w:rsidRPr="00E45508">
              <w:t>35</w:t>
            </w:r>
          </w:p>
        </w:tc>
        <w:tc>
          <w:tcPr>
            <w:tcW w:w="0" w:type="auto"/>
            <w:vAlign w:val="center"/>
          </w:tcPr>
          <w:p w14:paraId="0D9EAF9F" w14:textId="4A5A314B" w:rsidR="00492CA6" w:rsidRPr="00E45508" w:rsidRDefault="00492CA6" w:rsidP="0018745B">
            <w:pPr>
              <w:pStyle w:val="Tabletext0"/>
              <w:jc w:val="right"/>
            </w:pPr>
            <w:r w:rsidRPr="00E45508">
              <w:rPr>
                <w:rFonts w:eastAsia="Calibri"/>
              </w:rPr>
              <w:t>65</w:t>
            </w:r>
          </w:p>
        </w:tc>
      </w:tr>
      <w:tr w:rsidR="00492CA6" w:rsidRPr="00E45508" w14:paraId="4261DBFC" w14:textId="77777777" w:rsidTr="00492CA6">
        <w:trPr>
          <w:trHeight w:val="540"/>
        </w:trPr>
        <w:tc>
          <w:tcPr>
            <w:tcW w:w="0" w:type="auto"/>
          </w:tcPr>
          <w:p w14:paraId="150C22FB" w14:textId="77777777" w:rsidR="00492CA6" w:rsidRPr="00E45508" w:rsidRDefault="00492CA6" w:rsidP="0018745B">
            <w:pPr>
              <w:pStyle w:val="Tabletext0"/>
            </w:pPr>
            <w:r w:rsidRPr="00E45508">
              <w:t>PP: food grade</w:t>
            </w:r>
          </w:p>
        </w:tc>
        <w:tc>
          <w:tcPr>
            <w:tcW w:w="0" w:type="auto"/>
            <w:vAlign w:val="center"/>
          </w:tcPr>
          <w:p w14:paraId="0DA6C5F0" w14:textId="0C465105" w:rsidR="00492CA6" w:rsidRPr="00E45508" w:rsidRDefault="00492CA6" w:rsidP="0018745B">
            <w:pPr>
              <w:pStyle w:val="Tabletext0"/>
              <w:jc w:val="right"/>
            </w:pPr>
            <w:r w:rsidRPr="00E45508">
              <w:t>10</w:t>
            </w:r>
          </w:p>
        </w:tc>
        <w:tc>
          <w:tcPr>
            <w:tcW w:w="0" w:type="auto"/>
            <w:vAlign w:val="center"/>
          </w:tcPr>
          <w:p w14:paraId="520437FE" w14:textId="6CA77C8B" w:rsidR="00492CA6" w:rsidRPr="00E45508" w:rsidRDefault="00492CA6" w:rsidP="0018745B">
            <w:pPr>
              <w:pStyle w:val="Tabletext0"/>
              <w:jc w:val="right"/>
            </w:pPr>
            <w:r w:rsidRPr="00E45508">
              <w:rPr>
                <w:rFonts w:eastAsia="Calibri"/>
              </w:rPr>
              <w:t>25</w:t>
            </w:r>
          </w:p>
        </w:tc>
      </w:tr>
      <w:tr w:rsidR="00492CA6" w:rsidRPr="00E45508" w14:paraId="771E1842" w14:textId="77777777" w:rsidTr="00492CA6">
        <w:trPr>
          <w:cnfStyle w:val="000000100000" w:firstRow="0" w:lastRow="0" w:firstColumn="0" w:lastColumn="0" w:oddVBand="0" w:evenVBand="0" w:oddHBand="1" w:evenHBand="0" w:firstRowFirstColumn="0" w:firstRowLastColumn="0" w:lastRowFirstColumn="0" w:lastRowLastColumn="0"/>
          <w:trHeight w:val="375"/>
        </w:trPr>
        <w:tc>
          <w:tcPr>
            <w:tcW w:w="0" w:type="auto"/>
          </w:tcPr>
          <w:p w14:paraId="43113AF9" w14:textId="77777777" w:rsidR="00492CA6" w:rsidRPr="00E45508" w:rsidRDefault="00492CA6" w:rsidP="0018745B">
            <w:pPr>
              <w:pStyle w:val="Tabletext0"/>
            </w:pPr>
            <w:r w:rsidRPr="00E45508">
              <w:t>Other: non-food grade</w:t>
            </w:r>
          </w:p>
        </w:tc>
        <w:tc>
          <w:tcPr>
            <w:tcW w:w="0" w:type="auto"/>
            <w:vAlign w:val="center"/>
          </w:tcPr>
          <w:p w14:paraId="07103448" w14:textId="73681DB2" w:rsidR="00492CA6" w:rsidRPr="00E45508" w:rsidRDefault="00492CA6" w:rsidP="0018745B">
            <w:pPr>
              <w:pStyle w:val="Tabletext0"/>
              <w:jc w:val="right"/>
            </w:pPr>
            <w:r w:rsidRPr="00E45508">
              <w:t>35</w:t>
            </w:r>
          </w:p>
        </w:tc>
        <w:tc>
          <w:tcPr>
            <w:tcW w:w="0" w:type="auto"/>
            <w:vAlign w:val="center"/>
          </w:tcPr>
          <w:p w14:paraId="13B26F1F" w14:textId="765BF904" w:rsidR="00492CA6" w:rsidRPr="00E45508" w:rsidRDefault="00492CA6" w:rsidP="0018745B">
            <w:pPr>
              <w:pStyle w:val="Tabletext0"/>
              <w:jc w:val="right"/>
            </w:pPr>
            <w:r w:rsidRPr="00E45508">
              <w:rPr>
                <w:rFonts w:eastAsia="Calibri"/>
              </w:rPr>
              <w:t>65</w:t>
            </w:r>
          </w:p>
        </w:tc>
      </w:tr>
      <w:tr w:rsidR="00492CA6" w:rsidRPr="00E45508" w14:paraId="68C95470" w14:textId="77777777" w:rsidTr="00492CA6">
        <w:trPr>
          <w:trHeight w:val="405"/>
        </w:trPr>
        <w:tc>
          <w:tcPr>
            <w:tcW w:w="0" w:type="auto"/>
          </w:tcPr>
          <w:p w14:paraId="7F365B36" w14:textId="77777777" w:rsidR="00492CA6" w:rsidRPr="00E45508" w:rsidRDefault="00492CA6" w:rsidP="0018745B">
            <w:pPr>
              <w:pStyle w:val="Tabletext0"/>
            </w:pPr>
            <w:r w:rsidRPr="00E45508">
              <w:t>Other: food grade</w:t>
            </w:r>
          </w:p>
        </w:tc>
        <w:tc>
          <w:tcPr>
            <w:tcW w:w="0" w:type="auto"/>
            <w:vAlign w:val="center"/>
          </w:tcPr>
          <w:p w14:paraId="63562CBD" w14:textId="106D8E0E" w:rsidR="00492CA6" w:rsidRPr="00E45508" w:rsidRDefault="00492CA6" w:rsidP="0018745B">
            <w:pPr>
              <w:pStyle w:val="Tabletext0"/>
              <w:jc w:val="right"/>
            </w:pPr>
            <w:r w:rsidRPr="00E45508">
              <w:t>10</w:t>
            </w:r>
          </w:p>
        </w:tc>
        <w:tc>
          <w:tcPr>
            <w:tcW w:w="0" w:type="auto"/>
            <w:vAlign w:val="center"/>
          </w:tcPr>
          <w:p w14:paraId="7BFF2DE4" w14:textId="5F007950" w:rsidR="00492CA6" w:rsidRPr="00E45508" w:rsidRDefault="00492CA6" w:rsidP="0018745B">
            <w:pPr>
              <w:pStyle w:val="Tabletext0"/>
              <w:jc w:val="right"/>
            </w:pPr>
            <w:r w:rsidRPr="00E45508">
              <w:t>25</w:t>
            </w:r>
          </w:p>
        </w:tc>
      </w:tr>
    </w:tbl>
    <w:p w14:paraId="6AFFCC59" w14:textId="77777777" w:rsidR="00FD4BAA" w:rsidRPr="00E45508" w:rsidRDefault="00FD4BAA" w:rsidP="00775526"/>
    <w:p w14:paraId="48F14D90" w14:textId="3D72141C" w:rsidR="415E5C36" w:rsidRPr="00E45508" w:rsidRDefault="595AFCD0">
      <w:r w:rsidRPr="00E45508">
        <w:t xml:space="preserve">Specific recycled content thresholds for soft plastics may </w:t>
      </w:r>
      <w:r w:rsidR="1F30391E" w:rsidRPr="00E45508">
        <w:t xml:space="preserve">also </w:t>
      </w:r>
      <w:r w:rsidRPr="00E45508">
        <w:t>be considered</w:t>
      </w:r>
      <w:r w:rsidR="006C7D15">
        <w:t xml:space="preserve">, </w:t>
      </w:r>
      <w:r w:rsidR="00DD0C06">
        <w:t>supporting actions</w:t>
      </w:r>
      <w:r w:rsidR="005F2568">
        <w:t xml:space="preserve"> on soft plastic, including as part of</w:t>
      </w:r>
      <w:r w:rsidR="00FA3EF0">
        <w:t xml:space="preserve"> the</w:t>
      </w:r>
      <w:r w:rsidRPr="00E45508">
        <w:t xml:space="preserve"> </w:t>
      </w:r>
      <w:r w:rsidRPr="00E45508">
        <w:rPr>
          <w:i/>
          <w:iCs/>
        </w:rPr>
        <w:t xml:space="preserve">Soft plastics pathway </w:t>
      </w:r>
      <w:r w:rsidRPr="00E45508">
        <w:t xml:space="preserve">currently in development by the </w:t>
      </w:r>
      <w:r w:rsidR="41B4B02B" w:rsidRPr="00E45508">
        <w:t xml:space="preserve">Australian, state and territory governments </w:t>
      </w:r>
      <w:r w:rsidR="002222C9">
        <w:t>through</w:t>
      </w:r>
      <w:r w:rsidR="65CBC627" w:rsidRPr="00E45508">
        <w:t xml:space="preserve"> the Kerbside Harmonisation Roadmap</w:t>
      </w:r>
      <w:r w:rsidR="1624215C" w:rsidRPr="00E45508">
        <w:t xml:space="preserve"> (DCCEEW 2024</w:t>
      </w:r>
      <w:r w:rsidR="00AB77E9">
        <w:t>b</w:t>
      </w:r>
      <w:r w:rsidR="1624215C" w:rsidRPr="00E45508">
        <w:t>)</w:t>
      </w:r>
      <w:r w:rsidRPr="00E45508">
        <w:t>.</w:t>
      </w:r>
    </w:p>
    <w:p w14:paraId="7EB9210B" w14:textId="22A45396" w:rsidR="0013041A" w:rsidRPr="00E45508" w:rsidRDefault="78EBCC05" w:rsidP="73B7E202">
      <w:r w:rsidRPr="00E45508">
        <w:t>B</w:t>
      </w:r>
      <w:r w:rsidR="415E5C36" w:rsidRPr="00E45508">
        <w:t>oth pre-consumer and post-consumer recycled content support material circularity. The</w:t>
      </w:r>
      <w:r w:rsidR="57220EEC" w:rsidRPr="00E45508">
        <w:t xml:space="preserve"> proposed thresholds above would</w:t>
      </w:r>
      <w:r w:rsidR="415E5C36" w:rsidRPr="00E45508">
        <w:t xml:space="preserve"> apply to post-consumer recycled content </w:t>
      </w:r>
      <w:r w:rsidR="002743A7" w:rsidRPr="00E45508">
        <w:t xml:space="preserve">only </w:t>
      </w:r>
      <w:r w:rsidR="66363798" w:rsidRPr="00E45508">
        <w:t>to help drive system investment in transforming consumer waste into high value materials. This would</w:t>
      </w:r>
      <w:r w:rsidR="415E5C36" w:rsidRPr="00E45508">
        <w:t xml:space="preserve"> </w:t>
      </w:r>
      <w:r w:rsidR="31FAB4F6" w:rsidRPr="00E45508">
        <w:t>also</w:t>
      </w:r>
      <w:r w:rsidR="415E5C36" w:rsidRPr="00E45508">
        <w:t xml:space="preserve"> align with leading approaches such as the European PPWR</w:t>
      </w:r>
      <w:r w:rsidR="000A5856" w:rsidRPr="00E45508">
        <w:t xml:space="preserve"> (E</w:t>
      </w:r>
      <w:r w:rsidR="00BA7649" w:rsidRPr="00E45508">
        <w:t>uropean Parliament</w:t>
      </w:r>
      <w:r w:rsidR="000A5856" w:rsidRPr="00E45508">
        <w:t xml:space="preserve"> 2024)</w:t>
      </w:r>
      <w:r w:rsidR="415E5C36" w:rsidRPr="00E45508">
        <w:t>.</w:t>
      </w:r>
    </w:p>
    <w:p w14:paraId="672581D7" w14:textId="1CF8BA1B" w:rsidR="00BE2D57" w:rsidRPr="00E45508" w:rsidRDefault="00BE2D57" w:rsidP="73B7E202">
      <w:r w:rsidRPr="00E45508">
        <w:t xml:space="preserve">The department </w:t>
      </w:r>
      <w:r w:rsidR="00680227" w:rsidRPr="00E45508">
        <w:t>may also</w:t>
      </w:r>
      <w:r w:rsidRPr="00E45508">
        <w:t xml:space="preserve"> consider scenarios which may warrant exemptions to </w:t>
      </w:r>
      <w:r w:rsidR="00A52864" w:rsidRPr="00E45508">
        <w:t xml:space="preserve">the </w:t>
      </w:r>
      <w:r w:rsidRPr="00E45508">
        <w:t xml:space="preserve">recycled content </w:t>
      </w:r>
      <w:r w:rsidR="00A23C63" w:rsidRPr="00E45508">
        <w:t>requirements</w:t>
      </w:r>
      <w:r w:rsidRPr="00E45508">
        <w:t>, for example specific packaging types or functions which may be less suited to</w:t>
      </w:r>
      <w:r w:rsidR="00A23C63" w:rsidRPr="00E45508">
        <w:t xml:space="preserve"> </w:t>
      </w:r>
      <w:r w:rsidRPr="00E45508">
        <w:t>recycled content.</w:t>
      </w:r>
    </w:p>
    <w:p w14:paraId="0F02D4B1" w14:textId="77777777" w:rsidR="415E5C36" w:rsidRPr="00E45508" w:rsidRDefault="415E5C36" w:rsidP="00BB325C">
      <w:pPr>
        <w:pStyle w:val="Heading5"/>
        <w:rPr>
          <w:lang w:val="en-AU"/>
        </w:rPr>
      </w:pPr>
      <w:r w:rsidRPr="00E45508">
        <w:rPr>
          <w:lang w:val="en-AU"/>
        </w:rPr>
        <w:t>Recycled content sources</w:t>
      </w:r>
    </w:p>
    <w:p w14:paraId="36C6F359" w14:textId="749919C1" w:rsidR="00A5611D" w:rsidRPr="00E45508" w:rsidRDefault="587C39B6" w:rsidP="7E96A87F">
      <w:r w:rsidRPr="00E45508">
        <w:t>Both domestic and imported recyclate could be used to meet</w:t>
      </w:r>
      <w:r w:rsidR="00AE40D3" w:rsidRPr="00E45508">
        <w:t xml:space="preserve"> </w:t>
      </w:r>
      <w:r w:rsidRPr="00E45508">
        <w:t xml:space="preserve">minimum recycled content </w:t>
      </w:r>
      <w:r w:rsidR="7EFF2971" w:rsidRPr="00E45508">
        <w:t>requirements</w:t>
      </w:r>
      <w:r w:rsidRPr="00E45508">
        <w:t>.</w:t>
      </w:r>
      <w:r w:rsidR="3D42F654" w:rsidRPr="00E45508">
        <w:t xml:space="preserve"> </w:t>
      </w:r>
      <w:r w:rsidR="415E5C36" w:rsidRPr="00E45508">
        <w:t xml:space="preserve">The department </w:t>
      </w:r>
      <w:r w:rsidR="00224942">
        <w:t>could</w:t>
      </w:r>
      <w:r w:rsidR="415E5C36" w:rsidRPr="00E45508">
        <w:t xml:space="preserve"> explore options for supporting the use of domestic recycled content to drive local circularity, while ensuring alignment with international obligations.</w:t>
      </w:r>
    </w:p>
    <w:p w14:paraId="5D71CF35" w14:textId="7999778C" w:rsidR="415E5C36" w:rsidRPr="00E45508" w:rsidRDefault="415E5C36" w:rsidP="00BB325C">
      <w:pPr>
        <w:pStyle w:val="Heading5"/>
        <w:rPr>
          <w:lang w:val="en-AU"/>
        </w:rPr>
      </w:pPr>
      <w:r w:rsidRPr="00E45508">
        <w:rPr>
          <w:lang w:val="en-AU"/>
        </w:rPr>
        <w:t>Recycled content chain of custody</w:t>
      </w:r>
    </w:p>
    <w:p w14:paraId="2C96F8D7" w14:textId="4B93027A" w:rsidR="415E5C36" w:rsidRPr="00E45508" w:rsidRDefault="00DE10FA" w:rsidP="00B73B0B">
      <w:r w:rsidRPr="00E45508">
        <w:t xml:space="preserve">Under </w:t>
      </w:r>
      <w:r w:rsidR="009D2915" w:rsidRPr="00E45508">
        <w:t>O</w:t>
      </w:r>
      <w:r w:rsidRPr="00E45508">
        <w:t>ptions</w:t>
      </w:r>
      <w:r w:rsidR="00B97CF2" w:rsidRPr="00E45508">
        <w:t> 2 and  3</w:t>
      </w:r>
      <w:r w:rsidRPr="00E45508">
        <w:t>,</w:t>
      </w:r>
      <w:r w:rsidR="00AF0D08" w:rsidRPr="00E45508">
        <w:t xml:space="preserve"> </w:t>
      </w:r>
      <w:r w:rsidR="00E8651C">
        <w:t xml:space="preserve">there would be a requirement for </w:t>
      </w:r>
      <w:r w:rsidR="415E5C36" w:rsidRPr="00E45508">
        <w:t xml:space="preserve">the calculation, traceability and reporting of recycled content </w:t>
      </w:r>
      <w:r w:rsidR="00E8651C">
        <w:t>to</w:t>
      </w:r>
      <w:r w:rsidR="00A66872" w:rsidRPr="00E45508">
        <w:t xml:space="preserve"> be</w:t>
      </w:r>
      <w:r w:rsidR="415E5C36" w:rsidRPr="00E45508">
        <w:t xml:space="preserve"> consistent with the </w:t>
      </w:r>
      <w:hyperlink r:id="rId40">
        <w:r w:rsidR="415E5C36" w:rsidRPr="00E45508">
          <w:rPr>
            <w:rStyle w:val="Hyperlink"/>
          </w:rPr>
          <w:t>National Framework for Recycled Content Traceability</w:t>
        </w:r>
      </w:hyperlink>
      <w:r w:rsidR="415E5C36" w:rsidRPr="00E45508">
        <w:t xml:space="preserve"> (NFRCT)</w:t>
      </w:r>
      <w:r w:rsidR="00D11492" w:rsidRPr="00E45508">
        <w:t xml:space="preserve"> (DCCEEW</w:t>
      </w:r>
      <w:r w:rsidR="00421651" w:rsidRPr="00E45508">
        <w:t> 2</w:t>
      </w:r>
      <w:r w:rsidR="00D11492" w:rsidRPr="00E45508">
        <w:t>023</w:t>
      </w:r>
      <w:r w:rsidR="00B347E9" w:rsidRPr="00E45508">
        <w:t>a</w:t>
      </w:r>
      <w:r w:rsidR="00D11492" w:rsidRPr="00E45508">
        <w:t>)</w:t>
      </w:r>
      <w:r w:rsidR="415E5C36" w:rsidRPr="00E45508">
        <w:t>. The NFRCT encourages the collection and sharing of information on recycled materials to boost confidence in and demand for those materials. The NFRCT lays a foundation of principles and guidelines to help industry implement traceability consistently and enables Australian governments to set harmonised and consistent traceability expectations for recycled content.</w:t>
      </w:r>
    </w:p>
    <w:p w14:paraId="24E965FA" w14:textId="2890F356" w:rsidR="1B3661AE" w:rsidRPr="00E16552" w:rsidRDefault="1B3661AE" w:rsidP="00115342">
      <w:r w:rsidRPr="00E45508">
        <w:rPr>
          <w:rFonts w:ascii="Calibri" w:eastAsia="Calibri" w:hAnsi="Calibri" w:cs="Calibri"/>
          <w:color w:val="000000" w:themeColor="text1"/>
        </w:rPr>
        <w:t>Reporting of recycled content w</w:t>
      </w:r>
      <w:r w:rsidR="00B97CF2" w:rsidRPr="00E45508">
        <w:rPr>
          <w:rFonts w:ascii="Calibri" w:eastAsia="Calibri" w:hAnsi="Calibri" w:cs="Calibri"/>
          <w:color w:val="000000" w:themeColor="text1"/>
        </w:rPr>
        <w:t>ould</w:t>
      </w:r>
      <w:r w:rsidR="00292730" w:rsidRPr="00E45508">
        <w:rPr>
          <w:rFonts w:ascii="Calibri" w:eastAsia="Calibri" w:hAnsi="Calibri" w:cs="Calibri"/>
          <w:color w:val="000000" w:themeColor="text1"/>
        </w:rPr>
        <w:t xml:space="preserve"> also need to</w:t>
      </w:r>
      <w:r w:rsidRPr="00E45508">
        <w:rPr>
          <w:rFonts w:ascii="Calibri" w:eastAsia="Calibri" w:hAnsi="Calibri" w:cs="Calibri"/>
          <w:color w:val="000000" w:themeColor="text1"/>
        </w:rPr>
        <w:t xml:space="preserve"> be consistent with the chain of custody approaches</w:t>
      </w:r>
      <w:r w:rsidRPr="00E45508">
        <w:rPr>
          <w:rFonts w:ascii="Calibri" w:eastAsia="Calibri" w:hAnsi="Calibri" w:cs="Calibri"/>
          <w:strike/>
          <w:color w:val="038387"/>
        </w:rPr>
        <w:t xml:space="preserve"> </w:t>
      </w:r>
      <w:r w:rsidRPr="00E45508">
        <w:rPr>
          <w:rFonts w:ascii="Calibri" w:eastAsia="Calibri" w:hAnsi="Calibri" w:cs="Calibri"/>
          <w:color w:val="000000" w:themeColor="text1"/>
        </w:rPr>
        <w:t>in the NFRCT</w:t>
      </w:r>
      <w:r w:rsidRPr="00E45508">
        <w:t>, which are detailed in</w:t>
      </w:r>
      <w:r w:rsidR="00F2275C" w:rsidRPr="00E45508">
        <w:t xml:space="preserve"> </w:t>
      </w:r>
      <w:r w:rsidR="00393CC9" w:rsidRPr="00E45508">
        <w:fldChar w:fldCharType="begin"/>
      </w:r>
      <w:r w:rsidR="00393CC9" w:rsidRPr="00E45508">
        <w:instrText xml:space="preserve"> REF _Ref177640006 \h </w:instrText>
      </w:r>
      <w:r w:rsidR="00393CC9" w:rsidRPr="00E45508">
        <w:fldChar w:fldCharType="separate"/>
      </w:r>
      <w:r w:rsidR="009A2EC4" w:rsidRPr="00E45508">
        <w:t xml:space="preserve">Figure </w:t>
      </w:r>
      <w:r w:rsidR="009A2EC4">
        <w:rPr>
          <w:noProof/>
        </w:rPr>
        <w:t>3</w:t>
      </w:r>
      <w:r w:rsidR="00393CC9" w:rsidRPr="00E45508">
        <w:fldChar w:fldCharType="end"/>
      </w:r>
      <w:r w:rsidR="00393CC9" w:rsidRPr="00E45508">
        <w:t xml:space="preserve"> </w:t>
      </w:r>
      <w:r w:rsidR="00F2275C" w:rsidRPr="00E45508">
        <w:t>and</w:t>
      </w:r>
      <w:r w:rsidRPr="00E45508">
        <w:t xml:space="preserve"> </w:t>
      </w:r>
      <w:r w:rsidR="00C3468A" w:rsidRPr="00E45508">
        <w:fldChar w:fldCharType="begin"/>
      </w:r>
      <w:r w:rsidR="00C3468A" w:rsidRPr="00E45508">
        <w:instrText xml:space="preserve"> REF _Ref177633664 \n \h </w:instrText>
      </w:r>
      <w:r w:rsidR="00C3468A" w:rsidRPr="00E45508">
        <w:fldChar w:fldCharType="separate"/>
      </w:r>
      <w:r w:rsidR="009A2EC4">
        <w:t>Appendix D</w:t>
      </w:r>
      <w:r w:rsidR="00C3468A" w:rsidRPr="00E45508">
        <w:fldChar w:fldCharType="end"/>
      </w:r>
      <w:r w:rsidRPr="00E45508">
        <w:t>. These chain of custody approaches are identity preservation, segregation, controlled blending and mass balance.</w:t>
      </w:r>
      <w:r w:rsidR="00E16552">
        <w:t xml:space="preserve"> </w:t>
      </w:r>
      <w:r w:rsidRPr="00E45508">
        <w:rPr>
          <w:rFonts w:ascii="Calibri" w:eastAsia="Calibri" w:hAnsi="Calibri" w:cs="Calibri"/>
          <w:color w:val="000000" w:themeColor="text1"/>
        </w:rPr>
        <w:t xml:space="preserve">For mass balance approaches, the department is considering the potential implications of allowing the allocation methods listed in </w:t>
      </w:r>
      <w:r w:rsidR="00C3468A" w:rsidRPr="00E45508">
        <w:rPr>
          <w:rFonts w:ascii="Calibri" w:eastAsia="Calibri" w:hAnsi="Calibri" w:cs="Calibri"/>
          <w:color w:val="000000" w:themeColor="text1"/>
        </w:rPr>
        <w:fldChar w:fldCharType="begin"/>
      </w:r>
      <w:r w:rsidR="00C3468A" w:rsidRPr="00E45508">
        <w:rPr>
          <w:rFonts w:ascii="Calibri" w:eastAsia="Calibri" w:hAnsi="Calibri" w:cs="Calibri"/>
          <w:color w:val="000000" w:themeColor="text1"/>
        </w:rPr>
        <w:instrText xml:space="preserve"> REF _Ref177633671 \n \h </w:instrText>
      </w:r>
      <w:r w:rsidR="00C3468A" w:rsidRPr="00E45508">
        <w:rPr>
          <w:rFonts w:ascii="Calibri" w:eastAsia="Calibri" w:hAnsi="Calibri" w:cs="Calibri"/>
          <w:color w:val="000000" w:themeColor="text1"/>
        </w:rPr>
      </w:r>
      <w:r w:rsidR="00C3468A" w:rsidRPr="00E45508">
        <w:rPr>
          <w:rFonts w:ascii="Calibri" w:eastAsia="Calibri" w:hAnsi="Calibri" w:cs="Calibri"/>
          <w:color w:val="000000" w:themeColor="text1"/>
        </w:rPr>
        <w:fldChar w:fldCharType="separate"/>
      </w:r>
      <w:r w:rsidR="009A2EC4">
        <w:rPr>
          <w:rFonts w:ascii="Calibri" w:eastAsia="Calibri" w:hAnsi="Calibri" w:cs="Calibri"/>
          <w:color w:val="000000" w:themeColor="text1"/>
        </w:rPr>
        <w:t>Appendix D</w:t>
      </w:r>
      <w:r w:rsidR="00C3468A" w:rsidRPr="00E45508">
        <w:rPr>
          <w:rFonts w:ascii="Calibri" w:eastAsia="Calibri" w:hAnsi="Calibri" w:cs="Calibri"/>
          <w:color w:val="000000" w:themeColor="text1"/>
        </w:rPr>
        <w:fldChar w:fldCharType="end"/>
      </w:r>
      <w:r w:rsidR="00C3468A" w:rsidRPr="00E45508">
        <w:rPr>
          <w:rFonts w:ascii="Calibri" w:eastAsia="Calibri" w:hAnsi="Calibri" w:cs="Calibri"/>
          <w:color w:val="000000" w:themeColor="text1"/>
        </w:rPr>
        <w:t xml:space="preserve"> </w:t>
      </w:r>
      <w:r w:rsidRPr="00E45508">
        <w:rPr>
          <w:rFonts w:ascii="Calibri" w:eastAsia="Calibri" w:hAnsi="Calibri" w:cs="Calibri"/>
          <w:color w:val="000000" w:themeColor="text1"/>
        </w:rPr>
        <w:t>and multi-site mass balance approach.</w:t>
      </w:r>
    </w:p>
    <w:p w14:paraId="03685E9F" w14:textId="084BA811" w:rsidR="09EE4FF0" w:rsidRPr="00E45508" w:rsidRDefault="004E1FE8" w:rsidP="00C915A5">
      <w:pPr>
        <w:pStyle w:val="Caption"/>
      </w:pPr>
      <w:bookmarkStart w:id="206" w:name="_Ref177640006"/>
      <w:bookmarkStart w:id="207" w:name="_Toc177126698"/>
      <w:bookmarkStart w:id="208" w:name="_Toc178229389"/>
      <w:r w:rsidRPr="00E45508">
        <w:t xml:space="preserve">Figure </w:t>
      </w:r>
      <w:r w:rsidRPr="00E45508">
        <w:fldChar w:fldCharType="begin"/>
      </w:r>
      <w:r w:rsidRPr="00E45508">
        <w:instrText xml:space="preserve"> SEQ Figure \* ARABIC </w:instrText>
      </w:r>
      <w:r w:rsidRPr="00E45508">
        <w:fldChar w:fldCharType="separate"/>
      </w:r>
      <w:r w:rsidR="009A2EC4">
        <w:rPr>
          <w:noProof/>
        </w:rPr>
        <w:t>3</w:t>
      </w:r>
      <w:r w:rsidRPr="00E45508">
        <w:fldChar w:fldCharType="end"/>
      </w:r>
      <w:bookmarkEnd w:id="206"/>
      <w:r w:rsidRPr="00E45508">
        <w:t xml:space="preserve">: </w:t>
      </w:r>
      <w:bookmarkEnd w:id="207"/>
      <w:r w:rsidR="00F2275C" w:rsidRPr="00E45508">
        <w:t>Chain of custody approaches</w:t>
      </w:r>
      <w:bookmarkEnd w:id="208"/>
    </w:p>
    <w:p w14:paraId="30F7461C" w14:textId="31E1EB6E" w:rsidR="000B2127" w:rsidRPr="00E45508" w:rsidRDefault="415E5C36" w:rsidP="001F1C8C">
      <w:r w:rsidRPr="00E45508">
        <w:rPr>
          <w:noProof/>
        </w:rPr>
        <w:drawing>
          <wp:inline distT="0" distB="0" distL="0" distR="0" wp14:anchorId="5F560F81" wp14:editId="3BE9BF2F">
            <wp:extent cx="5706350" cy="1914310"/>
            <wp:effectExtent l="0" t="0" r="0" b="0"/>
            <wp:docPr id="1669233329" name="Picture 1669233329" descr="Graphic of four different chain of custody approaches to identifying recycled content in a product or group of products. The four approaches are identity preservation, segregation, controlled blending and mass bal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33329" name="Picture 1669233329" descr="Graphic of four different chain of custody approaches to identifying recycled content in a product or group of products. The four approaches are identity preservation, segregation, controlled blending and mass balance. "/>
                    <pic:cNvPicPr/>
                  </pic:nvPicPr>
                  <pic:blipFill>
                    <a:blip r:embed="rId41">
                      <a:extLst>
                        <a:ext uri="{28A0092B-C50C-407E-A947-70E740481C1C}">
                          <a14:useLocalDpi xmlns:a14="http://schemas.microsoft.com/office/drawing/2010/main" val="0"/>
                        </a:ext>
                      </a:extLst>
                    </a:blip>
                    <a:stretch>
                      <a:fillRect/>
                    </a:stretch>
                  </pic:blipFill>
                  <pic:spPr>
                    <a:xfrm>
                      <a:off x="0" y="0"/>
                      <a:ext cx="5706350" cy="1914310"/>
                    </a:xfrm>
                    <a:prstGeom prst="rect">
                      <a:avLst/>
                    </a:prstGeom>
                  </pic:spPr>
                </pic:pic>
              </a:graphicData>
            </a:graphic>
          </wp:inline>
        </w:drawing>
      </w:r>
    </w:p>
    <w:p w14:paraId="0DCAFF74" w14:textId="77777777" w:rsidR="00BE3B44" w:rsidRPr="00E45508" w:rsidRDefault="415E5C36" w:rsidP="00BB325C">
      <w:pPr>
        <w:pStyle w:val="Heading5"/>
        <w:rPr>
          <w:lang w:val="en-AU"/>
        </w:rPr>
      </w:pPr>
      <w:r w:rsidRPr="00E45508">
        <w:rPr>
          <w:lang w:val="en-AU"/>
        </w:rPr>
        <w:t>Traceability</w:t>
      </w:r>
    </w:p>
    <w:p w14:paraId="0AA524A2" w14:textId="26A7C8B1" w:rsidR="415E5C36" w:rsidRPr="00E45508" w:rsidRDefault="415E5C36" w:rsidP="00115342">
      <w:pPr>
        <w:rPr>
          <w:rFonts w:ascii="Calibri" w:eastAsia="Times New Roman" w:hAnsi="Calibri" w:cs="Times New Roman"/>
          <w:b/>
          <w:bCs/>
        </w:rPr>
      </w:pPr>
      <w:r w:rsidRPr="00E45508">
        <w:t xml:space="preserve">To support </w:t>
      </w:r>
      <w:r w:rsidR="005053B4" w:rsidRPr="00E45508">
        <w:t xml:space="preserve">regulated </w:t>
      </w:r>
      <w:r w:rsidRPr="00E45508">
        <w:t xml:space="preserve">recycled content </w:t>
      </w:r>
      <w:r w:rsidR="00FA214C" w:rsidRPr="00E45508">
        <w:t xml:space="preserve">thresholds, full supply chain traceability would be required. However, a phased approach to implementation could be considered such </w:t>
      </w:r>
      <w:r w:rsidR="005053B4" w:rsidRPr="00E45508">
        <w:t xml:space="preserve">that </w:t>
      </w:r>
      <w:r w:rsidR="00FB6519" w:rsidRPr="00E45508">
        <w:t xml:space="preserve">initially </w:t>
      </w:r>
      <w:r w:rsidR="005053B4" w:rsidRPr="00E45508">
        <w:t>organisations have at least ‘one-step forward and one-step back’ data sharing (also known as one-up-one-down traceability), with a requirement to transition to full supply chain traceability with visibility of all upstream and downstream supply chain partners by a certain date.</w:t>
      </w:r>
    </w:p>
    <w:p w14:paraId="2DC5879E" w14:textId="152B8427" w:rsidR="2B73EE30" w:rsidRPr="00E45508" w:rsidRDefault="415E5C36" w:rsidP="00BB325C">
      <w:pPr>
        <w:pStyle w:val="Heading5"/>
        <w:rPr>
          <w:lang w:val="en-AU"/>
        </w:rPr>
      </w:pPr>
      <w:r w:rsidRPr="00E45508">
        <w:rPr>
          <w:lang w:val="en-AU"/>
        </w:rPr>
        <w:t>Reporting</w:t>
      </w:r>
    </w:p>
    <w:p w14:paraId="1DE8BAC1" w14:textId="033FB1A1" w:rsidR="415E5C36" w:rsidRPr="00E45508" w:rsidRDefault="4403A9A1" w:rsidP="00115342">
      <w:r w:rsidRPr="00E45508">
        <w:t xml:space="preserve">To support </w:t>
      </w:r>
      <w:r w:rsidR="773F3CA9" w:rsidRPr="00E45508">
        <w:t xml:space="preserve">regulated </w:t>
      </w:r>
      <w:r w:rsidRPr="00E45508">
        <w:t xml:space="preserve">recycled content </w:t>
      </w:r>
      <w:r w:rsidR="773F3CA9" w:rsidRPr="00E45508">
        <w:t xml:space="preserve">thresholds, </w:t>
      </w:r>
      <w:r w:rsidR="595AFCD0" w:rsidRPr="00E45508">
        <w:t xml:space="preserve">each organisation </w:t>
      </w:r>
      <w:r w:rsidR="5079803D" w:rsidRPr="00E45508">
        <w:t xml:space="preserve">would </w:t>
      </w:r>
      <w:r w:rsidRPr="00E45508">
        <w:t xml:space="preserve">also </w:t>
      </w:r>
      <w:r w:rsidR="5079803D" w:rsidRPr="00E45508">
        <w:t xml:space="preserve">need </w:t>
      </w:r>
      <w:r w:rsidR="595AFCD0" w:rsidRPr="00E45508">
        <w:t>to be able to trace the recycled content used in its packaging product and to demonstrate the process for tracing their recycled content</w:t>
      </w:r>
      <w:r w:rsidR="30D088F9" w:rsidRPr="00E45508">
        <w:t xml:space="preserve"> </w:t>
      </w:r>
      <w:r w:rsidR="03C23CF5" w:rsidRPr="00E45508">
        <w:t>as outlined in</w:t>
      </w:r>
      <w:r w:rsidR="30D088F9" w:rsidRPr="00E45508">
        <w:t xml:space="preserve"> the NFRCT</w:t>
      </w:r>
      <w:r w:rsidR="595AFCD0" w:rsidRPr="00E45508">
        <w:t>, including by:</w:t>
      </w:r>
    </w:p>
    <w:p w14:paraId="3AAE9715" w14:textId="1DEBDC39" w:rsidR="415E5C36" w:rsidRPr="00E45508" w:rsidRDefault="595AFCD0" w:rsidP="009C1F84">
      <w:pPr>
        <w:pStyle w:val="ListBullet"/>
      </w:pPr>
      <w:r w:rsidRPr="00E45508">
        <w:t>establishing, documenting and maintaining systems and policies that align with the NFRCT; and</w:t>
      </w:r>
    </w:p>
    <w:p w14:paraId="74FFA11A" w14:textId="6C353343" w:rsidR="415E5C36" w:rsidRPr="00E45508" w:rsidRDefault="415E5C36" w:rsidP="009C1F84">
      <w:pPr>
        <w:pStyle w:val="ListBullet"/>
      </w:pPr>
      <w:r w:rsidRPr="00E45508">
        <w:t>maintaining traceability records for recycled content used as set out in ‎</w:t>
      </w:r>
      <w:r w:rsidR="00C3468A" w:rsidRPr="00E45508">
        <w:fldChar w:fldCharType="begin"/>
      </w:r>
      <w:r w:rsidR="00C3468A" w:rsidRPr="00E45508">
        <w:instrText xml:space="preserve"> REF _Ref177633689 \n \h </w:instrText>
      </w:r>
      <w:r w:rsidR="00C3468A" w:rsidRPr="00E45508">
        <w:fldChar w:fldCharType="separate"/>
      </w:r>
      <w:r w:rsidR="009A2EC4">
        <w:t>Appendix D</w:t>
      </w:r>
      <w:r w:rsidR="00C3468A" w:rsidRPr="00E45508">
        <w:fldChar w:fldCharType="end"/>
      </w:r>
      <w:r w:rsidRPr="00E45508">
        <w:t>.</w:t>
      </w:r>
    </w:p>
    <w:p w14:paraId="1AAC66B0" w14:textId="5E638FA4" w:rsidR="415E5C36" w:rsidRPr="00E45508" w:rsidRDefault="595AFCD0" w:rsidP="00115342">
      <w:r w:rsidRPr="00E45508">
        <w:t xml:space="preserve">This data </w:t>
      </w:r>
      <w:r w:rsidR="72C5101B" w:rsidRPr="00E45508">
        <w:t>sh</w:t>
      </w:r>
      <w:r w:rsidR="06571478" w:rsidRPr="00E45508">
        <w:t xml:space="preserve">ould </w:t>
      </w:r>
      <w:bookmarkStart w:id="209" w:name="_Hlk177488954"/>
      <w:r w:rsidR="72C5101B" w:rsidRPr="00E45508">
        <w:t xml:space="preserve">also </w:t>
      </w:r>
      <w:bookmarkEnd w:id="209"/>
      <w:r w:rsidR="06571478" w:rsidRPr="00E45508">
        <w:t xml:space="preserve">be </w:t>
      </w:r>
      <w:r w:rsidRPr="00E45508">
        <w:t>collected and shared in alignment with the ACCC’s draft guidance on sustainability collaboration</w:t>
      </w:r>
      <w:r w:rsidR="6B136481" w:rsidRPr="00E45508">
        <w:t xml:space="preserve"> (ACC</w:t>
      </w:r>
      <w:r w:rsidR="04FB073C" w:rsidRPr="00E45508">
        <w:t>C </w:t>
      </w:r>
      <w:r w:rsidR="6B136481" w:rsidRPr="00E45508">
        <w:t>2024)</w:t>
      </w:r>
      <w:r w:rsidRPr="00E45508">
        <w:t>.</w:t>
      </w:r>
    </w:p>
    <w:p w14:paraId="7DF86DAE" w14:textId="5DC72236" w:rsidR="415E5C36" w:rsidRPr="00E45508" w:rsidRDefault="415E5C36" w:rsidP="00115342">
      <w:r w:rsidRPr="00E45508">
        <w:t xml:space="preserve">The department </w:t>
      </w:r>
      <w:r w:rsidR="004E1E56">
        <w:t>c</w:t>
      </w:r>
      <w:r w:rsidRPr="00E45508">
        <w:t>ould also consider establishing specific data requirements for each material category to verify recycled content claims.</w:t>
      </w:r>
      <w:r w:rsidRPr="00E45508">
        <w:rPr>
          <w:sz w:val="24"/>
          <w:szCs w:val="24"/>
        </w:rPr>
        <w:t xml:space="preserve"> </w:t>
      </w:r>
      <w:r w:rsidRPr="00E45508">
        <w:t>These data requirements would be developed in close collaboration with industry stakeholders to ensure practicality, effectiveness, and alignment with existing industry practices.</w:t>
      </w:r>
    </w:p>
    <w:p w14:paraId="57B5F19C" w14:textId="77777777" w:rsidR="415E5C36" w:rsidRPr="00E45508" w:rsidRDefault="415E5C36" w:rsidP="00BB325C">
      <w:pPr>
        <w:pStyle w:val="Heading5"/>
        <w:rPr>
          <w:lang w:val="en-AU"/>
        </w:rPr>
      </w:pPr>
      <w:r w:rsidRPr="00E45508">
        <w:rPr>
          <w:lang w:val="en-AU"/>
        </w:rPr>
        <w:t>Verification</w:t>
      </w:r>
    </w:p>
    <w:p w14:paraId="71175B59" w14:textId="691B70A6" w:rsidR="20E1F6EC" w:rsidRPr="00E45508" w:rsidRDefault="00BA4B43" w:rsidP="00115342">
      <w:r w:rsidRPr="00E45508" w:rsidDel="00564481">
        <w:t>A</w:t>
      </w:r>
      <w:r w:rsidR="415E5C36" w:rsidRPr="00E45508" w:rsidDel="00564481">
        <w:t xml:space="preserve">ny </w:t>
      </w:r>
      <w:r w:rsidR="415E5C36" w:rsidRPr="00E45508">
        <w:t xml:space="preserve">verification </w:t>
      </w:r>
      <w:r w:rsidR="00292730" w:rsidRPr="00E45508">
        <w:t xml:space="preserve">for regulated </w:t>
      </w:r>
      <w:r w:rsidR="00764137" w:rsidRPr="00E45508">
        <w:t xml:space="preserve">recycled content thresholds would </w:t>
      </w:r>
      <w:r w:rsidR="004E1E56">
        <w:t xml:space="preserve">need to </w:t>
      </w:r>
      <w:r w:rsidR="415E5C36" w:rsidRPr="00E45508">
        <w:t xml:space="preserve">align with the NFRCT, in that recycled content claims must be verified by an independent </w:t>
      </w:r>
      <w:r w:rsidR="009D4594" w:rsidRPr="00E45508">
        <w:t>third-party or</w:t>
      </w:r>
      <w:r w:rsidR="415E5C36" w:rsidRPr="00E45508">
        <w:t xml:space="preserve"> certified through </w:t>
      </w:r>
      <w:r w:rsidR="452E716B" w:rsidRPr="00E45508">
        <w:t>a certification scheme. To support businesses, the</w:t>
      </w:r>
      <w:r w:rsidR="415E5C36" w:rsidRPr="00E45508">
        <w:t xml:space="preserve"> department would consider developing an approved third-party certification list </w:t>
      </w:r>
      <w:r w:rsidR="452E716B" w:rsidRPr="00E45508">
        <w:t>or establishing</w:t>
      </w:r>
      <w:r w:rsidR="415E5C36" w:rsidRPr="00E45508">
        <w:t xml:space="preserve"> a centralised verification body, such as a government </w:t>
      </w:r>
      <w:r w:rsidR="00C07088" w:rsidRPr="00E45508">
        <w:t xml:space="preserve">body </w:t>
      </w:r>
      <w:r w:rsidR="415E5C36" w:rsidRPr="00E45508">
        <w:t>or industry peak body.</w:t>
      </w:r>
    </w:p>
    <w:p w14:paraId="2F106F69" w14:textId="1BD9B6C0" w:rsidR="415E5C36" w:rsidRPr="00E45508" w:rsidRDefault="415E5C36" w:rsidP="00BB325C">
      <w:pPr>
        <w:pStyle w:val="Heading5"/>
        <w:rPr>
          <w:lang w:val="en-AU"/>
        </w:rPr>
      </w:pPr>
      <w:r w:rsidRPr="00E45508">
        <w:rPr>
          <w:lang w:val="en-AU"/>
        </w:rPr>
        <w:t>Logo and claims</w:t>
      </w:r>
    </w:p>
    <w:p w14:paraId="597E1D74" w14:textId="15EAF7B7" w:rsidR="415E5C36" w:rsidRPr="00E45508" w:rsidRDefault="00BA4B43" w:rsidP="00115342">
      <w:pPr>
        <w:rPr>
          <w:strike/>
          <w:color w:val="000000" w:themeColor="text1"/>
        </w:rPr>
      </w:pPr>
      <w:r w:rsidRPr="00E45508">
        <w:rPr>
          <w:color w:val="000000" w:themeColor="text1"/>
        </w:rPr>
        <w:t>L</w:t>
      </w:r>
      <w:r w:rsidR="415E5C36" w:rsidRPr="00E45508">
        <w:rPr>
          <w:color w:val="000000" w:themeColor="text1"/>
        </w:rPr>
        <w:t xml:space="preserve">ogos and claims </w:t>
      </w:r>
      <w:r w:rsidRPr="00E45508">
        <w:rPr>
          <w:color w:val="000000" w:themeColor="text1"/>
        </w:rPr>
        <w:t>w</w:t>
      </w:r>
      <w:r w:rsidR="00764137" w:rsidRPr="00E45508">
        <w:rPr>
          <w:color w:val="000000" w:themeColor="text1"/>
        </w:rPr>
        <w:t>ould need to</w:t>
      </w:r>
      <w:r w:rsidR="415E5C36" w:rsidRPr="00E45508">
        <w:rPr>
          <w:color w:val="000000" w:themeColor="text1"/>
        </w:rPr>
        <w:t xml:space="preserve"> be consistent with</w:t>
      </w:r>
      <w:r w:rsidR="003B7A98" w:rsidRPr="00E45508">
        <w:rPr>
          <w:color w:val="000000" w:themeColor="text1"/>
        </w:rPr>
        <w:t xml:space="preserve"> the</w:t>
      </w:r>
      <w:r w:rsidR="415E5C36" w:rsidRPr="00E45508">
        <w:rPr>
          <w:color w:val="000000" w:themeColor="text1"/>
        </w:rPr>
        <w:t xml:space="preserve"> </w:t>
      </w:r>
      <w:hyperlink r:id="rId42">
        <w:r w:rsidR="415E5C36" w:rsidRPr="00E45508">
          <w:rPr>
            <w:rStyle w:val="Hyperlink"/>
            <w:rFonts w:ascii="Calibri" w:eastAsia="Calibri" w:hAnsi="Calibri" w:cs="Calibri"/>
          </w:rPr>
          <w:t>Making environmental claims: A guide for business</w:t>
        </w:r>
      </w:hyperlink>
      <w:r w:rsidR="008075A9" w:rsidRPr="00E45508">
        <w:rPr>
          <w:rStyle w:val="Hyperlink"/>
          <w:rFonts w:ascii="Calibri" w:eastAsia="Calibri" w:hAnsi="Calibri" w:cs="Calibri"/>
        </w:rPr>
        <w:t xml:space="preserve"> </w:t>
      </w:r>
      <w:r w:rsidR="415E5C36" w:rsidRPr="00E45508">
        <w:rPr>
          <w:color w:val="000000" w:themeColor="text1"/>
        </w:rPr>
        <w:t>issued by the ACCC</w:t>
      </w:r>
      <w:r w:rsidR="009B0808" w:rsidRPr="00E45508">
        <w:rPr>
          <w:color w:val="000000" w:themeColor="text1"/>
        </w:rPr>
        <w:t xml:space="preserve"> (2023b)</w:t>
      </w:r>
      <w:r w:rsidR="415E5C36" w:rsidRPr="00E45508">
        <w:rPr>
          <w:color w:val="000000" w:themeColor="text1"/>
        </w:rPr>
        <w:t xml:space="preserve"> and the definitions in ISO</w:t>
      </w:r>
      <w:r w:rsidR="00421651" w:rsidRPr="00E45508">
        <w:rPr>
          <w:color w:val="000000" w:themeColor="text1"/>
        </w:rPr>
        <w:t> 1</w:t>
      </w:r>
      <w:r w:rsidR="415E5C36" w:rsidRPr="00E45508">
        <w:rPr>
          <w:color w:val="000000" w:themeColor="text1"/>
        </w:rPr>
        <w:t>40</w:t>
      </w:r>
      <w:r w:rsidR="415E5C36" w:rsidRPr="00E45508">
        <w:t>21</w:t>
      </w:r>
      <w:r w:rsidR="00E87E41" w:rsidRPr="00E45508">
        <w:t>:2016</w:t>
      </w:r>
      <w:r w:rsidR="3DA645CD" w:rsidRPr="00E45508">
        <w:t xml:space="preserve"> which outlines that </w:t>
      </w:r>
      <w:r w:rsidR="415E5C36" w:rsidRPr="00E45508">
        <w:t>environmental claims must be accurate</w:t>
      </w:r>
      <w:r w:rsidR="3DA645CD" w:rsidRPr="00E45508">
        <w:t xml:space="preserve"> and not misleading</w:t>
      </w:r>
      <w:r w:rsidR="3DA645CD" w:rsidRPr="00E45508">
        <w:rPr>
          <w:b/>
        </w:rPr>
        <w:t>.</w:t>
      </w:r>
    </w:p>
    <w:p w14:paraId="4D366C6B" w14:textId="0F891588" w:rsidR="3DA645CD" w:rsidRPr="00E45508" w:rsidRDefault="3DA645CD" w:rsidP="00115342">
      <w:r w:rsidRPr="00E45508">
        <w:t>Claims relating to recycled content depend on the chain of custody model used.</w:t>
      </w:r>
      <w:r w:rsidR="521E765A" w:rsidRPr="00E45508">
        <w:t xml:space="preserve"> </w:t>
      </w:r>
      <w:r w:rsidRPr="00E45508">
        <w:t>If mass balance is used throughout any stage of the supply chain, language that conveys any specific quantities of recycled material within packaging products cannot be used (e.g., “made with” or “composed of”).</w:t>
      </w:r>
    </w:p>
    <w:p w14:paraId="02D0F0C1" w14:textId="3CE03DA4" w:rsidR="7E96A87F" w:rsidRPr="00E45508" w:rsidRDefault="002B06A8" w:rsidP="00115342">
      <w:r w:rsidRPr="00E45508">
        <w:t>Any claims would need to distinguish between pre-consumer and post-consumer recycled content. AS/ISO</w:t>
      </w:r>
      <w:r w:rsidR="00421651" w:rsidRPr="00E45508">
        <w:t> 1</w:t>
      </w:r>
      <w:r w:rsidRPr="00E45508">
        <w:t>4021 provides definitions that can support truthful and accurate marketing claims.</w:t>
      </w:r>
    </w:p>
    <w:p w14:paraId="5CBE6ABE" w14:textId="5A3E4703" w:rsidR="0022755F" w:rsidRPr="00E45508" w:rsidRDefault="3DA645CD" w:rsidP="0022755F">
      <w:r w:rsidRPr="00E45508">
        <w:t xml:space="preserve">The department </w:t>
      </w:r>
      <w:r w:rsidR="00E46A29" w:rsidRPr="00E45508">
        <w:t>may</w:t>
      </w:r>
      <w:r w:rsidRPr="00E45508">
        <w:t xml:space="preserve"> consider developing a recycled content labelling scheme to regulate claims about recycled content in packaging and to provide a standardised format for packaging to present its recycled content claims to consumers. This would differ to the on-pack recyclability logo and would instead refer to the recycled content claims made by packaging </w:t>
      </w:r>
      <w:r w:rsidR="10337762" w:rsidRPr="00E45508">
        <w:t>producer</w:t>
      </w:r>
      <w:r w:rsidRPr="00E45508">
        <w:t>s</w:t>
      </w:r>
      <w:r w:rsidR="00115342" w:rsidRPr="00E45508">
        <w:t>.</w:t>
      </w:r>
    </w:p>
    <w:p w14:paraId="2013A15F" w14:textId="34EAC826" w:rsidR="008A4A10" w:rsidRPr="00E45508" w:rsidRDefault="41392C80" w:rsidP="00DF25A8">
      <w:pPr>
        <w:pStyle w:val="Heading4"/>
      </w:pPr>
      <w:bookmarkStart w:id="210" w:name="_Toc177126603"/>
      <w:bookmarkStart w:id="211" w:name="_Toc177493013"/>
      <w:r w:rsidRPr="00E45508">
        <w:t>Other obligations</w:t>
      </w:r>
      <w:bookmarkEnd w:id="210"/>
      <w:bookmarkEnd w:id="211"/>
    </w:p>
    <w:p w14:paraId="2C22856A" w14:textId="503D6779" w:rsidR="008A4A10" w:rsidRPr="00E45508" w:rsidRDefault="008A4A10" w:rsidP="0022755F">
      <w:r w:rsidRPr="00E45508">
        <w:t>For Options</w:t>
      </w:r>
      <w:r w:rsidR="00421651" w:rsidRPr="00E45508">
        <w:t> 2</w:t>
      </w:r>
      <w:r w:rsidRPr="00E45508">
        <w:t xml:space="preserve"> and</w:t>
      </w:r>
      <w:r w:rsidR="00421651" w:rsidRPr="00E45508">
        <w:t> 3</w:t>
      </w:r>
      <w:r w:rsidRPr="00E45508">
        <w:t xml:space="preserve"> </w:t>
      </w:r>
      <w:r w:rsidR="007A2044" w:rsidRPr="00E45508">
        <w:t xml:space="preserve">other obligations may be necessary. </w:t>
      </w:r>
      <w:r w:rsidR="000A2174" w:rsidRPr="00E45508">
        <w:t>Some examples have been included below.</w:t>
      </w:r>
      <w:r w:rsidR="007A2044" w:rsidRPr="00E45508">
        <w:t xml:space="preserve"> We are seeking feedback on these and</w:t>
      </w:r>
      <w:r w:rsidR="006F7D82" w:rsidRPr="00E45508">
        <w:t xml:space="preserve"> on other</w:t>
      </w:r>
      <w:r w:rsidR="006E2065">
        <w:t xml:space="preserve"> </w:t>
      </w:r>
      <w:r w:rsidR="00066F01">
        <w:t>potential obligation</w:t>
      </w:r>
      <w:r w:rsidR="006F7D82" w:rsidRPr="00E45508">
        <w:t>s that may help achieve the reform outcomes.</w:t>
      </w:r>
    </w:p>
    <w:p w14:paraId="69884CE1" w14:textId="22B3E95C" w:rsidR="008A4A10" w:rsidRPr="00E45508" w:rsidRDefault="41392C80" w:rsidP="0022755F">
      <w:r w:rsidRPr="00E45508">
        <w:t xml:space="preserve">Any additional obligations should consider existing work of Australian governments and industry that supports and complements reforms to packaging regulation. This work is outlined in </w:t>
      </w:r>
      <w:r w:rsidR="00C3468A" w:rsidRPr="00E45508">
        <w:fldChar w:fldCharType="begin"/>
      </w:r>
      <w:r w:rsidR="00C3468A" w:rsidRPr="00E45508">
        <w:instrText xml:space="preserve"> REF _Ref177633700 \n \h </w:instrText>
      </w:r>
      <w:r w:rsidR="0022755F" w:rsidRPr="00E45508">
        <w:instrText xml:space="preserve"> \* MERGEFORMAT </w:instrText>
      </w:r>
      <w:r w:rsidR="00C3468A" w:rsidRPr="00E45508">
        <w:fldChar w:fldCharType="separate"/>
      </w:r>
      <w:r w:rsidR="009A2EC4">
        <w:t>Appendix B</w:t>
      </w:r>
      <w:r w:rsidR="00C3468A" w:rsidRPr="00E45508">
        <w:fldChar w:fldCharType="end"/>
      </w:r>
      <w:r w:rsidRPr="00E45508">
        <w:t>.</w:t>
      </w:r>
    </w:p>
    <w:p w14:paraId="420D4AE0" w14:textId="640B9FF9" w:rsidR="00981307" w:rsidRPr="00E45508" w:rsidRDefault="18121DDD" w:rsidP="00DF25A8">
      <w:pPr>
        <w:pStyle w:val="Heading5"/>
        <w:rPr>
          <w:lang w:val="en-AU"/>
        </w:rPr>
      </w:pPr>
      <w:r w:rsidRPr="00E45508">
        <w:rPr>
          <w:lang w:val="en-AU"/>
        </w:rPr>
        <w:t>Collection and recycling</w:t>
      </w:r>
    </w:p>
    <w:p w14:paraId="5C378F34" w14:textId="4ED38045" w:rsidR="009F3F97" w:rsidRPr="00E45508" w:rsidRDefault="4DE02390" w:rsidP="00115342">
      <w:r w:rsidRPr="00E45508">
        <w:t>W</w:t>
      </w:r>
      <w:r w:rsidR="457AF1C9" w:rsidRPr="00E45508">
        <w:t>e are seeking feedback on whether specific obligations</w:t>
      </w:r>
      <w:r w:rsidR="63FF070B" w:rsidRPr="00E45508">
        <w:t xml:space="preserve"> for collection and recycling</w:t>
      </w:r>
      <w:r w:rsidR="457AF1C9" w:rsidRPr="00E45508">
        <w:t xml:space="preserve"> are needed </w:t>
      </w:r>
      <w:r w:rsidR="1E10B1B4" w:rsidRPr="00E45508">
        <w:t xml:space="preserve">under </w:t>
      </w:r>
      <w:r w:rsidR="1C6CC0B9" w:rsidRPr="00E45508">
        <w:t>O</w:t>
      </w:r>
      <w:r w:rsidR="1E10B1B4" w:rsidRPr="00E45508">
        <w:t>ption</w:t>
      </w:r>
      <w:r w:rsidR="36F14B88" w:rsidRPr="00E45508">
        <w:t> 2</w:t>
      </w:r>
      <w:r w:rsidR="1E10B1B4" w:rsidRPr="00E45508">
        <w:t xml:space="preserve"> and</w:t>
      </w:r>
      <w:r w:rsidR="36F14B88" w:rsidRPr="00E45508">
        <w:t> 3</w:t>
      </w:r>
      <w:r w:rsidR="1E10B1B4" w:rsidRPr="00E45508">
        <w:t xml:space="preserve"> </w:t>
      </w:r>
      <w:r w:rsidR="457AF1C9" w:rsidRPr="00E45508">
        <w:t>to support the collection and recycling of packaging in Australia.</w:t>
      </w:r>
      <w:r w:rsidR="0D4FA76E" w:rsidRPr="00E45508">
        <w:t xml:space="preserve"> These could </w:t>
      </w:r>
      <w:r w:rsidR="39D7CCA2" w:rsidRPr="00E45508">
        <w:t>include mandatory data provision and performance standards or targets.</w:t>
      </w:r>
      <w:r w:rsidR="00E718DC">
        <w:t xml:space="preserve"> This could provide certainty that recyclable materials are being recycled</w:t>
      </w:r>
      <w:r w:rsidR="000A1257">
        <w:t xml:space="preserve"> </w:t>
      </w:r>
      <w:r w:rsidR="54133DB3">
        <w:t xml:space="preserve">in practice </w:t>
      </w:r>
      <w:r w:rsidR="000A1257">
        <w:t xml:space="preserve">and providing </w:t>
      </w:r>
      <w:r w:rsidR="57BD8F9D">
        <w:t xml:space="preserve">higher quality </w:t>
      </w:r>
      <w:r w:rsidR="000A1257">
        <w:t xml:space="preserve">recycled content suitable for </w:t>
      </w:r>
      <w:r w:rsidR="445C368C">
        <w:t>packaging applications</w:t>
      </w:r>
      <w:r w:rsidR="000A1257">
        <w:t xml:space="preserve">. </w:t>
      </w:r>
      <w:r w:rsidR="00512B21">
        <w:t>An</w:t>
      </w:r>
      <w:r w:rsidR="005B355B">
        <w:t>y performance standards or targets</w:t>
      </w:r>
      <w:r w:rsidR="001157BB">
        <w:t xml:space="preserve"> </w:t>
      </w:r>
      <w:r w:rsidR="005B355B">
        <w:t>would</w:t>
      </w:r>
      <w:r w:rsidR="001157BB">
        <w:t xml:space="preserve"> be considered </w:t>
      </w:r>
      <w:r w:rsidR="6D557237">
        <w:t>alongside obligations for packaging design and the uptake of recycled content</w:t>
      </w:r>
      <w:r w:rsidR="00004B80">
        <w:t>.</w:t>
      </w:r>
    </w:p>
    <w:p w14:paraId="1CE4BDB7" w14:textId="435B8AA6" w:rsidR="00FE7898" w:rsidRPr="00E45508" w:rsidRDefault="4B6E303E" w:rsidP="00115342">
      <w:r w:rsidRPr="00E45508">
        <w:t>C</w:t>
      </w:r>
      <w:r w:rsidR="0FA57374" w:rsidRPr="00E45508">
        <w:t xml:space="preserve">ollection and recycling </w:t>
      </w:r>
      <w:r w:rsidR="6D710952" w:rsidRPr="00E45508">
        <w:t xml:space="preserve">outcomes </w:t>
      </w:r>
      <w:r w:rsidR="0FA57374" w:rsidRPr="00E45508">
        <w:t xml:space="preserve">could be </w:t>
      </w:r>
      <w:r w:rsidR="6D710952" w:rsidRPr="00E45508">
        <w:t>delivered through mandatory obligations</w:t>
      </w:r>
      <w:r w:rsidR="0FA57374" w:rsidRPr="00E45508">
        <w:t xml:space="preserve"> </w:t>
      </w:r>
      <w:r w:rsidR="08BC1544" w:rsidRPr="00E45508">
        <w:t xml:space="preserve">on </w:t>
      </w:r>
      <w:r w:rsidR="0FA57374" w:rsidRPr="00E45508">
        <w:t>regulated entities under Option</w:t>
      </w:r>
      <w:r w:rsidR="00421651" w:rsidRPr="00E45508">
        <w:t> 2</w:t>
      </w:r>
      <w:r w:rsidR="0FA57374" w:rsidRPr="00E45508">
        <w:t xml:space="preserve">, or </w:t>
      </w:r>
      <w:r w:rsidR="76CB3807" w:rsidRPr="00E45508">
        <w:t xml:space="preserve">through setting </w:t>
      </w:r>
      <w:r w:rsidR="00977A28" w:rsidRPr="00E45508">
        <w:t xml:space="preserve">industry-level </w:t>
      </w:r>
      <w:r w:rsidR="76CB3807" w:rsidRPr="00E45508">
        <w:t>outcome</w:t>
      </w:r>
      <w:r w:rsidR="000C7AB1" w:rsidRPr="00E45508">
        <w:t>s</w:t>
      </w:r>
      <w:r w:rsidR="76CB3807" w:rsidRPr="00E45508">
        <w:t xml:space="preserve"> for the</w:t>
      </w:r>
      <w:r w:rsidR="0FA57374" w:rsidRPr="00E45508">
        <w:t xml:space="preserve"> </w:t>
      </w:r>
      <w:r w:rsidR="1118677A" w:rsidRPr="00E45508">
        <w:t>s</w:t>
      </w:r>
      <w:r w:rsidR="0FA57374" w:rsidRPr="00E45508">
        <w:t xml:space="preserve">cheme </w:t>
      </w:r>
      <w:r w:rsidR="1118677A" w:rsidRPr="00E45508">
        <w:t>a</w:t>
      </w:r>
      <w:r w:rsidR="0FA57374" w:rsidRPr="00E45508">
        <w:t>dministrator under Option</w:t>
      </w:r>
      <w:r w:rsidR="00421651" w:rsidRPr="00E45508">
        <w:t> 3</w:t>
      </w:r>
      <w:r w:rsidR="11FE05A3" w:rsidRPr="00E45508">
        <w:t xml:space="preserve">. </w:t>
      </w:r>
      <w:r w:rsidR="234C4A7C" w:rsidRPr="00E45508">
        <w:t>Under Option</w:t>
      </w:r>
      <w:r w:rsidR="00421651" w:rsidRPr="00E45508">
        <w:t> 3</w:t>
      </w:r>
      <w:r w:rsidR="234C4A7C" w:rsidRPr="00E45508">
        <w:t>, funding from EPR fees could be able to be used to help achieve these outcomes.</w:t>
      </w:r>
    </w:p>
    <w:p w14:paraId="41649E44" w14:textId="2C350C9C" w:rsidR="00A04B81" w:rsidRPr="00E45508" w:rsidRDefault="00B21533" w:rsidP="00DF25A8">
      <w:pPr>
        <w:pStyle w:val="Heading5"/>
        <w:rPr>
          <w:lang w:val="en-AU"/>
        </w:rPr>
      </w:pPr>
      <w:r w:rsidRPr="00E45508">
        <w:rPr>
          <w:lang w:val="en-AU"/>
        </w:rPr>
        <w:t xml:space="preserve">Packaging reuse </w:t>
      </w:r>
      <w:r w:rsidR="00B31FD1">
        <w:rPr>
          <w:lang w:val="en-AU"/>
        </w:rPr>
        <w:t>and refill</w:t>
      </w:r>
      <w:r w:rsidRPr="00E45508">
        <w:rPr>
          <w:lang w:val="en-AU"/>
        </w:rPr>
        <w:t xml:space="preserve"> systems</w:t>
      </w:r>
    </w:p>
    <w:p w14:paraId="4C187ABB" w14:textId="0A05506D" w:rsidR="00A04B81" w:rsidRPr="00E45508" w:rsidRDefault="27760209" w:rsidP="0062194B">
      <w:r w:rsidRPr="00E45508">
        <w:t xml:space="preserve">The </w:t>
      </w:r>
      <w:r w:rsidR="5CEF6BF6" w:rsidRPr="00E45508">
        <w:t>departmen</w:t>
      </w:r>
      <w:r w:rsidR="60D197E3" w:rsidRPr="00E45508">
        <w:t>t</w:t>
      </w:r>
      <w:r w:rsidRPr="00E45508">
        <w:t xml:space="preserve"> is considering appropriate applications for reusable packaging in Australia. Reuse is when a unit of packaging is designed and intended to achieve multiple uses for the same purpose for which it was originally used. In practice, reuse is often implemented as a refill system, where the user owns the packaging, or as a return system, where the user rents the packaging from a business and returns it after use. Reuse can be applied in business and consumer applications.</w:t>
      </w:r>
    </w:p>
    <w:p w14:paraId="62294494" w14:textId="6B4EDEE1" w:rsidR="00A04B81" w:rsidRPr="00E45508" w:rsidRDefault="00A04B81" w:rsidP="00BB08AB">
      <w:r w:rsidRPr="00E45508">
        <w:t>There are significant differences between business-to-business (B2B) and business-to-consumer (B2C) reuse packaging applications. B2B reuse often relates to the transport of goods and is influenced by supply chain logistics. There are many opportunities for reuse in B2B and many businesses are already adopting reuse in the B2B space. Reuse systems for consumer packaging is currently less common in Australia than B2B systems. Reuse systems have the potential to reduce the impacts of consumer packaging, although implementation can be challenging. Consumer reuse systems require significant behavioural shifts and upfront investment by businesses to commence the shift to a circular economy</w:t>
      </w:r>
      <w:r w:rsidR="00CA4246" w:rsidRPr="00E45508">
        <w:t xml:space="preserve"> (AN</w:t>
      </w:r>
      <w:r w:rsidR="00A8722A" w:rsidRPr="00E45508">
        <w:t>Z</w:t>
      </w:r>
      <w:r w:rsidR="00BB08AB" w:rsidRPr="00E45508">
        <w:t>P</w:t>
      </w:r>
      <w:r w:rsidR="00A8722A" w:rsidRPr="00E45508">
        <w:t>AC</w:t>
      </w:r>
      <w:r w:rsidR="00421651" w:rsidRPr="00E45508">
        <w:t> 2</w:t>
      </w:r>
      <w:r w:rsidR="00A8722A" w:rsidRPr="00E45508">
        <w:t>024)</w:t>
      </w:r>
      <w:r w:rsidRPr="00E45508">
        <w:t>.</w:t>
      </w:r>
    </w:p>
    <w:p w14:paraId="6438CA24" w14:textId="237603E4" w:rsidR="00A04B81" w:rsidRPr="00E45508" w:rsidRDefault="1E54F3D0" w:rsidP="00BB08AB">
      <w:r w:rsidRPr="00E45508">
        <w:t>There are mechanisms that could be implemented to incentivise the uptake of reusable packaging. The European Union has set ambitious targets for reusable packaging under the PPWR, including a requirement for businesses to provide the option of refill or reuse for takeaway food and beverage products. In addition to targets, financial incentives could be implemented, such as through eco</w:t>
      </w:r>
      <w:r w:rsidR="51E48918" w:rsidRPr="00E45508">
        <w:t>-</w:t>
      </w:r>
      <w:r w:rsidR="00E75A8F">
        <w:noBreakHyphen/>
      </w:r>
      <w:r w:rsidRPr="00E45508">
        <w:t>modulated fees.</w:t>
      </w:r>
    </w:p>
    <w:p w14:paraId="7557B917" w14:textId="3A38D068" w:rsidR="00A04B81" w:rsidRPr="00E45508" w:rsidRDefault="1E54F3D0" w:rsidP="00BB08AB">
      <w:r w:rsidRPr="00E45508">
        <w:t>It is important that reusable packaging meets minimum standards to ensure that the packaging can cycle through a reuse system for an appropriate period of time. Global standards are being developed for B2C reuse systems and will include considerations such as design, washing, labelling, return and collection, and logistics. When complete, the new standards should be considered in the development of reuse systems in Australia.</w:t>
      </w:r>
    </w:p>
    <w:p w14:paraId="338DFAEF" w14:textId="267AD9B7" w:rsidR="706C3590" w:rsidRPr="00E45508" w:rsidRDefault="706C3590" w:rsidP="002A52C1">
      <w:pPr>
        <w:pStyle w:val="Heading2"/>
      </w:pPr>
      <w:bookmarkStart w:id="212" w:name="_Toc177126605"/>
      <w:bookmarkStart w:id="213" w:name="_Toc177493015"/>
      <w:bookmarkStart w:id="214" w:name="_Ref177632211"/>
      <w:bookmarkStart w:id="215" w:name="_Toc178230261"/>
      <w:r w:rsidRPr="00E45508">
        <w:t>What is the net benefit of each option?</w:t>
      </w:r>
      <w:bookmarkEnd w:id="212"/>
      <w:bookmarkEnd w:id="213"/>
      <w:bookmarkEnd w:id="214"/>
      <w:bookmarkEnd w:id="215"/>
    </w:p>
    <w:p w14:paraId="5EE90B66" w14:textId="402DA813" w:rsidR="00386FCC" w:rsidRPr="00E45508" w:rsidRDefault="4B728A77" w:rsidP="00C44B4B">
      <w:pPr>
        <w:pStyle w:val="Heading3"/>
      </w:pPr>
      <w:bookmarkStart w:id="216" w:name="_Toc177126606"/>
      <w:bookmarkStart w:id="217" w:name="_Toc177493016"/>
      <w:bookmarkStart w:id="218" w:name="_Toc178230262"/>
      <w:r w:rsidRPr="00E45508">
        <w:rPr>
          <w:rFonts w:eastAsia="Aptos Display"/>
        </w:rPr>
        <w:t>Assessment of options</w:t>
      </w:r>
      <w:bookmarkEnd w:id="216"/>
      <w:bookmarkEnd w:id="217"/>
      <w:bookmarkEnd w:id="218"/>
    </w:p>
    <w:p w14:paraId="47F927F2" w14:textId="222B1185" w:rsidR="000B0D85" w:rsidRPr="00E45508" w:rsidRDefault="00386FCC" w:rsidP="00410527">
      <w:r w:rsidRPr="00E45508">
        <w:t xml:space="preserve">This </w:t>
      </w:r>
      <w:r w:rsidR="00A5360B" w:rsidRPr="00E45508">
        <w:t>section</w:t>
      </w:r>
      <w:r w:rsidRPr="00E45508">
        <w:t xml:space="preserve"> provides a preliminary assessment of </w:t>
      </w:r>
      <w:r w:rsidR="00D27AD6" w:rsidRPr="00E45508">
        <w:t xml:space="preserve">the </w:t>
      </w:r>
      <w:r w:rsidR="004B1CA2" w:rsidRPr="00E45508">
        <w:t>depa</w:t>
      </w:r>
      <w:r w:rsidR="00274F8C" w:rsidRPr="00E45508">
        <w:t>rtmen</w:t>
      </w:r>
      <w:r w:rsidRPr="00E45508">
        <w:t xml:space="preserve">t’s proposed </w:t>
      </w:r>
      <w:r w:rsidR="168ECF3C" w:rsidRPr="00E45508">
        <w:t>reform</w:t>
      </w:r>
      <w:r w:rsidRPr="00E45508">
        <w:t xml:space="preserve"> options against</w:t>
      </w:r>
      <w:r w:rsidR="000B0D85" w:rsidRPr="00E45508">
        <w:t>:</w:t>
      </w:r>
    </w:p>
    <w:p w14:paraId="4212F00D" w14:textId="31D702FA" w:rsidR="000B0D85" w:rsidRPr="00E45508" w:rsidRDefault="00386FCC" w:rsidP="009C1F84">
      <w:pPr>
        <w:pStyle w:val="ListBullet"/>
      </w:pPr>
      <w:r w:rsidRPr="00E45508">
        <w:t xml:space="preserve">the </w:t>
      </w:r>
      <w:r w:rsidR="00572CE7" w:rsidRPr="00E45508">
        <w:t>principles</w:t>
      </w:r>
      <w:r w:rsidRPr="00E45508">
        <w:t xml:space="preserve"> for reform</w:t>
      </w:r>
      <w:r w:rsidR="00AE2A4C" w:rsidRPr="00E45508">
        <w:t xml:space="preserve"> </w:t>
      </w:r>
      <w:r w:rsidR="00276D4F" w:rsidRPr="00E45508">
        <w:t>set out in Chapter 4</w:t>
      </w:r>
    </w:p>
    <w:p w14:paraId="327AD9DF" w14:textId="77777777" w:rsidR="002E07CE" w:rsidRPr="00E45508" w:rsidRDefault="00B1770D" w:rsidP="009C1F84">
      <w:pPr>
        <w:pStyle w:val="ListBullet"/>
      </w:pPr>
      <w:r w:rsidRPr="00E45508">
        <w:t xml:space="preserve">a </w:t>
      </w:r>
      <w:r w:rsidR="002E07CE" w:rsidRPr="00E45508">
        <w:t>qualitative analysis of potential costs and benefits by stakeholder groups.</w:t>
      </w:r>
    </w:p>
    <w:p w14:paraId="6D82A6B3" w14:textId="41B74961" w:rsidR="00386FCC" w:rsidRPr="00E45508" w:rsidRDefault="00386FCC" w:rsidP="00410527">
      <w:r w:rsidRPr="00E45508">
        <w:t xml:space="preserve">Further assessment, including quantifying costs and benefits of the reform will be conducted </w:t>
      </w:r>
      <w:r w:rsidR="008151B8" w:rsidRPr="00E45508">
        <w:t>as part of the</w:t>
      </w:r>
      <w:r w:rsidRPr="00E45508">
        <w:t xml:space="preserve"> future</w:t>
      </w:r>
      <w:r w:rsidR="008151B8" w:rsidRPr="00E45508">
        <w:t xml:space="preserve"> </w:t>
      </w:r>
      <w:r w:rsidR="008E3CF5" w:rsidRPr="00E45508">
        <w:t>impact analysis</w:t>
      </w:r>
      <w:r w:rsidR="008151B8" w:rsidRPr="00E45508">
        <w:t xml:space="preserve"> process</w:t>
      </w:r>
      <w:r w:rsidRPr="00E45508">
        <w:t>. The objective of this consultation paper is to build on previous stakeholder engagement, to gather additional evidence and data on the extent of the problem and to seek views on the potential benefits and costs of the proposed policy options.</w:t>
      </w:r>
    </w:p>
    <w:p w14:paraId="787029DB" w14:textId="052932D0" w:rsidR="00276D4F" w:rsidRPr="00E45508" w:rsidRDefault="00276D4F" w:rsidP="007A0B5B">
      <w:pPr>
        <w:pStyle w:val="Heading4"/>
        <w:rPr>
          <w:rFonts w:eastAsia="Aptos"/>
        </w:rPr>
      </w:pPr>
      <w:r w:rsidRPr="00E45508">
        <w:rPr>
          <w:rFonts w:eastAsia="Aptos"/>
        </w:rPr>
        <w:t xml:space="preserve">Any viable option must compare well against the principles established. </w:t>
      </w:r>
    </w:p>
    <w:p w14:paraId="292D46C6" w14:textId="198BBDC2" w:rsidR="00386FCC" w:rsidRPr="00E45508" w:rsidRDefault="00386FCC" w:rsidP="00410527">
      <w:r w:rsidRPr="00E45508">
        <w:t xml:space="preserve">As </w:t>
      </w:r>
      <w:r w:rsidR="00276D4F" w:rsidRPr="00E45508">
        <w:t xml:space="preserve">established in Chapter </w:t>
      </w:r>
      <w:r w:rsidR="00653D01" w:rsidRPr="00E45508">
        <w:t>4, the department has developed a series of principles to inform policy design.</w:t>
      </w:r>
      <w:r w:rsidR="00AE2A4C" w:rsidRPr="00E45508">
        <w:t xml:space="preserve"> The </w:t>
      </w:r>
      <w:r w:rsidR="004249B9" w:rsidRPr="00E45508">
        <w:t>principles identified</w:t>
      </w:r>
      <w:r w:rsidR="00AE2A4C" w:rsidRPr="00E45508">
        <w:t xml:space="preserve"> will underpin a strong and effective circular economy for packaging that is accepted and trusted both domestically and internationally</w:t>
      </w:r>
      <w:r w:rsidR="004249B9" w:rsidRPr="00E45508">
        <w:t xml:space="preserve">. </w:t>
      </w:r>
      <w:r w:rsidR="006531B7" w:rsidRPr="00E45508">
        <w:t xml:space="preserve">Figure 4 and </w:t>
      </w:r>
      <w:r w:rsidRPr="00E45508">
        <w:fldChar w:fldCharType="begin"/>
      </w:r>
      <w:r w:rsidRPr="00E45508">
        <w:instrText xml:space="preserve"> REF _Ref177125988 \h </w:instrText>
      </w:r>
      <w:r w:rsidRPr="00E45508">
        <w:fldChar w:fldCharType="separate"/>
      </w:r>
      <w:r w:rsidR="009A2EC4" w:rsidRPr="00E45508">
        <w:t xml:space="preserve">Table </w:t>
      </w:r>
      <w:r w:rsidR="009A2EC4">
        <w:rPr>
          <w:noProof/>
        </w:rPr>
        <w:t>20</w:t>
      </w:r>
      <w:r w:rsidRPr="00E45508">
        <w:fldChar w:fldCharType="end"/>
      </w:r>
      <w:r w:rsidR="001B53E1" w:rsidRPr="00E45508">
        <w:t xml:space="preserve"> show</w:t>
      </w:r>
      <w:r w:rsidR="00026A3C" w:rsidRPr="00E45508">
        <w:t xml:space="preserve"> </w:t>
      </w:r>
      <w:r w:rsidR="008F68E6" w:rsidRPr="00E45508">
        <w:t xml:space="preserve">our assessment </w:t>
      </w:r>
      <w:r w:rsidR="006D5D16" w:rsidRPr="00E45508">
        <w:t xml:space="preserve">of </w:t>
      </w:r>
      <w:r w:rsidR="00D8084B" w:rsidRPr="00E45508">
        <w:t xml:space="preserve">the base case and </w:t>
      </w:r>
      <w:r w:rsidR="00653D01" w:rsidRPr="00E45508">
        <w:t xml:space="preserve">each option against the </w:t>
      </w:r>
      <w:r w:rsidR="00F27FD6" w:rsidRPr="00E45508">
        <w:t xml:space="preserve">principles </w:t>
      </w:r>
      <w:r w:rsidR="00D8084B" w:rsidRPr="00E45508">
        <w:t>(</w:t>
      </w:r>
      <w:r w:rsidR="00150567">
        <w:t xml:space="preserve">section </w:t>
      </w:r>
      <w:r w:rsidRPr="00E45508">
        <w:fldChar w:fldCharType="begin"/>
      </w:r>
      <w:r w:rsidRPr="00E45508">
        <w:instrText xml:space="preserve"> REF _Ref177648863 \r \h </w:instrText>
      </w:r>
      <w:r w:rsidRPr="00E45508">
        <w:fldChar w:fldCharType="separate"/>
      </w:r>
      <w:r w:rsidR="009A2EC4">
        <w:t>4.1</w:t>
      </w:r>
      <w:r w:rsidRPr="00E45508">
        <w:fldChar w:fldCharType="end"/>
      </w:r>
      <w:r w:rsidR="00D8084B" w:rsidRPr="00E45508">
        <w:t xml:space="preserve"> refers)</w:t>
      </w:r>
      <w:r w:rsidR="002651B4" w:rsidRPr="00E45508">
        <w:t xml:space="preserve"> </w:t>
      </w:r>
      <w:r w:rsidR="00DE40B9" w:rsidRPr="00E45508">
        <w:t xml:space="preserve">using </w:t>
      </w:r>
      <w:r w:rsidR="00AE310F" w:rsidRPr="00E45508">
        <w:t>th</w:t>
      </w:r>
      <w:r w:rsidR="00D43BA1" w:rsidRPr="00E45508">
        <w:t>e following ratings</w:t>
      </w:r>
      <w:r w:rsidR="00653D01" w:rsidRPr="00E45508">
        <w:t>:</w:t>
      </w:r>
    </w:p>
    <w:p w14:paraId="03024CEF" w14:textId="0163420B" w:rsidR="006627A6" w:rsidRPr="00E45508" w:rsidRDefault="00A75488" w:rsidP="009C1F84">
      <w:pPr>
        <w:pStyle w:val="ListBullet"/>
      </w:pPr>
      <w:r w:rsidRPr="00E45508">
        <w:t>Good (Green) – has potential to fully deliver on principle</w:t>
      </w:r>
    </w:p>
    <w:p w14:paraId="274720F3" w14:textId="78A47956" w:rsidR="002873B9" w:rsidRPr="00E45508" w:rsidRDefault="00433A9D" w:rsidP="009C1F84">
      <w:pPr>
        <w:pStyle w:val="ListBullet"/>
      </w:pPr>
      <w:r w:rsidRPr="00E45508">
        <w:t>Partial (Amber) – expected to partially deliver on principle, the approach may have some limitation or weaknesses</w:t>
      </w:r>
    </w:p>
    <w:p w14:paraId="2DCA3A0B" w14:textId="1E25300D" w:rsidR="0088349E" w:rsidRPr="00E45508" w:rsidRDefault="00FD7ED1" w:rsidP="009C1F84">
      <w:pPr>
        <w:pStyle w:val="ListBullet"/>
      </w:pPr>
      <w:r w:rsidRPr="00E45508">
        <w:t>Poor (Red) – not expected to deliver on principle, or approach has significant limitation or weaknesses</w:t>
      </w:r>
      <w:r w:rsidR="001C7CBC">
        <w:t>.</w:t>
      </w:r>
    </w:p>
    <w:p w14:paraId="7E515B31" w14:textId="004103C1" w:rsidR="005C3F67" w:rsidRPr="00E45508" w:rsidRDefault="005C3F67" w:rsidP="00410527">
      <w:r w:rsidRPr="00E45508">
        <w:t xml:space="preserve">In summary the </w:t>
      </w:r>
      <w:r w:rsidR="003C7BF1" w:rsidRPr="00E45508">
        <w:t>o</w:t>
      </w:r>
      <w:r w:rsidRPr="00E45508">
        <w:t>ption</w:t>
      </w:r>
      <w:r w:rsidR="003C7BF1" w:rsidRPr="00E45508">
        <w:t>s</w:t>
      </w:r>
      <w:r w:rsidRPr="00E45508">
        <w:t xml:space="preserve"> are</w:t>
      </w:r>
      <w:r w:rsidR="003C7BF1" w:rsidRPr="00E45508">
        <w:t xml:space="preserve"> described as</w:t>
      </w:r>
      <w:r w:rsidRPr="00E45508">
        <w:t>:</w:t>
      </w:r>
    </w:p>
    <w:p w14:paraId="5BE2DAA0" w14:textId="1E1FA5C0" w:rsidR="00C403B6" w:rsidRPr="00E45508" w:rsidRDefault="00C403B6" w:rsidP="009C1F84">
      <w:pPr>
        <w:pStyle w:val="ListBullet"/>
      </w:pPr>
      <w:r w:rsidRPr="00E45508">
        <w:t xml:space="preserve">Base case: </w:t>
      </w:r>
      <w:r w:rsidR="00262CDA" w:rsidRPr="00E45508">
        <w:t xml:space="preserve">The current </w:t>
      </w:r>
      <w:r w:rsidR="00D02E07" w:rsidRPr="00E45508">
        <w:t>situation</w:t>
      </w:r>
      <w:r w:rsidR="00472DB9" w:rsidRPr="00E45508">
        <w:t xml:space="preserve"> including the proposed APCO 2030 strategy</w:t>
      </w:r>
    </w:p>
    <w:p w14:paraId="79E82907" w14:textId="6654BCFB" w:rsidR="005C3F67" w:rsidRPr="00E45508" w:rsidRDefault="005C3F67" w:rsidP="009C1F84">
      <w:pPr>
        <w:pStyle w:val="ListBullet"/>
      </w:pPr>
      <w:r w:rsidRPr="00E45508">
        <w:t>Option</w:t>
      </w:r>
      <w:r w:rsidR="00421651" w:rsidRPr="00E45508">
        <w:t> 1</w:t>
      </w:r>
      <w:r w:rsidRPr="00E45508">
        <w:t>: Strengthen</w:t>
      </w:r>
      <w:r w:rsidR="10732E08" w:rsidRPr="00E45508">
        <w:t>ing</w:t>
      </w:r>
      <w:r w:rsidRPr="00E45508">
        <w:t xml:space="preserve"> </w:t>
      </w:r>
      <w:r w:rsidR="00D97F30" w:rsidRPr="00E45508">
        <w:t xml:space="preserve">administration of the </w:t>
      </w:r>
      <w:r w:rsidR="00673A84" w:rsidRPr="00E45508">
        <w:t>co</w:t>
      </w:r>
      <w:r w:rsidR="009A7299" w:rsidRPr="00E45508">
        <w:t>-</w:t>
      </w:r>
      <w:r w:rsidR="008D337C" w:rsidRPr="00E45508">
        <w:t>regulatory arrangement</w:t>
      </w:r>
    </w:p>
    <w:p w14:paraId="741F8987" w14:textId="1876DBB3" w:rsidR="005C3F67" w:rsidRPr="00E45508" w:rsidRDefault="005C3F67" w:rsidP="009C1F84">
      <w:pPr>
        <w:pStyle w:val="ListBullet"/>
      </w:pPr>
      <w:r w:rsidRPr="00E45508">
        <w:t>Option</w:t>
      </w:r>
      <w:r w:rsidR="00421651" w:rsidRPr="00E45508">
        <w:t> 2</w:t>
      </w:r>
      <w:r w:rsidRPr="00E45508">
        <w:t>: National mandatory requirements for packaging</w:t>
      </w:r>
    </w:p>
    <w:p w14:paraId="20DF85D0" w14:textId="40E61429" w:rsidR="005C3F67" w:rsidRPr="00E45508" w:rsidRDefault="005C3F67" w:rsidP="009C1F84">
      <w:pPr>
        <w:pStyle w:val="ListBullet"/>
      </w:pPr>
      <w:r w:rsidRPr="00E45508">
        <w:t>Option</w:t>
      </w:r>
      <w:r w:rsidR="00421651" w:rsidRPr="00E45508">
        <w:t> 3</w:t>
      </w:r>
      <w:r w:rsidRPr="00E45508">
        <w:t>: An extended producer responsibility scheme for packaging</w:t>
      </w:r>
      <w:r w:rsidR="003D5042" w:rsidRPr="00E45508">
        <w:t>.</w:t>
      </w:r>
    </w:p>
    <w:p w14:paraId="640F44E8" w14:textId="71287898" w:rsidR="00410D84" w:rsidRPr="00E45508" w:rsidRDefault="00410D84" w:rsidP="00410D84">
      <w:pPr>
        <w:pStyle w:val="Caption"/>
      </w:pPr>
      <w:bookmarkStart w:id="219" w:name="_Toc178229390"/>
      <w:r w:rsidRPr="00E45508">
        <w:t xml:space="preserve">Figure </w:t>
      </w:r>
      <w:r w:rsidRPr="00E45508">
        <w:fldChar w:fldCharType="begin"/>
      </w:r>
      <w:r w:rsidRPr="00E45508">
        <w:instrText xml:space="preserve"> SEQ Figure \* ARABIC </w:instrText>
      </w:r>
      <w:r w:rsidRPr="00E45508">
        <w:fldChar w:fldCharType="separate"/>
      </w:r>
      <w:r w:rsidR="009A2EC4">
        <w:rPr>
          <w:noProof/>
        </w:rPr>
        <w:t>4</w:t>
      </w:r>
      <w:r w:rsidRPr="00E45508">
        <w:fldChar w:fldCharType="end"/>
      </w:r>
      <w:r w:rsidR="000D4D42" w:rsidRPr="00E45508">
        <w:t xml:space="preserve">: </w:t>
      </w:r>
      <w:r w:rsidR="00F0475D" w:rsidRPr="00E45508">
        <w:t>A</w:t>
      </w:r>
      <w:r w:rsidR="001D364A" w:rsidRPr="00E45508">
        <w:t>ssessment</w:t>
      </w:r>
      <w:r w:rsidR="00FE5E94" w:rsidRPr="00E45508">
        <w:t xml:space="preserve"> of base case and options</w:t>
      </w:r>
      <w:r w:rsidR="005F5DF6" w:rsidRPr="00E45508">
        <w:t xml:space="preserve"> </w:t>
      </w:r>
      <w:r w:rsidR="00FE5E94" w:rsidRPr="00E45508">
        <w:t xml:space="preserve">against the </w:t>
      </w:r>
      <w:r w:rsidR="005F5DF6" w:rsidRPr="00E45508">
        <w:t>principles</w:t>
      </w:r>
      <w:r w:rsidR="00B16BBA" w:rsidRPr="00E45508">
        <w:t xml:space="preserve"> </w:t>
      </w:r>
      <w:r w:rsidR="00F0475D" w:rsidRPr="00E45508">
        <w:t xml:space="preserve">- </w:t>
      </w:r>
      <w:r w:rsidR="001D364A" w:rsidRPr="00E45508">
        <w:t>at a glance</w:t>
      </w:r>
      <w:bookmarkEnd w:id="219"/>
    </w:p>
    <w:p w14:paraId="15F912B5" w14:textId="384F00F3" w:rsidR="00446BA6" w:rsidRPr="00E45508" w:rsidRDefault="00446BA6" w:rsidP="55FD1D55">
      <w:r w:rsidRPr="00E45508">
        <w:rPr>
          <w:noProof/>
        </w:rPr>
        <w:drawing>
          <wp:inline distT="0" distB="0" distL="0" distR="0" wp14:anchorId="53A7C8C4" wp14:editId="0939C6E5">
            <wp:extent cx="5759450" cy="3788410"/>
            <wp:effectExtent l="0" t="0" r="0" b="2540"/>
            <wp:docPr id="2135186323" name="Picture 5" descr="Figure showing traffic light snapshot assessment of base case and options against the principles - where green equals good, amber equals partial and red equals poor - summarising the full assessment in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5759450" cy="3788410"/>
                    </a:xfrm>
                    <a:prstGeom prst="rect">
                      <a:avLst/>
                    </a:prstGeom>
                  </pic:spPr>
                </pic:pic>
              </a:graphicData>
            </a:graphic>
          </wp:inline>
        </w:drawing>
      </w:r>
    </w:p>
    <w:p w14:paraId="5E804481" w14:textId="46BD231F" w:rsidR="00410D84" w:rsidRPr="00E45508" w:rsidRDefault="00410D84" w:rsidP="55FD1D55"/>
    <w:p w14:paraId="35632C48" w14:textId="1D2E24C3" w:rsidR="00DF4D3C" w:rsidRPr="00E45508" w:rsidRDefault="008D239E" w:rsidP="00C915A5">
      <w:pPr>
        <w:pStyle w:val="Caption"/>
        <w:rPr>
          <w:rFonts w:asciiTheme="minorHAnsi" w:hAnsiTheme="minorHAnsi"/>
        </w:rPr>
      </w:pPr>
      <w:bookmarkStart w:id="220" w:name="_Ref177125988"/>
      <w:bookmarkStart w:id="221" w:name="_Toc177126682"/>
      <w:bookmarkStart w:id="222" w:name="_Toc178229383"/>
      <w:r w:rsidRPr="00E45508">
        <w:t xml:space="preserve">Table </w:t>
      </w:r>
      <w:r w:rsidRPr="00E45508">
        <w:fldChar w:fldCharType="begin"/>
      </w:r>
      <w:r w:rsidRPr="00E45508">
        <w:instrText xml:space="preserve"> SEQ Table \* ARABIC </w:instrText>
      </w:r>
      <w:r w:rsidRPr="00E45508">
        <w:fldChar w:fldCharType="separate"/>
      </w:r>
      <w:r w:rsidR="009A2EC4">
        <w:rPr>
          <w:noProof/>
        </w:rPr>
        <w:t>20</w:t>
      </w:r>
      <w:r w:rsidRPr="00E45508">
        <w:fldChar w:fldCharType="end"/>
      </w:r>
      <w:bookmarkEnd w:id="220"/>
      <w:r w:rsidR="00DF4D3C" w:rsidRPr="00E45508">
        <w:t xml:space="preserve">: </w:t>
      </w:r>
      <w:bookmarkEnd w:id="221"/>
      <w:r w:rsidR="00F0475D" w:rsidRPr="00E45508">
        <w:t xml:space="preserve">Assessment </w:t>
      </w:r>
      <w:r w:rsidR="00EF5B1B" w:rsidRPr="00E45508">
        <w:t xml:space="preserve">of </w:t>
      </w:r>
      <w:r w:rsidR="00AD737F" w:rsidRPr="00E45508">
        <w:t xml:space="preserve">base case and </w:t>
      </w:r>
      <w:r w:rsidR="00EF5B1B" w:rsidRPr="00E45508">
        <w:t xml:space="preserve">options against the </w:t>
      </w:r>
      <w:r w:rsidR="00AD737F" w:rsidRPr="00E45508">
        <w:t>principles</w:t>
      </w:r>
      <w:bookmarkEnd w:id="222"/>
    </w:p>
    <w:tbl>
      <w:tblPr>
        <w:tblStyle w:val="PlainTable2"/>
        <w:tblW w:w="0" w:type="auto"/>
        <w:tblLook w:val="0420" w:firstRow="1" w:lastRow="0" w:firstColumn="0" w:lastColumn="0" w:noHBand="0" w:noVBand="1"/>
      </w:tblPr>
      <w:tblGrid>
        <w:gridCol w:w="1652"/>
        <w:gridCol w:w="1840"/>
        <w:gridCol w:w="1862"/>
        <w:gridCol w:w="1910"/>
        <w:gridCol w:w="1806"/>
      </w:tblGrid>
      <w:tr w:rsidR="00040CA8" w:rsidRPr="00E45508" w14:paraId="618BFE02" w14:textId="77777777" w:rsidTr="00E15B01">
        <w:trPr>
          <w:cnfStyle w:val="100000000000" w:firstRow="1" w:lastRow="0" w:firstColumn="0" w:lastColumn="0" w:oddVBand="0" w:evenVBand="0" w:oddHBand="0" w:evenHBand="0" w:firstRowFirstColumn="0" w:firstRowLastColumn="0" w:lastRowFirstColumn="0" w:lastRowLastColumn="0"/>
          <w:cantSplit/>
          <w:trHeight w:val="70"/>
          <w:tblHeader/>
        </w:trPr>
        <w:tc>
          <w:tcPr>
            <w:tcW w:w="0" w:type="auto"/>
          </w:tcPr>
          <w:p w14:paraId="4A28CF26" w14:textId="77777777" w:rsidR="00040CA8" w:rsidRPr="00E45508" w:rsidRDefault="00040CA8" w:rsidP="008651BC">
            <w:pPr>
              <w:pStyle w:val="Tabletext0"/>
            </w:pPr>
            <w:r w:rsidRPr="00E45508">
              <w:br w:type="page"/>
              <w:t>Principle</w:t>
            </w:r>
          </w:p>
        </w:tc>
        <w:tc>
          <w:tcPr>
            <w:tcW w:w="0" w:type="auto"/>
          </w:tcPr>
          <w:p w14:paraId="1A9FC923" w14:textId="77777777" w:rsidR="00040CA8" w:rsidRPr="00E45508" w:rsidRDefault="00040CA8" w:rsidP="008651BC">
            <w:pPr>
              <w:pStyle w:val="Tabletext0"/>
            </w:pPr>
            <w:r w:rsidRPr="00E45508">
              <w:t>Base case</w:t>
            </w:r>
          </w:p>
        </w:tc>
        <w:tc>
          <w:tcPr>
            <w:tcW w:w="0" w:type="auto"/>
          </w:tcPr>
          <w:p w14:paraId="7EF3FF81" w14:textId="77777777" w:rsidR="00040CA8" w:rsidRPr="00E45508" w:rsidRDefault="00040CA8" w:rsidP="008651BC">
            <w:pPr>
              <w:pStyle w:val="Tabletext0"/>
            </w:pPr>
            <w:r w:rsidRPr="00E45508">
              <w:t>Option 1</w:t>
            </w:r>
          </w:p>
        </w:tc>
        <w:tc>
          <w:tcPr>
            <w:tcW w:w="0" w:type="auto"/>
          </w:tcPr>
          <w:p w14:paraId="719DF61D" w14:textId="77777777" w:rsidR="00040CA8" w:rsidRPr="00E45508" w:rsidRDefault="00040CA8" w:rsidP="008651BC">
            <w:pPr>
              <w:pStyle w:val="Tabletext0"/>
            </w:pPr>
            <w:r w:rsidRPr="00E45508">
              <w:t>Option 2</w:t>
            </w:r>
          </w:p>
        </w:tc>
        <w:tc>
          <w:tcPr>
            <w:tcW w:w="0" w:type="auto"/>
          </w:tcPr>
          <w:p w14:paraId="53F7B949" w14:textId="77777777" w:rsidR="00040CA8" w:rsidRPr="00E45508" w:rsidRDefault="00040CA8" w:rsidP="008651BC">
            <w:pPr>
              <w:pStyle w:val="Tabletext0"/>
            </w:pPr>
            <w:r w:rsidRPr="00E45508">
              <w:t>Option 3</w:t>
            </w:r>
          </w:p>
        </w:tc>
      </w:tr>
      <w:tr w:rsidR="00040CA8" w:rsidRPr="00E45508" w14:paraId="63771975" w14:textId="77777777" w:rsidTr="00E15B01">
        <w:trPr>
          <w:cnfStyle w:val="000000100000" w:firstRow="0" w:lastRow="0" w:firstColumn="0" w:lastColumn="0" w:oddVBand="0" w:evenVBand="0" w:oddHBand="1" w:evenHBand="0" w:firstRowFirstColumn="0" w:firstRowLastColumn="0" w:lastRowFirstColumn="0" w:lastRowLastColumn="0"/>
          <w:cantSplit/>
          <w:trHeight w:val="300"/>
        </w:trPr>
        <w:tc>
          <w:tcPr>
            <w:tcW w:w="0" w:type="auto"/>
          </w:tcPr>
          <w:p w14:paraId="529C806C" w14:textId="77777777" w:rsidR="00040CA8" w:rsidRPr="00E45508" w:rsidRDefault="00040CA8" w:rsidP="008651BC">
            <w:pPr>
              <w:pStyle w:val="Tabletext0"/>
            </w:pPr>
            <w:r w:rsidRPr="00E45508">
              <w:t>Nationally consistent obligations and requirements to ensure a level playing field and increase certainty for businesses producing packaging and placing it on the market</w:t>
            </w:r>
          </w:p>
        </w:tc>
        <w:tc>
          <w:tcPr>
            <w:tcW w:w="0" w:type="auto"/>
          </w:tcPr>
          <w:p w14:paraId="58F78613" w14:textId="77777777" w:rsidR="00040CA8" w:rsidRPr="00E45508" w:rsidRDefault="00040CA8" w:rsidP="008651BC">
            <w:pPr>
              <w:pStyle w:val="Tabletext0"/>
            </w:pPr>
            <w:r w:rsidRPr="00E45508">
              <w:t>Poor</w:t>
            </w:r>
          </w:p>
          <w:p w14:paraId="2ADF74C0" w14:textId="77777777" w:rsidR="00040CA8" w:rsidRPr="00E45508" w:rsidRDefault="00040CA8" w:rsidP="008651BC">
            <w:pPr>
              <w:pStyle w:val="Tabletext0"/>
            </w:pPr>
            <w:r w:rsidRPr="00E45508">
              <w:t>Inconsistent obligations between Covenant and state and territory legislation that supports the NEPM</w:t>
            </w:r>
          </w:p>
        </w:tc>
        <w:tc>
          <w:tcPr>
            <w:tcW w:w="0" w:type="auto"/>
          </w:tcPr>
          <w:p w14:paraId="598EA82A" w14:textId="77777777" w:rsidR="00040CA8" w:rsidRPr="00E45508" w:rsidRDefault="00040CA8" w:rsidP="008651BC">
            <w:pPr>
              <w:pStyle w:val="Tabletext0"/>
            </w:pPr>
            <w:r w:rsidRPr="00E45508">
              <w:t>Poor</w:t>
            </w:r>
          </w:p>
          <w:p w14:paraId="50D638DC" w14:textId="77777777" w:rsidR="00040CA8" w:rsidRPr="00E45508" w:rsidRDefault="00040CA8" w:rsidP="008651BC">
            <w:pPr>
              <w:pStyle w:val="Tabletext0"/>
            </w:pPr>
            <w:r w:rsidRPr="00E45508">
              <w:t>Inconsistent obligations between Covenant and state and territory legislation that supports the NEPM not addressed in this option</w:t>
            </w:r>
          </w:p>
        </w:tc>
        <w:tc>
          <w:tcPr>
            <w:tcW w:w="0" w:type="auto"/>
          </w:tcPr>
          <w:p w14:paraId="45503573" w14:textId="77777777" w:rsidR="00040CA8" w:rsidRPr="00E45508" w:rsidRDefault="00040CA8" w:rsidP="008651BC">
            <w:pPr>
              <w:pStyle w:val="Tabletext0"/>
            </w:pPr>
            <w:r w:rsidRPr="00E45508">
              <w:t>Partial</w:t>
            </w:r>
          </w:p>
          <w:p w14:paraId="311F5B57" w14:textId="77777777" w:rsidR="00040CA8" w:rsidRPr="00E45508" w:rsidRDefault="00040CA8" w:rsidP="008651BC">
            <w:pPr>
              <w:pStyle w:val="Tabletext0"/>
            </w:pPr>
            <w:r w:rsidRPr="00E45508">
              <w:t>Yes, through Commonwealth legislated requirements but limited in scope compared to existing Covenant obligations</w:t>
            </w:r>
          </w:p>
        </w:tc>
        <w:tc>
          <w:tcPr>
            <w:tcW w:w="0" w:type="auto"/>
          </w:tcPr>
          <w:p w14:paraId="1AFFD4ED" w14:textId="77777777" w:rsidR="00040CA8" w:rsidRPr="00E45508" w:rsidRDefault="00040CA8" w:rsidP="008651BC">
            <w:pPr>
              <w:pStyle w:val="Tabletext0"/>
            </w:pPr>
            <w:r w:rsidRPr="00E45508">
              <w:t>Good</w:t>
            </w:r>
          </w:p>
          <w:p w14:paraId="6398440A" w14:textId="77777777" w:rsidR="00040CA8" w:rsidRPr="00E45508" w:rsidRDefault="00040CA8" w:rsidP="008651BC">
            <w:pPr>
              <w:pStyle w:val="Tabletext0"/>
            </w:pPr>
            <w:r w:rsidRPr="00E45508">
              <w:t>Commonwealth legislated requirements and eco-modulated fees for design for recyclability</w:t>
            </w:r>
          </w:p>
        </w:tc>
      </w:tr>
      <w:tr w:rsidR="00040CA8" w:rsidRPr="00E45508" w14:paraId="692004AA" w14:textId="77777777" w:rsidTr="55FD1D55">
        <w:trPr>
          <w:cantSplit/>
          <w:trHeight w:val="300"/>
        </w:trPr>
        <w:tc>
          <w:tcPr>
            <w:tcW w:w="0" w:type="auto"/>
          </w:tcPr>
          <w:p w14:paraId="6B1897EF" w14:textId="77777777" w:rsidR="00040CA8" w:rsidRPr="00E45508" w:rsidRDefault="00040CA8" w:rsidP="008651BC">
            <w:pPr>
              <w:pStyle w:val="Tabletext0"/>
            </w:pPr>
            <w:r w:rsidRPr="00E45508">
              <w:t xml:space="preserve">Clear obligations for industry to support effective action… </w:t>
            </w:r>
          </w:p>
        </w:tc>
        <w:tc>
          <w:tcPr>
            <w:tcW w:w="0" w:type="auto"/>
          </w:tcPr>
          <w:p w14:paraId="2989A463" w14:textId="77777777" w:rsidR="00040CA8" w:rsidRPr="00E45508" w:rsidRDefault="00040CA8" w:rsidP="008651BC">
            <w:pPr>
              <w:pStyle w:val="Tabletext0"/>
            </w:pPr>
            <w:r w:rsidRPr="00E45508">
              <w:t>Poor</w:t>
            </w:r>
          </w:p>
          <w:p w14:paraId="2074277C" w14:textId="77777777" w:rsidR="00040CA8" w:rsidRPr="00E45508" w:rsidRDefault="00040CA8" w:rsidP="008651BC">
            <w:pPr>
              <w:pStyle w:val="Tabletext0"/>
            </w:pPr>
            <w:r w:rsidRPr="00E45508">
              <w:t>Inconsistent obligations between Covenant and state and territory legislation that supports the NEPM</w:t>
            </w:r>
          </w:p>
        </w:tc>
        <w:tc>
          <w:tcPr>
            <w:tcW w:w="0" w:type="auto"/>
          </w:tcPr>
          <w:p w14:paraId="231B7865" w14:textId="77777777" w:rsidR="00040CA8" w:rsidRPr="00E45508" w:rsidRDefault="00040CA8" w:rsidP="008651BC">
            <w:pPr>
              <w:pStyle w:val="Tabletext0"/>
            </w:pPr>
            <w:r w:rsidRPr="00E45508">
              <w:t>Poor</w:t>
            </w:r>
          </w:p>
          <w:p w14:paraId="6FE684F1" w14:textId="77777777" w:rsidR="00040CA8" w:rsidRPr="00E45508" w:rsidRDefault="00040CA8" w:rsidP="008651BC">
            <w:pPr>
              <w:pStyle w:val="Tabletext0"/>
            </w:pPr>
            <w:r w:rsidRPr="00E45508">
              <w:t>Inconsistent obligations between Covenant and state and territory legislation that supports the NEPM</w:t>
            </w:r>
          </w:p>
        </w:tc>
        <w:tc>
          <w:tcPr>
            <w:tcW w:w="0" w:type="auto"/>
          </w:tcPr>
          <w:p w14:paraId="798711FA" w14:textId="77777777" w:rsidR="00040CA8" w:rsidRPr="00E45508" w:rsidRDefault="00040CA8" w:rsidP="008651BC">
            <w:pPr>
              <w:pStyle w:val="Tabletext0"/>
            </w:pPr>
            <w:r w:rsidRPr="00E45508">
              <w:t>Partial</w:t>
            </w:r>
          </w:p>
          <w:p w14:paraId="4DC98A8C" w14:textId="77777777" w:rsidR="00040CA8" w:rsidRPr="00E45508" w:rsidRDefault="00040CA8" w:rsidP="008651BC">
            <w:pPr>
              <w:pStyle w:val="Tabletext0"/>
            </w:pPr>
            <w:r w:rsidRPr="00E45508">
              <w:t>Clear obligations for individual</w:t>
            </w:r>
          </w:p>
        </w:tc>
        <w:tc>
          <w:tcPr>
            <w:tcW w:w="0" w:type="auto"/>
          </w:tcPr>
          <w:p w14:paraId="47D4F7E6" w14:textId="77777777" w:rsidR="00040CA8" w:rsidRPr="00E45508" w:rsidRDefault="00040CA8" w:rsidP="008651BC">
            <w:pPr>
              <w:pStyle w:val="Tabletext0"/>
            </w:pPr>
            <w:r w:rsidRPr="00E45508">
              <w:t>Good</w:t>
            </w:r>
          </w:p>
          <w:p w14:paraId="503700A1" w14:textId="77777777" w:rsidR="00040CA8" w:rsidRPr="00E45508" w:rsidRDefault="00040CA8" w:rsidP="008651BC">
            <w:pPr>
              <w:pStyle w:val="Tabletext0"/>
            </w:pPr>
            <w:r w:rsidRPr="00E45508">
              <w:t>Clear obligations for individual and industry</w:t>
            </w:r>
          </w:p>
        </w:tc>
      </w:tr>
      <w:tr w:rsidR="00040CA8" w:rsidRPr="00E45508" w14:paraId="24EF8E03" w14:textId="77777777" w:rsidTr="00E15B01">
        <w:trPr>
          <w:cnfStyle w:val="000000100000" w:firstRow="0" w:lastRow="0" w:firstColumn="0" w:lastColumn="0" w:oddVBand="0" w:evenVBand="0" w:oddHBand="1" w:evenHBand="0" w:firstRowFirstColumn="0" w:firstRowLastColumn="0" w:lastRowFirstColumn="0" w:lastRowLastColumn="0"/>
          <w:cantSplit/>
          <w:trHeight w:val="300"/>
        </w:trPr>
        <w:tc>
          <w:tcPr>
            <w:tcW w:w="0" w:type="auto"/>
          </w:tcPr>
          <w:p w14:paraId="0C5FE858" w14:textId="77777777" w:rsidR="00040CA8" w:rsidRPr="00E45508" w:rsidRDefault="00040CA8" w:rsidP="008651BC">
            <w:pPr>
              <w:pStyle w:val="Tabletext0"/>
            </w:pPr>
            <w:r w:rsidRPr="00E45508">
              <w:t>…and investment across the packaging life cycle</w:t>
            </w:r>
          </w:p>
        </w:tc>
        <w:tc>
          <w:tcPr>
            <w:tcW w:w="0" w:type="auto"/>
          </w:tcPr>
          <w:p w14:paraId="566131BD" w14:textId="77777777" w:rsidR="00040CA8" w:rsidRPr="00E45508" w:rsidRDefault="00040CA8" w:rsidP="008651BC">
            <w:pPr>
              <w:pStyle w:val="Tabletext0"/>
            </w:pPr>
            <w:r w:rsidRPr="00E45508">
              <w:t>Poor</w:t>
            </w:r>
          </w:p>
          <w:p w14:paraId="69BDFB38" w14:textId="77777777" w:rsidR="00040CA8" w:rsidRPr="00E45508" w:rsidRDefault="00040CA8" w:rsidP="008651BC">
            <w:pPr>
              <w:pStyle w:val="Tabletext0"/>
            </w:pPr>
            <w:r w:rsidRPr="00E45508">
              <w:t>Strategic plan supports, but risks exacerbating free rider issue given voluntary membership of Covenant</w:t>
            </w:r>
          </w:p>
        </w:tc>
        <w:tc>
          <w:tcPr>
            <w:tcW w:w="0" w:type="auto"/>
          </w:tcPr>
          <w:p w14:paraId="385B9233" w14:textId="77777777" w:rsidR="00040CA8" w:rsidRPr="00E45508" w:rsidRDefault="00040CA8" w:rsidP="008651BC">
            <w:pPr>
              <w:pStyle w:val="Tabletext0"/>
            </w:pPr>
            <w:r w:rsidRPr="00E45508">
              <w:t>Partial</w:t>
            </w:r>
          </w:p>
          <w:p w14:paraId="2C0475DC" w14:textId="10A194F0" w:rsidR="00040CA8" w:rsidRPr="00E45508" w:rsidRDefault="00040CA8" w:rsidP="008651BC">
            <w:pPr>
              <w:pStyle w:val="Tabletext0"/>
            </w:pPr>
            <w:r w:rsidRPr="00E45508">
              <w:t>Strategic plan supports, strengthened compliance and enforcement aim to improve scheme participation and investment in whole of supply chain actions</w:t>
            </w:r>
          </w:p>
        </w:tc>
        <w:tc>
          <w:tcPr>
            <w:tcW w:w="0" w:type="auto"/>
          </w:tcPr>
          <w:p w14:paraId="422A4FC4" w14:textId="77777777" w:rsidR="00040CA8" w:rsidRPr="00E45508" w:rsidRDefault="00040CA8" w:rsidP="008651BC">
            <w:pPr>
              <w:pStyle w:val="Tabletext0"/>
            </w:pPr>
            <w:r w:rsidRPr="00E45508">
              <w:t>Poor</w:t>
            </w:r>
          </w:p>
          <w:p w14:paraId="6C42D9AF" w14:textId="52AEE00A" w:rsidR="00040CA8" w:rsidRPr="00E45508" w:rsidRDefault="00040CA8" w:rsidP="008651BC">
            <w:pPr>
              <w:pStyle w:val="Tabletext0"/>
            </w:pPr>
            <w:r w:rsidRPr="00E45508">
              <w:t>No financial mechanism to fund or invest in whole of supply chain actions</w:t>
            </w:r>
          </w:p>
        </w:tc>
        <w:tc>
          <w:tcPr>
            <w:tcW w:w="0" w:type="auto"/>
          </w:tcPr>
          <w:p w14:paraId="5BA5F35A" w14:textId="77777777" w:rsidR="00040CA8" w:rsidRPr="00E45508" w:rsidRDefault="00040CA8" w:rsidP="008651BC">
            <w:pPr>
              <w:pStyle w:val="Tabletext0"/>
            </w:pPr>
            <w:r w:rsidRPr="00E45508">
              <w:t>Good</w:t>
            </w:r>
          </w:p>
          <w:p w14:paraId="0875A960" w14:textId="77777777" w:rsidR="00040CA8" w:rsidRPr="00E45508" w:rsidRDefault="00040CA8" w:rsidP="008651BC">
            <w:pPr>
              <w:pStyle w:val="Tabletext0"/>
            </w:pPr>
            <w:r w:rsidRPr="00E45508">
              <w:t xml:space="preserve">Legislated EPR requires participation </w:t>
            </w:r>
          </w:p>
        </w:tc>
      </w:tr>
      <w:tr w:rsidR="00040CA8" w:rsidRPr="00E45508" w14:paraId="0954E349" w14:textId="77777777" w:rsidTr="55FD1D55">
        <w:trPr>
          <w:cantSplit/>
          <w:trHeight w:val="300"/>
        </w:trPr>
        <w:tc>
          <w:tcPr>
            <w:tcW w:w="0" w:type="auto"/>
          </w:tcPr>
          <w:p w14:paraId="1527BD2B" w14:textId="77777777" w:rsidR="00040CA8" w:rsidRPr="00E45508" w:rsidRDefault="00040CA8" w:rsidP="008651BC">
            <w:pPr>
              <w:pStyle w:val="Tabletext0"/>
            </w:pPr>
            <w:r w:rsidRPr="00E45508">
              <w:t>A system where industry takes responsibility for the packaging it places on market</w:t>
            </w:r>
          </w:p>
        </w:tc>
        <w:tc>
          <w:tcPr>
            <w:tcW w:w="0" w:type="auto"/>
          </w:tcPr>
          <w:p w14:paraId="3090D750" w14:textId="77777777" w:rsidR="00040CA8" w:rsidRPr="00E45508" w:rsidRDefault="00040CA8" w:rsidP="008651BC">
            <w:pPr>
              <w:pStyle w:val="Tabletext0"/>
            </w:pPr>
            <w:r w:rsidRPr="00E45508">
              <w:t>Partial</w:t>
            </w:r>
          </w:p>
          <w:p w14:paraId="3FA0F6D9" w14:textId="2956BD2C" w:rsidR="00040CA8" w:rsidRPr="00E45508" w:rsidRDefault="00040CA8" w:rsidP="008651BC">
            <w:pPr>
              <w:pStyle w:val="Tabletext0"/>
            </w:pPr>
            <w:r w:rsidRPr="00E45508">
              <w:t xml:space="preserve">Limited in scope to Covenant </w:t>
            </w:r>
            <w:r w:rsidR="00D214EC">
              <w:t>S</w:t>
            </w:r>
            <w:r w:rsidRPr="00E45508">
              <w:t>ignatories and liable parties that report under the NEPM while free rider issue remain</w:t>
            </w:r>
            <w:r w:rsidR="007A6A89" w:rsidRPr="00E45508">
              <w:t>s</w:t>
            </w:r>
          </w:p>
        </w:tc>
        <w:tc>
          <w:tcPr>
            <w:tcW w:w="0" w:type="auto"/>
          </w:tcPr>
          <w:p w14:paraId="1D2AB40F" w14:textId="77777777" w:rsidR="00040CA8" w:rsidRPr="00E45508" w:rsidRDefault="00040CA8" w:rsidP="008651BC">
            <w:pPr>
              <w:pStyle w:val="Tabletext0"/>
            </w:pPr>
            <w:r w:rsidRPr="00E45508">
              <w:t>Partial</w:t>
            </w:r>
          </w:p>
          <w:p w14:paraId="0A4A5308" w14:textId="556DD4D8" w:rsidR="00040CA8" w:rsidRPr="00E45508" w:rsidRDefault="00040CA8" w:rsidP="008651BC">
            <w:pPr>
              <w:pStyle w:val="Tabletext0"/>
            </w:pPr>
            <w:r w:rsidRPr="00E45508">
              <w:t xml:space="preserve">Limited in scope to Covenant </w:t>
            </w:r>
            <w:r w:rsidR="00D214EC">
              <w:t>S</w:t>
            </w:r>
            <w:r w:rsidRPr="00E45508">
              <w:t>ignatories and liable parties that report under the NEPM while free rider issue is addressed through more compliance and enforcement by states and territories</w:t>
            </w:r>
          </w:p>
        </w:tc>
        <w:tc>
          <w:tcPr>
            <w:tcW w:w="0" w:type="auto"/>
          </w:tcPr>
          <w:p w14:paraId="60601A7E" w14:textId="77777777" w:rsidR="00040CA8" w:rsidRPr="00E45508" w:rsidRDefault="00040CA8" w:rsidP="008651BC">
            <w:pPr>
              <w:pStyle w:val="Tabletext0"/>
            </w:pPr>
            <w:r w:rsidRPr="00E45508">
              <w:t>Partial</w:t>
            </w:r>
          </w:p>
          <w:p w14:paraId="61E543A4" w14:textId="6F10E781" w:rsidR="00040CA8" w:rsidRPr="00E45508" w:rsidRDefault="00040CA8" w:rsidP="008651BC">
            <w:pPr>
              <w:pStyle w:val="Tabletext0"/>
            </w:pPr>
            <w:r w:rsidRPr="00E45508">
              <w:t>Individual businesses are responsible for the packaging they POM</w:t>
            </w:r>
          </w:p>
        </w:tc>
        <w:tc>
          <w:tcPr>
            <w:tcW w:w="0" w:type="auto"/>
          </w:tcPr>
          <w:p w14:paraId="3360CBB0" w14:textId="77777777" w:rsidR="00040CA8" w:rsidRPr="00E45508" w:rsidRDefault="00040CA8" w:rsidP="008651BC">
            <w:pPr>
              <w:pStyle w:val="Tabletext0"/>
            </w:pPr>
            <w:r w:rsidRPr="00E45508">
              <w:t>Good</w:t>
            </w:r>
          </w:p>
          <w:p w14:paraId="2372E200" w14:textId="7E5DACB0" w:rsidR="00040CA8" w:rsidRPr="00E45508" w:rsidRDefault="00040CA8" w:rsidP="008651BC">
            <w:pPr>
              <w:pStyle w:val="Tabletext0"/>
            </w:pPr>
            <w:r w:rsidRPr="00E45508">
              <w:t>EPR administrator accountable for meeting industry</w:t>
            </w:r>
            <w:r w:rsidRPr="00E45508">
              <w:noBreakHyphen/>
              <w:t>wide scheme outcomes</w:t>
            </w:r>
          </w:p>
        </w:tc>
      </w:tr>
      <w:tr w:rsidR="00040CA8" w:rsidRPr="00E45508" w14:paraId="75448CA9" w14:textId="77777777" w:rsidTr="00E15B01">
        <w:trPr>
          <w:cnfStyle w:val="000000100000" w:firstRow="0" w:lastRow="0" w:firstColumn="0" w:lastColumn="0" w:oddVBand="0" w:evenVBand="0" w:oddHBand="1" w:evenHBand="0" w:firstRowFirstColumn="0" w:firstRowLastColumn="0" w:lastRowFirstColumn="0" w:lastRowLastColumn="0"/>
          <w:cantSplit/>
          <w:trHeight w:val="300"/>
        </w:trPr>
        <w:tc>
          <w:tcPr>
            <w:tcW w:w="0" w:type="auto"/>
          </w:tcPr>
          <w:p w14:paraId="18A00D5C" w14:textId="77777777" w:rsidR="00040CA8" w:rsidRPr="00E45508" w:rsidRDefault="00040CA8" w:rsidP="008651BC">
            <w:pPr>
              <w:pStyle w:val="Tabletext0"/>
            </w:pPr>
            <w:r w:rsidRPr="00E45508">
              <w:t>Flexibility to accommodate innovation in</w:t>
            </w:r>
            <w:r w:rsidRPr="00E45508" w:rsidDel="00113435">
              <w:t xml:space="preserve"> </w:t>
            </w:r>
            <w:r w:rsidRPr="00E45508">
              <w:t>packaging design and recycling technologies</w:t>
            </w:r>
          </w:p>
        </w:tc>
        <w:tc>
          <w:tcPr>
            <w:tcW w:w="0" w:type="auto"/>
          </w:tcPr>
          <w:p w14:paraId="4F2D51D8" w14:textId="77777777" w:rsidR="00040CA8" w:rsidRPr="00E45508" w:rsidRDefault="00040CA8" w:rsidP="008651BC">
            <w:pPr>
              <w:pStyle w:val="Tabletext0"/>
            </w:pPr>
            <w:r w:rsidRPr="00E45508">
              <w:t>Partial</w:t>
            </w:r>
          </w:p>
          <w:p w14:paraId="18A9B9FE" w14:textId="77777777" w:rsidR="00040CA8" w:rsidRPr="00E45508" w:rsidRDefault="00040CA8" w:rsidP="008651BC">
            <w:pPr>
              <w:pStyle w:val="Tabletext0"/>
            </w:pPr>
            <w:r w:rsidRPr="00E45508">
              <w:t xml:space="preserve">Flexible implementation for APCO members </w:t>
            </w:r>
          </w:p>
        </w:tc>
        <w:tc>
          <w:tcPr>
            <w:tcW w:w="0" w:type="auto"/>
          </w:tcPr>
          <w:p w14:paraId="4250F5AD" w14:textId="77777777" w:rsidR="00040CA8" w:rsidRPr="00E45508" w:rsidRDefault="00040CA8" w:rsidP="008651BC">
            <w:pPr>
              <w:pStyle w:val="Tabletext0"/>
            </w:pPr>
            <w:r w:rsidRPr="00E45508">
              <w:t>Partial</w:t>
            </w:r>
          </w:p>
          <w:p w14:paraId="36EDD4BA" w14:textId="77777777" w:rsidR="00040CA8" w:rsidRPr="00E45508" w:rsidRDefault="00040CA8" w:rsidP="008651BC">
            <w:pPr>
              <w:pStyle w:val="Tabletext0"/>
            </w:pPr>
            <w:r w:rsidRPr="00E45508">
              <w:t>Flexible implementation for APCO members</w:t>
            </w:r>
          </w:p>
        </w:tc>
        <w:tc>
          <w:tcPr>
            <w:tcW w:w="0" w:type="auto"/>
          </w:tcPr>
          <w:p w14:paraId="5D06A61B" w14:textId="77777777" w:rsidR="00040CA8" w:rsidRPr="00E45508" w:rsidRDefault="00040CA8" w:rsidP="008651BC">
            <w:pPr>
              <w:pStyle w:val="Tabletext0"/>
            </w:pPr>
            <w:r w:rsidRPr="00E45508">
              <w:t>Partial</w:t>
            </w:r>
          </w:p>
          <w:p w14:paraId="631F3F09" w14:textId="77777777" w:rsidR="00040CA8" w:rsidRPr="00E45508" w:rsidRDefault="00040CA8" w:rsidP="008651BC">
            <w:pPr>
              <w:pStyle w:val="Tabletext0"/>
            </w:pPr>
            <w:r w:rsidRPr="00E45508">
              <w:t>Requires industry to improve packaging POM to meet restrictions and bans. However, bans can reduce flexibility to innovate and can have unintended consequences</w:t>
            </w:r>
          </w:p>
        </w:tc>
        <w:tc>
          <w:tcPr>
            <w:tcW w:w="0" w:type="auto"/>
          </w:tcPr>
          <w:p w14:paraId="40C22552" w14:textId="77777777" w:rsidR="00040CA8" w:rsidRPr="00E45508" w:rsidRDefault="00040CA8" w:rsidP="008651BC">
            <w:pPr>
              <w:pStyle w:val="Tabletext0"/>
            </w:pPr>
            <w:r w:rsidRPr="00E45508">
              <w:t>Good</w:t>
            </w:r>
          </w:p>
          <w:p w14:paraId="731E8796" w14:textId="77777777" w:rsidR="00040CA8" w:rsidRPr="00E45508" w:rsidRDefault="00040CA8" w:rsidP="008651BC">
            <w:pPr>
              <w:pStyle w:val="Tabletext0"/>
            </w:pPr>
            <w:r w:rsidRPr="00E45508">
              <w:t>Eco-modulated fees for design for recyclability support flexible implementation</w:t>
            </w:r>
          </w:p>
        </w:tc>
      </w:tr>
      <w:tr w:rsidR="00040CA8" w:rsidRPr="00E45508" w14:paraId="0210D310" w14:textId="77777777" w:rsidTr="55FD1D55">
        <w:trPr>
          <w:cantSplit/>
          <w:trHeight w:val="300"/>
        </w:trPr>
        <w:tc>
          <w:tcPr>
            <w:tcW w:w="0" w:type="auto"/>
          </w:tcPr>
          <w:p w14:paraId="61D5234F" w14:textId="77777777" w:rsidR="00040CA8" w:rsidRPr="00E45508" w:rsidRDefault="00040CA8" w:rsidP="008651BC">
            <w:pPr>
              <w:pStyle w:val="Tabletext0"/>
            </w:pPr>
            <w:r w:rsidRPr="00E45508">
              <w:t>Measurable, enforceable and enforced obligations to sustain industry and community confidence</w:t>
            </w:r>
          </w:p>
        </w:tc>
        <w:tc>
          <w:tcPr>
            <w:tcW w:w="0" w:type="auto"/>
          </w:tcPr>
          <w:p w14:paraId="48B8678A" w14:textId="77777777" w:rsidR="00040CA8" w:rsidRPr="00E45508" w:rsidRDefault="00040CA8" w:rsidP="008651BC">
            <w:pPr>
              <w:pStyle w:val="Tabletext0"/>
            </w:pPr>
            <w:r w:rsidRPr="00E45508">
              <w:t>Poor</w:t>
            </w:r>
          </w:p>
          <w:p w14:paraId="6568EACD" w14:textId="45B2E4A4" w:rsidR="00040CA8" w:rsidRPr="00E45508" w:rsidRDefault="00040CA8" w:rsidP="008651BC">
            <w:pPr>
              <w:pStyle w:val="Tabletext0"/>
            </w:pPr>
            <w:r w:rsidRPr="00E45508">
              <w:t>Known free rider issue and ineffective compliance and enforcement of the NEPM by state and territories</w:t>
            </w:r>
          </w:p>
        </w:tc>
        <w:tc>
          <w:tcPr>
            <w:tcW w:w="0" w:type="auto"/>
          </w:tcPr>
          <w:p w14:paraId="0504BA3B" w14:textId="77777777" w:rsidR="00040CA8" w:rsidRPr="00E45508" w:rsidRDefault="00040CA8" w:rsidP="008651BC">
            <w:pPr>
              <w:pStyle w:val="Tabletext0"/>
            </w:pPr>
            <w:r w:rsidRPr="00E45508">
              <w:t>Poor</w:t>
            </w:r>
          </w:p>
          <w:p w14:paraId="2169114C" w14:textId="77777777" w:rsidR="00040CA8" w:rsidRPr="00E45508" w:rsidRDefault="00040CA8" w:rsidP="008651BC">
            <w:pPr>
              <w:pStyle w:val="Tabletext0"/>
            </w:pPr>
            <w:r w:rsidRPr="00E45508">
              <w:t>While this option seeks to increase compliance and enforcement to address free riders, it does not address inconsistent implementation of and the NEPM or clarify obligations of liable parties under the NEPM</w:t>
            </w:r>
          </w:p>
        </w:tc>
        <w:tc>
          <w:tcPr>
            <w:tcW w:w="0" w:type="auto"/>
          </w:tcPr>
          <w:p w14:paraId="56C95C5C" w14:textId="77777777" w:rsidR="00040CA8" w:rsidRPr="00E45508" w:rsidRDefault="00040CA8" w:rsidP="008651BC">
            <w:pPr>
              <w:pStyle w:val="Tabletext0"/>
            </w:pPr>
            <w:r w:rsidRPr="00E45508">
              <w:t>Good</w:t>
            </w:r>
          </w:p>
          <w:p w14:paraId="05E927C4" w14:textId="7AFA4AB4" w:rsidR="00040CA8" w:rsidRPr="00E45508" w:rsidRDefault="00040CA8" w:rsidP="008651BC">
            <w:pPr>
              <w:pStyle w:val="Tabletext0"/>
            </w:pPr>
            <w:r w:rsidRPr="00E45508">
              <w:t>Single Commonwealth regulator</w:t>
            </w:r>
          </w:p>
        </w:tc>
        <w:tc>
          <w:tcPr>
            <w:tcW w:w="0" w:type="auto"/>
          </w:tcPr>
          <w:p w14:paraId="5CA744B8" w14:textId="77777777" w:rsidR="00040CA8" w:rsidRPr="00E45508" w:rsidRDefault="00040CA8" w:rsidP="008651BC">
            <w:pPr>
              <w:pStyle w:val="Tabletext0"/>
            </w:pPr>
            <w:r w:rsidRPr="00E45508">
              <w:t>Good</w:t>
            </w:r>
          </w:p>
          <w:p w14:paraId="765A5236" w14:textId="7320C3A4" w:rsidR="00040CA8" w:rsidRPr="00E45508" w:rsidRDefault="00040CA8" w:rsidP="008651BC">
            <w:pPr>
              <w:pStyle w:val="Tabletext0"/>
            </w:pPr>
            <w:r w:rsidRPr="00E45508">
              <w:t>Single Commonwealth regulator</w:t>
            </w:r>
            <w:r w:rsidR="007A6A89" w:rsidRPr="00E45508">
              <w:t xml:space="preserve">. </w:t>
            </w:r>
            <w:r w:rsidRPr="00E45508">
              <w:t>EPR fees support effective and efficient compliance and enforcement</w:t>
            </w:r>
          </w:p>
        </w:tc>
      </w:tr>
      <w:tr w:rsidR="00040CA8" w:rsidRPr="00E45508" w14:paraId="0F9D99FA" w14:textId="77777777" w:rsidTr="00E15B01">
        <w:trPr>
          <w:cnfStyle w:val="000000100000" w:firstRow="0" w:lastRow="0" w:firstColumn="0" w:lastColumn="0" w:oddVBand="0" w:evenVBand="0" w:oddHBand="1" w:evenHBand="0" w:firstRowFirstColumn="0" w:firstRowLastColumn="0" w:lastRowFirstColumn="0" w:lastRowLastColumn="0"/>
          <w:cantSplit/>
          <w:trHeight w:val="300"/>
        </w:trPr>
        <w:tc>
          <w:tcPr>
            <w:tcW w:w="0" w:type="auto"/>
          </w:tcPr>
          <w:p w14:paraId="5A7DC096" w14:textId="77777777" w:rsidR="00040CA8" w:rsidRPr="00E45508" w:rsidRDefault="00040CA8" w:rsidP="008651BC">
            <w:pPr>
              <w:pStyle w:val="Tabletext0"/>
            </w:pPr>
            <w:r w:rsidRPr="00E45508">
              <w:t>A system that contributes to Australia meeting its international obligations</w:t>
            </w:r>
          </w:p>
        </w:tc>
        <w:tc>
          <w:tcPr>
            <w:tcW w:w="0" w:type="auto"/>
          </w:tcPr>
          <w:p w14:paraId="2552280B" w14:textId="77777777" w:rsidR="00040CA8" w:rsidRPr="00E45508" w:rsidRDefault="00040CA8" w:rsidP="008651BC">
            <w:pPr>
              <w:pStyle w:val="Tabletext0"/>
            </w:pPr>
            <w:r w:rsidRPr="00E45508">
              <w:t>Poor</w:t>
            </w:r>
          </w:p>
          <w:p w14:paraId="5BD6E78A" w14:textId="77777777" w:rsidR="00040CA8" w:rsidRPr="00E45508" w:rsidRDefault="00040CA8" w:rsidP="008651BC">
            <w:pPr>
              <w:pStyle w:val="Tabletext0"/>
            </w:pPr>
            <w:r w:rsidRPr="00E45508">
              <w:t>No way to impose mandatory requirements on all regulated entities, but industry-led action can support outcomes</w:t>
            </w:r>
          </w:p>
        </w:tc>
        <w:tc>
          <w:tcPr>
            <w:tcW w:w="0" w:type="auto"/>
          </w:tcPr>
          <w:p w14:paraId="5E7D8627" w14:textId="77777777" w:rsidR="00040CA8" w:rsidRPr="00E45508" w:rsidRDefault="00040CA8" w:rsidP="008651BC">
            <w:pPr>
              <w:pStyle w:val="Tabletext0"/>
            </w:pPr>
            <w:r w:rsidRPr="00E45508">
              <w:t>Poor</w:t>
            </w:r>
          </w:p>
          <w:p w14:paraId="10906B06" w14:textId="77777777" w:rsidR="00040CA8" w:rsidRPr="00E45508" w:rsidRDefault="00040CA8" w:rsidP="008651BC">
            <w:pPr>
              <w:pStyle w:val="Tabletext0"/>
            </w:pPr>
            <w:r w:rsidRPr="00E45508">
              <w:t>No way to impose mandatory requirements on all regulated entities, but industry-led action can support outcomes</w:t>
            </w:r>
          </w:p>
        </w:tc>
        <w:tc>
          <w:tcPr>
            <w:tcW w:w="0" w:type="auto"/>
          </w:tcPr>
          <w:p w14:paraId="0F668B64" w14:textId="77777777" w:rsidR="00040CA8" w:rsidRPr="00E45508" w:rsidRDefault="00040CA8" w:rsidP="008651BC">
            <w:pPr>
              <w:pStyle w:val="Tabletext0"/>
            </w:pPr>
            <w:r w:rsidRPr="00E45508">
              <w:t>Partial</w:t>
            </w:r>
          </w:p>
          <w:p w14:paraId="6BFE365F" w14:textId="77777777" w:rsidR="00040CA8" w:rsidRPr="00E45508" w:rsidRDefault="00040CA8" w:rsidP="008651BC">
            <w:pPr>
              <w:pStyle w:val="Tabletext0"/>
            </w:pPr>
            <w:r w:rsidRPr="00E45508">
              <w:t>Can impose mandatory requirements, no regulated industry coordinating mechanism or funding to support system improvement</w:t>
            </w:r>
          </w:p>
        </w:tc>
        <w:tc>
          <w:tcPr>
            <w:tcW w:w="0" w:type="auto"/>
          </w:tcPr>
          <w:p w14:paraId="1278B973" w14:textId="77777777" w:rsidR="00040CA8" w:rsidRPr="00E45508" w:rsidRDefault="00040CA8" w:rsidP="008651BC">
            <w:pPr>
              <w:pStyle w:val="Tabletext0"/>
            </w:pPr>
            <w:r w:rsidRPr="00E45508">
              <w:t>Good</w:t>
            </w:r>
          </w:p>
          <w:p w14:paraId="3C6F29A6" w14:textId="77777777" w:rsidR="00040CA8" w:rsidRPr="00E45508" w:rsidRDefault="00040CA8" w:rsidP="008651BC">
            <w:pPr>
              <w:pStyle w:val="Tabletext0"/>
            </w:pPr>
            <w:r w:rsidRPr="00E45508">
              <w:t>Can impose mandatory requirements, and scheme administrator can support early industry-led action</w:t>
            </w:r>
          </w:p>
        </w:tc>
      </w:tr>
      <w:tr w:rsidR="00040CA8" w:rsidRPr="00E45508" w14:paraId="491B89F5" w14:textId="77777777" w:rsidTr="55FD1D55">
        <w:trPr>
          <w:cantSplit/>
          <w:trHeight w:val="300"/>
        </w:trPr>
        <w:tc>
          <w:tcPr>
            <w:tcW w:w="0" w:type="auto"/>
          </w:tcPr>
          <w:p w14:paraId="2C28C90A" w14:textId="77777777" w:rsidR="00040CA8" w:rsidRPr="00E45508" w:rsidRDefault="00040CA8" w:rsidP="008651BC">
            <w:pPr>
              <w:pStyle w:val="Tabletext0"/>
            </w:pPr>
            <w:r w:rsidRPr="00E45508">
              <w:t>A system that is based on global best practice, while accounting for Australia’s geographic and market context</w:t>
            </w:r>
          </w:p>
        </w:tc>
        <w:tc>
          <w:tcPr>
            <w:tcW w:w="0" w:type="auto"/>
          </w:tcPr>
          <w:p w14:paraId="33B54778" w14:textId="77777777" w:rsidR="00040CA8" w:rsidRPr="00E45508" w:rsidRDefault="00040CA8" w:rsidP="008651BC">
            <w:pPr>
              <w:pStyle w:val="Tabletext0"/>
            </w:pPr>
            <w:r w:rsidRPr="00E45508">
              <w:t>Poor</w:t>
            </w:r>
          </w:p>
          <w:p w14:paraId="4C83A155" w14:textId="26ADD67B" w:rsidR="00040CA8" w:rsidRPr="00E45508" w:rsidRDefault="00040CA8" w:rsidP="008651BC">
            <w:pPr>
              <w:pStyle w:val="Tabletext0"/>
            </w:pPr>
            <w:r w:rsidRPr="00E45508">
              <w:t xml:space="preserve">APCO eco-modulated fees will support industry to take more responsibility to increase recycling to support delivery of the NPTs and goals of the Covenant, but limited to Covenant </w:t>
            </w:r>
            <w:r w:rsidR="00D214EC">
              <w:t>S</w:t>
            </w:r>
            <w:r w:rsidRPr="00E45508">
              <w:t>ignatories only</w:t>
            </w:r>
          </w:p>
        </w:tc>
        <w:tc>
          <w:tcPr>
            <w:tcW w:w="0" w:type="auto"/>
          </w:tcPr>
          <w:p w14:paraId="70D11271" w14:textId="77777777" w:rsidR="00040CA8" w:rsidRPr="00E45508" w:rsidRDefault="00040CA8" w:rsidP="008651BC">
            <w:pPr>
              <w:pStyle w:val="Tabletext0"/>
            </w:pPr>
            <w:r w:rsidRPr="00E45508">
              <w:t>Poor</w:t>
            </w:r>
          </w:p>
          <w:p w14:paraId="1FBD6DB7" w14:textId="08F3CD94" w:rsidR="00040CA8" w:rsidRPr="00E45508" w:rsidRDefault="00040CA8" w:rsidP="008651BC">
            <w:pPr>
              <w:pStyle w:val="Tabletext0"/>
            </w:pPr>
            <w:r w:rsidRPr="00E45508">
              <w:t xml:space="preserve">APCO eco-modulated fees will support industry to take more responsibility to increase recycling to support delivery of the NPTs and goals of the Covenant, but limited to Covenant </w:t>
            </w:r>
            <w:r w:rsidR="00D214EC">
              <w:t>S</w:t>
            </w:r>
            <w:r w:rsidRPr="00E45508">
              <w:t>ignatories only</w:t>
            </w:r>
          </w:p>
        </w:tc>
        <w:tc>
          <w:tcPr>
            <w:tcW w:w="0" w:type="auto"/>
          </w:tcPr>
          <w:p w14:paraId="4126D847" w14:textId="77777777" w:rsidR="00040CA8" w:rsidRPr="00E45508" w:rsidRDefault="00040CA8" w:rsidP="008651BC">
            <w:pPr>
              <w:pStyle w:val="Tabletext0"/>
            </w:pPr>
            <w:r w:rsidRPr="00E45508">
              <w:t>Poor</w:t>
            </w:r>
          </w:p>
          <w:p w14:paraId="0A43EA9F" w14:textId="0DB67D9D" w:rsidR="00040CA8" w:rsidRPr="00E45508" w:rsidRDefault="00040CA8" w:rsidP="008651BC">
            <w:pPr>
              <w:pStyle w:val="Tabletext0"/>
            </w:pPr>
            <w:r w:rsidRPr="00E45508">
              <w:t>Potentially limited in its scope due to restrictive requirements when EPR approach is best practice. There are no industry wide targets and regulation targeting only the most significant issues (e.g. chemicals).</w:t>
            </w:r>
            <w:r w:rsidR="007A6A89" w:rsidRPr="00E45508">
              <w:t xml:space="preserve"> </w:t>
            </w:r>
            <w:r w:rsidRPr="00E45508">
              <w:t>There is no funding mechanism.</w:t>
            </w:r>
          </w:p>
        </w:tc>
        <w:tc>
          <w:tcPr>
            <w:tcW w:w="0" w:type="auto"/>
          </w:tcPr>
          <w:p w14:paraId="6A8C8C88" w14:textId="77777777" w:rsidR="00040CA8" w:rsidRPr="00E45508" w:rsidRDefault="00040CA8" w:rsidP="008651BC">
            <w:pPr>
              <w:pStyle w:val="Tabletext0"/>
            </w:pPr>
            <w:r w:rsidRPr="00E45508">
              <w:t>Good</w:t>
            </w:r>
          </w:p>
          <w:p w14:paraId="2CF83525" w14:textId="77777777" w:rsidR="00040CA8" w:rsidRPr="00E45508" w:rsidRDefault="00040CA8" w:rsidP="008651BC">
            <w:pPr>
              <w:pStyle w:val="Tabletext0"/>
            </w:pPr>
            <w:r w:rsidRPr="00E45508">
              <w:t>EPR and flexible implementation can support industry’s ability to lead on innovation and best practice</w:t>
            </w:r>
          </w:p>
        </w:tc>
      </w:tr>
      <w:tr w:rsidR="00040CA8" w:rsidRPr="00E45508" w14:paraId="3125ACF4" w14:textId="77777777" w:rsidTr="00E15B01">
        <w:trPr>
          <w:cnfStyle w:val="000000100000" w:firstRow="0" w:lastRow="0" w:firstColumn="0" w:lastColumn="0" w:oddVBand="0" w:evenVBand="0" w:oddHBand="1" w:evenHBand="0" w:firstRowFirstColumn="0" w:firstRowLastColumn="0" w:lastRowFirstColumn="0" w:lastRowLastColumn="0"/>
          <w:cantSplit/>
          <w:trHeight w:val="300"/>
        </w:trPr>
        <w:tc>
          <w:tcPr>
            <w:tcW w:w="0" w:type="auto"/>
          </w:tcPr>
          <w:p w14:paraId="40885AB7" w14:textId="307BC321" w:rsidR="00040CA8" w:rsidRPr="00E45508" w:rsidRDefault="00040CA8" w:rsidP="008651BC">
            <w:pPr>
              <w:pStyle w:val="Tabletext0"/>
            </w:pPr>
            <w:r w:rsidRPr="00E45508">
              <w:t>A system aligned with global standards to maintain and increase industry access to global markets and alignment with global supply chains</w:t>
            </w:r>
          </w:p>
        </w:tc>
        <w:tc>
          <w:tcPr>
            <w:tcW w:w="0" w:type="auto"/>
          </w:tcPr>
          <w:p w14:paraId="4A0CE8BC" w14:textId="77777777" w:rsidR="00040CA8" w:rsidRPr="00E45508" w:rsidRDefault="00040CA8" w:rsidP="008651BC">
            <w:pPr>
              <w:pStyle w:val="Tabletext0"/>
            </w:pPr>
            <w:r w:rsidRPr="00E45508">
              <w:t>Poor</w:t>
            </w:r>
          </w:p>
          <w:p w14:paraId="6C494E5C" w14:textId="55A234C8" w:rsidR="00040CA8" w:rsidRPr="00E45508" w:rsidRDefault="00040CA8" w:rsidP="008651BC">
            <w:pPr>
              <w:pStyle w:val="Tabletext0"/>
            </w:pPr>
            <w:r w:rsidRPr="00E45508">
              <w:t xml:space="preserve">Strategic plan supports, but limited to Covenant </w:t>
            </w:r>
            <w:r w:rsidR="0084221B">
              <w:t>S</w:t>
            </w:r>
            <w:r w:rsidRPr="00E45508">
              <w:t>ignatories</w:t>
            </w:r>
          </w:p>
        </w:tc>
        <w:tc>
          <w:tcPr>
            <w:tcW w:w="0" w:type="auto"/>
          </w:tcPr>
          <w:p w14:paraId="535005FF" w14:textId="77777777" w:rsidR="00040CA8" w:rsidRPr="00E45508" w:rsidRDefault="00040CA8" w:rsidP="008651BC">
            <w:pPr>
              <w:pStyle w:val="Tabletext0"/>
            </w:pPr>
            <w:r w:rsidRPr="00E45508">
              <w:t>Poor</w:t>
            </w:r>
          </w:p>
          <w:p w14:paraId="4002FB1A" w14:textId="1B93DDB8" w:rsidR="00040CA8" w:rsidRPr="00E45508" w:rsidRDefault="00040CA8" w:rsidP="008651BC">
            <w:pPr>
              <w:pStyle w:val="Tabletext0"/>
            </w:pPr>
            <w:r w:rsidRPr="00E45508">
              <w:t xml:space="preserve">Strategic plan supports, but limited to Covenant </w:t>
            </w:r>
            <w:r w:rsidR="00D214EC">
              <w:t>S</w:t>
            </w:r>
            <w:r w:rsidRPr="00E45508">
              <w:t>ignatories</w:t>
            </w:r>
          </w:p>
        </w:tc>
        <w:tc>
          <w:tcPr>
            <w:tcW w:w="0" w:type="auto"/>
          </w:tcPr>
          <w:p w14:paraId="4D67EAC3" w14:textId="77777777" w:rsidR="00040CA8" w:rsidRPr="00E45508" w:rsidRDefault="00040CA8" w:rsidP="008651BC">
            <w:pPr>
              <w:pStyle w:val="Tabletext0"/>
            </w:pPr>
            <w:r w:rsidRPr="00E45508">
              <w:t>Partial</w:t>
            </w:r>
          </w:p>
          <w:p w14:paraId="26A61E46" w14:textId="1B03CA0A" w:rsidR="00040CA8" w:rsidRPr="00E45508" w:rsidRDefault="00040CA8" w:rsidP="008651BC">
            <w:pPr>
              <w:pStyle w:val="Tabletext0"/>
            </w:pPr>
            <w:r w:rsidRPr="00E45508">
              <w:t>Commonwealth legislation can only limit extent to which standards can be applied using restrictions or bans, noting eco-modulation would not be available to achieve outcomes</w:t>
            </w:r>
          </w:p>
        </w:tc>
        <w:tc>
          <w:tcPr>
            <w:tcW w:w="0" w:type="auto"/>
          </w:tcPr>
          <w:p w14:paraId="4DE41854" w14:textId="77777777" w:rsidR="00040CA8" w:rsidRPr="00E45508" w:rsidRDefault="00040CA8" w:rsidP="008651BC">
            <w:pPr>
              <w:pStyle w:val="Tabletext0"/>
            </w:pPr>
            <w:r w:rsidRPr="00E45508">
              <w:t>Good</w:t>
            </w:r>
          </w:p>
          <w:p w14:paraId="4286317F" w14:textId="77777777" w:rsidR="00040CA8" w:rsidRPr="00E45508" w:rsidRDefault="00040CA8" w:rsidP="008651BC">
            <w:pPr>
              <w:pStyle w:val="Tabletext0"/>
            </w:pPr>
            <w:r w:rsidRPr="00E45508">
              <w:t xml:space="preserve">Commonwealth legislation can set national requirements as needed. EPR supports greater alignment with global standards in a way that also supports flexibility and innovation. </w:t>
            </w:r>
          </w:p>
        </w:tc>
      </w:tr>
    </w:tbl>
    <w:p w14:paraId="20965EAB" w14:textId="77777777" w:rsidR="00410D84" w:rsidRPr="00E45508" w:rsidRDefault="00410D84" w:rsidP="00410D84"/>
    <w:p w14:paraId="6400C070" w14:textId="5337D940" w:rsidR="00940471" w:rsidRPr="00E45508" w:rsidRDefault="4D7DBAD8" w:rsidP="007A0B5B">
      <w:pPr>
        <w:pStyle w:val="Heading4"/>
        <w:rPr>
          <w:rFonts w:eastAsia="Aptos"/>
        </w:rPr>
      </w:pPr>
      <w:r w:rsidRPr="00E45508">
        <w:rPr>
          <w:rFonts w:eastAsia="Aptos"/>
        </w:rPr>
        <w:t xml:space="preserve">Costs and benefits by stakeholder </w:t>
      </w:r>
      <w:r w:rsidR="53CD45CD" w:rsidRPr="00E45508">
        <w:rPr>
          <w:rFonts w:eastAsia="Aptos"/>
        </w:rPr>
        <w:t>group</w:t>
      </w:r>
      <w:r w:rsidRPr="00E45508">
        <w:rPr>
          <w:rFonts w:eastAsia="Aptos"/>
        </w:rPr>
        <w:t>– preliminary assessment</w:t>
      </w:r>
    </w:p>
    <w:p w14:paraId="0161EA06" w14:textId="7BE91660" w:rsidR="00474154" w:rsidRPr="00E45508" w:rsidRDefault="2D3D7766" w:rsidP="00410527">
      <w:r w:rsidRPr="00E45508">
        <w:t>A cost</w:t>
      </w:r>
      <w:r w:rsidR="7519C83A" w:rsidRPr="00E45508">
        <w:t>-benefit</w:t>
      </w:r>
      <w:r w:rsidRPr="00E45508">
        <w:t xml:space="preserve"> analysis</w:t>
      </w:r>
      <w:r w:rsidR="7519C83A" w:rsidRPr="00E45508">
        <w:t xml:space="preserve"> (CBA)</w:t>
      </w:r>
      <w:r w:rsidRPr="00E45508">
        <w:t xml:space="preserve"> is undertaken to estimate how each option performs when we set out all of the costs and benefits. The analysis </w:t>
      </w:r>
      <w:r w:rsidR="00831FD2" w:rsidRPr="00E45508">
        <w:t xml:space="preserve">in </w:t>
      </w:r>
      <w:r w:rsidR="007E69E1" w:rsidRPr="00E45508">
        <w:fldChar w:fldCharType="begin"/>
      </w:r>
      <w:r w:rsidR="007E69E1" w:rsidRPr="00E45508">
        <w:instrText xml:space="preserve"> REF _Ref177639806 \h </w:instrText>
      </w:r>
      <w:r w:rsidR="007E69E1" w:rsidRPr="00E45508">
        <w:fldChar w:fldCharType="separate"/>
      </w:r>
      <w:r w:rsidR="009A2EC4" w:rsidRPr="00E45508">
        <w:t xml:space="preserve">Table </w:t>
      </w:r>
      <w:r w:rsidR="009A2EC4">
        <w:rPr>
          <w:noProof/>
        </w:rPr>
        <w:t>21</w:t>
      </w:r>
      <w:r w:rsidR="007E69E1" w:rsidRPr="00E45508">
        <w:fldChar w:fldCharType="end"/>
      </w:r>
      <w:r w:rsidR="007E69E1" w:rsidRPr="00E45508">
        <w:t xml:space="preserve">, </w:t>
      </w:r>
      <w:r w:rsidR="007E69E1" w:rsidRPr="00E45508">
        <w:fldChar w:fldCharType="begin"/>
      </w:r>
      <w:r w:rsidR="007E69E1" w:rsidRPr="00E45508">
        <w:instrText xml:space="preserve"> REF _Ref177639808 \h </w:instrText>
      </w:r>
      <w:r w:rsidR="007E69E1" w:rsidRPr="00E45508">
        <w:fldChar w:fldCharType="separate"/>
      </w:r>
      <w:r w:rsidR="009A2EC4" w:rsidRPr="00E45508">
        <w:t xml:space="preserve">Table </w:t>
      </w:r>
      <w:r w:rsidR="009A2EC4">
        <w:rPr>
          <w:noProof/>
        </w:rPr>
        <w:t>22</w:t>
      </w:r>
      <w:r w:rsidR="007E69E1" w:rsidRPr="00E45508">
        <w:fldChar w:fldCharType="end"/>
      </w:r>
      <w:r w:rsidR="007E69E1" w:rsidRPr="00E45508">
        <w:t xml:space="preserve"> and </w:t>
      </w:r>
      <w:r w:rsidR="007E69E1" w:rsidRPr="00E45508">
        <w:fldChar w:fldCharType="begin"/>
      </w:r>
      <w:r w:rsidR="007E69E1" w:rsidRPr="00E45508">
        <w:instrText xml:space="preserve"> REF _Ref177639809 \h </w:instrText>
      </w:r>
      <w:r w:rsidR="007E69E1" w:rsidRPr="00E45508">
        <w:fldChar w:fldCharType="separate"/>
      </w:r>
      <w:r w:rsidR="009A2EC4" w:rsidRPr="00E45508">
        <w:t xml:space="preserve">Table </w:t>
      </w:r>
      <w:r w:rsidR="009A2EC4">
        <w:rPr>
          <w:noProof/>
        </w:rPr>
        <w:t>23</w:t>
      </w:r>
      <w:r w:rsidR="007E69E1" w:rsidRPr="00E45508">
        <w:fldChar w:fldCharType="end"/>
      </w:r>
      <w:r w:rsidR="007E69E1" w:rsidRPr="00E45508">
        <w:t xml:space="preserve"> </w:t>
      </w:r>
      <w:r w:rsidRPr="00E45508">
        <w:t xml:space="preserve">below </w:t>
      </w:r>
      <w:r w:rsidR="2577ECC2" w:rsidRPr="00E45508">
        <w:t>outlines some potential qualitative benefits and costs that will impact stakeholder groups.</w:t>
      </w:r>
      <w:r w:rsidR="75910599" w:rsidRPr="00E45508">
        <w:t xml:space="preserve"> A more detailed cost benefit analysis </w:t>
      </w:r>
      <w:r w:rsidR="6B45C517" w:rsidRPr="00E45508">
        <w:t>could</w:t>
      </w:r>
      <w:r w:rsidR="75910599" w:rsidRPr="00E45508">
        <w:t xml:space="preserve"> be conducted ahead of a</w:t>
      </w:r>
      <w:r w:rsidR="00546A68">
        <w:t xml:space="preserve">n </w:t>
      </w:r>
      <w:r w:rsidR="4D8D0716" w:rsidRPr="00E45508">
        <w:t>impact analysis</w:t>
      </w:r>
      <w:r w:rsidR="002D7218">
        <w:t xml:space="preserve"> </w:t>
      </w:r>
      <w:r w:rsidR="00EA7C88">
        <w:t xml:space="preserve">to </w:t>
      </w:r>
      <w:r w:rsidR="002D7218">
        <w:t>support</w:t>
      </w:r>
      <w:r w:rsidR="00EA7C88">
        <w:t xml:space="preserve"> future</w:t>
      </w:r>
      <w:r w:rsidR="00137F1C">
        <w:t xml:space="preserve"> govern</w:t>
      </w:r>
      <w:r w:rsidR="00B12AF5">
        <w:t xml:space="preserve">ment </w:t>
      </w:r>
      <w:r w:rsidR="00715C2B">
        <w:t>consideration</w:t>
      </w:r>
      <w:r w:rsidR="75910599" w:rsidRPr="00E45508">
        <w:t xml:space="preserve">. </w:t>
      </w:r>
      <w:r w:rsidR="42B892E3" w:rsidRPr="00E45508">
        <w:t>Stakeholders p</w:t>
      </w:r>
      <w:r w:rsidR="2757895F" w:rsidRPr="00E45508">
        <w:t xml:space="preserve">roviding accurate and time relevant data as part of this </w:t>
      </w:r>
      <w:r w:rsidR="42B892E3" w:rsidRPr="00E45508">
        <w:t>consultation</w:t>
      </w:r>
      <w:r w:rsidR="2757895F" w:rsidRPr="00E45508">
        <w:t xml:space="preserve"> will help strengthen and better inform </w:t>
      </w:r>
      <w:r w:rsidR="690080F1" w:rsidRPr="00E45508">
        <w:t>any</w:t>
      </w:r>
      <w:r w:rsidR="2757895F" w:rsidRPr="00E45508">
        <w:t xml:space="preserve"> CBA process.</w:t>
      </w:r>
    </w:p>
    <w:p w14:paraId="66088240" w14:textId="1F16FBDB" w:rsidR="007E69E1" w:rsidRPr="00E45508" w:rsidRDefault="006E5173" w:rsidP="000216F7">
      <w:r>
        <w:t>M</w:t>
      </w:r>
      <w:r w:rsidR="00DA65D0">
        <w:t>a</w:t>
      </w:r>
      <w:r w:rsidR="00940471" w:rsidRPr="00E45508">
        <w:t>ny of the potential benefits and costs under Option</w:t>
      </w:r>
      <w:r w:rsidR="00421651" w:rsidRPr="00E45508">
        <w:t> 1</w:t>
      </w:r>
      <w:r w:rsidR="00940471" w:rsidRPr="00E45508">
        <w:t xml:space="preserve"> are critically reliant on</w:t>
      </w:r>
      <w:r w:rsidR="00B108CC">
        <w:t xml:space="preserve"> achieving</w:t>
      </w:r>
      <w:r w:rsidR="00940471" w:rsidRPr="00E45508">
        <w:t xml:space="preserve"> strong participation by brand owners as APCO members.</w:t>
      </w:r>
    </w:p>
    <w:p w14:paraId="6EB533D7" w14:textId="4A06D55B" w:rsidR="001B40A9" w:rsidRPr="00E45508" w:rsidRDefault="19F1333A" w:rsidP="00C915A5">
      <w:pPr>
        <w:pStyle w:val="Caption"/>
      </w:pPr>
      <w:bookmarkStart w:id="223" w:name="_Ref177639806"/>
      <w:bookmarkStart w:id="224" w:name="_Toc177126683"/>
      <w:bookmarkStart w:id="225" w:name="_Toc178229384"/>
      <w:r w:rsidRPr="00E45508">
        <w:t xml:space="preserve">Table </w:t>
      </w:r>
      <w:r w:rsidR="008D239E" w:rsidRPr="00E45508">
        <w:fldChar w:fldCharType="begin"/>
      </w:r>
      <w:r w:rsidR="008D239E" w:rsidRPr="00E45508">
        <w:instrText xml:space="preserve"> SEQ Table \* ARABIC </w:instrText>
      </w:r>
      <w:r w:rsidR="008D239E" w:rsidRPr="00E45508">
        <w:fldChar w:fldCharType="separate"/>
      </w:r>
      <w:r w:rsidR="009A2EC4">
        <w:rPr>
          <w:noProof/>
        </w:rPr>
        <w:t>21</w:t>
      </w:r>
      <w:r w:rsidR="008D239E" w:rsidRPr="00E45508">
        <w:fldChar w:fldCharType="end"/>
      </w:r>
      <w:bookmarkEnd w:id="223"/>
      <w:r w:rsidR="592AD8E6" w:rsidRPr="00E45508">
        <w:t xml:space="preserve">: </w:t>
      </w:r>
      <w:r w:rsidR="1A1BE7AC" w:rsidRPr="00E45508">
        <w:t>Option</w:t>
      </w:r>
      <w:r w:rsidR="36F14B88" w:rsidRPr="00E45508">
        <w:t> 1</w:t>
      </w:r>
      <w:r w:rsidR="5103C017" w:rsidRPr="00E45508">
        <w:t xml:space="preserve"> benefits and costs summary</w:t>
      </w:r>
      <w:bookmarkEnd w:id="224"/>
      <w:r w:rsidR="5DF5EF60" w:rsidRPr="00E45508">
        <w:t xml:space="preserve"> by stakeholder group</w:t>
      </w:r>
      <w:bookmarkEnd w:id="225"/>
    </w:p>
    <w:tbl>
      <w:tblPr>
        <w:tblStyle w:val="PlainTable2"/>
        <w:tblW w:w="9214" w:type="dxa"/>
        <w:tblLook w:val="04A0" w:firstRow="1" w:lastRow="0" w:firstColumn="1" w:lastColumn="0" w:noHBand="0" w:noVBand="1"/>
      </w:tblPr>
      <w:tblGrid>
        <w:gridCol w:w="1985"/>
        <w:gridCol w:w="3614"/>
        <w:gridCol w:w="3615"/>
      </w:tblGrid>
      <w:tr w:rsidR="00940471" w:rsidRPr="00E45508" w14:paraId="51387BE1" w14:textId="77777777" w:rsidTr="007938B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5" w:type="dxa"/>
          </w:tcPr>
          <w:p w14:paraId="7837BA43" w14:textId="77777777" w:rsidR="00940471" w:rsidRPr="00E45508" w:rsidRDefault="00940471" w:rsidP="007938B5">
            <w:pPr>
              <w:pStyle w:val="Tabletext0"/>
              <w:rPr>
                <w:rFonts w:cstheme="minorHAnsi"/>
                <w:szCs w:val="18"/>
                <w:lang w:eastAsia="ja-JP"/>
              </w:rPr>
            </w:pPr>
            <w:r w:rsidRPr="00E45508">
              <w:rPr>
                <w:rFonts w:cstheme="minorHAnsi"/>
                <w:szCs w:val="18"/>
                <w:lang w:eastAsia="ja-JP"/>
              </w:rPr>
              <w:t>Affected stakeholder</w:t>
            </w:r>
          </w:p>
        </w:tc>
        <w:tc>
          <w:tcPr>
            <w:tcW w:w="3614" w:type="dxa"/>
          </w:tcPr>
          <w:p w14:paraId="0CF197C0" w14:textId="77777777" w:rsidR="00940471" w:rsidRPr="00E45508" w:rsidRDefault="00940471" w:rsidP="007938B5">
            <w:pPr>
              <w:pStyle w:val="Tabletext0"/>
              <w:cnfStyle w:val="100000000000" w:firstRow="1" w:lastRow="0" w:firstColumn="0" w:lastColumn="0" w:oddVBand="0" w:evenVBand="0" w:oddHBand="0" w:evenHBand="0" w:firstRowFirstColumn="0" w:firstRowLastColumn="0" w:lastRowFirstColumn="0" w:lastRowLastColumn="0"/>
              <w:rPr>
                <w:rFonts w:cstheme="minorHAnsi"/>
                <w:szCs w:val="18"/>
                <w:lang w:eastAsia="ja-JP"/>
              </w:rPr>
            </w:pPr>
            <w:r w:rsidRPr="00E45508">
              <w:rPr>
                <w:rFonts w:cstheme="minorHAnsi"/>
                <w:szCs w:val="18"/>
                <w:lang w:eastAsia="ja-JP"/>
              </w:rPr>
              <w:t>Potential benefits</w:t>
            </w:r>
          </w:p>
        </w:tc>
        <w:tc>
          <w:tcPr>
            <w:tcW w:w="3615" w:type="dxa"/>
          </w:tcPr>
          <w:p w14:paraId="2B575A85" w14:textId="77777777" w:rsidR="00940471" w:rsidRPr="00E45508" w:rsidRDefault="00940471" w:rsidP="007938B5">
            <w:pPr>
              <w:pStyle w:val="Tabletext0"/>
              <w:cnfStyle w:val="100000000000" w:firstRow="1" w:lastRow="0" w:firstColumn="0" w:lastColumn="0" w:oddVBand="0" w:evenVBand="0" w:oddHBand="0" w:evenHBand="0" w:firstRowFirstColumn="0" w:firstRowLastColumn="0" w:lastRowFirstColumn="0" w:lastRowLastColumn="0"/>
              <w:rPr>
                <w:rFonts w:cstheme="minorHAnsi"/>
                <w:szCs w:val="18"/>
                <w:lang w:eastAsia="ja-JP"/>
              </w:rPr>
            </w:pPr>
            <w:r w:rsidRPr="00E45508">
              <w:rPr>
                <w:rFonts w:cstheme="minorHAnsi"/>
                <w:szCs w:val="18"/>
                <w:lang w:eastAsia="ja-JP"/>
              </w:rPr>
              <w:t>Potential costs</w:t>
            </w:r>
          </w:p>
        </w:tc>
      </w:tr>
      <w:tr w:rsidR="00940471" w:rsidRPr="00E45508" w14:paraId="2BAD13EC" w14:textId="77777777" w:rsidTr="007938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7EF53F3A" w14:textId="77777777" w:rsidR="00940471" w:rsidRPr="00E45508" w:rsidRDefault="00940471" w:rsidP="007938B5">
            <w:pPr>
              <w:pStyle w:val="Tabletext0"/>
              <w:rPr>
                <w:rFonts w:cstheme="minorHAnsi"/>
                <w:szCs w:val="18"/>
              </w:rPr>
            </w:pPr>
            <w:r w:rsidRPr="00E45508">
              <w:rPr>
                <w:rFonts w:cstheme="minorHAnsi"/>
                <w:szCs w:val="18"/>
                <w:lang w:eastAsia="ja-JP"/>
              </w:rPr>
              <w:t>Recycling and resource recovery sector</w:t>
            </w:r>
          </w:p>
        </w:tc>
        <w:tc>
          <w:tcPr>
            <w:tcW w:w="3614" w:type="dxa"/>
          </w:tcPr>
          <w:p w14:paraId="218781C4" w14:textId="04A92DE3"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rPr>
            </w:pPr>
            <w:r w:rsidRPr="00E45508">
              <w:rPr>
                <w:rFonts w:cstheme="minorHAnsi"/>
              </w:rPr>
              <w:t>Access to increased revenue through APCO service contracts*</w:t>
            </w:r>
          </w:p>
          <w:p w14:paraId="668A130B" w14:textId="77777777"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Reduced contamination costs from packaging being designed to be more recyclable*</w:t>
            </w:r>
          </w:p>
          <w:p w14:paraId="5A097AD7" w14:textId="47448F3C" w:rsidR="001E4D4B"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Market development for recycled materials from APCO industry support*</w:t>
            </w:r>
          </w:p>
        </w:tc>
        <w:tc>
          <w:tcPr>
            <w:tcW w:w="3615" w:type="dxa"/>
          </w:tcPr>
          <w:p w14:paraId="38BA6EE3" w14:textId="77777777"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Packaging handling and processing and other business infrastructure improvements/ adaptation costs</w:t>
            </w:r>
          </w:p>
          <w:p w14:paraId="633CB9B4" w14:textId="651CA919"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 xml:space="preserve">Increased storage or disposal costs if demand for </w:t>
            </w:r>
            <w:r w:rsidRPr="00E45508">
              <w:rPr>
                <w:rFonts w:cstheme="minorHAnsi"/>
              </w:rPr>
              <w:t>recycled</w:t>
            </w:r>
            <w:r w:rsidRPr="00E45508">
              <w:rPr>
                <w:rFonts w:cstheme="minorHAnsi"/>
                <w:szCs w:val="18"/>
              </w:rPr>
              <w:t xml:space="preserve"> materials remains underdeveloped</w:t>
            </w:r>
          </w:p>
        </w:tc>
      </w:tr>
      <w:tr w:rsidR="00940471" w:rsidRPr="00E45508" w14:paraId="1002AD1C" w14:textId="77777777" w:rsidTr="007938B5">
        <w:trPr>
          <w:cantSplit/>
          <w:trHeight w:val="251"/>
        </w:trPr>
        <w:tc>
          <w:tcPr>
            <w:cnfStyle w:val="001000000000" w:firstRow="0" w:lastRow="0" w:firstColumn="1" w:lastColumn="0" w:oddVBand="0" w:evenVBand="0" w:oddHBand="0" w:evenHBand="0" w:firstRowFirstColumn="0" w:firstRowLastColumn="0" w:lastRowFirstColumn="0" w:lastRowLastColumn="0"/>
            <w:tcW w:w="1985" w:type="dxa"/>
          </w:tcPr>
          <w:p w14:paraId="29E1FCEF" w14:textId="77777777" w:rsidR="00940471" w:rsidRPr="00E45508" w:rsidRDefault="00940471" w:rsidP="007938B5">
            <w:pPr>
              <w:pStyle w:val="Tabletext0"/>
              <w:rPr>
                <w:rFonts w:cstheme="minorHAnsi"/>
                <w:szCs w:val="18"/>
              </w:rPr>
            </w:pPr>
            <w:r w:rsidRPr="00E45508">
              <w:rPr>
                <w:rFonts w:cstheme="minorHAnsi"/>
                <w:szCs w:val="18"/>
              </w:rPr>
              <w:t xml:space="preserve">Environment </w:t>
            </w:r>
          </w:p>
        </w:tc>
        <w:tc>
          <w:tcPr>
            <w:tcW w:w="3614" w:type="dxa"/>
          </w:tcPr>
          <w:p w14:paraId="5DB11924" w14:textId="77777777" w:rsidR="00940471" w:rsidRPr="00E45508" w:rsidRDefault="00940471" w:rsidP="007938B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Reduction in litter and landfill impacts due to more reuse or collection systems and improvements to consumer awareness*</w:t>
            </w:r>
          </w:p>
          <w:p w14:paraId="6E1E5C62" w14:textId="77777777" w:rsidR="00940471" w:rsidRPr="00E45508" w:rsidRDefault="00940471" w:rsidP="007938B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Reduced reliance on virgin material to make packaging</w:t>
            </w:r>
          </w:p>
        </w:tc>
        <w:tc>
          <w:tcPr>
            <w:tcW w:w="3615" w:type="dxa"/>
          </w:tcPr>
          <w:p w14:paraId="1DCB016E" w14:textId="5D60A58D" w:rsidR="00940471" w:rsidRPr="00E45508" w:rsidRDefault="00940471" w:rsidP="007938B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 xml:space="preserve">Packaging continues to cause environmental harm when collection systems and demand for recycled materials is unable to manage large volumes of packaging </w:t>
            </w:r>
            <w:r w:rsidR="008F080F" w:rsidRPr="00E45508">
              <w:rPr>
                <w:rFonts w:cstheme="minorHAnsi"/>
                <w:szCs w:val="18"/>
              </w:rPr>
              <w:t>placed on the market</w:t>
            </w:r>
          </w:p>
        </w:tc>
      </w:tr>
      <w:tr w:rsidR="00940471" w:rsidRPr="00E45508" w14:paraId="722EC510" w14:textId="77777777" w:rsidTr="007938B5">
        <w:trPr>
          <w:cnfStyle w:val="000000100000" w:firstRow="0" w:lastRow="0" w:firstColumn="0" w:lastColumn="0" w:oddVBand="0" w:evenVBand="0" w:oddHBand="1" w:evenHBand="0" w:firstRowFirstColumn="0" w:firstRowLastColumn="0" w:lastRowFirstColumn="0" w:lastRowLastColumn="0"/>
          <w:cantSplit/>
          <w:trHeight w:val="251"/>
        </w:trPr>
        <w:tc>
          <w:tcPr>
            <w:cnfStyle w:val="001000000000" w:firstRow="0" w:lastRow="0" w:firstColumn="1" w:lastColumn="0" w:oddVBand="0" w:evenVBand="0" w:oddHBand="0" w:evenHBand="0" w:firstRowFirstColumn="0" w:firstRowLastColumn="0" w:lastRowFirstColumn="0" w:lastRowLastColumn="0"/>
            <w:tcW w:w="1985" w:type="dxa"/>
          </w:tcPr>
          <w:p w14:paraId="51B7BDF9" w14:textId="3069CD8E" w:rsidR="00940471" w:rsidRPr="00E45508" w:rsidRDefault="00940471" w:rsidP="007938B5">
            <w:pPr>
              <w:pStyle w:val="Tabletext0"/>
              <w:rPr>
                <w:rFonts w:cstheme="minorHAnsi"/>
                <w:szCs w:val="18"/>
              </w:rPr>
            </w:pPr>
            <w:r w:rsidRPr="00E45508">
              <w:rPr>
                <w:rFonts w:cstheme="minorHAnsi"/>
                <w:szCs w:val="18"/>
              </w:rPr>
              <w:t>Consumers</w:t>
            </w:r>
          </w:p>
          <w:p w14:paraId="10FFD925" w14:textId="77777777" w:rsidR="00940471" w:rsidRPr="00E45508" w:rsidRDefault="34D3AED9" w:rsidP="007938B5">
            <w:pPr>
              <w:pStyle w:val="Tabletext0"/>
              <w:rPr>
                <w:rFonts w:cstheme="minorHAnsi"/>
              </w:rPr>
            </w:pPr>
            <w:r w:rsidRPr="00E45508">
              <w:rPr>
                <w:rFonts w:cstheme="minorHAnsi"/>
              </w:rPr>
              <w:t>(e.g. businesses, households and community)</w:t>
            </w:r>
          </w:p>
        </w:tc>
        <w:tc>
          <w:tcPr>
            <w:tcW w:w="3614" w:type="dxa"/>
          </w:tcPr>
          <w:p w14:paraId="48D8D304" w14:textId="01B7E401"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Better access to reuse, collection and recovery systems for packaging*</w:t>
            </w:r>
          </w:p>
        </w:tc>
        <w:tc>
          <w:tcPr>
            <w:tcW w:w="3615" w:type="dxa"/>
          </w:tcPr>
          <w:p w14:paraId="23B50287" w14:textId="1EA70799" w:rsidR="00940471" w:rsidRPr="00E45508" w:rsidRDefault="5022DBB7" w:rsidP="007938B5">
            <w:pPr>
              <w:pStyle w:val="Tabletext0"/>
              <w:cnfStyle w:val="000000100000" w:firstRow="0" w:lastRow="0" w:firstColumn="0" w:lastColumn="0" w:oddVBand="0" w:evenVBand="0" w:oddHBand="1" w:evenHBand="0" w:firstRowFirstColumn="0" w:firstRowLastColumn="0" w:lastRowFirstColumn="0" w:lastRowLastColumn="0"/>
              <w:rPr>
                <w:rFonts w:cstheme="minorBidi"/>
              </w:rPr>
            </w:pPr>
            <w:r w:rsidRPr="6DF63E5C">
              <w:rPr>
                <w:rFonts w:cstheme="minorBidi"/>
              </w:rPr>
              <w:t xml:space="preserve">A lack of a mandated recyclability label means consumers </w:t>
            </w:r>
            <w:r w:rsidRPr="114B3E0D">
              <w:rPr>
                <w:rFonts w:cstheme="minorBidi"/>
              </w:rPr>
              <w:t>are less informed on how</w:t>
            </w:r>
            <w:r w:rsidRPr="6DF63E5C">
              <w:rPr>
                <w:rFonts w:cstheme="minorBidi"/>
              </w:rPr>
              <w:t xml:space="preserve"> to </w:t>
            </w:r>
            <w:r w:rsidRPr="114B3E0D">
              <w:rPr>
                <w:rFonts w:cstheme="minorBidi"/>
              </w:rPr>
              <w:t>dispose of their packaging.</w:t>
            </w:r>
          </w:p>
        </w:tc>
      </w:tr>
      <w:tr w:rsidR="00940471" w:rsidRPr="00E45508" w14:paraId="0A26B959" w14:textId="77777777" w:rsidTr="007938B5">
        <w:trPr>
          <w:cantSplit/>
          <w:trHeight w:val="251"/>
        </w:trPr>
        <w:tc>
          <w:tcPr>
            <w:cnfStyle w:val="001000000000" w:firstRow="0" w:lastRow="0" w:firstColumn="1" w:lastColumn="0" w:oddVBand="0" w:evenVBand="0" w:oddHBand="0" w:evenHBand="0" w:firstRowFirstColumn="0" w:firstRowLastColumn="0" w:lastRowFirstColumn="0" w:lastRowLastColumn="0"/>
            <w:tcW w:w="1985" w:type="dxa"/>
          </w:tcPr>
          <w:p w14:paraId="074AF6B8" w14:textId="77777777" w:rsidR="00940471" w:rsidRPr="00E45508" w:rsidRDefault="00940471" w:rsidP="007938B5">
            <w:pPr>
              <w:pStyle w:val="Tabletext0"/>
              <w:rPr>
                <w:rFonts w:cstheme="minorHAnsi"/>
              </w:rPr>
            </w:pPr>
            <w:r w:rsidRPr="00E45508">
              <w:rPr>
                <w:rFonts w:cstheme="minorHAnsi"/>
                <w:szCs w:val="18"/>
              </w:rPr>
              <w:t>Governments</w:t>
            </w:r>
          </w:p>
        </w:tc>
        <w:tc>
          <w:tcPr>
            <w:tcW w:w="3614" w:type="dxa"/>
          </w:tcPr>
          <w:p w14:paraId="61E7A6B7" w14:textId="1D22F7E5" w:rsidR="00940471" w:rsidRPr="00E45508" w:rsidRDefault="00940471" w:rsidP="007938B5">
            <w:pPr>
              <w:pStyle w:val="Tabletext0"/>
              <w:cnfStyle w:val="000000000000" w:firstRow="0" w:lastRow="0" w:firstColumn="0" w:lastColumn="0" w:oddVBand="0" w:evenVBand="0" w:oddHBand="0" w:evenHBand="0" w:firstRowFirstColumn="0" w:firstRowLastColumn="0" w:lastRowFirstColumn="0" w:lastRowLastColumn="0"/>
            </w:pPr>
            <w:r w:rsidRPr="00E45508">
              <w:t xml:space="preserve">Local governments kerbside collection costs may be reduced due </w:t>
            </w:r>
            <w:r w:rsidR="547570D4" w:rsidRPr="00E45508">
              <w:t xml:space="preserve">to </w:t>
            </w:r>
            <w:r w:rsidRPr="00E45508">
              <w:t>improvements in resource recovery</w:t>
            </w:r>
          </w:p>
          <w:p w14:paraId="0EF3AB53" w14:textId="035937E4" w:rsidR="00940471" w:rsidRPr="00E45508" w:rsidRDefault="00940471" w:rsidP="007938B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Improved local and civic amenities due to reduction in litter. Reduced litter collection costs</w:t>
            </w:r>
          </w:p>
        </w:tc>
        <w:tc>
          <w:tcPr>
            <w:tcW w:w="3615" w:type="dxa"/>
          </w:tcPr>
          <w:p w14:paraId="2BFFA9ED" w14:textId="018415C1" w:rsidR="00940471" w:rsidRPr="00E45508" w:rsidRDefault="00940471" w:rsidP="007938B5">
            <w:pPr>
              <w:pStyle w:val="Tabletext0"/>
              <w:cnfStyle w:val="000000000000" w:firstRow="0" w:lastRow="0" w:firstColumn="0" w:lastColumn="0" w:oddVBand="0" w:evenVBand="0" w:oddHBand="0" w:evenHBand="0" w:firstRowFirstColumn="0" w:firstRowLastColumn="0" w:lastRowFirstColumn="0" w:lastRowLastColumn="0"/>
              <w:rPr>
                <w:rFonts w:cstheme="minorHAnsi"/>
              </w:rPr>
            </w:pPr>
            <w:r w:rsidRPr="00E45508">
              <w:rPr>
                <w:rFonts w:cstheme="minorHAnsi"/>
              </w:rPr>
              <w:t>Additional costs related to strengthened monitoring, compliance and enforcement activities</w:t>
            </w:r>
            <w:r w:rsidR="00213758" w:rsidRPr="00E45508">
              <w:rPr>
                <w:rFonts w:cstheme="minorHAnsi"/>
              </w:rPr>
              <w:t xml:space="preserve"> and education campaigns</w:t>
            </w:r>
          </w:p>
        </w:tc>
      </w:tr>
      <w:tr w:rsidR="00940471" w:rsidRPr="00E45508" w14:paraId="2E15FECC" w14:textId="77777777" w:rsidTr="007938B5">
        <w:trPr>
          <w:cnfStyle w:val="000000100000" w:firstRow="0" w:lastRow="0" w:firstColumn="0" w:lastColumn="0" w:oddVBand="0" w:evenVBand="0" w:oddHBand="1" w:evenHBand="0" w:firstRowFirstColumn="0" w:firstRowLastColumn="0" w:lastRowFirstColumn="0" w:lastRowLastColumn="0"/>
          <w:cantSplit/>
          <w:trHeight w:val="251"/>
        </w:trPr>
        <w:tc>
          <w:tcPr>
            <w:cnfStyle w:val="001000000000" w:firstRow="0" w:lastRow="0" w:firstColumn="1" w:lastColumn="0" w:oddVBand="0" w:evenVBand="0" w:oddHBand="0" w:evenHBand="0" w:firstRowFirstColumn="0" w:firstRowLastColumn="0" w:lastRowFirstColumn="0" w:lastRowLastColumn="0"/>
            <w:tcW w:w="1985" w:type="dxa"/>
          </w:tcPr>
          <w:p w14:paraId="0AA1536B" w14:textId="77777777" w:rsidR="00940471" w:rsidRPr="00E45508" w:rsidRDefault="00940471" w:rsidP="007938B5">
            <w:pPr>
              <w:pStyle w:val="Tabletext0"/>
              <w:rPr>
                <w:rFonts w:cstheme="minorHAnsi"/>
              </w:rPr>
            </w:pPr>
            <w:r w:rsidRPr="00E45508">
              <w:rPr>
                <w:rFonts w:cstheme="minorHAnsi"/>
              </w:rPr>
              <w:t>Packaging suppliers and brand owners</w:t>
            </w:r>
          </w:p>
          <w:p w14:paraId="6A09D94E" w14:textId="69E2310C" w:rsidR="00940471" w:rsidRPr="00E45508" w:rsidRDefault="00940471" w:rsidP="007938B5">
            <w:pPr>
              <w:pStyle w:val="Tabletext0"/>
              <w:rPr>
                <w:rFonts w:cstheme="minorHAnsi"/>
                <w:szCs w:val="18"/>
              </w:rPr>
            </w:pPr>
            <w:r w:rsidRPr="00E45508">
              <w:rPr>
                <w:rFonts w:cstheme="minorHAnsi"/>
              </w:rPr>
              <w:t>(APCO members)</w:t>
            </w:r>
          </w:p>
        </w:tc>
        <w:tc>
          <w:tcPr>
            <w:tcW w:w="3614" w:type="dxa"/>
          </w:tcPr>
          <w:p w14:paraId="16E27056" w14:textId="6D2933A2"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More protection from free riders as</w:t>
            </w:r>
            <w:r w:rsidR="00A40093" w:rsidRPr="00E45508">
              <w:rPr>
                <w:rFonts w:cstheme="minorHAnsi"/>
                <w:szCs w:val="18"/>
              </w:rPr>
              <w:t xml:space="preserve"> the</w:t>
            </w:r>
            <w:r w:rsidRPr="00E45508">
              <w:rPr>
                <w:rFonts w:cstheme="minorHAnsi"/>
                <w:szCs w:val="18"/>
              </w:rPr>
              <w:t xml:space="preserve"> </w:t>
            </w:r>
            <w:r w:rsidR="005836AB" w:rsidRPr="00E45508">
              <w:rPr>
                <w:rFonts w:cstheme="minorHAnsi"/>
                <w:szCs w:val="18"/>
              </w:rPr>
              <w:t>co-regulatory arrangement</w:t>
            </w:r>
            <w:r w:rsidRPr="00E45508">
              <w:rPr>
                <w:rFonts w:cstheme="minorHAnsi"/>
                <w:szCs w:val="18"/>
              </w:rPr>
              <w:t xml:space="preserve"> is enforced</w:t>
            </w:r>
          </w:p>
          <w:p w14:paraId="07FC5568" w14:textId="2BC98612"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Certainty for suppliers and brand owners who will continue to receive support from APCO to meet existing obligations</w:t>
            </w:r>
          </w:p>
          <w:p w14:paraId="024378C2" w14:textId="77777777"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Certainty from existing reporting and administrative remaining similar</w:t>
            </w:r>
          </w:p>
          <w:p w14:paraId="244EFDEA" w14:textId="0B3A26AA" w:rsidR="00FE6001" w:rsidRPr="00E45508" w:rsidRDefault="002D1E61" w:rsidP="007938B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Increased understanding about obligations</w:t>
            </w:r>
          </w:p>
        </w:tc>
        <w:tc>
          <w:tcPr>
            <w:tcW w:w="3615" w:type="dxa"/>
          </w:tcPr>
          <w:p w14:paraId="056FC504" w14:textId="1BE1A3AE" w:rsidR="00940471" w:rsidRPr="00E45508" w:rsidRDefault="00940471" w:rsidP="007938B5">
            <w:pPr>
              <w:pStyle w:val="Tabletext0"/>
              <w:cnfStyle w:val="000000100000" w:firstRow="0" w:lastRow="0" w:firstColumn="0" w:lastColumn="0" w:oddVBand="0" w:evenVBand="0" w:oddHBand="1" w:evenHBand="0" w:firstRowFirstColumn="0" w:firstRowLastColumn="0" w:lastRowFirstColumn="0" w:lastRowLastColumn="0"/>
            </w:pPr>
            <w:r w:rsidRPr="00E45508">
              <w:t>Higher packaging supply costs from:</w:t>
            </w:r>
          </w:p>
          <w:p w14:paraId="2BE5D71D" w14:textId="77777777" w:rsidR="00940471" w:rsidRPr="00E45508" w:rsidRDefault="00940471" w:rsidP="007938B5">
            <w:pPr>
              <w:pStyle w:val="TableBullet1"/>
              <w:cnfStyle w:val="000000100000" w:firstRow="0" w:lastRow="0" w:firstColumn="0" w:lastColumn="0" w:oddVBand="0" w:evenVBand="0" w:oddHBand="1" w:evenHBand="0" w:firstRowFirstColumn="0" w:firstRowLastColumn="0" w:lastRowFirstColumn="0" w:lastRowLastColumn="0"/>
            </w:pPr>
            <w:r w:rsidRPr="00E45508">
              <w:t>designing recyclable packaging</w:t>
            </w:r>
          </w:p>
          <w:p w14:paraId="2B7A30E7" w14:textId="77777777" w:rsidR="00940471" w:rsidRPr="00E45508" w:rsidRDefault="00940471" w:rsidP="007938B5">
            <w:pPr>
              <w:pStyle w:val="TableBullet1"/>
              <w:cnfStyle w:val="000000100000" w:firstRow="0" w:lastRow="0" w:firstColumn="0" w:lastColumn="0" w:oddVBand="0" w:evenVBand="0" w:oddHBand="1" w:evenHBand="0" w:firstRowFirstColumn="0" w:firstRowLastColumn="0" w:lastRowFirstColumn="0" w:lastRowLastColumn="0"/>
            </w:pPr>
            <w:r w:rsidRPr="00E45508">
              <w:t>recycled materials in packaging</w:t>
            </w:r>
          </w:p>
          <w:p w14:paraId="09B2DEB2" w14:textId="51165910" w:rsidR="00940471" w:rsidRPr="00E45508" w:rsidRDefault="00940471" w:rsidP="007938B5">
            <w:pPr>
              <w:pStyle w:val="TableBullet1"/>
              <w:cnfStyle w:val="000000100000" w:firstRow="0" w:lastRow="0" w:firstColumn="0" w:lastColumn="0" w:oddVBand="0" w:evenVBand="0" w:oddHBand="1" w:evenHBand="0" w:firstRowFirstColumn="0" w:firstRowLastColumn="0" w:lastRowFirstColumn="0" w:lastRowLastColumn="0"/>
            </w:pPr>
            <w:r w:rsidRPr="00E45508">
              <w:t xml:space="preserve">additional member fees to support greater movement towards the </w:t>
            </w:r>
            <w:r w:rsidR="001B0878" w:rsidRPr="00E45508">
              <w:t xml:space="preserve">National </w:t>
            </w:r>
            <w:r w:rsidRPr="00E45508">
              <w:t xml:space="preserve">Packaging </w:t>
            </w:r>
            <w:r w:rsidR="001B0878" w:rsidRPr="00E45508">
              <w:t>T</w:t>
            </w:r>
            <w:r w:rsidRPr="00E45508">
              <w:t>argets</w:t>
            </w:r>
          </w:p>
        </w:tc>
      </w:tr>
    </w:tbl>
    <w:p w14:paraId="598F69DA" w14:textId="07CE6524" w:rsidR="00940471" w:rsidRPr="00E45508" w:rsidRDefault="00940471" w:rsidP="003C4744">
      <w:pPr>
        <w:rPr>
          <w:rFonts w:cstheme="minorHAnsi"/>
          <w:sz w:val="20"/>
          <w:szCs w:val="20"/>
        </w:rPr>
      </w:pPr>
      <w:r w:rsidRPr="00E45508">
        <w:rPr>
          <w:rFonts w:cstheme="minorHAnsi"/>
          <w:sz w:val="20"/>
          <w:szCs w:val="20"/>
        </w:rPr>
        <w:t>*Impacts generated from APCO members</w:t>
      </w:r>
      <w:r w:rsidR="000E6CC5" w:rsidRPr="00E45508">
        <w:rPr>
          <w:rFonts w:cstheme="minorHAnsi"/>
          <w:sz w:val="20"/>
          <w:szCs w:val="20"/>
        </w:rPr>
        <w:br w:type="page"/>
      </w:r>
    </w:p>
    <w:p w14:paraId="7ADD24AC" w14:textId="43D16368" w:rsidR="001C5392" w:rsidRPr="00E45508" w:rsidRDefault="19F1333A" w:rsidP="00C915A5">
      <w:pPr>
        <w:pStyle w:val="Caption"/>
      </w:pPr>
      <w:bookmarkStart w:id="226" w:name="_Ref177639808"/>
      <w:bookmarkStart w:id="227" w:name="_Toc177126684"/>
      <w:bookmarkStart w:id="228" w:name="_Toc178229385"/>
      <w:r w:rsidRPr="00E45508">
        <w:t xml:space="preserve">Table </w:t>
      </w:r>
      <w:r w:rsidR="008D239E" w:rsidRPr="00E45508">
        <w:fldChar w:fldCharType="begin"/>
      </w:r>
      <w:r w:rsidR="008D239E" w:rsidRPr="00E45508">
        <w:instrText xml:space="preserve"> SEQ Table \* ARABIC </w:instrText>
      </w:r>
      <w:r w:rsidR="008D239E" w:rsidRPr="00E45508">
        <w:fldChar w:fldCharType="separate"/>
      </w:r>
      <w:r w:rsidR="009A2EC4">
        <w:rPr>
          <w:noProof/>
        </w:rPr>
        <w:t>22</w:t>
      </w:r>
      <w:r w:rsidR="008D239E" w:rsidRPr="00E45508">
        <w:fldChar w:fldCharType="end"/>
      </w:r>
      <w:bookmarkEnd w:id="226"/>
      <w:r w:rsidR="464D1DC2" w:rsidRPr="00E45508">
        <w:t>:</w:t>
      </w:r>
      <w:r w:rsidR="5103C017" w:rsidRPr="00E45508">
        <w:t xml:space="preserve"> Option</w:t>
      </w:r>
      <w:r w:rsidR="36F14B88" w:rsidRPr="00E45508">
        <w:t> 2</w:t>
      </w:r>
      <w:r w:rsidR="5103C017" w:rsidRPr="00E45508">
        <w:t xml:space="preserve"> benefits and costs summary</w:t>
      </w:r>
      <w:bookmarkEnd w:id="227"/>
      <w:r w:rsidR="5DF5EF60" w:rsidRPr="00E45508">
        <w:t xml:space="preserve"> by stakeholder group</w:t>
      </w:r>
      <w:bookmarkEnd w:id="228"/>
    </w:p>
    <w:tbl>
      <w:tblPr>
        <w:tblStyle w:val="PlainTable2"/>
        <w:tblW w:w="9214" w:type="dxa"/>
        <w:tblLook w:val="04A0" w:firstRow="1" w:lastRow="0" w:firstColumn="1" w:lastColumn="0" w:noHBand="0" w:noVBand="1"/>
      </w:tblPr>
      <w:tblGrid>
        <w:gridCol w:w="1985"/>
        <w:gridCol w:w="3614"/>
        <w:gridCol w:w="3615"/>
      </w:tblGrid>
      <w:tr w:rsidR="00940471" w:rsidRPr="00E45508" w14:paraId="53BC327F" w14:textId="77777777" w:rsidTr="146DC0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5" w:type="dxa"/>
          </w:tcPr>
          <w:p w14:paraId="6DDCC66E" w14:textId="77777777" w:rsidR="00940471" w:rsidRPr="00E45508" w:rsidRDefault="00940471" w:rsidP="000E6CC5">
            <w:pPr>
              <w:pStyle w:val="Tabletext0"/>
              <w:rPr>
                <w:rFonts w:cstheme="minorHAnsi"/>
                <w:szCs w:val="18"/>
                <w:lang w:eastAsia="ja-JP"/>
              </w:rPr>
            </w:pPr>
            <w:r w:rsidRPr="00E45508">
              <w:rPr>
                <w:rFonts w:cstheme="minorHAnsi"/>
                <w:szCs w:val="18"/>
                <w:lang w:eastAsia="ja-JP"/>
              </w:rPr>
              <w:t>Affected stakeholder</w:t>
            </w:r>
          </w:p>
        </w:tc>
        <w:tc>
          <w:tcPr>
            <w:tcW w:w="3614" w:type="dxa"/>
          </w:tcPr>
          <w:p w14:paraId="49B55BED" w14:textId="77777777" w:rsidR="00940471" w:rsidRPr="00E45508" w:rsidRDefault="00940471" w:rsidP="000E6CC5">
            <w:pPr>
              <w:pStyle w:val="Tabletext0"/>
              <w:cnfStyle w:val="100000000000" w:firstRow="1" w:lastRow="0" w:firstColumn="0" w:lastColumn="0" w:oddVBand="0" w:evenVBand="0" w:oddHBand="0" w:evenHBand="0" w:firstRowFirstColumn="0" w:firstRowLastColumn="0" w:lastRowFirstColumn="0" w:lastRowLastColumn="0"/>
              <w:rPr>
                <w:rFonts w:cstheme="minorHAnsi"/>
                <w:szCs w:val="18"/>
                <w:lang w:eastAsia="ja-JP"/>
              </w:rPr>
            </w:pPr>
            <w:r w:rsidRPr="00E45508">
              <w:rPr>
                <w:rFonts w:cstheme="minorHAnsi"/>
                <w:szCs w:val="18"/>
                <w:lang w:eastAsia="ja-JP"/>
              </w:rPr>
              <w:t>Potential benefits</w:t>
            </w:r>
          </w:p>
        </w:tc>
        <w:tc>
          <w:tcPr>
            <w:tcW w:w="3615" w:type="dxa"/>
          </w:tcPr>
          <w:p w14:paraId="4D947793" w14:textId="77777777" w:rsidR="00940471" w:rsidRPr="00E45508" w:rsidRDefault="00940471" w:rsidP="000E6CC5">
            <w:pPr>
              <w:pStyle w:val="Tabletext0"/>
              <w:cnfStyle w:val="100000000000" w:firstRow="1" w:lastRow="0" w:firstColumn="0" w:lastColumn="0" w:oddVBand="0" w:evenVBand="0" w:oddHBand="0" w:evenHBand="0" w:firstRowFirstColumn="0" w:firstRowLastColumn="0" w:lastRowFirstColumn="0" w:lastRowLastColumn="0"/>
              <w:rPr>
                <w:rFonts w:cstheme="minorHAnsi"/>
                <w:szCs w:val="18"/>
                <w:lang w:eastAsia="ja-JP"/>
              </w:rPr>
            </w:pPr>
            <w:r w:rsidRPr="00E45508">
              <w:rPr>
                <w:rFonts w:cstheme="minorHAnsi"/>
                <w:szCs w:val="18"/>
                <w:lang w:eastAsia="ja-JP"/>
              </w:rPr>
              <w:t>Potential costs</w:t>
            </w:r>
          </w:p>
        </w:tc>
      </w:tr>
      <w:tr w:rsidR="00940471" w:rsidRPr="00E45508" w14:paraId="7BE7DCD2" w14:textId="77777777" w:rsidTr="146DC09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75EA01C8" w14:textId="77777777" w:rsidR="00940471" w:rsidRPr="00E45508" w:rsidRDefault="00940471" w:rsidP="000E6CC5">
            <w:pPr>
              <w:pStyle w:val="Tabletext0"/>
              <w:rPr>
                <w:rFonts w:cstheme="minorHAnsi"/>
                <w:szCs w:val="18"/>
              </w:rPr>
            </w:pPr>
            <w:r w:rsidRPr="00E45508">
              <w:rPr>
                <w:rFonts w:cstheme="minorHAnsi"/>
                <w:szCs w:val="18"/>
                <w:lang w:eastAsia="ja-JP"/>
              </w:rPr>
              <w:t>Recycling and resource recovery sector</w:t>
            </w:r>
          </w:p>
        </w:tc>
        <w:tc>
          <w:tcPr>
            <w:tcW w:w="3614" w:type="dxa"/>
          </w:tcPr>
          <w:p w14:paraId="2D535915" w14:textId="4CA9E076" w:rsidR="00940471" w:rsidRPr="00E45508" w:rsidRDefault="34D3AED9"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rPr>
            </w:pPr>
            <w:r w:rsidRPr="00E45508">
              <w:rPr>
                <w:rFonts w:cstheme="minorHAnsi"/>
              </w:rPr>
              <w:t>Reduced costs from the removal of packaging contaminated with extremely problematic materials and additives (e.g. carbon black and oxo</w:t>
            </w:r>
            <w:r w:rsidR="1180EE15" w:rsidRPr="00E45508">
              <w:rPr>
                <w:rFonts w:cstheme="minorHAnsi"/>
              </w:rPr>
              <w:t>-</w:t>
            </w:r>
            <w:r w:rsidRPr="00E45508">
              <w:rPr>
                <w:rFonts w:cstheme="minorHAnsi"/>
              </w:rPr>
              <w:t>degrad</w:t>
            </w:r>
            <w:r w:rsidR="408F488C" w:rsidRPr="00E45508">
              <w:rPr>
                <w:rFonts w:cstheme="minorHAnsi"/>
              </w:rPr>
              <w:t>a</w:t>
            </w:r>
            <w:r w:rsidRPr="00E45508">
              <w:rPr>
                <w:rFonts w:cstheme="minorHAnsi"/>
              </w:rPr>
              <w:t>bles)</w:t>
            </w:r>
          </w:p>
          <w:p w14:paraId="718D452E" w14:textId="2C14F7D8"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 xml:space="preserve">Cleaner recycled materials have a higher monetary value and </w:t>
            </w:r>
            <w:r w:rsidR="00B326E6" w:rsidRPr="00E45508">
              <w:rPr>
                <w:rFonts w:cstheme="minorHAnsi"/>
                <w:szCs w:val="18"/>
              </w:rPr>
              <w:t>can</w:t>
            </w:r>
            <w:r w:rsidRPr="00E45508">
              <w:rPr>
                <w:rFonts w:cstheme="minorHAnsi"/>
                <w:szCs w:val="18"/>
              </w:rPr>
              <w:t xml:space="preserve"> compete with virgin materials</w:t>
            </w:r>
          </w:p>
          <w:p w14:paraId="53A3EBA6" w14:textId="3B74DF4D"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Cleaner material resource stream to support recycled content markets</w:t>
            </w:r>
          </w:p>
          <w:p w14:paraId="5294158C" w14:textId="0DA771E8"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Stable end markets for recycled content</w:t>
            </w:r>
          </w:p>
          <w:p w14:paraId="160B7853" w14:textId="20B14B7E"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Greater certainty for private investment in recycling capacity</w:t>
            </w:r>
          </w:p>
        </w:tc>
        <w:tc>
          <w:tcPr>
            <w:tcW w:w="3615" w:type="dxa"/>
          </w:tcPr>
          <w:p w14:paraId="5113C12C" w14:textId="6BC97817" w:rsidR="00940471" w:rsidRPr="00E45508" w:rsidRDefault="00DE3EF5"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Ceasing</w:t>
            </w:r>
            <w:r w:rsidR="00940471" w:rsidRPr="00E45508">
              <w:rPr>
                <w:rFonts w:cstheme="minorHAnsi"/>
                <w:szCs w:val="18"/>
              </w:rPr>
              <w:t xml:space="preserve"> of the </w:t>
            </w:r>
            <w:r w:rsidR="001A6335" w:rsidRPr="00E45508">
              <w:rPr>
                <w:rFonts w:cstheme="minorHAnsi"/>
                <w:szCs w:val="18"/>
              </w:rPr>
              <w:t>c</w:t>
            </w:r>
            <w:r w:rsidR="00940471" w:rsidRPr="00E45508">
              <w:rPr>
                <w:rFonts w:cstheme="minorHAnsi"/>
                <w:szCs w:val="18"/>
              </w:rPr>
              <w:t xml:space="preserve">o-regulatory arrangement </w:t>
            </w:r>
            <w:r w:rsidR="0084178A" w:rsidRPr="00E45508">
              <w:rPr>
                <w:rFonts w:cstheme="minorHAnsi"/>
                <w:szCs w:val="18"/>
              </w:rPr>
              <w:t>may reduce</w:t>
            </w:r>
            <w:r w:rsidR="00764486" w:rsidRPr="00E45508">
              <w:rPr>
                <w:rFonts w:cstheme="minorHAnsi"/>
                <w:szCs w:val="18"/>
              </w:rPr>
              <w:t xml:space="preserve"> </w:t>
            </w:r>
            <w:r w:rsidR="00940471" w:rsidRPr="00E45508">
              <w:rPr>
                <w:rFonts w:cstheme="minorHAnsi"/>
                <w:szCs w:val="18"/>
              </w:rPr>
              <w:t>industry support leading to higher processing, handling and other business infrastructure improvements/adaptation costs</w:t>
            </w:r>
          </w:p>
          <w:p w14:paraId="12525732" w14:textId="2B110E02"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rPr>
            </w:pPr>
            <w:r w:rsidRPr="00E45508">
              <w:rPr>
                <w:rFonts w:cstheme="minorHAnsi"/>
              </w:rPr>
              <w:t>Higher storage or disposal costs if there is no increase in demand for recycled materials</w:t>
            </w:r>
          </w:p>
        </w:tc>
      </w:tr>
      <w:tr w:rsidR="00940471" w:rsidRPr="00E45508" w14:paraId="03B5F43D" w14:textId="77777777" w:rsidTr="146DC098">
        <w:trPr>
          <w:cantSplit/>
          <w:trHeight w:val="393"/>
        </w:trPr>
        <w:tc>
          <w:tcPr>
            <w:cnfStyle w:val="001000000000" w:firstRow="0" w:lastRow="0" w:firstColumn="1" w:lastColumn="0" w:oddVBand="0" w:evenVBand="0" w:oddHBand="0" w:evenHBand="0" w:firstRowFirstColumn="0" w:firstRowLastColumn="0" w:lastRowFirstColumn="0" w:lastRowLastColumn="0"/>
            <w:tcW w:w="1985" w:type="dxa"/>
          </w:tcPr>
          <w:p w14:paraId="090F6552" w14:textId="31ABBAC2" w:rsidR="00940471" w:rsidRPr="00E45508" w:rsidRDefault="00940471" w:rsidP="000E6CC5">
            <w:pPr>
              <w:pStyle w:val="Tabletext0"/>
              <w:rPr>
                <w:rFonts w:cstheme="minorHAnsi"/>
                <w:szCs w:val="18"/>
                <w:lang w:eastAsia="ja-JP"/>
              </w:rPr>
            </w:pPr>
            <w:r w:rsidRPr="00E45508">
              <w:rPr>
                <w:rFonts w:cstheme="minorHAnsi"/>
                <w:szCs w:val="18"/>
              </w:rPr>
              <w:t>Environment</w:t>
            </w:r>
          </w:p>
        </w:tc>
        <w:tc>
          <w:tcPr>
            <w:tcW w:w="3614" w:type="dxa"/>
          </w:tcPr>
          <w:p w14:paraId="7D29C657" w14:textId="45169C9B"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Impacts from extremely problematic materials and additives are minimised (e.g. PFAS)</w:t>
            </w:r>
          </w:p>
        </w:tc>
        <w:tc>
          <w:tcPr>
            <w:tcW w:w="3615" w:type="dxa"/>
          </w:tcPr>
          <w:p w14:paraId="46AAE813" w14:textId="77777777"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Delayed reduction in litter and landfill impacts from phased in ban on packaging that does not meet recyclability thresholds by weight</w:t>
            </w:r>
          </w:p>
          <w:p w14:paraId="2595ED1B" w14:textId="3622B416"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No financial mechanisms available to reduce packaging volumes, chemicals of concern or effect packaging design choices</w:t>
            </w:r>
          </w:p>
        </w:tc>
      </w:tr>
      <w:tr w:rsidR="00940471" w:rsidRPr="00E45508" w14:paraId="77C7AF69" w14:textId="77777777" w:rsidTr="146DC098">
        <w:trPr>
          <w:cnfStyle w:val="000000100000" w:firstRow="0" w:lastRow="0" w:firstColumn="0" w:lastColumn="0" w:oddVBand="0" w:evenVBand="0" w:oddHBand="1" w:evenHBand="0" w:firstRowFirstColumn="0" w:firstRowLastColumn="0" w:lastRowFirstColumn="0" w:lastRowLastColumn="0"/>
          <w:cantSplit/>
          <w:trHeight w:val="77"/>
        </w:trPr>
        <w:tc>
          <w:tcPr>
            <w:cnfStyle w:val="001000000000" w:firstRow="0" w:lastRow="0" w:firstColumn="1" w:lastColumn="0" w:oddVBand="0" w:evenVBand="0" w:oddHBand="0" w:evenHBand="0" w:firstRowFirstColumn="0" w:firstRowLastColumn="0" w:lastRowFirstColumn="0" w:lastRowLastColumn="0"/>
            <w:tcW w:w="1985" w:type="dxa"/>
          </w:tcPr>
          <w:p w14:paraId="78588C68" w14:textId="472029A3" w:rsidR="00940471" w:rsidRPr="00E45508" w:rsidRDefault="00940471" w:rsidP="00E118D7">
            <w:pPr>
              <w:pStyle w:val="Tabletext0"/>
              <w:rPr>
                <w:rFonts w:cstheme="minorHAnsi"/>
              </w:rPr>
            </w:pPr>
            <w:r w:rsidRPr="00E45508">
              <w:rPr>
                <w:rFonts w:cstheme="minorHAnsi"/>
                <w:szCs w:val="18"/>
              </w:rPr>
              <w:t>Consumers</w:t>
            </w:r>
            <w:r w:rsidR="00E118D7" w:rsidRPr="00E45508">
              <w:rPr>
                <w:rFonts w:cstheme="minorHAnsi"/>
                <w:szCs w:val="18"/>
              </w:rPr>
              <w:br/>
            </w:r>
            <w:r w:rsidRPr="00E45508">
              <w:rPr>
                <w:rFonts w:cstheme="minorHAnsi"/>
              </w:rPr>
              <w:t>(e.g. businesses, households and community)</w:t>
            </w:r>
          </w:p>
        </w:tc>
        <w:tc>
          <w:tcPr>
            <w:tcW w:w="3614" w:type="dxa"/>
          </w:tcPr>
          <w:p w14:paraId="780F58CE" w14:textId="40D10BE1"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rPr>
            </w:pPr>
            <w:r w:rsidRPr="00E45508">
              <w:rPr>
                <w:rFonts w:cstheme="minorHAnsi"/>
              </w:rPr>
              <w:t>Increased confidence in recycled content claims</w:t>
            </w:r>
          </w:p>
          <w:p w14:paraId="7FCECDBE" w14:textId="54850481"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rPr>
            </w:pPr>
            <w:r w:rsidRPr="00E45508">
              <w:rPr>
                <w:rFonts w:cstheme="minorHAnsi"/>
              </w:rPr>
              <w:t xml:space="preserve">Consistent on-pack </w:t>
            </w:r>
            <w:r w:rsidR="00832D48">
              <w:rPr>
                <w:rFonts w:cstheme="minorHAnsi"/>
              </w:rPr>
              <w:t xml:space="preserve">recyclability </w:t>
            </w:r>
            <w:r w:rsidRPr="00E45508">
              <w:rPr>
                <w:rFonts w:cstheme="minorHAnsi"/>
              </w:rPr>
              <w:t>labelling</w:t>
            </w:r>
          </w:p>
        </w:tc>
        <w:tc>
          <w:tcPr>
            <w:tcW w:w="3615" w:type="dxa"/>
          </w:tcPr>
          <w:p w14:paraId="1C5B5B3B" w14:textId="243CF0C0" w:rsidR="00940471" w:rsidRPr="00E45508" w:rsidRDefault="00C23886" w:rsidP="000E6CC5">
            <w:pPr>
              <w:pStyle w:val="Tabletext0"/>
              <w:cnfStyle w:val="000000100000" w:firstRow="0" w:lastRow="0" w:firstColumn="0" w:lastColumn="0" w:oddVBand="0" w:evenVBand="0" w:oddHBand="1" w:evenHBand="0" w:firstRowFirstColumn="0" w:firstRowLastColumn="0" w:lastRowFirstColumn="0" w:lastRowLastColumn="0"/>
              <w:rPr>
                <w:rFonts w:cstheme="minorBidi"/>
              </w:rPr>
            </w:pPr>
            <w:r w:rsidRPr="07B04530">
              <w:rPr>
                <w:rFonts w:cstheme="minorBidi"/>
              </w:rPr>
              <w:t>May impact</w:t>
            </w:r>
            <w:r w:rsidR="00EB7A07" w:rsidRPr="07B04530">
              <w:rPr>
                <w:rFonts w:cstheme="minorBidi"/>
              </w:rPr>
              <w:t xml:space="preserve"> </w:t>
            </w:r>
            <w:r w:rsidR="1B16FE30" w:rsidRPr="07B04530">
              <w:rPr>
                <w:rFonts w:cstheme="minorBidi"/>
              </w:rPr>
              <w:t>packaging appearance</w:t>
            </w:r>
            <w:r w:rsidR="46BBF9D1" w:rsidRPr="07B04530">
              <w:rPr>
                <w:rFonts w:cstheme="minorBidi"/>
              </w:rPr>
              <w:t xml:space="preserve"> and experience</w:t>
            </w:r>
          </w:p>
        </w:tc>
      </w:tr>
      <w:tr w:rsidR="00940471" w:rsidRPr="00E45508" w14:paraId="1F6D91B7" w14:textId="77777777" w:rsidTr="146DC098">
        <w:trPr>
          <w:cantSplit/>
          <w:trHeight w:val="251"/>
        </w:trPr>
        <w:tc>
          <w:tcPr>
            <w:cnfStyle w:val="001000000000" w:firstRow="0" w:lastRow="0" w:firstColumn="1" w:lastColumn="0" w:oddVBand="0" w:evenVBand="0" w:oddHBand="0" w:evenHBand="0" w:firstRowFirstColumn="0" w:firstRowLastColumn="0" w:lastRowFirstColumn="0" w:lastRowLastColumn="0"/>
            <w:tcW w:w="1985" w:type="dxa"/>
          </w:tcPr>
          <w:p w14:paraId="42A14C33" w14:textId="77777777" w:rsidR="00940471" w:rsidRPr="00E45508" w:rsidRDefault="00940471" w:rsidP="000E6CC5">
            <w:pPr>
              <w:pStyle w:val="Tabletext0"/>
              <w:rPr>
                <w:rFonts w:cstheme="minorHAnsi"/>
                <w:szCs w:val="18"/>
              </w:rPr>
            </w:pPr>
            <w:r w:rsidRPr="00E45508">
              <w:rPr>
                <w:rFonts w:cstheme="minorHAnsi"/>
                <w:szCs w:val="18"/>
              </w:rPr>
              <w:t>Governments</w:t>
            </w:r>
          </w:p>
        </w:tc>
        <w:tc>
          <w:tcPr>
            <w:tcW w:w="3614" w:type="dxa"/>
          </w:tcPr>
          <w:p w14:paraId="40F52083" w14:textId="7C4A310B"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Single regulator improves administrative efficiency, consistent data management and enforcement of mandatory obligations</w:t>
            </w:r>
          </w:p>
        </w:tc>
        <w:tc>
          <w:tcPr>
            <w:tcW w:w="3615" w:type="dxa"/>
          </w:tcPr>
          <w:p w14:paraId="16ED0F38" w14:textId="5C54E583"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 xml:space="preserve">Increased government, compliance and verification costs. </w:t>
            </w:r>
            <w:r w:rsidR="007A5603" w:rsidRPr="00E45508">
              <w:rPr>
                <w:rFonts w:cstheme="minorHAnsi"/>
                <w:szCs w:val="18"/>
              </w:rPr>
              <w:t>G</w:t>
            </w:r>
            <w:r w:rsidRPr="00E45508">
              <w:rPr>
                <w:rFonts w:cstheme="minorHAnsi"/>
                <w:szCs w:val="18"/>
              </w:rPr>
              <w:t xml:space="preserve">overnment administration and regulation of the packaging reforms </w:t>
            </w:r>
            <w:r w:rsidR="007A5603" w:rsidRPr="00E45508">
              <w:rPr>
                <w:rFonts w:cstheme="minorHAnsi"/>
                <w:szCs w:val="18"/>
              </w:rPr>
              <w:t xml:space="preserve">may </w:t>
            </w:r>
            <w:r w:rsidRPr="00E45508">
              <w:rPr>
                <w:rFonts w:cstheme="minorHAnsi"/>
                <w:szCs w:val="18"/>
              </w:rPr>
              <w:t>increase</w:t>
            </w:r>
            <w:r w:rsidR="007A5603" w:rsidRPr="00E45508">
              <w:rPr>
                <w:rFonts w:cstheme="minorHAnsi"/>
                <w:szCs w:val="18"/>
              </w:rPr>
              <w:t xml:space="preserve"> without </w:t>
            </w:r>
            <w:r w:rsidR="00CD610A" w:rsidRPr="00E45508">
              <w:rPr>
                <w:rFonts w:cstheme="minorHAnsi"/>
                <w:szCs w:val="18"/>
              </w:rPr>
              <w:t xml:space="preserve">the </w:t>
            </w:r>
            <w:r w:rsidR="007A5603" w:rsidRPr="00E45508">
              <w:rPr>
                <w:rFonts w:cstheme="minorHAnsi"/>
                <w:szCs w:val="18"/>
              </w:rPr>
              <w:t>co-regulatory arrangement</w:t>
            </w:r>
          </w:p>
        </w:tc>
      </w:tr>
      <w:tr w:rsidR="00940471" w:rsidRPr="00E45508" w14:paraId="62F5A33F" w14:textId="77777777" w:rsidTr="146DC098">
        <w:trPr>
          <w:cnfStyle w:val="000000100000" w:firstRow="0" w:lastRow="0" w:firstColumn="0" w:lastColumn="0" w:oddVBand="0" w:evenVBand="0" w:oddHBand="1" w:evenHBand="0" w:firstRowFirstColumn="0" w:firstRowLastColumn="0" w:lastRowFirstColumn="0" w:lastRowLastColumn="0"/>
          <w:cantSplit/>
          <w:trHeight w:val="251"/>
        </w:trPr>
        <w:tc>
          <w:tcPr>
            <w:cnfStyle w:val="001000000000" w:firstRow="0" w:lastRow="0" w:firstColumn="1" w:lastColumn="0" w:oddVBand="0" w:evenVBand="0" w:oddHBand="0" w:evenHBand="0" w:firstRowFirstColumn="0" w:firstRowLastColumn="0" w:lastRowFirstColumn="0" w:lastRowLastColumn="0"/>
            <w:tcW w:w="1985" w:type="dxa"/>
          </w:tcPr>
          <w:p w14:paraId="304FA3B3" w14:textId="541B02FE" w:rsidR="00940471" w:rsidRPr="00E45508" w:rsidRDefault="00940471" w:rsidP="000E6CC5">
            <w:pPr>
              <w:pStyle w:val="Tabletext0"/>
              <w:rPr>
                <w:rFonts w:cstheme="minorHAnsi"/>
                <w:szCs w:val="18"/>
              </w:rPr>
            </w:pPr>
            <w:r w:rsidRPr="00E45508">
              <w:rPr>
                <w:rFonts w:cstheme="minorHAnsi"/>
              </w:rPr>
              <w:t>Packaging suppliers and brand owners</w:t>
            </w:r>
          </w:p>
        </w:tc>
        <w:tc>
          <w:tcPr>
            <w:tcW w:w="3614" w:type="dxa"/>
          </w:tcPr>
          <w:p w14:paraId="7A47D45A" w14:textId="45486689" w:rsidR="00940471" w:rsidRPr="00E45508" w:rsidRDefault="4D7DBAD8" w:rsidP="146DC098">
            <w:pPr>
              <w:pStyle w:val="Tabletext0"/>
              <w:cnfStyle w:val="000000100000" w:firstRow="0" w:lastRow="0" w:firstColumn="0" w:lastColumn="0" w:oddVBand="0" w:evenVBand="0" w:oddHBand="1" w:evenHBand="0" w:firstRowFirstColumn="0" w:firstRowLastColumn="0" w:lastRowFirstColumn="0" w:lastRowLastColumn="0"/>
              <w:rPr>
                <w:rFonts w:cstheme="minorBidi"/>
              </w:rPr>
            </w:pPr>
            <w:r w:rsidRPr="00E45508">
              <w:rPr>
                <w:rFonts w:cstheme="minorBidi"/>
              </w:rPr>
              <w:t>Additional certainty for material selection, production and operation choices</w:t>
            </w:r>
          </w:p>
          <w:p w14:paraId="30AA8818" w14:textId="05927336"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Liable brand owners have greater certainty of their obligations</w:t>
            </w:r>
          </w:p>
        </w:tc>
        <w:tc>
          <w:tcPr>
            <w:tcW w:w="3615" w:type="dxa"/>
          </w:tcPr>
          <w:p w14:paraId="1933BCE4" w14:textId="451E5361" w:rsidR="00940471" w:rsidRPr="00E45508" w:rsidRDefault="32B743BC" w:rsidP="146DC098">
            <w:pPr>
              <w:pStyle w:val="Tabletext0"/>
              <w:cnfStyle w:val="000000100000" w:firstRow="0" w:lastRow="0" w:firstColumn="0" w:lastColumn="0" w:oddVBand="0" w:evenVBand="0" w:oddHBand="1" w:evenHBand="0" w:firstRowFirstColumn="0" w:firstRowLastColumn="0" w:lastRowFirstColumn="0" w:lastRowLastColumn="0"/>
              <w:rPr>
                <w:rFonts w:cstheme="minorBidi"/>
              </w:rPr>
            </w:pPr>
            <w:r w:rsidRPr="00E45508">
              <w:rPr>
                <w:rFonts w:cstheme="minorBidi"/>
              </w:rPr>
              <w:t>Ceasing of co-regulatory arrangement may</w:t>
            </w:r>
            <w:r w:rsidR="4D7DBAD8" w:rsidRPr="00E45508">
              <w:rPr>
                <w:rFonts w:cstheme="minorBidi"/>
              </w:rPr>
              <w:t xml:space="preserve"> impact business administration costs for annual mandatory reporting obligation</w:t>
            </w:r>
            <w:r w:rsidR="659641FE" w:rsidRPr="00E45508">
              <w:rPr>
                <w:rFonts w:cstheme="minorBidi"/>
              </w:rPr>
              <w:t>s</w:t>
            </w:r>
          </w:p>
          <w:p w14:paraId="70E224D5" w14:textId="1B1863F0" w:rsidR="00940471" w:rsidRPr="00E45508" w:rsidRDefault="722091E0" w:rsidP="146DC098">
            <w:pPr>
              <w:pStyle w:val="Tabletext0"/>
              <w:cnfStyle w:val="000000100000" w:firstRow="0" w:lastRow="0" w:firstColumn="0" w:lastColumn="0" w:oddVBand="0" w:evenVBand="0" w:oddHBand="1" w:evenHBand="0" w:firstRowFirstColumn="0" w:firstRowLastColumn="0" w:lastRowFirstColumn="0" w:lastRowLastColumn="0"/>
              <w:rPr>
                <w:rFonts w:cstheme="minorBidi"/>
              </w:rPr>
            </w:pPr>
            <w:r w:rsidRPr="00E45508">
              <w:rPr>
                <w:rFonts w:cstheme="minorBidi"/>
              </w:rPr>
              <w:t>Higher costs to meet mandatory obligations (</w:t>
            </w:r>
            <w:r w:rsidR="51EC9DED" w:rsidRPr="00E45508">
              <w:rPr>
                <w:rFonts w:cstheme="minorBidi"/>
              </w:rPr>
              <w:t>e.g.</w:t>
            </w:r>
            <w:r w:rsidRPr="00E45508">
              <w:rPr>
                <w:rFonts w:cstheme="minorBidi"/>
              </w:rPr>
              <w:t xml:space="preserve"> recycled content, recyclability and design criteria) including re-tooling and manufacturing process changes</w:t>
            </w:r>
          </w:p>
          <w:p w14:paraId="2EABED73" w14:textId="3E9D440A" w:rsidR="00940471" w:rsidRPr="00E45508" w:rsidRDefault="00940471" w:rsidP="006D1349">
            <w:pPr>
              <w:pStyle w:val="TableBullet1"/>
              <w:numPr>
                <w:ilvl w:val="0"/>
                <w:numId w:val="0"/>
              </w:numPr>
              <w:cnfStyle w:val="000000100000" w:firstRow="0" w:lastRow="0" w:firstColumn="0" w:lastColumn="0" w:oddVBand="0" w:evenVBand="0" w:oddHBand="1" w:evenHBand="0" w:firstRowFirstColumn="0" w:firstRowLastColumn="0" w:lastRowFirstColumn="0" w:lastRowLastColumn="0"/>
            </w:pPr>
            <w:r w:rsidRPr="00E45508">
              <w:t>Higher packaging supply costs from:</w:t>
            </w:r>
          </w:p>
          <w:p w14:paraId="14C1282D" w14:textId="77777777" w:rsidR="00940471" w:rsidRPr="00E45508" w:rsidRDefault="4D7DBAD8" w:rsidP="000E6CC5">
            <w:pPr>
              <w:pStyle w:val="TableBullet1"/>
              <w:cnfStyle w:val="000000100000" w:firstRow="0" w:lastRow="0" w:firstColumn="0" w:lastColumn="0" w:oddVBand="0" w:evenVBand="0" w:oddHBand="1" w:evenHBand="0" w:firstRowFirstColumn="0" w:firstRowLastColumn="0" w:lastRowFirstColumn="0" w:lastRowLastColumn="0"/>
            </w:pPr>
            <w:r w:rsidRPr="00E45508">
              <w:t>designing recyclable packaging</w:t>
            </w:r>
          </w:p>
          <w:p w14:paraId="4FCE0561" w14:textId="781C53CC" w:rsidR="002E0A59" w:rsidRPr="00E45508" w:rsidRDefault="4E845B92" w:rsidP="000E6CC5">
            <w:pPr>
              <w:pStyle w:val="TableBullet1"/>
              <w:cnfStyle w:val="000000100000" w:firstRow="0" w:lastRow="0" w:firstColumn="0" w:lastColumn="0" w:oddVBand="0" w:evenVBand="0" w:oddHBand="1" w:evenHBand="0" w:firstRowFirstColumn="0" w:firstRowLastColumn="0" w:lastRowFirstColumn="0" w:lastRowLastColumn="0"/>
            </w:pPr>
            <w:r w:rsidRPr="00E45508">
              <w:t xml:space="preserve">clear </w:t>
            </w:r>
            <w:r w:rsidR="00D246B3">
              <w:t>recyclability</w:t>
            </w:r>
            <w:r w:rsidRPr="00E45508">
              <w:t xml:space="preserve"> labelling</w:t>
            </w:r>
          </w:p>
          <w:p w14:paraId="13273A56" w14:textId="4104FA6B" w:rsidR="00940471" w:rsidRPr="00E45508" w:rsidRDefault="4D7DBAD8" w:rsidP="00E23E12">
            <w:pPr>
              <w:pStyle w:val="TableBullet1"/>
              <w:cnfStyle w:val="000000100000" w:firstRow="0" w:lastRow="0" w:firstColumn="0" w:lastColumn="0" w:oddVBand="0" w:evenVBand="0" w:oddHBand="1" w:evenHBand="0" w:firstRowFirstColumn="0" w:firstRowLastColumn="0" w:lastRowFirstColumn="0" w:lastRowLastColumn="0"/>
            </w:pPr>
            <w:r w:rsidRPr="00E45508">
              <w:t>recycled materials in packaging</w:t>
            </w:r>
          </w:p>
        </w:tc>
      </w:tr>
    </w:tbl>
    <w:p w14:paraId="6D79AB52" w14:textId="7B9BCCF3" w:rsidR="00940471" w:rsidRPr="00E45508" w:rsidRDefault="00940471" w:rsidP="00DB59C3"/>
    <w:p w14:paraId="47740693" w14:textId="24B5831E" w:rsidR="001C5392" w:rsidRPr="00E45508" w:rsidRDefault="19F1333A" w:rsidP="00C915A5">
      <w:pPr>
        <w:pStyle w:val="Caption"/>
      </w:pPr>
      <w:bookmarkStart w:id="229" w:name="_Ref177639809"/>
      <w:bookmarkStart w:id="230" w:name="_Toc177126685"/>
      <w:bookmarkStart w:id="231" w:name="_Toc178229386"/>
      <w:r w:rsidRPr="00E45508">
        <w:t xml:space="preserve">Table </w:t>
      </w:r>
      <w:r w:rsidR="008D239E" w:rsidRPr="00E45508">
        <w:fldChar w:fldCharType="begin"/>
      </w:r>
      <w:r w:rsidR="008D239E" w:rsidRPr="00E45508">
        <w:instrText xml:space="preserve"> SEQ Table \* ARABIC </w:instrText>
      </w:r>
      <w:r w:rsidR="008D239E" w:rsidRPr="00E45508">
        <w:fldChar w:fldCharType="separate"/>
      </w:r>
      <w:r w:rsidR="009A2EC4">
        <w:rPr>
          <w:noProof/>
        </w:rPr>
        <w:t>23</w:t>
      </w:r>
      <w:r w:rsidR="008D239E" w:rsidRPr="00E45508">
        <w:fldChar w:fldCharType="end"/>
      </w:r>
      <w:bookmarkEnd w:id="229"/>
      <w:r w:rsidR="5103C017" w:rsidRPr="00E45508">
        <w:t>: Option</w:t>
      </w:r>
      <w:r w:rsidR="36F14B88" w:rsidRPr="00E45508">
        <w:t> 3</w:t>
      </w:r>
      <w:r w:rsidR="5103C017" w:rsidRPr="00E45508">
        <w:t xml:space="preserve"> benefits and costs summary</w:t>
      </w:r>
      <w:bookmarkEnd w:id="230"/>
      <w:r w:rsidR="5DF5EF60" w:rsidRPr="00E45508">
        <w:t xml:space="preserve"> by stakeholder group</w:t>
      </w:r>
      <w:bookmarkEnd w:id="231"/>
    </w:p>
    <w:tbl>
      <w:tblPr>
        <w:tblStyle w:val="PlainTable2"/>
        <w:tblW w:w="9214" w:type="dxa"/>
        <w:tblLayout w:type="fixed"/>
        <w:tblLook w:val="04A0" w:firstRow="1" w:lastRow="0" w:firstColumn="1" w:lastColumn="0" w:noHBand="0" w:noVBand="1"/>
      </w:tblPr>
      <w:tblGrid>
        <w:gridCol w:w="1985"/>
        <w:gridCol w:w="3614"/>
        <w:gridCol w:w="3615"/>
      </w:tblGrid>
      <w:tr w:rsidR="00940471" w:rsidRPr="00E45508" w14:paraId="0BDC80B4" w14:textId="77777777" w:rsidTr="146DC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AE6864" w14:textId="77777777" w:rsidR="00940471" w:rsidRPr="00E45508" w:rsidRDefault="00940471" w:rsidP="008E4743">
            <w:pPr>
              <w:pStyle w:val="Tabletext0"/>
              <w:keepNext/>
              <w:rPr>
                <w:rFonts w:cstheme="minorHAnsi"/>
                <w:szCs w:val="18"/>
                <w:lang w:eastAsia="ja-JP"/>
              </w:rPr>
            </w:pPr>
            <w:r w:rsidRPr="00E45508">
              <w:rPr>
                <w:rFonts w:cstheme="minorHAnsi"/>
                <w:szCs w:val="18"/>
                <w:lang w:eastAsia="ja-JP"/>
              </w:rPr>
              <w:t>Affected stakeholder</w:t>
            </w:r>
          </w:p>
        </w:tc>
        <w:tc>
          <w:tcPr>
            <w:tcW w:w="3614" w:type="dxa"/>
          </w:tcPr>
          <w:p w14:paraId="10E7AB0F" w14:textId="77777777" w:rsidR="00940471" w:rsidRPr="00E45508" w:rsidRDefault="00940471" w:rsidP="008E4743">
            <w:pPr>
              <w:pStyle w:val="Tabletext0"/>
              <w:keepNext/>
              <w:cnfStyle w:val="100000000000" w:firstRow="1" w:lastRow="0" w:firstColumn="0" w:lastColumn="0" w:oddVBand="0" w:evenVBand="0" w:oddHBand="0" w:evenHBand="0" w:firstRowFirstColumn="0" w:firstRowLastColumn="0" w:lastRowFirstColumn="0" w:lastRowLastColumn="0"/>
              <w:rPr>
                <w:rFonts w:cstheme="minorHAnsi"/>
                <w:szCs w:val="18"/>
                <w:lang w:eastAsia="ja-JP"/>
              </w:rPr>
            </w:pPr>
            <w:r w:rsidRPr="00E45508">
              <w:rPr>
                <w:rFonts w:cstheme="minorHAnsi"/>
                <w:szCs w:val="18"/>
                <w:lang w:eastAsia="ja-JP"/>
              </w:rPr>
              <w:t>Potential benefits</w:t>
            </w:r>
          </w:p>
        </w:tc>
        <w:tc>
          <w:tcPr>
            <w:tcW w:w="3615" w:type="dxa"/>
          </w:tcPr>
          <w:p w14:paraId="229A1320" w14:textId="77777777" w:rsidR="00940471" w:rsidRPr="00E45508" w:rsidRDefault="00940471" w:rsidP="008E4743">
            <w:pPr>
              <w:pStyle w:val="Tabletext0"/>
              <w:keepNext/>
              <w:cnfStyle w:val="100000000000" w:firstRow="1" w:lastRow="0" w:firstColumn="0" w:lastColumn="0" w:oddVBand="0" w:evenVBand="0" w:oddHBand="0" w:evenHBand="0" w:firstRowFirstColumn="0" w:firstRowLastColumn="0" w:lastRowFirstColumn="0" w:lastRowLastColumn="0"/>
              <w:rPr>
                <w:rFonts w:cstheme="minorHAnsi"/>
                <w:szCs w:val="18"/>
                <w:lang w:eastAsia="ja-JP"/>
              </w:rPr>
            </w:pPr>
            <w:r w:rsidRPr="00E45508">
              <w:rPr>
                <w:rFonts w:cstheme="minorHAnsi"/>
                <w:szCs w:val="18"/>
                <w:lang w:eastAsia="ja-JP"/>
              </w:rPr>
              <w:t>Potential costs</w:t>
            </w:r>
          </w:p>
        </w:tc>
      </w:tr>
      <w:tr w:rsidR="00940471" w:rsidRPr="00E45508" w14:paraId="27956F30" w14:textId="77777777" w:rsidTr="146DC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423735" w14:textId="77777777" w:rsidR="00940471" w:rsidRPr="00E45508" w:rsidRDefault="00940471" w:rsidP="000E6CC5">
            <w:pPr>
              <w:pStyle w:val="Tabletext0"/>
              <w:rPr>
                <w:rFonts w:cstheme="minorHAnsi"/>
                <w:szCs w:val="18"/>
              </w:rPr>
            </w:pPr>
            <w:r w:rsidRPr="00E45508">
              <w:rPr>
                <w:rFonts w:cstheme="minorHAnsi"/>
                <w:szCs w:val="18"/>
                <w:lang w:eastAsia="ja-JP"/>
              </w:rPr>
              <w:t>Recycling and resource recovery sector</w:t>
            </w:r>
          </w:p>
        </w:tc>
        <w:tc>
          <w:tcPr>
            <w:tcW w:w="3614" w:type="dxa"/>
          </w:tcPr>
          <w:p w14:paraId="784CC078" w14:textId="390E8D00"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Reduced contamination costs from packaging being designed to be more recyclable and removal of problematic materials and additives</w:t>
            </w:r>
          </w:p>
          <w:p w14:paraId="3380C217" w14:textId="7E440FC3"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Cleaner material resource stream to support recycled content markets. Cleaner materials have higher value</w:t>
            </w:r>
          </w:p>
          <w:p w14:paraId="6DA2C7FE" w14:textId="141DB915"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EPR funding could support sector costs associated with packaging such as gaps in capability, innovation, and infrastructure</w:t>
            </w:r>
          </w:p>
          <w:p w14:paraId="18DF3ABC" w14:textId="53521D3D"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Greater certainty for investment in recycling capacity due to stable end markets for recycled content</w:t>
            </w:r>
          </w:p>
        </w:tc>
        <w:tc>
          <w:tcPr>
            <w:tcW w:w="3615" w:type="dxa"/>
          </w:tcPr>
          <w:p w14:paraId="46DD01A8" w14:textId="737D3CDC" w:rsidR="00940471" w:rsidRPr="00E45508" w:rsidRDefault="02D992AF"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rPr>
            </w:pPr>
            <w:r w:rsidRPr="00E45508">
              <w:rPr>
                <w:rFonts w:cstheme="minorHAnsi"/>
              </w:rPr>
              <w:t>Participation and compliance costs arising from</w:t>
            </w:r>
            <w:r w:rsidR="046E7896" w:rsidRPr="00E45508">
              <w:rPr>
                <w:rFonts w:cstheme="minorHAnsi"/>
              </w:rPr>
              <w:t xml:space="preserve"> whole of supply chain approach such as </w:t>
            </w:r>
            <w:r w:rsidR="587F0D40" w:rsidRPr="00E45508">
              <w:rPr>
                <w:rFonts w:cstheme="minorHAnsi"/>
              </w:rPr>
              <w:t>data reporting</w:t>
            </w:r>
          </w:p>
        </w:tc>
      </w:tr>
      <w:tr w:rsidR="00940471" w:rsidRPr="00E45508" w14:paraId="77954724" w14:textId="77777777" w:rsidTr="146DC098">
        <w:trPr>
          <w:trHeight w:val="393"/>
        </w:trPr>
        <w:tc>
          <w:tcPr>
            <w:cnfStyle w:val="001000000000" w:firstRow="0" w:lastRow="0" w:firstColumn="1" w:lastColumn="0" w:oddVBand="0" w:evenVBand="0" w:oddHBand="0" w:evenHBand="0" w:firstRowFirstColumn="0" w:firstRowLastColumn="0" w:lastRowFirstColumn="0" w:lastRowLastColumn="0"/>
            <w:tcW w:w="1985" w:type="dxa"/>
          </w:tcPr>
          <w:p w14:paraId="2AD74028" w14:textId="4196ADDD" w:rsidR="00940471" w:rsidRPr="00E45508" w:rsidRDefault="00940471" w:rsidP="000E6CC5">
            <w:pPr>
              <w:pStyle w:val="Tabletext0"/>
              <w:rPr>
                <w:rFonts w:cstheme="minorHAnsi"/>
                <w:szCs w:val="18"/>
                <w:lang w:eastAsia="ja-JP"/>
              </w:rPr>
            </w:pPr>
            <w:r w:rsidRPr="00E45508">
              <w:rPr>
                <w:rFonts w:cstheme="minorHAnsi"/>
                <w:szCs w:val="18"/>
              </w:rPr>
              <w:t>Environment</w:t>
            </w:r>
          </w:p>
        </w:tc>
        <w:tc>
          <w:tcPr>
            <w:tcW w:w="3614" w:type="dxa"/>
          </w:tcPr>
          <w:p w14:paraId="1EC50F75" w14:textId="77777777"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 xml:space="preserve">Reduction in litter and landfill impacts due to increased recovery from: </w:t>
            </w:r>
          </w:p>
          <w:p w14:paraId="08EEB594" w14:textId="77777777" w:rsidR="00940471" w:rsidRPr="00E45508" w:rsidRDefault="00940471" w:rsidP="000E6CC5">
            <w:pPr>
              <w:pStyle w:val="TableBullet1"/>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more packaging being designed to be recyclable</w:t>
            </w:r>
          </w:p>
          <w:p w14:paraId="48B89979" w14:textId="77777777" w:rsidR="00940471" w:rsidRPr="00E45508" w:rsidRDefault="00940471" w:rsidP="000E6CC5">
            <w:pPr>
              <w:pStyle w:val="TableBullet1"/>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funding to support increased capability of reuse, collection and recycling systems and improvements to consumer awareness</w:t>
            </w:r>
          </w:p>
          <w:p w14:paraId="1AA75059" w14:textId="1038995C"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Less problematic packaging placed on the market causing environmental harm</w:t>
            </w:r>
          </w:p>
        </w:tc>
        <w:tc>
          <w:tcPr>
            <w:tcW w:w="3615" w:type="dxa"/>
          </w:tcPr>
          <w:p w14:paraId="1FC22F17" w14:textId="3CE21975" w:rsidR="00940471" w:rsidRPr="00E45508" w:rsidRDefault="34D3AED9"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rPr>
            </w:pPr>
            <w:r w:rsidRPr="00E45508">
              <w:rPr>
                <w:rFonts w:cstheme="minorHAnsi"/>
              </w:rPr>
              <w:t>Environmental harms from remaining packaging that is not recovered (e.g. packaging materials exempt from recyclability criteria)</w:t>
            </w:r>
          </w:p>
        </w:tc>
      </w:tr>
      <w:tr w:rsidR="00940471" w:rsidRPr="00E45508" w14:paraId="35ADC868" w14:textId="77777777" w:rsidTr="146DC09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985" w:type="dxa"/>
          </w:tcPr>
          <w:p w14:paraId="3B676E4E" w14:textId="5A63CC04" w:rsidR="00940471" w:rsidRPr="00E45508" w:rsidRDefault="00940471" w:rsidP="000E6CC5">
            <w:pPr>
              <w:pStyle w:val="Tabletext0"/>
              <w:rPr>
                <w:rFonts w:cstheme="minorHAnsi"/>
                <w:szCs w:val="18"/>
              </w:rPr>
            </w:pPr>
            <w:r w:rsidRPr="00E45508">
              <w:rPr>
                <w:rFonts w:cstheme="minorHAnsi"/>
                <w:szCs w:val="18"/>
              </w:rPr>
              <w:t>Consumers</w:t>
            </w:r>
          </w:p>
          <w:p w14:paraId="09FF765D" w14:textId="77777777" w:rsidR="00940471" w:rsidRPr="00E45508" w:rsidRDefault="00940471" w:rsidP="000E6CC5">
            <w:pPr>
              <w:pStyle w:val="Tabletext0"/>
              <w:rPr>
                <w:rFonts w:cstheme="minorHAnsi"/>
              </w:rPr>
            </w:pPr>
            <w:r w:rsidRPr="00E45508">
              <w:rPr>
                <w:rFonts w:cstheme="minorHAnsi"/>
              </w:rPr>
              <w:t>(e.g. businesses, households and community)</w:t>
            </w:r>
          </w:p>
        </w:tc>
        <w:tc>
          <w:tcPr>
            <w:tcW w:w="3614" w:type="dxa"/>
          </w:tcPr>
          <w:p w14:paraId="286C80F7" w14:textId="1044E317"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Increased confidence in recycled content claims</w:t>
            </w:r>
          </w:p>
          <w:p w14:paraId="659C3987" w14:textId="54B9A31A"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rPr>
            </w:pPr>
            <w:r w:rsidRPr="00E45508">
              <w:rPr>
                <w:rFonts w:cstheme="minorHAnsi"/>
              </w:rPr>
              <w:t>Less of a need to weigh up environmental and economic drivers as most packaging paced on the market is recyclable</w:t>
            </w:r>
          </w:p>
          <w:p w14:paraId="3557D9EB" w14:textId="2FD1C6AC"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rPr>
            </w:pPr>
            <w:r w:rsidRPr="00E45508">
              <w:rPr>
                <w:rFonts w:cstheme="minorHAnsi"/>
              </w:rPr>
              <w:t xml:space="preserve">Consistent on-pack </w:t>
            </w:r>
            <w:r w:rsidR="00832D48">
              <w:rPr>
                <w:rFonts w:cstheme="minorHAnsi"/>
              </w:rPr>
              <w:t xml:space="preserve">recyclability </w:t>
            </w:r>
            <w:r w:rsidRPr="00E45508">
              <w:rPr>
                <w:rFonts w:cstheme="minorHAnsi"/>
              </w:rPr>
              <w:t>labelling</w:t>
            </w:r>
          </w:p>
        </w:tc>
        <w:tc>
          <w:tcPr>
            <w:tcW w:w="3615" w:type="dxa"/>
          </w:tcPr>
          <w:p w14:paraId="40486DEC" w14:textId="13DDE40E" w:rsidR="00940471" w:rsidRPr="00E45508" w:rsidRDefault="00DC481D" w:rsidP="000E6CC5">
            <w:pPr>
              <w:pStyle w:val="Tabletext0"/>
              <w:cnfStyle w:val="000000100000" w:firstRow="0" w:lastRow="0" w:firstColumn="0" w:lastColumn="0" w:oddVBand="0" w:evenVBand="0" w:oddHBand="1" w:evenHBand="0" w:firstRowFirstColumn="0" w:firstRowLastColumn="0" w:lastRowFirstColumn="0" w:lastRowLastColumn="0"/>
              <w:rPr>
                <w:rFonts w:cstheme="minorBidi"/>
              </w:rPr>
            </w:pPr>
            <w:r w:rsidRPr="07B04530">
              <w:rPr>
                <w:rFonts w:cstheme="minorBidi"/>
              </w:rPr>
              <w:t xml:space="preserve">May impact </w:t>
            </w:r>
            <w:r w:rsidR="7025C443" w:rsidRPr="07B04530">
              <w:rPr>
                <w:rFonts w:cstheme="minorBidi"/>
              </w:rPr>
              <w:t>packaging appearance and experience</w:t>
            </w:r>
          </w:p>
        </w:tc>
      </w:tr>
      <w:tr w:rsidR="00940471" w:rsidRPr="00E45508" w14:paraId="3BCD05C4" w14:textId="77777777" w:rsidTr="146DC098">
        <w:trPr>
          <w:trHeight w:val="251"/>
        </w:trPr>
        <w:tc>
          <w:tcPr>
            <w:cnfStyle w:val="001000000000" w:firstRow="0" w:lastRow="0" w:firstColumn="1" w:lastColumn="0" w:oddVBand="0" w:evenVBand="0" w:oddHBand="0" w:evenHBand="0" w:firstRowFirstColumn="0" w:firstRowLastColumn="0" w:lastRowFirstColumn="0" w:lastRowLastColumn="0"/>
            <w:tcW w:w="1985" w:type="dxa"/>
          </w:tcPr>
          <w:p w14:paraId="66EE172B" w14:textId="77777777" w:rsidR="00940471" w:rsidRPr="00E45508" w:rsidRDefault="00940471" w:rsidP="000E6CC5">
            <w:pPr>
              <w:pStyle w:val="Tabletext0"/>
              <w:rPr>
                <w:rFonts w:cstheme="minorHAnsi"/>
                <w:szCs w:val="18"/>
              </w:rPr>
            </w:pPr>
            <w:r w:rsidRPr="00E45508">
              <w:rPr>
                <w:rFonts w:cstheme="minorHAnsi"/>
                <w:szCs w:val="18"/>
              </w:rPr>
              <w:t>Governments</w:t>
            </w:r>
          </w:p>
        </w:tc>
        <w:tc>
          <w:tcPr>
            <w:tcW w:w="3614" w:type="dxa"/>
          </w:tcPr>
          <w:p w14:paraId="1330005F" w14:textId="2E32B019"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Efficiency gains from more centralised administration</w:t>
            </w:r>
          </w:p>
        </w:tc>
        <w:tc>
          <w:tcPr>
            <w:tcW w:w="3615" w:type="dxa"/>
          </w:tcPr>
          <w:p w14:paraId="338B087D" w14:textId="5EBA387D"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Increased government, compliance and verification costs</w:t>
            </w:r>
          </w:p>
          <w:p w14:paraId="77D1844A" w14:textId="48FC44C4" w:rsidR="00940471" w:rsidRPr="00E45508" w:rsidRDefault="00940471" w:rsidP="000E6CC5">
            <w:pPr>
              <w:pStyle w:val="Tabletext0"/>
              <w:cnfStyle w:val="000000000000" w:firstRow="0" w:lastRow="0" w:firstColumn="0" w:lastColumn="0" w:oddVBand="0" w:evenVBand="0" w:oddHBand="0" w:evenHBand="0" w:firstRowFirstColumn="0" w:firstRowLastColumn="0" w:lastRowFirstColumn="0" w:lastRowLastColumn="0"/>
              <w:rPr>
                <w:rFonts w:cstheme="minorHAnsi"/>
                <w:szCs w:val="18"/>
              </w:rPr>
            </w:pPr>
            <w:r w:rsidRPr="00E45508">
              <w:rPr>
                <w:rFonts w:cstheme="minorHAnsi"/>
                <w:szCs w:val="18"/>
              </w:rPr>
              <w:t>Government and administration costs associated with EPR fees</w:t>
            </w:r>
          </w:p>
        </w:tc>
      </w:tr>
      <w:tr w:rsidR="00940471" w:rsidRPr="00E45508" w14:paraId="7515096C" w14:textId="77777777" w:rsidTr="146DC0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985" w:type="dxa"/>
          </w:tcPr>
          <w:p w14:paraId="436305D9" w14:textId="77777777" w:rsidR="00940471" w:rsidRPr="00E45508" w:rsidRDefault="00940471" w:rsidP="000E6CC5">
            <w:pPr>
              <w:pStyle w:val="Tabletext0"/>
              <w:rPr>
                <w:rFonts w:cstheme="minorHAnsi"/>
              </w:rPr>
            </w:pPr>
            <w:r w:rsidRPr="00E45508">
              <w:rPr>
                <w:rFonts w:cstheme="minorHAnsi"/>
              </w:rPr>
              <w:t>Packaging suppliers and brand owners</w:t>
            </w:r>
          </w:p>
          <w:p w14:paraId="48E420E9" w14:textId="4C98CD27" w:rsidR="00940471" w:rsidRPr="00E45508" w:rsidRDefault="00940471" w:rsidP="000E6CC5">
            <w:pPr>
              <w:pStyle w:val="Tabletext0"/>
              <w:rPr>
                <w:rFonts w:cstheme="minorHAnsi"/>
                <w:szCs w:val="18"/>
              </w:rPr>
            </w:pPr>
            <w:r w:rsidRPr="00E45508">
              <w:rPr>
                <w:rFonts w:cstheme="minorHAnsi"/>
              </w:rPr>
              <w:t>(APCO members)</w:t>
            </w:r>
          </w:p>
        </w:tc>
        <w:tc>
          <w:tcPr>
            <w:tcW w:w="3614" w:type="dxa"/>
          </w:tcPr>
          <w:p w14:paraId="72CF64A1" w14:textId="68473A1F"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No competition disadvantages due to free riders</w:t>
            </w:r>
          </w:p>
          <w:p w14:paraId="19547A76" w14:textId="0F8D9A78"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rPr>
                <w:rFonts w:cstheme="minorHAnsi"/>
                <w:szCs w:val="18"/>
              </w:rPr>
            </w:pPr>
            <w:r w:rsidRPr="00E45508">
              <w:rPr>
                <w:rFonts w:cstheme="minorHAnsi"/>
                <w:szCs w:val="18"/>
              </w:rPr>
              <w:t>Additional certainty on that packaging choices that do not consider recovery and end-of-life impacts will have greater financial impacts in the future.</w:t>
            </w:r>
          </w:p>
        </w:tc>
        <w:tc>
          <w:tcPr>
            <w:tcW w:w="3615" w:type="dxa"/>
          </w:tcPr>
          <w:p w14:paraId="4387B26D" w14:textId="4E95892C" w:rsidR="00940471" w:rsidRPr="00E45508" w:rsidRDefault="00940471" w:rsidP="000E6CC5">
            <w:pPr>
              <w:pStyle w:val="Tabletext0"/>
              <w:cnfStyle w:val="000000100000" w:firstRow="0" w:lastRow="0" w:firstColumn="0" w:lastColumn="0" w:oddVBand="0" w:evenVBand="0" w:oddHBand="1" w:evenHBand="0" w:firstRowFirstColumn="0" w:firstRowLastColumn="0" w:lastRowFirstColumn="0" w:lastRowLastColumn="0"/>
            </w:pPr>
            <w:r w:rsidRPr="00E45508">
              <w:t>Higher packaging supply costs from:</w:t>
            </w:r>
          </w:p>
          <w:p w14:paraId="47D4EAAC" w14:textId="77777777" w:rsidR="00940471" w:rsidRPr="00E45508" w:rsidRDefault="4D7DBAD8" w:rsidP="000E6CC5">
            <w:pPr>
              <w:pStyle w:val="TableBullet1"/>
              <w:cnfStyle w:val="000000100000" w:firstRow="0" w:lastRow="0" w:firstColumn="0" w:lastColumn="0" w:oddVBand="0" w:evenVBand="0" w:oddHBand="1" w:evenHBand="0" w:firstRowFirstColumn="0" w:firstRowLastColumn="0" w:lastRowFirstColumn="0" w:lastRowLastColumn="0"/>
            </w:pPr>
            <w:r w:rsidRPr="00E45508">
              <w:t>designing recyclable packaging</w:t>
            </w:r>
          </w:p>
          <w:p w14:paraId="23A33F48" w14:textId="16C97C0D" w:rsidR="002E0A59" w:rsidRPr="00E45508" w:rsidRDefault="4E845B92" w:rsidP="000E6CC5">
            <w:pPr>
              <w:pStyle w:val="TableBullet1"/>
              <w:cnfStyle w:val="000000100000" w:firstRow="0" w:lastRow="0" w:firstColumn="0" w:lastColumn="0" w:oddVBand="0" w:evenVBand="0" w:oddHBand="1" w:evenHBand="0" w:firstRowFirstColumn="0" w:firstRowLastColumn="0" w:lastRowFirstColumn="0" w:lastRowLastColumn="0"/>
            </w:pPr>
            <w:r w:rsidRPr="00E45508">
              <w:t xml:space="preserve">clear </w:t>
            </w:r>
            <w:r w:rsidR="00D246B3">
              <w:t>recyclability</w:t>
            </w:r>
            <w:r w:rsidRPr="00E45508">
              <w:t xml:space="preserve"> labelling</w:t>
            </w:r>
          </w:p>
          <w:p w14:paraId="5E4E18AA" w14:textId="64B28EA7" w:rsidR="00940471" w:rsidRPr="00E45508" w:rsidRDefault="4D7DBAD8" w:rsidP="00E17FAA">
            <w:pPr>
              <w:pStyle w:val="TableBullet1"/>
              <w:cnfStyle w:val="000000100000" w:firstRow="0" w:lastRow="0" w:firstColumn="0" w:lastColumn="0" w:oddVBand="0" w:evenVBand="0" w:oddHBand="1" w:evenHBand="0" w:firstRowFirstColumn="0" w:firstRowLastColumn="0" w:lastRowFirstColumn="0" w:lastRowLastColumn="0"/>
            </w:pPr>
            <w:r w:rsidRPr="00E45508">
              <w:t>recycled materials in packaging</w:t>
            </w:r>
            <w:r w:rsidR="00E17FAA" w:rsidRPr="00E45508">
              <w:t xml:space="preserve"> </w:t>
            </w:r>
            <w:r w:rsidR="07184315" w:rsidRPr="00E45508">
              <w:t>legislated EPR fees</w:t>
            </w:r>
          </w:p>
        </w:tc>
      </w:tr>
    </w:tbl>
    <w:p w14:paraId="1592C51E" w14:textId="4B1B4C88" w:rsidR="418DB322" w:rsidRPr="00E45508" w:rsidRDefault="418DB322">
      <w:pPr>
        <w:rPr>
          <w:rFonts w:cstheme="minorHAnsi"/>
        </w:rPr>
      </w:pPr>
    </w:p>
    <w:p w14:paraId="43B6B4C5" w14:textId="37980AA0" w:rsidR="00877894" w:rsidRPr="00E45508" w:rsidRDefault="5CFF7783" w:rsidP="002A52C1">
      <w:pPr>
        <w:pStyle w:val="Heading2"/>
      </w:pPr>
      <w:bookmarkStart w:id="232" w:name="_Toc177126607"/>
      <w:bookmarkStart w:id="233" w:name="_Toc177493017"/>
      <w:bookmarkStart w:id="234" w:name="_Ref177632221"/>
      <w:bookmarkStart w:id="235" w:name="_Toc178230263"/>
      <w:r w:rsidRPr="00E45508">
        <w:t>Consultation questions</w:t>
      </w:r>
      <w:bookmarkEnd w:id="232"/>
      <w:bookmarkEnd w:id="233"/>
      <w:bookmarkEnd w:id="234"/>
      <w:bookmarkEnd w:id="235"/>
    </w:p>
    <w:p w14:paraId="27C431A7" w14:textId="543F92D7" w:rsidR="00F25CE0" w:rsidRPr="00E45508" w:rsidRDefault="001A205F" w:rsidP="00E66CEE">
      <w:pPr>
        <w:rPr>
          <w:rFonts w:eastAsia="Calibri"/>
        </w:rPr>
      </w:pPr>
      <w:r w:rsidRPr="00E45508">
        <w:t xml:space="preserve">The department welcomes your feedback on the options and packaging obligations outlined in this paper. </w:t>
      </w:r>
      <w:r w:rsidR="00F25CE0" w:rsidRPr="00E45508">
        <w:t xml:space="preserve">We are seeking your feedback </w:t>
      </w:r>
      <w:r w:rsidR="00F25CE0" w:rsidRPr="00E45508">
        <w:rPr>
          <w:rFonts w:eastAsia="Calibri"/>
        </w:rPr>
        <w:t xml:space="preserve">through the survey </w:t>
      </w:r>
      <w:r w:rsidR="00CC2683">
        <w:rPr>
          <w:rFonts w:eastAsia="Calibri"/>
        </w:rPr>
        <w:t xml:space="preserve">available </w:t>
      </w:r>
      <w:r w:rsidR="00F25CE0" w:rsidRPr="00E45508">
        <w:rPr>
          <w:rFonts w:eastAsia="Calibri"/>
        </w:rPr>
        <w:t>on the</w:t>
      </w:r>
      <w:r w:rsidR="00CC2683">
        <w:rPr>
          <w:rFonts w:eastAsia="Calibri"/>
        </w:rPr>
        <w:t xml:space="preserve"> department’s</w:t>
      </w:r>
      <w:r w:rsidR="00F25CE0" w:rsidRPr="00E45508">
        <w:rPr>
          <w:rFonts w:eastAsia="Calibri"/>
        </w:rPr>
        <w:t xml:space="preserve"> </w:t>
      </w:r>
      <w:hyperlink r:id="rId44" w:history="1">
        <w:r w:rsidR="00F25CE0" w:rsidRPr="0045716B">
          <w:rPr>
            <w:rStyle w:val="Hyperlink"/>
            <w:rFonts w:eastAsia="Calibri"/>
          </w:rPr>
          <w:t>Have Your Say</w:t>
        </w:r>
      </w:hyperlink>
      <w:r w:rsidR="00F25CE0" w:rsidRPr="00E45508">
        <w:rPr>
          <w:rFonts w:eastAsia="Calibri"/>
        </w:rPr>
        <w:t xml:space="preserve"> </w:t>
      </w:r>
      <w:r w:rsidR="004B20D5">
        <w:rPr>
          <w:rFonts w:eastAsia="Calibri"/>
        </w:rPr>
        <w:t>web</w:t>
      </w:r>
      <w:r w:rsidR="00F33F77">
        <w:rPr>
          <w:rFonts w:eastAsia="Calibri"/>
        </w:rPr>
        <w:t>site</w:t>
      </w:r>
      <w:r w:rsidR="00F25CE0" w:rsidRPr="00E45508">
        <w:rPr>
          <w:rFonts w:eastAsia="Calibri"/>
        </w:rPr>
        <w:t>.</w:t>
      </w:r>
    </w:p>
    <w:p w14:paraId="6C5A82FF" w14:textId="5C8527B5" w:rsidR="00AF6325" w:rsidRPr="00E45508" w:rsidRDefault="00EB7C58" w:rsidP="00E66CEE">
      <w:r w:rsidRPr="00E45508">
        <w:t xml:space="preserve">The questions asked through the survey are outlined below to help you prepare responses. </w:t>
      </w:r>
      <w:r w:rsidR="009136D9" w:rsidRPr="00E45508">
        <w:t>Where possible, please include any evidence or data you would like to be considered to support your responses, particularly with respect to anticipated costs, risks and benefits.</w:t>
      </w:r>
    </w:p>
    <w:p w14:paraId="79560212" w14:textId="42480AE6" w:rsidR="00CF0045" w:rsidRPr="00E45508" w:rsidRDefault="00CF0045" w:rsidP="00C44B4B">
      <w:pPr>
        <w:pStyle w:val="Heading3"/>
      </w:pPr>
      <w:bookmarkStart w:id="236" w:name="_Toc177126608"/>
      <w:bookmarkStart w:id="237" w:name="_Toc177493018"/>
      <w:bookmarkStart w:id="238" w:name="_Toc178230264"/>
      <w:r w:rsidRPr="00E45508">
        <w:t>Questions on the reform options</w:t>
      </w:r>
      <w:bookmarkEnd w:id="236"/>
      <w:bookmarkEnd w:id="237"/>
      <w:bookmarkEnd w:id="238"/>
    </w:p>
    <w:p w14:paraId="739A6DCA" w14:textId="11C37457" w:rsidR="00CF0045" w:rsidRPr="00E45508" w:rsidRDefault="00CF0045" w:rsidP="009C1F84">
      <w:pPr>
        <w:pStyle w:val="ListBullet"/>
      </w:pPr>
      <w:r w:rsidRPr="00E45508">
        <w:t>What reform option do you prefer?</w:t>
      </w:r>
    </w:p>
    <w:p w14:paraId="0672C4F7" w14:textId="16BEC73F" w:rsidR="00CF0045" w:rsidRPr="00E45508" w:rsidRDefault="6387F6FB" w:rsidP="009C1F84">
      <w:pPr>
        <w:pStyle w:val="ListBullet"/>
      </w:pPr>
      <w:r w:rsidRPr="00E45508">
        <w:t xml:space="preserve">How effective do you think the reform options would be in achieving the reform </w:t>
      </w:r>
      <w:r w:rsidR="4EC9756C" w:rsidRPr="00E45508">
        <w:t>outcomes</w:t>
      </w:r>
      <w:r w:rsidRPr="00E45508">
        <w:t>?</w:t>
      </w:r>
    </w:p>
    <w:p w14:paraId="623577E9" w14:textId="69BD0635" w:rsidR="00CF0045" w:rsidRPr="00E45508" w:rsidRDefault="00CF0045" w:rsidP="009C1F84">
      <w:pPr>
        <w:pStyle w:val="ListBullet"/>
      </w:pPr>
      <w:r w:rsidRPr="00E45508">
        <w:t xml:space="preserve">What are the most important packaging reform </w:t>
      </w:r>
      <w:r w:rsidR="25EBAC12" w:rsidRPr="00E45508">
        <w:t>principles</w:t>
      </w:r>
      <w:r w:rsidRPr="00E45508">
        <w:t xml:space="preserve"> to achieve the outcomes?</w:t>
      </w:r>
    </w:p>
    <w:p w14:paraId="250CCE4E" w14:textId="108914B1" w:rsidR="00187E1D" w:rsidRPr="00E45508" w:rsidRDefault="00187E1D" w:rsidP="009C1F84">
      <w:pPr>
        <w:pStyle w:val="ListBullet"/>
      </w:pPr>
      <w:r w:rsidRPr="00E45508">
        <w:t>What support and/or systems would businesses need to meet the reform options and packaging obligations?</w:t>
      </w:r>
    </w:p>
    <w:p w14:paraId="1F7176C6" w14:textId="136FA1E0" w:rsidR="00075FED" w:rsidRPr="00E45508" w:rsidRDefault="00075FED" w:rsidP="009C1F84">
      <w:pPr>
        <w:pStyle w:val="ListBullet"/>
      </w:pPr>
      <w:r w:rsidRPr="00E45508">
        <w:t>Under Option</w:t>
      </w:r>
      <w:r w:rsidR="00421651" w:rsidRPr="00E45508">
        <w:t> 1</w:t>
      </w:r>
      <w:r w:rsidRPr="00E45508">
        <w:t xml:space="preserve">, </w:t>
      </w:r>
      <w:r w:rsidR="008F50FD" w:rsidRPr="00E45508">
        <w:t xml:space="preserve">what, if any, education for businesses and </w:t>
      </w:r>
      <w:r w:rsidR="6CE587DD" w:rsidRPr="00E45508">
        <w:t>consumers</w:t>
      </w:r>
      <w:r w:rsidR="008F50FD" w:rsidRPr="00E45508">
        <w:t xml:space="preserve"> would improve packaging reform outcomes?</w:t>
      </w:r>
    </w:p>
    <w:p w14:paraId="40FBEEA8" w14:textId="26ECFF27" w:rsidR="00A15960" w:rsidRPr="00E45508" w:rsidRDefault="00CF0045" w:rsidP="009C1F84">
      <w:pPr>
        <w:pStyle w:val="ListBullet"/>
      </w:pPr>
      <w:r w:rsidRPr="00E45508">
        <w:t>Under Option</w:t>
      </w:r>
      <w:r w:rsidR="00421651" w:rsidRPr="00E45508">
        <w:t> 2</w:t>
      </w:r>
      <w:r w:rsidR="00A15960" w:rsidRPr="00E45508">
        <w:t>:</w:t>
      </w:r>
    </w:p>
    <w:p w14:paraId="71D6F92A" w14:textId="11F9EC07" w:rsidR="00CF0045" w:rsidRPr="00E45508" w:rsidRDefault="00A15960" w:rsidP="009C1F84">
      <w:pPr>
        <w:pStyle w:val="ListBullet"/>
        <w:numPr>
          <w:ilvl w:val="1"/>
          <w:numId w:val="8"/>
        </w:numPr>
      </w:pPr>
      <w:r w:rsidRPr="00E45508">
        <w:t>W</w:t>
      </w:r>
      <w:r w:rsidR="00CF0045" w:rsidRPr="00E45508">
        <w:t xml:space="preserve">ould an industry organisation </w:t>
      </w:r>
      <w:r w:rsidR="008A6BBA" w:rsidRPr="00E45508">
        <w:t>be</w:t>
      </w:r>
      <w:r w:rsidR="00CF0045" w:rsidRPr="00E45508">
        <w:t xml:space="preserve"> needed to support businesses and, if so, what would its role be?</w:t>
      </w:r>
    </w:p>
    <w:p w14:paraId="1FDEA809" w14:textId="65A8586D" w:rsidR="0036698B" w:rsidRPr="00E45508" w:rsidRDefault="009E065E" w:rsidP="009C1F84">
      <w:pPr>
        <w:pStyle w:val="ListBullet"/>
        <w:numPr>
          <w:ilvl w:val="1"/>
          <w:numId w:val="8"/>
        </w:numPr>
      </w:pPr>
      <w:r w:rsidRPr="00E45508">
        <w:t>Do you support the proposed</w:t>
      </w:r>
      <w:r w:rsidR="00516DBF" w:rsidRPr="00E45508">
        <w:t xml:space="preserve"> </w:t>
      </w:r>
      <w:r w:rsidR="009303DA" w:rsidRPr="00E45508">
        <w:t xml:space="preserve">progressive </w:t>
      </w:r>
      <w:r w:rsidR="00D572D1" w:rsidRPr="00E45508">
        <w:t xml:space="preserve">bans based on </w:t>
      </w:r>
      <w:r w:rsidR="000A44CD" w:rsidRPr="00E45508">
        <w:t xml:space="preserve">packaging </w:t>
      </w:r>
      <w:r w:rsidR="00DE57F8" w:rsidRPr="00E45508">
        <w:t>recyclability</w:t>
      </w:r>
      <w:r w:rsidR="000A44CD" w:rsidRPr="00E45508">
        <w:t xml:space="preserve"> </w:t>
      </w:r>
      <w:r w:rsidR="00DA0E2A" w:rsidRPr="00E45508">
        <w:t xml:space="preserve">measured </w:t>
      </w:r>
      <w:r w:rsidR="00D572D1" w:rsidRPr="00E45508">
        <w:t xml:space="preserve">by </w:t>
      </w:r>
      <w:r w:rsidR="00DA0E2A" w:rsidRPr="00E45508">
        <w:t xml:space="preserve">total </w:t>
      </w:r>
      <w:r w:rsidR="00D572D1" w:rsidRPr="00E45508">
        <w:t xml:space="preserve">weight? </w:t>
      </w:r>
      <w:r w:rsidR="0036698B" w:rsidRPr="00E45508">
        <w:t>If not, what alternative do you suggest?</w:t>
      </w:r>
    </w:p>
    <w:p w14:paraId="556E353A" w14:textId="213C49B3" w:rsidR="004F4FD9" w:rsidRPr="00E45508" w:rsidRDefault="0019357F" w:rsidP="009C1F84">
      <w:pPr>
        <w:pStyle w:val="ListBullet"/>
      </w:pPr>
      <w:r w:rsidRPr="00E45508">
        <w:t>Under Option</w:t>
      </w:r>
      <w:r w:rsidR="00421651" w:rsidRPr="00E45508">
        <w:t> 3</w:t>
      </w:r>
      <w:r w:rsidR="004F4FD9" w:rsidRPr="00E45508">
        <w:t>:</w:t>
      </w:r>
    </w:p>
    <w:p w14:paraId="5F21A33D" w14:textId="4E808112" w:rsidR="00CF0045" w:rsidRPr="00E45508" w:rsidRDefault="0FA73AA1" w:rsidP="009C1F84">
      <w:pPr>
        <w:pStyle w:val="ListBullet"/>
        <w:numPr>
          <w:ilvl w:val="1"/>
          <w:numId w:val="8"/>
        </w:numPr>
      </w:pPr>
      <w:r w:rsidRPr="00E45508">
        <w:t>W</w:t>
      </w:r>
      <w:r w:rsidR="6387F6FB" w:rsidRPr="00E45508">
        <w:t xml:space="preserve">hat functions </w:t>
      </w:r>
      <w:r w:rsidR="00C60CAA" w:rsidRPr="00E45508">
        <w:t>could potentially be performed by</w:t>
      </w:r>
      <w:r w:rsidR="6387F6FB" w:rsidRPr="00E45508">
        <w:t xml:space="preserve"> an EPR scheme administrator?</w:t>
      </w:r>
    </w:p>
    <w:p w14:paraId="2880330E" w14:textId="231AF307" w:rsidR="00CF0045" w:rsidRPr="00E45508" w:rsidRDefault="00CF0045" w:rsidP="009C1F84">
      <w:pPr>
        <w:pStyle w:val="ListBullet"/>
        <w:numPr>
          <w:ilvl w:val="1"/>
          <w:numId w:val="8"/>
        </w:numPr>
      </w:pPr>
      <w:r w:rsidRPr="00E45508">
        <w:t xml:space="preserve">Which EPR fee modulation </w:t>
      </w:r>
      <w:r w:rsidR="00A66724" w:rsidRPr="00E45508">
        <w:t>approach</w:t>
      </w:r>
      <w:r w:rsidRPr="00E45508">
        <w:t xml:space="preserve"> (as outlined in </w:t>
      </w:r>
      <w:r w:rsidR="005646F9">
        <w:fldChar w:fldCharType="begin"/>
      </w:r>
      <w:r w:rsidR="005646F9">
        <w:instrText xml:space="preserve"> REF _Ref177161874 \h </w:instrText>
      </w:r>
      <w:r w:rsidR="005646F9">
        <w:fldChar w:fldCharType="separate"/>
      </w:r>
      <w:r w:rsidR="009A2EC4" w:rsidRPr="00E45508">
        <w:t xml:space="preserve">Box </w:t>
      </w:r>
      <w:r w:rsidR="009A2EC4">
        <w:rPr>
          <w:noProof/>
        </w:rPr>
        <w:t>6</w:t>
      </w:r>
      <w:r w:rsidR="005646F9">
        <w:fldChar w:fldCharType="end"/>
      </w:r>
      <w:r w:rsidRPr="00E45508">
        <w:t>) do you prefer?</w:t>
      </w:r>
    </w:p>
    <w:p w14:paraId="59335608" w14:textId="4133ECA5" w:rsidR="00CF0045" w:rsidRPr="00E45508" w:rsidRDefault="009A251F" w:rsidP="009C1F84">
      <w:pPr>
        <w:pStyle w:val="ListBullet"/>
        <w:numPr>
          <w:ilvl w:val="1"/>
          <w:numId w:val="8"/>
        </w:numPr>
      </w:pPr>
      <w:r w:rsidRPr="00E45508">
        <w:t>What other actions to improve packaging should be incentivised using eco-modulated fees?</w:t>
      </w:r>
    </w:p>
    <w:p w14:paraId="753756FA" w14:textId="3607FCC3" w:rsidR="009F3A91" w:rsidRPr="00E45508" w:rsidRDefault="6387F6FB" w:rsidP="009C1F84">
      <w:pPr>
        <w:pStyle w:val="ListBullet"/>
        <w:numPr>
          <w:ilvl w:val="1"/>
          <w:numId w:val="8"/>
        </w:numPr>
        <w:rPr>
          <w:rFonts w:cstheme="minorBidi"/>
        </w:rPr>
      </w:pPr>
      <w:r w:rsidRPr="00E45508">
        <w:t>What</w:t>
      </w:r>
      <w:r w:rsidRPr="00E45508" w:rsidDel="00A30AB5">
        <w:t xml:space="preserve"> </w:t>
      </w:r>
      <w:r w:rsidR="00A30AB5" w:rsidRPr="00E45508">
        <w:t xml:space="preserve">activities could </w:t>
      </w:r>
      <w:r w:rsidRPr="00E45508">
        <w:t xml:space="preserve">EPR scheme revenue be used </w:t>
      </w:r>
      <w:r w:rsidR="00B359C6" w:rsidRPr="00E45508">
        <w:t xml:space="preserve">for </w:t>
      </w:r>
      <w:r w:rsidRPr="00E45508">
        <w:t xml:space="preserve">to </w:t>
      </w:r>
      <w:r w:rsidR="00A30AB5" w:rsidRPr="00E45508">
        <w:t>support</w:t>
      </w:r>
      <w:r w:rsidR="00AC25A3" w:rsidRPr="00E45508">
        <w:t xml:space="preserve"> material circularity</w:t>
      </w:r>
      <w:r w:rsidRPr="00E45508">
        <w:t xml:space="preserve">, noting that there may be limitations on what activities can be funded due to legislative or </w:t>
      </w:r>
      <w:r w:rsidR="1BB07A73" w:rsidRPr="00E45508">
        <w:t xml:space="preserve">other </w:t>
      </w:r>
      <w:r w:rsidRPr="00E45508">
        <w:t>constraints?</w:t>
      </w:r>
    </w:p>
    <w:p w14:paraId="7E227895" w14:textId="45E6AF69" w:rsidR="007D350D" w:rsidRPr="00E45508" w:rsidRDefault="007D350D" w:rsidP="009C1F84">
      <w:pPr>
        <w:pStyle w:val="ListBullet"/>
        <w:rPr>
          <w:rFonts w:cstheme="minorBidi"/>
        </w:rPr>
      </w:pPr>
      <w:r w:rsidRPr="00E45508">
        <w:t>Under Options 2 and 3:</w:t>
      </w:r>
    </w:p>
    <w:p w14:paraId="51E66E2B" w14:textId="024EA3E1" w:rsidR="00774F02" w:rsidRPr="00E45508" w:rsidRDefault="00DE3120" w:rsidP="009C1F84">
      <w:pPr>
        <w:pStyle w:val="ListBullet"/>
        <w:numPr>
          <w:ilvl w:val="1"/>
          <w:numId w:val="8"/>
        </w:numPr>
        <w:rPr>
          <w:rFonts w:cstheme="minorBidi"/>
        </w:rPr>
      </w:pPr>
      <w:r w:rsidRPr="00E45508">
        <w:t xml:space="preserve">If some </w:t>
      </w:r>
      <w:r w:rsidR="007C5788" w:rsidRPr="00E45508">
        <w:t>regulations</w:t>
      </w:r>
      <w:r w:rsidRPr="00E45508">
        <w:t xml:space="preserve"> could be introduced early to provide industry </w:t>
      </w:r>
      <w:r w:rsidR="006352E6" w:rsidRPr="00E45508">
        <w:t>certainty,</w:t>
      </w:r>
      <w:r w:rsidRPr="00E45508">
        <w:t xml:space="preserve"> would you support </w:t>
      </w:r>
      <w:r w:rsidR="00392B35" w:rsidRPr="00E45508">
        <w:t>a two-stage approach to</w:t>
      </w:r>
      <w:r w:rsidRPr="00E45508">
        <w:t xml:space="preserve"> regulation</w:t>
      </w:r>
      <w:r w:rsidR="007C5788" w:rsidRPr="00E45508">
        <w:t>?</w:t>
      </w:r>
      <w:r w:rsidR="006352E6" w:rsidRPr="00E45508">
        <w:t xml:space="preserve"> What early requirements would you support?</w:t>
      </w:r>
    </w:p>
    <w:p w14:paraId="1B5A1FEF" w14:textId="5A9EA0F9" w:rsidR="00D54436" w:rsidRPr="00E45508" w:rsidRDefault="5F6FD24F" w:rsidP="00C44B4B">
      <w:pPr>
        <w:pStyle w:val="Heading3"/>
      </w:pPr>
      <w:bookmarkStart w:id="239" w:name="_Toc177126609"/>
      <w:bookmarkStart w:id="240" w:name="_Toc177493019"/>
      <w:bookmarkStart w:id="241" w:name="_Toc178230265"/>
      <w:r w:rsidRPr="00E45508">
        <w:t xml:space="preserve">Questions on the </w:t>
      </w:r>
      <w:r w:rsidR="748D3239" w:rsidRPr="00E45508">
        <w:t>packaging obligatio</w:t>
      </w:r>
      <w:r w:rsidR="53ECE68F" w:rsidRPr="00E45508">
        <w:t>ns</w:t>
      </w:r>
      <w:bookmarkEnd w:id="239"/>
      <w:bookmarkEnd w:id="240"/>
      <w:bookmarkEnd w:id="241"/>
    </w:p>
    <w:p w14:paraId="55C2839A" w14:textId="44DDC127" w:rsidR="003E6134" w:rsidRPr="00E45508" w:rsidRDefault="00AF6325" w:rsidP="009C1F84">
      <w:pPr>
        <w:pStyle w:val="ListBullet"/>
      </w:pPr>
      <w:r w:rsidRPr="00E45508">
        <w:t>How supportive are</w:t>
      </w:r>
      <w:r w:rsidR="00EF1B30" w:rsidRPr="00E45508">
        <w:t xml:space="preserve"> you </w:t>
      </w:r>
      <w:r w:rsidRPr="00E45508">
        <w:t>of</w:t>
      </w:r>
      <w:r w:rsidR="00EF1B30" w:rsidRPr="00E45508">
        <w:t xml:space="preserve"> the proposed packaging obligations</w:t>
      </w:r>
      <w:r w:rsidR="009C60A5" w:rsidRPr="00E45508">
        <w:t xml:space="preserve"> on design, labelling and recycled content as outlined in sections 5.9 to 5.11</w:t>
      </w:r>
      <w:r w:rsidR="00EF1B30" w:rsidRPr="00E45508">
        <w:t>?</w:t>
      </w:r>
    </w:p>
    <w:p w14:paraId="09466681" w14:textId="353A9516" w:rsidR="00EF1B30" w:rsidRPr="00E45508" w:rsidRDefault="00D469D6" w:rsidP="009C1F84">
      <w:pPr>
        <w:pStyle w:val="ListBullet"/>
      </w:pPr>
      <w:r w:rsidRPr="00E45508">
        <w:t xml:space="preserve">How effective </w:t>
      </w:r>
      <w:r w:rsidR="00EF1B30" w:rsidRPr="00E45508">
        <w:t xml:space="preserve">do you </w:t>
      </w:r>
      <w:r w:rsidR="00EF1BBD" w:rsidRPr="00E45508">
        <w:t xml:space="preserve">think </w:t>
      </w:r>
      <w:r w:rsidR="00EF1B30" w:rsidRPr="00E45508">
        <w:t xml:space="preserve">each of the packaging obligations </w:t>
      </w:r>
      <w:r w:rsidR="00EF1BBD" w:rsidRPr="00E45508">
        <w:t>would</w:t>
      </w:r>
      <w:r w:rsidR="0080037E" w:rsidRPr="00E45508">
        <w:t xml:space="preserve"> be</w:t>
      </w:r>
      <w:r w:rsidR="00EF1BBD" w:rsidRPr="00E45508">
        <w:t xml:space="preserve"> </w:t>
      </w:r>
      <w:r w:rsidR="00EF1B30" w:rsidRPr="00E45508">
        <w:t>in delivering the objectives of the reform</w:t>
      </w:r>
      <w:r w:rsidR="00EA4372" w:rsidRPr="00E45508">
        <w:t>?</w:t>
      </w:r>
    </w:p>
    <w:p w14:paraId="5962AD47" w14:textId="54E0E415" w:rsidR="00116C5D" w:rsidRPr="00E45508" w:rsidRDefault="19420869" w:rsidP="009C1F84">
      <w:pPr>
        <w:pStyle w:val="ListBullet"/>
      </w:pPr>
      <w:r w:rsidRPr="00E45508">
        <w:t>W</w:t>
      </w:r>
      <w:r w:rsidR="6A614BF4" w:rsidRPr="00E45508">
        <w:t xml:space="preserve">hat </w:t>
      </w:r>
      <w:r w:rsidR="23749D4E" w:rsidRPr="00E45508">
        <w:t xml:space="preserve">percentage </w:t>
      </w:r>
      <w:r w:rsidRPr="00E45508">
        <w:t xml:space="preserve">of </w:t>
      </w:r>
      <w:r w:rsidR="00D7022A" w:rsidRPr="00E45508">
        <w:t xml:space="preserve">the </w:t>
      </w:r>
      <w:r w:rsidRPr="00E45508">
        <w:t xml:space="preserve">packaging </w:t>
      </w:r>
      <w:r w:rsidR="00D7022A" w:rsidRPr="00E45508">
        <w:t xml:space="preserve">you </w:t>
      </w:r>
      <w:r w:rsidRPr="00E45508">
        <w:t xml:space="preserve">placed on </w:t>
      </w:r>
      <w:r w:rsidR="00D7022A" w:rsidRPr="00E45508">
        <w:t xml:space="preserve">the </w:t>
      </w:r>
      <w:r w:rsidRPr="00E45508">
        <w:t xml:space="preserve">market would need to change to meet </w:t>
      </w:r>
      <w:r w:rsidR="6A614BF4" w:rsidRPr="00E45508">
        <w:t>the proposed obligations?</w:t>
      </w:r>
    </w:p>
    <w:p w14:paraId="0D1ADDB2" w14:textId="0DA1AF90" w:rsidR="00E856C0" w:rsidRPr="00E45508" w:rsidRDefault="00EA4372" w:rsidP="009C1F84">
      <w:pPr>
        <w:pStyle w:val="ListBullet"/>
      </w:pPr>
      <w:r w:rsidRPr="00E45508">
        <w:t xml:space="preserve">What activities </w:t>
      </w:r>
      <w:r w:rsidR="00E72EB1" w:rsidRPr="00E45508">
        <w:t xml:space="preserve">would </w:t>
      </w:r>
      <w:r w:rsidRPr="00E45508">
        <w:t xml:space="preserve">you need to undertake to prepare for </w:t>
      </w:r>
      <w:r w:rsidR="00DA67EB" w:rsidRPr="00E45508">
        <w:t xml:space="preserve">the </w:t>
      </w:r>
      <w:r w:rsidR="00BA200A" w:rsidRPr="00E45508">
        <w:t xml:space="preserve">proposed </w:t>
      </w:r>
      <w:r w:rsidR="00DA67EB" w:rsidRPr="00E45508">
        <w:t xml:space="preserve">packaging obligations? </w:t>
      </w:r>
      <w:r w:rsidR="00231D39" w:rsidRPr="00E45508">
        <w:t xml:space="preserve">Do you anticipate </w:t>
      </w:r>
      <w:r w:rsidR="00E856C0" w:rsidRPr="00E45508">
        <w:t xml:space="preserve">these activities </w:t>
      </w:r>
      <w:r w:rsidR="00231D39" w:rsidRPr="00E45508">
        <w:t xml:space="preserve">will </w:t>
      </w:r>
      <w:r w:rsidR="00E856C0" w:rsidRPr="00E45508">
        <w:t xml:space="preserve">be the same </w:t>
      </w:r>
      <w:r w:rsidR="0072000C" w:rsidRPr="00E45508">
        <w:t>or</w:t>
      </w:r>
      <w:r w:rsidR="00E856C0" w:rsidRPr="00E45508">
        <w:t xml:space="preserve"> different </w:t>
      </w:r>
      <w:r w:rsidR="0072000C" w:rsidRPr="00E45508">
        <w:t xml:space="preserve">across </w:t>
      </w:r>
      <w:r w:rsidR="00E856C0" w:rsidRPr="00E45508">
        <w:t>the packaging obligations</w:t>
      </w:r>
      <w:r w:rsidR="0072000C" w:rsidRPr="00E45508">
        <w:t>? W</w:t>
      </w:r>
      <w:r w:rsidR="00E856C0" w:rsidRPr="00E45508">
        <w:t>hy?</w:t>
      </w:r>
    </w:p>
    <w:p w14:paraId="3E0BBAFF" w14:textId="7FC77119" w:rsidR="00EA4372" w:rsidRPr="00E45508" w:rsidRDefault="00621EA4" w:rsidP="009C1F84">
      <w:pPr>
        <w:pStyle w:val="ListBullet"/>
      </w:pPr>
      <w:r w:rsidRPr="00E45508">
        <w:t xml:space="preserve">How soon do you think your business would be able to meet the </w:t>
      </w:r>
      <w:r w:rsidR="00BA200A" w:rsidRPr="00E45508">
        <w:t xml:space="preserve">proposed </w:t>
      </w:r>
      <w:r w:rsidRPr="00E45508">
        <w:t>packaging obligations?</w:t>
      </w:r>
    </w:p>
    <w:p w14:paraId="63A0965A" w14:textId="3B2B5284" w:rsidR="00155356" w:rsidRPr="00E45508" w:rsidRDefault="1C78179F" w:rsidP="009C1F84">
      <w:pPr>
        <w:pStyle w:val="ListBullet"/>
      </w:pPr>
      <w:r w:rsidRPr="00E45508">
        <w:t>What would your major anticipated costs and risks associated with the proposed packaging obligations</w:t>
      </w:r>
      <w:r w:rsidR="350C115A" w:rsidRPr="00E45508">
        <w:t xml:space="preserve"> be</w:t>
      </w:r>
      <w:r w:rsidRPr="00E45508">
        <w:t>?</w:t>
      </w:r>
    </w:p>
    <w:p w14:paraId="25194199" w14:textId="08096919" w:rsidR="00155356" w:rsidRPr="00E45508" w:rsidRDefault="1C78179F" w:rsidP="009C1F84">
      <w:pPr>
        <w:pStyle w:val="ListBullet"/>
      </w:pPr>
      <w:r w:rsidRPr="00E45508">
        <w:t>What would be the major anticipated benefits associated with the proposed packaging obligations and who will receive them?</w:t>
      </w:r>
    </w:p>
    <w:p w14:paraId="155CE86E" w14:textId="1DF1A9EF" w:rsidR="00F8242A" w:rsidRPr="00E45508" w:rsidRDefault="00F8242A" w:rsidP="009C1F84">
      <w:pPr>
        <w:pStyle w:val="ListBullet"/>
      </w:pPr>
      <w:r w:rsidRPr="00E45508">
        <w:t>Are there any other anticipated risks, costs and benefits to you under the different options not covered by the questions above?</w:t>
      </w:r>
    </w:p>
    <w:p w14:paraId="4D8C8868" w14:textId="6C11A112" w:rsidR="00787482" w:rsidRPr="00E45508" w:rsidRDefault="00787482" w:rsidP="009C1F84">
      <w:pPr>
        <w:pStyle w:val="ListBullet"/>
      </w:pPr>
      <w:r w:rsidRPr="00E45508">
        <w:t>What other obligations should be considered to support a circular economy for packaging?</w:t>
      </w:r>
    </w:p>
    <w:p w14:paraId="3732F55E" w14:textId="2DEBA54A" w:rsidR="00787482" w:rsidRPr="00E45508" w:rsidRDefault="7C0724CA" w:rsidP="009C1F84">
      <w:pPr>
        <w:pStyle w:val="ListBullet"/>
      </w:pPr>
      <w:r w:rsidRPr="00E45508">
        <w:t xml:space="preserve">Should mandatory obligations be placed on </w:t>
      </w:r>
      <w:r w:rsidR="0019301B" w:rsidRPr="00E45508">
        <w:t>collectors, recyclers</w:t>
      </w:r>
      <w:r w:rsidRPr="00E45508" w:rsidDel="0019301B">
        <w:t xml:space="preserve"> and </w:t>
      </w:r>
      <w:r w:rsidRPr="00E45508">
        <w:t>reprocess</w:t>
      </w:r>
      <w:r w:rsidR="001F4CC0" w:rsidRPr="00E45508">
        <w:t>ors</w:t>
      </w:r>
      <w:r w:rsidRPr="00E45508">
        <w:t>? If so, what should they be</w:t>
      </w:r>
      <w:r w:rsidR="5EAC817A" w:rsidRPr="00E45508">
        <w:t>,</w:t>
      </w:r>
      <w:r w:rsidRPr="00E45508">
        <w:t xml:space="preserve"> and do you have supporting evidence?</w:t>
      </w:r>
    </w:p>
    <w:p w14:paraId="35E43ACB" w14:textId="2F716E79" w:rsidR="00787482" w:rsidRPr="00E45508" w:rsidRDefault="00787482" w:rsidP="009C1F84">
      <w:pPr>
        <w:pStyle w:val="ListBullet"/>
      </w:pPr>
      <w:r w:rsidRPr="00E45508">
        <w:t xml:space="preserve">Should obligations be imposed to incentivise the </w:t>
      </w:r>
      <w:r w:rsidR="00857E3C" w:rsidRPr="00E45508">
        <w:t xml:space="preserve">uptake </w:t>
      </w:r>
      <w:r w:rsidRPr="00E45508">
        <w:t xml:space="preserve">of packaging </w:t>
      </w:r>
      <w:r w:rsidR="001F4CC0" w:rsidRPr="00E45508">
        <w:t xml:space="preserve">reuse </w:t>
      </w:r>
      <w:r w:rsidRPr="00E45508">
        <w:t>systems?</w:t>
      </w:r>
    </w:p>
    <w:p w14:paraId="7D79638D" w14:textId="207C86FF" w:rsidR="001D19C4" w:rsidRPr="00E45508" w:rsidRDefault="001D19C4" w:rsidP="009C1F84">
      <w:pPr>
        <w:pStyle w:val="ListBullet"/>
        <w:numPr>
          <w:ilvl w:val="1"/>
          <w:numId w:val="8"/>
        </w:numPr>
      </w:pPr>
      <w:r w:rsidRPr="00E45508">
        <w:t>Which industries or packaging formats should be prioritised</w:t>
      </w:r>
      <w:r w:rsidR="00BC5DEA" w:rsidRPr="00E45508">
        <w:t>?</w:t>
      </w:r>
    </w:p>
    <w:p w14:paraId="799738D2" w14:textId="72A89316" w:rsidR="00BC5DEA" w:rsidRPr="00E45508" w:rsidRDefault="00BC5DEA" w:rsidP="009C1F84">
      <w:pPr>
        <w:pStyle w:val="ListBullet"/>
        <w:numPr>
          <w:ilvl w:val="1"/>
          <w:numId w:val="8"/>
        </w:numPr>
      </w:pPr>
      <w:r w:rsidRPr="00E45508">
        <w:t>Should upta</w:t>
      </w:r>
      <w:r w:rsidR="00CF0045" w:rsidRPr="00E45508">
        <w:t>k</w:t>
      </w:r>
      <w:r w:rsidRPr="00E45508">
        <w:t>e be mandated or incentivised through eco-modulat</w:t>
      </w:r>
      <w:r w:rsidR="00CF0045" w:rsidRPr="00E45508">
        <w:t>ion</w:t>
      </w:r>
      <w:r w:rsidRPr="00E45508">
        <w:t>?</w:t>
      </w:r>
    </w:p>
    <w:p w14:paraId="3FBB0053" w14:textId="5B10FC55" w:rsidR="00B6136B" w:rsidRDefault="00B6136B" w:rsidP="009C1F84">
      <w:pPr>
        <w:pStyle w:val="ListBullet"/>
        <w:numPr>
          <w:ilvl w:val="1"/>
          <w:numId w:val="8"/>
        </w:numPr>
      </w:pPr>
      <w:r>
        <w:t>Should reuse standards be introduced for suitable reuse packaging formats?</w:t>
      </w:r>
    </w:p>
    <w:p w14:paraId="2D93B27A" w14:textId="35AD36CD" w:rsidR="00D54436" w:rsidRPr="00E45508" w:rsidRDefault="00D54436" w:rsidP="00E66CEE">
      <w:r w:rsidRPr="00E45508">
        <w:t>For the questions on packaging obligations, we are asking for your views on the different ways the packaging obligations can be achieved under the three options:</w:t>
      </w:r>
    </w:p>
    <w:p w14:paraId="142BD77E" w14:textId="77777777" w:rsidR="00D54436" w:rsidRPr="00E45508" w:rsidRDefault="00D54436" w:rsidP="009C1F84">
      <w:pPr>
        <w:pStyle w:val="ListBullet"/>
      </w:pPr>
      <w:r w:rsidRPr="00E45508">
        <w:t>Design for recyclability</w:t>
      </w:r>
    </w:p>
    <w:p w14:paraId="70F6AAED" w14:textId="5725CE5C" w:rsidR="00D54436" w:rsidRPr="00E45508" w:rsidRDefault="7E606975" w:rsidP="009C1F84">
      <w:pPr>
        <w:pStyle w:val="ListBullet"/>
        <w:numPr>
          <w:ilvl w:val="1"/>
          <w:numId w:val="8"/>
        </w:numPr>
      </w:pPr>
      <w:r w:rsidRPr="00E45508">
        <w:t>Option</w:t>
      </w:r>
      <w:r w:rsidR="00421651" w:rsidRPr="00E45508">
        <w:t> 1</w:t>
      </w:r>
      <w:r w:rsidRPr="00E45508">
        <w:t xml:space="preserve">: </w:t>
      </w:r>
      <w:r w:rsidR="004261B8" w:rsidRPr="00E45508">
        <w:t>No additional obligations</w:t>
      </w:r>
    </w:p>
    <w:p w14:paraId="4208421B" w14:textId="3E65820A" w:rsidR="00D54436" w:rsidRPr="00E45508" w:rsidRDefault="6C43ECC4" w:rsidP="009C1F84">
      <w:pPr>
        <w:pStyle w:val="ListBullet"/>
        <w:numPr>
          <w:ilvl w:val="1"/>
          <w:numId w:val="8"/>
        </w:numPr>
      </w:pPr>
      <w:r w:rsidRPr="00E45508">
        <w:t>Options</w:t>
      </w:r>
      <w:r w:rsidR="00421651" w:rsidRPr="00E45508">
        <w:t> 2</w:t>
      </w:r>
      <w:r w:rsidRPr="00E45508">
        <w:t xml:space="preserve"> </w:t>
      </w:r>
      <w:r w:rsidR="0002036E" w:rsidRPr="00E45508">
        <w:t>and</w:t>
      </w:r>
      <w:r w:rsidR="00421651" w:rsidRPr="00E45508">
        <w:t> 3</w:t>
      </w:r>
      <w:r w:rsidRPr="00E45508">
        <w:t>: National ban on limited set of problematic packaging inputs (e.g. carbon black, oxo-degradables</w:t>
      </w:r>
      <w:r w:rsidR="00CB62B5" w:rsidRPr="00E45508">
        <w:t>, PFAS</w:t>
      </w:r>
      <w:r w:rsidRPr="00E45508">
        <w:t>)</w:t>
      </w:r>
    </w:p>
    <w:p w14:paraId="51DCD0F6" w14:textId="511C1BDB" w:rsidR="00D54436" w:rsidRPr="00E45508" w:rsidRDefault="00D54436" w:rsidP="009C1F84">
      <w:pPr>
        <w:pStyle w:val="ListBullet"/>
        <w:numPr>
          <w:ilvl w:val="1"/>
          <w:numId w:val="8"/>
        </w:numPr>
      </w:pPr>
      <w:r w:rsidRPr="00E45508">
        <w:t>Option</w:t>
      </w:r>
      <w:r w:rsidR="00421651" w:rsidRPr="00E45508">
        <w:t> 2</w:t>
      </w:r>
      <w:r w:rsidRPr="00E45508">
        <w:t xml:space="preserve">: </w:t>
      </w:r>
      <w:r w:rsidR="001F4CC0" w:rsidRPr="00E45508">
        <w:t>Progressive national bans on packaging below minimum recyclability by weight threshold</w:t>
      </w:r>
    </w:p>
    <w:p w14:paraId="159BE21A" w14:textId="573A9F89" w:rsidR="00D54436" w:rsidRPr="00E45508" w:rsidRDefault="00D54436" w:rsidP="009C1F84">
      <w:pPr>
        <w:pStyle w:val="ListBullet"/>
        <w:numPr>
          <w:ilvl w:val="1"/>
          <w:numId w:val="8"/>
        </w:numPr>
      </w:pPr>
      <w:r w:rsidRPr="00E45508">
        <w:t>Option</w:t>
      </w:r>
      <w:r w:rsidR="00421651" w:rsidRPr="00E45508">
        <w:t> 3</w:t>
      </w:r>
      <w:r w:rsidRPr="00E45508">
        <w:t>: National EPR fees linked to design recyclability grades</w:t>
      </w:r>
    </w:p>
    <w:p w14:paraId="3C901368" w14:textId="48F67017" w:rsidR="00020AAB" w:rsidRPr="00E45508" w:rsidRDefault="00D246B3" w:rsidP="009C1F84">
      <w:pPr>
        <w:pStyle w:val="ListBullet"/>
      </w:pPr>
      <w:r>
        <w:t>Recyclability</w:t>
      </w:r>
      <w:r w:rsidR="00020AAB" w:rsidRPr="00E45508">
        <w:t xml:space="preserve"> labelling</w:t>
      </w:r>
    </w:p>
    <w:p w14:paraId="03AB0B65" w14:textId="72336719" w:rsidR="004261B8" w:rsidRPr="00E45508" w:rsidRDefault="004261B8" w:rsidP="009C1F84">
      <w:pPr>
        <w:pStyle w:val="ListBullet"/>
        <w:numPr>
          <w:ilvl w:val="1"/>
          <w:numId w:val="8"/>
        </w:numPr>
      </w:pPr>
      <w:r w:rsidRPr="00E45508">
        <w:t>Option 1: No additional obligations</w:t>
      </w:r>
    </w:p>
    <w:p w14:paraId="1D2D829F" w14:textId="4CDE352E" w:rsidR="00020AAB" w:rsidRPr="00E45508" w:rsidRDefault="00020AAB" w:rsidP="009C1F84">
      <w:pPr>
        <w:pStyle w:val="ListBullet"/>
        <w:numPr>
          <w:ilvl w:val="1"/>
          <w:numId w:val="8"/>
        </w:numPr>
      </w:pPr>
      <w:r w:rsidRPr="00E45508">
        <w:t>Options</w:t>
      </w:r>
      <w:r w:rsidR="00421651" w:rsidRPr="00E45508">
        <w:t> 2</w:t>
      </w:r>
      <w:r w:rsidRPr="00E45508">
        <w:t xml:space="preserve"> </w:t>
      </w:r>
      <w:r w:rsidR="0002036E" w:rsidRPr="00E45508">
        <w:t>and</w:t>
      </w:r>
      <w:r w:rsidR="00421651" w:rsidRPr="00E45508">
        <w:t> 3</w:t>
      </w:r>
      <w:r w:rsidRPr="00E45508">
        <w:t>: Mandatory on-pack recyclability labelling</w:t>
      </w:r>
    </w:p>
    <w:p w14:paraId="6FE966CA" w14:textId="71EA7221" w:rsidR="008E55D0" w:rsidRPr="00E45508" w:rsidRDefault="008E55D0" w:rsidP="009C1F84">
      <w:pPr>
        <w:pStyle w:val="ListBullet"/>
      </w:pPr>
      <w:r w:rsidRPr="00E45508">
        <w:t>Recycled content</w:t>
      </w:r>
    </w:p>
    <w:p w14:paraId="6819572E" w14:textId="5B37F363" w:rsidR="008E55D0" w:rsidRPr="00E45508" w:rsidRDefault="008E55D0" w:rsidP="009C1F84">
      <w:pPr>
        <w:pStyle w:val="ListBullet"/>
        <w:numPr>
          <w:ilvl w:val="1"/>
          <w:numId w:val="8"/>
        </w:numPr>
      </w:pPr>
      <w:r w:rsidRPr="00E45508">
        <w:t>Option</w:t>
      </w:r>
      <w:r w:rsidR="00421651" w:rsidRPr="00E45508">
        <w:t> 1</w:t>
      </w:r>
      <w:r w:rsidRPr="00E45508">
        <w:t xml:space="preserve">: </w:t>
      </w:r>
      <w:r w:rsidR="004261B8" w:rsidRPr="00E45508">
        <w:t>No additional obligations</w:t>
      </w:r>
    </w:p>
    <w:p w14:paraId="2F326D08" w14:textId="5758F2E8" w:rsidR="008E55D0" w:rsidRPr="00E45508" w:rsidRDefault="008E55D0" w:rsidP="009C1F84">
      <w:pPr>
        <w:pStyle w:val="ListBullet"/>
        <w:numPr>
          <w:ilvl w:val="1"/>
          <w:numId w:val="8"/>
        </w:numPr>
      </w:pPr>
      <w:r w:rsidRPr="00E45508">
        <w:t>Options</w:t>
      </w:r>
      <w:r w:rsidR="00421651" w:rsidRPr="00E45508">
        <w:t> 2</w:t>
      </w:r>
      <w:r w:rsidRPr="00E45508">
        <w:t xml:space="preserve"> </w:t>
      </w:r>
      <w:r w:rsidR="0002036E" w:rsidRPr="00E45508">
        <w:t>and</w:t>
      </w:r>
      <w:r w:rsidR="00421651" w:rsidRPr="00E45508">
        <w:t> 3</w:t>
      </w:r>
      <w:r w:rsidRPr="00E45508">
        <w:t>: National mandatory minimum recycled content thresholds</w:t>
      </w:r>
    </w:p>
    <w:p w14:paraId="2568AF32" w14:textId="5CA4E429" w:rsidR="008E55D0" w:rsidRPr="00E45508" w:rsidRDefault="008E55D0" w:rsidP="009C1F84">
      <w:pPr>
        <w:pStyle w:val="ListBullet"/>
        <w:numPr>
          <w:ilvl w:val="1"/>
          <w:numId w:val="8"/>
        </w:numPr>
      </w:pPr>
      <w:r w:rsidRPr="00E45508">
        <w:t>Option</w:t>
      </w:r>
      <w:r w:rsidR="00421651" w:rsidRPr="00E45508">
        <w:t> 3</w:t>
      </w:r>
      <w:r w:rsidRPr="00E45508">
        <w:t>: National EPR fees incentivise more recycled content use above minimum thresholds</w:t>
      </w:r>
    </w:p>
    <w:p w14:paraId="2188A697" w14:textId="21F5E0AA" w:rsidR="00FE3EFF" w:rsidRPr="00E45508" w:rsidRDefault="49976179" w:rsidP="00C44B4B">
      <w:pPr>
        <w:pStyle w:val="Heading3"/>
      </w:pPr>
      <w:bookmarkStart w:id="242" w:name="_Toc177126610"/>
      <w:bookmarkStart w:id="243" w:name="_Toc177493020"/>
      <w:bookmarkStart w:id="244" w:name="_Toc178230266"/>
      <w:r w:rsidRPr="00E45508">
        <w:t>Questions on scope and liability for reforms</w:t>
      </w:r>
      <w:bookmarkEnd w:id="242"/>
      <w:bookmarkEnd w:id="243"/>
      <w:bookmarkEnd w:id="244"/>
    </w:p>
    <w:p w14:paraId="6B374E10" w14:textId="652C266F" w:rsidR="008C02F1" w:rsidRPr="00E45508" w:rsidRDefault="008C02F1" w:rsidP="009C1F84">
      <w:pPr>
        <w:pStyle w:val="ListBullet"/>
      </w:pPr>
      <w:r w:rsidRPr="00E45508">
        <w:t>Should packaging regulations be applied uniformly to both business-to-consumer (B2C) and business-to-business (B2B) packaging?</w:t>
      </w:r>
    </w:p>
    <w:p w14:paraId="7A42A849" w14:textId="366ED023" w:rsidR="00CC1001" w:rsidRPr="00E45508" w:rsidRDefault="00E85AC7" w:rsidP="009C1F84">
      <w:pPr>
        <w:pStyle w:val="ListBullet"/>
      </w:pPr>
      <w:r w:rsidRPr="00E45508">
        <w:t>Do you have packaging that could not comply with the proposed obligations on design, labelling and recycled content as outlined in sections 5.9 to 5.11? Why is this? For example, are there conflicting obligations?</w:t>
      </w:r>
    </w:p>
    <w:p w14:paraId="015906A5" w14:textId="4EDC16FB" w:rsidR="00FE3EFF" w:rsidRPr="00E45508" w:rsidRDefault="005054A1" w:rsidP="009C1F84">
      <w:pPr>
        <w:pStyle w:val="ListBullet"/>
      </w:pPr>
      <w:r w:rsidRPr="00E45508">
        <w:t xml:space="preserve">What point in the supply chain is the most effective point to </w:t>
      </w:r>
      <w:r w:rsidR="00FE51F3" w:rsidRPr="00E45508">
        <w:t xml:space="preserve">apply </w:t>
      </w:r>
      <w:r w:rsidR="00012594" w:rsidRPr="00E45508">
        <w:t>the proposed packaging</w:t>
      </w:r>
      <w:r w:rsidR="00FE51F3" w:rsidRPr="00E45508">
        <w:t xml:space="preserve"> obligations </w:t>
      </w:r>
      <w:r w:rsidR="00012594" w:rsidRPr="00E45508">
        <w:t>on design</w:t>
      </w:r>
      <w:r w:rsidR="00D23AE5">
        <w:t>,</w:t>
      </w:r>
      <w:r w:rsidR="00012594" w:rsidRPr="00E45508">
        <w:t xml:space="preserve"> </w:t>
      </w:r>
      <w:r w:rsidR="00D23AE5">
        <w:t>l</w:t>
      </w:r>
      <w:r w:rsidR="00012594" w:rsidRPr="00E45508">
        <w:t>abelling and recycled content as outlined in section</w:t>
      </w:r>
      <w:r w:rsidR="00E85AC7" w:rsidRPr="00E45508">
        <w:t>s</w:t>
      </w:r>
      <w:r w:rsidR="00012594" w:rsidRPr="00E45508">
        <w:t xml:space="preserve"> 5.9 </w:t>
      </w:r>
      <w:r w:rsidRPr="00E45508">
        <w:t>to</w:t>
      </w:r>
      <w:r w:rsidR="00012594" w:rsidRPr="00E45508">
        <w:t xml:space="preserve"> 5.11?</w:t>
      </w:r>
    </w:p>
    <w:p w14:paraId="2371AB74" w14:textId="3163935B" w:rsidR="005054A1" w:rsidRPr="00E45508" w:rsidRDefault="005054A1" w:rsidP="009C1F84">
      <w:pPr>
        <w:pStyle w:val="ListBullet"/>
      </w:pPr>
      <w:r w:rsidRPr="00E45508">
        <w:t xml:space="preserve">How should </w:t>
      </w:r>
      <w:r w:rsidR="00087E3F" w:rsidRPr="00E45508">
        <w:t>liability</w:t>
      </w:r>
      <w:r w:rsidRPr="00E45508">
        <w:t xml:space="preserve"> thre</w:t>
      </w:r>
      <w:r w:rsidR="00EF4DC5" w:rsidRPr="00E45508">
        <w:t>s</w:t>
      </w:r>
      <w:r w:rsidRPr="00E45508">
        <w:t>holds be set to ensure packaging reforms achieve their intended outcomes while minimising impacts on businesses?</w:t>
      </w:r>
    </w:p>
    <w:p w14:paraId="5BC1D902" w14:textId="7ADAA7E3" w:rsidR="00EF4DC5" w:rsidRPr="00E45508" w:rsidRDefault="00EF4DC5" w:rsidP="00C44B4B">
      <w:pPr>
        <w:pStyle w:val="Heading3"/>
      </w:pPr>
      <w:bookmarkStart w:id="245" w:name="_Toc177126611"/>
      <w:bookmarkStart w:id="246" w:name="_Toc177493021"/>
      <w:bookmarkStart w:id="247" w:name="_Toc178230267"/>
      <w:r w:rsidRPr="00E45508">
        <w:t xml:space="preserve">Questions on </w:t>
      </w:r>
      <w:r w:rsidR="000274B5" w:rsidRPr="00E45508">
        <w:t xml:space="preserve">recyclable </w:t>
      </w:r>
      <w:r w:rsidRPr="00E45508">
        <w:t>packaging design</w:t>
      </w:r>
      <w:bookmarkEnd w:id="245"/>
      <w:bookmarkEnd w:id="246"/>
      <w:bookmarkEnd w:id="247"/>
      <w:r w:rsidRPr="00E45508">
        <w:t xml:space="preserve"> </w:t>
      </w:r>
    </w:p>
    <w:p w14:paraId="01923804" w14:textId="3E05C31F" w:rsidR="006746AC" w:rsidRPr="00E45508" w:rsidRDefault="006746AC" w:rsidP="009C1F84">
      <w:pPr>
        <w:pStyle w:val="ListBullet"/>
      </w:pPr>
      <w:r w:rsidRPr="00E45508">
        <w:t xml:space="preserve">What packaging materials </w:t>
      </w:r>
      <w:r w:rsidR="008670A5" w:rsidRPr="00E45508">
        <w:t xml:space="preserve">or </w:t>
      </w:r>
      <w:r w:rsidR="00F51601" w:rsidRPr="00E45508">
        <w:t xml:space="preserve">chemical </w:t>
      </w:r>
      <w:r w:rsidR="008670A5" w:rsidRPr="00E45508">
        <w:t xml:space="preserve">additives </w:t>
      </w:r>
      <w:r w:rsidRPr="00E45508">
        <w:t>impede recyclability or are not recyclable but are necessary for functionality?</w:t>
      </w:r>
    </w:p>
    <w:p w14:paraId="10EB9BB4" w14:textId="29D8BE08" w:rsidR="00F51601" w:rsidRPr="00E45508" w:rsidRDefault="00F51601" w:rsidP="009C1F84">
      <w:pPr>
        <w:pStyle w:val="ListBullet"/>
        <w:numPr>
          <w:ilvl w:val="1"/>
          <w:numId w:val="8"/>
        </w:numPr>
      </w:pPr>
      <w:r w:rsidRPr="00E45508">
        <w:t>Why are they necessary?</w:t>
      </w:r>
    </w:p>
    <w:p w14:paraId="617BA946" w14:textId="58C4CCA4" w:rsidR="006746AC" w:rsidRPr="00E45508" w:rsidRDefault="006746AC" w:rsidP="009C1F84">
      <w:pPr>
        <w:pStyle w:val="ListBullet"/>
        <w:numPr>
          <w:ilvl w:val="1"/>
          <w:numId w:val="8"/>
        </w:numPr>
      </w:pPr>
      <w:r w:rsidRPr="00E45508">
        <w:t>Are there alternatives?</w:t>
      </w:r>
    </w:p>
    <w:p w14:paraId="6019C8A2" w14:textId="1308A40C" w:rsidR="006746AC" w:rsidRPr="00E45508" w:rsidRDefault="006746AC" w:rsidP="009C1F84">
      <w:pPr>
        <w:pStyle w:val="ListBullet"/>
        <w:numPr>
          <w:ilvl w:val="1"/>
          <w:numId w:val="8"/>
        </w:numPr>
      </w:pPr>
      <w:r w:rsidRPr="00E45508">
        <w:t>What are the barriers to adopting the alternatives?</w:t>
      </w:r>
    </w:p>
    <w:p w14:paraId="2C366182" w14:textId="2972E450" w:rsidR="00F51601" w:rsidRPr="00E45508" w:rsidRDefault="00E85AC7" w:rsidP="009C1F84">
      <w:pPr>
        <w:pStyle w:val="ListBullet"/>
      </w:pPr>
      <w:r w:rsidRPr="00E45508">
        <w:t xml:space="preserve">Is the recovery, reprocessing or reuse of material disrupted </w:t>
      </w:r>
      <w:r w:rsidR="00EC710B" w:rsidRPr="00E45508">
        <w:t xml:space="preserve">by certain </w:t>
      </w:r>
      <w:r w:rsidR="00F51601" w:rsidRPr="00E45508">
        <w:t xml:space="preserve">packaging materials or chemical </w:t>
      </w:r>
      <w:r w:rsidR="00151F3D" w:rsidRPr="00E45508">
        <w:t>additives</w:t>
      </w:r>
      <w:r w:rsidR="00BE3467" w:rsidRPr="00E45508">
        <w:t>?</w:t>
      </w:r>
      <w:r w:rsidR="00151F3D" w:rsidRPr="00E45508">
        <w:t xml:space="preserve"> </w:t>
      </w:r>
      <w:r w:rsidR="0001258D" w:rsidRPr="00E45508">
        <w:t>What are these materials or chemical additives and</w:t>
      </w:r>
      <w:r w:rsidR="00F51601" w:rsidRPr="00E45508">
        <w:t xml:space="preserve"> </w:t>
      </w:r>
      <w:r w:rsidR="00151F3D" w:rsidRPr="00E45508">
        <w:t>what are the impacts?</w:t>
      </w:r>
    </w:p>
    <w:p w14:paraId="2BF28530" w14:textId="1E8E59C5" w:rsidR="000274B5" w:rsidRPr="00E45508" w:rsidRDefault="006746AC" w:rsidP="009C1F84">
      <w:pPr>
        <w:pStyle w:val="ListBullet"/>
      </w:pPr>
      <w:r w:rsidRPr="00E45508">
        <w:t xml:space="preserve">Is your packaging required to comply with other mandatory requirements that restrict </w:t>
      </w:r>
      <w:r w:rsidR="00C71A8F" w:rsidRPr="00E45508">
        <w:t>its</w:t>
      </w:r>
      <w:r w:rsidR="007513C2" w:rsidRPr="00E45508">
        <w:t xml:space="preserve"> </w:t>
      </w:r>
      <w:r w:rsidRPr="00E45508">
        <w:t>design? If so, please list these (e.g. tamper-proof packaging for therapeutic goods).</w:t>
      </w:r>
    </w:p>
    <w:p w14:paraId="0262B612" w14:textId="5616A6B1" w:rsidR="00B9344A" w:rsidRPr="00E45508" w:rsidRDefault="00B9344A" w:rsidP="009C1F84">
      <w:pPr>
        <w:pStyle w:val="ListBullet"/>
      </w:pPr>
      <w:r w:rsidRPr="00E45508">
        <w:t>Do you support a mandatory label on packaging which clearly indicates what can and can’t be recycled?</w:t>
      </w:r>
    </w:p>
    <w:p w14:paraId="4EB487F9" w14:textId="18826DC8" w:rsidR="0057175F" w:rsidRPr="00E45508" w:rsidRDefault="00B24314" w:rsidP="009C1F84">
      <w:pPr>
        <w:pStyle w:val="ListBullet"/>
      </w:pPr>
      <w:r w:rsidRPr="00E45508">
        <w:t>Have</w:t>
      </w:r>
      <w:r w:rsidR="00B9344A" w:rsidRPr="00E45508">
        <w:t xml:space="preserve"> you </w:t>
      </w:r>
      <w:r w:rsidRPr="00E45508">
        <w:t>undertaken</w:t>
      </w:r>
      <w:r w:rsidR="00B9344A" w:rsidRPr="00E45508">
        <w:t xml:space="preserve"> share life cycle analysis or related data or modelling demonstrating the environmental impacts of packaging materials?</w:t>
      </w:r>
    </w:p>
    <w:p w14:paraId="77E1841A" w14:textId="231ABB84" w:rsidR="00B85E92" w:rsidRPr="00E45508" w:rsidRDefault="00EF4DC5" w:rsidP="00C44B4B">
      <w:pPr>
        <w:pStyle w:val="Heading3"/>
      </w:pPr>
      <w:bookmarkStart w:id="248" w:name="_Toc177126612"/>
      <w:bookmarkStart w:id="249" w:name="_Toc177493022"/>
      <w:bookmarkStart w:id="250" w:name="_Toc178230268"/>
      <w:r w:rsidRPr="00E45508">
        <w:t xml:space="preserve">Questions on </w:t>
      </w:r>
      <w:r w:rsidR="00B85E92" w:rsidRPr="00E45508">
        <w:t>recycled content thresholds</w:t>
      </w:r>
      <w:bookmarkEnd w:id="248"/>
      <w:bookmarkEnd w:id="249"/>
      <w:bookmarkEnd w:id="250"/>
    </w:p>
    <w:p w14:paraId="0DFBF009" w14:textId="3A84F4BF" w:rsidR="00B85E92" w:rsidRPr="00E45508" w:rsidRDefault="007A4BAA" w:rsidP="009C1F84">
      <w:pPr>
        <w:pStyle w:val="ListBullet"/>
      </w:pPr>
      <w:r w:rsidRPr="00E45508">
        <w:t xml:space="preserve">With reference to </w:t>
      </w:r>
      <w:r w:rsidRPr="00E45508">
        <w:fldChar w:fldCharType="begin"/>
      </w:r>
      <w:r w:rsidRPr="00E45508">
        <w:instrText xml:space="preserve"> REF _Ref177990790 \h </w:instrText>
      </w:r>
      <w:r w:rsidRPr="00E45508">
        <w:fldChar w:fldCharType="separate"/>
      </w:r>
      <w:r w:rsidR="009A2EC4" w:rsidRPr="00E45508">
        <w:t xml:space="preserve">Table </w:t>
      </w:r>
      <w:r w:rsidR="009A2EC4">
        <w:rPr>
          <w:noProof/>
        </w:rPr>
        <w:t>17</w:t>
      </w:r>
      <w:r w:rsidR="009A2EC4" w:rsidRPr="00E45508">
        <w:t>: Proposed minimum post-consumer recycled content thresholds</w:t>
      </w:r>
      <w:r w:rsidRPr="00E45508">
        <w:fldChar w:fldCharType="end"/>
      </w:r>
      <w:r w:rsidRPr="00E45508">
        <w:t xml:space="preserve"> , </w:t>
      </w:r>
      <w:r w:rsidR="00EF4DC5" w:rsidRPr="00E45508">
        <w:t>what</w:t>
      </w:r>
      <w:r w:rsidRPr="00E45508">
        <w:t xml:space="preserve"> do you think about:</w:t>
      </w:r>
    </w:p>
    <w:p w14:paraId="37319AA1" w14:textId="6F27D354" w:rsidR="007A4BAA" w:rsidRPr="00E45508" w:rsidRDefault="007A4BAA" w:rsidP="009C1F84">
      <w:pPr>
        <w:pStyle w:val="ListBullet"/>
        <w:numPr>
          <w:ilvl w:val="1"/>
          <w:numId w:val="8"/>
        </w:numPr>
      </w:pPr>
      <w:r w:rsidRPr="00E45508">
        <w:t>The designated material categories used?</w:t>
      </w:r>
    </w:p>
    <w:p w14:paraId="007DBF87" w14:textId="63C2CE9A" w:rsidR="007A4BAA" w:rsidRPr="00E45508" w:rsidRDefault="007A4BAA" w:rsidP="009C1F84">
      <w:pPr>
        <w:pStyle w:val="ListBullet"/>
        <w:numPr>
          <w:ilvl w:val="1"/>
          <w:numId w:val="8"/>
        </w:numPr>
      </w:pPr>
      <w:r w:rsidRPr="00E45508">
        <w:t>Differentiating between non-food and food grade packaging?</w:t>
      </w:r>
    </w:p>
    <w:p w14:paraId="7D0F2456" w14:textId="5CE0F62D" w:rsidR="007A4BAA" w:rsidRPr="00E45508" w:rsidRDefault="007A4BAA" w:rsidP="009C1F84">
      <w:pPr>
        <w:pStyle w:val="ListBullet"/>
        <w:numPr>
          <w:ilvl w:val="1"/>
          <w:numId w:val="8"/>
        </w:numPr>
      </w:pPr>
      <w:r w:rsidRPr="00E45508">
        <w:t>The proposed thresholds for year</w:t>
      </w:r>
      <w:r w:rsidR="00421651" w:rsidRPr="00E45508">
        <w:t> 1</w:t>
      </w:r>
      <w:r w:rsidRPr="00E45508">
        <w:t xml:space="preserve"> and year</w:t>
      </w:r>
      <w:r w:rsidR="00421651" w:rsidRPr="00E45508">
        <w:t> 3</w:t>
      </w:r>
      <w:r w:rsidRPr="00E45508">
        <w:t>?</w:t>
      </w:r>
    </w:p>
    <w:p w14:paraId="387CB126" w14:textId="77777777" w:rsidR="0001258D" w:rsidRPr="00E45508" w:rsidRDefault="00BE3467" w:rsidP="009C1F84">
      <w:pPr>
        <w:pStyle w:val="ListBullet"/>
      </w:pPr>
      <w:r w:rsidRPr="00E45508">
        <w:t xml:space="preserve">What </w:t>
      </w:r>
      <w:r w:rsidRPr="002A3D73">
        <w:t>requirements, further to those outlined in the National Framework for Recycled Content Traceability, would need to be specified to support traceability and verification for mandatory recycled content thresholds in packaging?</w:t>
      </w:r>
    </w:p>
    <w:p w14:paraId="591CA9D7" w14:textId="469E7783" w:rsidR="00076050" w:rsidRPr="00E45508" w:rsidRDefault="009300EA" w:rsidP="009C1F84">
      <w:pPr>
        <w:pStyle w:val="ListBullet"/>
      </w:pPr>
      <w:r w:rsidRPr="00E45508">
        <w:t xml:space="preserve">Which </w:t>
      </w:r>
      <w:r w:rsidR="00463123" w:rsidRPr="00E45508">
        <w:t>approach to</w:t>
      </w:r>
      <w:r w:rsidRPr="00E45508">
        <w:t xml:space="preserve"> mass balance </w:t>
      </w:r>
      <w:r w:rsidR="00054005" w:rsidRPr="00E45508">
        <w:t>claims</w:t>
      </w:r>
      <w:r w:rsidRPr="00E45508">
        <w:t xml:space="preserve"> (free allocation, fuel exempt, polymer only, or proportional allocation) outlined in </w:t>
      </w:r>
      <w:r w:rsidR="00927EDE" w:rsidRPr="00E45508">
        <w:t xml:space="preserve">Section </w:t>
      </w:r>
      <w:r w:rsidRPr="00E45508">
        <w:fldChar w:fldCharType="begin"/>
      </w:r>
      <w:r w:rsidRPr="00E45508">
        <w:instrText xml:space="preserve"> REF _Ref177990936 \r \h </w:instrText>
      </w:r>
      <w:r w:rsidRPr="00E45508">
        <w:fldChar w:fldCharType="separate"/>
      </w:r>
      <w:r w:rsidR="009A2EC4">
        <w:t>5.11</w:t>
      </w:r>
      <w:r w:rsidRPr="00E45508">
        <w:fldChar w:fldCharType="end"/>
      </w:r>
      <w:r w:rsidRPr="00E45508">
        <w:t xml:space="preserve"> do you support? Why?</w:t>
      </w:r>
    </w:p>
    <w:p w14:paraId="504C97CD" w14:textId="4488913F" w:rsidR="009300EA" w:rsidRPr="00E45508" w:rsidRDefault="009300EA" w:rsidP="009C1F84">
      <w:pPr>
        <w:pStyle w:val="ListBullet"/>
      </w:pPr>
      <w:r w:rsidRPr="00E45508">
        <w:t>Do you support a mandatory recycled content label for packaging? If so, what level of detail should be included?</w:t>
      </w:r>
    </w:p>
    <w:p w14:paraId="773805C5" w14:textId="6DCFB7AB" w:rsidR="009300EA" w:rsidRPr="00E45508" w:rsidRDefault="00382E08" w:rsidP="00C44B4B">
      <w:pPr>
        <w:pStyle w:val="Heading3"/>
      </w:pPr>
      <w:bookmarkStart w:id="251" w:name="_Toc177126613"/>
      <w:bookmarkStart w:id="252" w:name="_Toc177126614"/>
      <w:bookmarkStart w:id="253" w:name="_Toc177493023"/>
      <w:bookmarkStart w:id="254" w:name="_Toc178230269"/>
      <w:bookmarkEnd w:id="251"/>
      <w:r w:rsidRPr="00E45508">
        <w:t xml:space="preserve">Questions on </w:t>
      </w:r>
      <w:r w:rsidR="00C05D4A" w:rsidRPr="00E45508">
        <w:t xml:space="preserve">why </w:t>
      </w:r>
      <w:r w:rsidRPr="00E45508">
        <w:t xml:space="preserve">packaging reform </w:t>
      </w:r>
      <w:r w:rsidR="00C05D4A" w:rsidRPr="00E45508">
        <w:t xml:space="preserve">is needed, its </w:t>
      </w:r>
      <w:r w:rsidRPr="00E45508">
        <w:t>objectives</w:t>
      </w:r>
      <w:r w:rsidR="00C05D4A" w:rsidRPr="00E45508">
        <w:t xml:space="preserve"> and </w:t>
      </w:r>
      <w:r w:rsidRPr="00E45508">
        <w:t>outcomes</w:t>
      </w:r>
      <w:bookmarkEnd w:id="252"/>
      <w:bookmarkEnd w:id="253"/>
      <w:bookmarkEnd w:id="254"/>
    </w:p>
    <w:p w14:paraId="4B6CB0AA" w14:textId="69A1D756" w:rsidR="00382E08" w:rsidRPr="00E45508" w:rsidRDefault="00C05D4A" w:rsidP="009C1F84">
      <w:pPr>
        <w:pStyle w:val="ListBullet"/>
      </w:pPr>
      <w:r w:rsidRPr="00E45508">
        <w:t xml:space="preserve">Do you </w:t>
      </w:r>
      <w:r w:rsidR="00887794" w:rsidRPr="00E45508">
        <w:t xml:space="preserve">have any additional information or data on the problems outlined in </w:t>
      </w:r>
      <w:r w:rsidR="00F670AA" w:rsidRPr="00E45508">
        <w:t>Chapter</w:t>
      </w:r>
      <w:r w:rsidR="00421651" w:rsidRPr="00E45508">
        <w:t> 3</w:t>
      </w:r>
      <w:r w:rsidRPr="00E45508">
        <w:t>?</w:t>
      </w:r>
    </w:p>
    <w:p w14:paraId="4FE5B373" w14:textId="37AD9818" w:rsidR="00783297" w:rsidRDefault="009C1A9C" w:rsidP="009C1F84">
      <w:pPr>
        <w:pStyle w:val="ListBullet"/>
      </w:pPr>
      <w:r w:rsidRPr="00E45508">
        <w:t xml:space="preserve">How important is it to you that packaging is </w:t>
      </w:r>
      <w:r w:rsidR="00DF74D8" w:rsidRPr="00E45508">
        <w:t xml:space="preserve">designed to be recycled or reused and </w:t>
      </w:r>
      <w:r w:rsidR="00CA1F74" w:rsidRPr="00E45508">
        <w:t>then</w:t>
      </w:r>
      <w:r w:rsidR="00FA3CF3" w:rsidRPr="00E45508">
        <w:t xml:space="preserve"> </w:t>
      </w:r>
      <w:r w:rsidR="00975D45" w:rsidRPr="00E45508">
        <w:t>recycled or reused in practice</w:t>
      </w:r>
      <w:r w:rsidR="00DF74D8" w:rsidRPr="00E45508">
        <w:t>?</w:t>
      </w:r>
    </w:p>
    <w:p w14:paraId="01FF6330" w14:textId="1A9B38FB" w:rsidR="009C1A9C" w:rsidRPr="00E45508" w:rsidRDefault="00B06882" w:rsidP="009C1F84">
      <w:pPr>
        <w:pStyle w:val="ListBullet"/>
      </w:pPr>
      <w:r w:rsidRPr="00E45508">
        <w:t xml:space="preserve">Do you support the proposed packaging reform objective outlined in </w:t>
      </w:r>
      <w:r w:rsidR="005E11B2" w:rsidRPr="00E45508">
        <w:t>Section 4.1</w:t>
      </w:r>
      <w:r w:rsidRPr="00E45508">
        <w:t>?</w:t>
      </w:r>
    </w:p>
    <w:p w14:paraId="7D53CB27" w14:textId="5A076693" w:rsidR="003B3B11" w:rsidRPr="00E45508" w:rsidRDefault="00B06882" w:rsidP="009C1F84">
      <w:pPr>
        <w:pStyle w:val="ListBullet"/>
      </w:pPr>
      <w:r w:rsidRPr="00E45508">
        <w:t xml:space="preserve">Do you support the proposed </w:t>
      </w:r>
      <w:r w:rsidR="005C5BAA" w:rsidRPr="00E45508">
        <w:t xml:space="preserve">packaging reform </w:t>
      </w:r>
      <w:r w:rsidRPr="00E45508">
        <w:t xml:space="preserve">outcomes outlined in </w:t>
      </w:r>
      <w:bookmarkStart w:id="255" w:name="_Toc177126615"/>
      <w:bookmarkStart w:id="256" w:name="_Toc177129267"/>
      <w:bookmarkStart w:id="257" w:name="_Toc177129472"/>
      <w:bookmarkStart w:id="258" w:name="_Toc177130872"/>
      <w:bookmarkEnd w:id="255"/>
      <w:bookmarkEnd w:id="256"/>
      <w:bookmarkEnd w:id="257"/>
      <w:bookmarkEnd w:id="258"/>
      <w:r w:rsidR="005E11B2" w:rsidRPr="00E45508">
        <w:t>Section 4.1</w:t>
      </w:r>
      <w:r w:rsidR="005C5BAA" w:rsidRPr="00E45508">
        <w:t>?</w:t>
      </w:r>
      <w:r w:rsidR="003B3B11" w:rsidRPr="00E45508">
        <w:br w:type="page"/>
      </w:r>
    </w:p>
    <w:p w14:paraId="54442471" w14:textId="11211C40" w:rsidR="00FE60A1" w:rsidRDefault="00210B37" w:rsidP="00705BE5">
      <w:pPr>
        <w:pStyle w:val="Heading2"/>
      </w:pPr>
      <w:bookmarkStart w:id="259" w:name="_Toc178230270"/>
      <w:bookmarkStart w:id="260" w:name="_Toc177126616"/>
      <w:bookmarkStart w:id="261" w:name="_Toc177493024"/>
      <w:r>
        <w:t xml:space="preserve">Next </w:t>
      </w:r>
      <w:r w:rsidR="009B5734">
        <w:t>steps</w:t>
      </w:r>
      <w:bookmarkEnd w:id="259"/>
    </w:p>
    <w:p w14:paraId="5D6C85B2" w14:textId="57E66CF6" w:rsidR="008E4743" w:rsidRDefault="007F0D98" w:rsidP="008E4743">
      <w:pPr>
        <w:rPr>
          <w:rFonts w:eastAsia="Calibri"/>
        </w:rPr>
      </w:pPr>
      <w:r w:rsidRPr="00E45508">
        <w:t xml:space="preserve">We are </w:t>
      </w:r>
      <w:r w:rsidR="00543389">
        <w:t xml:space="preserve">now </w:t>
      </w:r>
      <w:r w:rsidRPr="00E45508">
        <w:t>seeking your feedback</w:t>
      </w:r>
      <w:r w:rsidR="00FA2E3A">
        <w:t xml:space="preserve"> through</w:t>
      </w:r>
      <w:r w:rsidR="008E2C5F">
        <w:t xml:space="preserve"> the </w:t>
      </w:r>
      <w:r w:rsidR="003708BA">
        <w:t>department’s</w:t>
      </w:r>
      <w:r w:rsidR="008E2C5F" w:rsidRPr="00E45508">
        <w:rPr>
          <w:rFonts w:eastAsia="Calibri"/>
        </w:rPr>
        <w:t xml:space="preserve"> </w:t>
      </w:r>
      <w:hyperlink r:id="rId45" w:history="1">
        <w:r w:rsidR="003B3CE9" w:rsidRPr="0045716B">
          <w:rPr>
            <w:rStyle w:val="Hyperlink"/>
            <w:rFonts w:eastAsia="Calibri"/>
          </w:rPr>
          <w:t>Have Your Say</w:t>
        </w:r>
      </w:hyperlink>
      <w:r w:rsidR="003B3CE9" w:rsidRPr="00E45508">
        <w:rPr>
          <w:rFonts w:eastAsia="Calibri"/>
        </w:rPr>
        <w:t xml:space="preserve"> web</w:t>
      </w:r>
      <w:r w:rsidR="004B20D5">
        <w:rPr>
          <w:rFonts w:eastAsia="Calibri"/>
        </w:rPr>
        <w:t>site</w:t>
      </w:r>
      <w:r w:rsidR="003B3CE9" w:rsidRPr="00E45508">
        <w:rPr>
          <w:rFonts w:eastAsia="Calibri"/>
        </w:rPr>
        <w:t>.</w:t>
      </w:r>
    </w:p>
    <w:p w14:paraId="30E51249" w14:textId="36956E1A" w:rsidR="007F0D98" w:rsidRDefault="008A1B0E" w:rsidP="008E4743">
      <w:r w:rsidRPr="00374973">
        <w:t xml:space="preserve">To support government decision making on a preferred regulatory option, the department will </w:t>
      </w:r>
      <w:r>
        <w:t xml:space="preserve">evaluate </w:t>
      </w:r>
      <w:r w:rsidRPr="00374973">
        <w:t xml:space="preserve">feedback and </w:t>
      </w:r>
      <w:r>
        <w:t xml:space="preserve">the data </w:t>
      </w:r>
      <w:r w:rsidR="00F25634">
        <w:t>received</w:t>
      </w:r>
      <w:r w:rsidRPr="00374973">
        <w:t xml:space="preserve"> through this consultation</w:t>
      </w:r>
      <w:r>
        <w:t>, supported by further modelling where necessary</w:t>
      </w:r>
      <w:r w:rsidRPr="00374973">
        <w:t xml:space="preserve"> to identify the costs of each option on business, governments and the community</w:t>
      </w:r>
      <w:r w:rsidR="00184F96">
        <w:t>.</w:t>
      </w:r>
    </w:p>
    <w:p w14:paraId="4794986D" w14:textId="27AC85ED" w:rsidR="00622AB8" w:rsidRDefault="001B22DF" w:rsidP="00622AB8">
      <w:pPr>
        <w:spacing w:after="120" w:line="278" w:lineRule="auto"/>
      </w:pPr>
      <w:r>
        <w:t xml:space="preserve">Subject to </w:t>
      </w:r>
      <w:r w:rsidR="00100821">
        <w:t xml:space="preserve">the </w:t>
      </w:r>
      <w:r>
        <w:t>government’s</w:t>
      </w:r>
      <w:r w:rsidR="008606AC">
        <w:t xml:space="preserve"> consideration and</w:t>
      </w:r>
      <w:r>
        <w:t xml:space="preserve"> decision on a preferred regulatory option</w:t>
      </w:r>
      <w:r w:rsidR="000311A8">
        <w:t xml:space="preserve"> </w:t>
      </w:r>
      <w:r w:rsidR="004204D1">
        <w:t>in 2025</w:t>
      </w:r>
      <w:r>
        <w:t>,</w:t>
      </w:r>
      <w:r w:rsidR="00054426">
        <w:t xml:space="preserve"> </w:t>
      </w:r>
      <w:r w:rsidR="00983FB3">
        <w:t>there will be</w:t>
      </w:r>
      <w:r w:rsidR="007F0D98">
        <w:t xml:space="preserve"> sufficient lead time for business to prepare before they are enforced.</w:t>
      </w:r>
    </w:p>
    <w:p w14:paraId="3243F32D" w14:textId="3454D206" w:rsidR="0096681A" w:rsidRPr="0096681A" w:rsidRDefault="00CE4415" w:rsidP="0096681A">
      <w:pPr>
        <w:rPr>
          <w:lang w:eastAsia="ja-JP"/>
        </w:rPr>
      </w:pPr>
      <w:r>
        <w:rPr>
          <w:lang w:eastAsia="ja-JP"/>
        </w:rPr>
        <w:t>The department will continue to</w:t>
      </w:r>
      <w:r w:rsidR="00DA281A">
        <w:rPr>
          <w:lang w:eastAsia="ja-JP"/>
        </w:rPr>
        <w:t xml:space="preserve"> </w:t>
      </w:r>
      <w:r w:rsidR="00747339">
        <w:rPr>
          <w:lang w:eastAsia="ja-JP"/>
        </w:rPr>
        <w:t xml:space="preserve">work closely with stakeholders </w:t>
      </w:r>
      <w:r w:rsidR="68F08E15" w:rsidRPr="7495097E">
        <w:rPr>
          <w:lang w:eastAsia="ja-JP"/>
        </w:rPr>
        <w:t xml:space="preserve">and provide updates </w:t>
      </w:r>
      <w:r w:rsidR="00747339" w:rsidRPr="7495097E">
        <w:rPr>
          <w:lang w:eastAsia="ja-JP"/>
        </w:rPr>
        <w:t>as</w:t>
      </w:r>
      <w:r w:rsidR="00747339">
        <w:rPr>
          <w:lang w:eastAsia="ja-JP"/>
        </w:rPr>
        <w:t xml:space="preserve"> </w:t>
      </w:r>
      <w:r w:rsidR="4FE3F27C" w:rsidRPr="6C9A993F">
        <w:rPr>
          <w:lang w:eastAsia="ja-JP"/>
        </w:rPr>
        <w:t>the</w:t>
      </w:r>
      <w:r w:rsidR="00747339" w:rsidRPr="6C9A993F">
        <w:rPr>
          <w:lang w:eastAsia="ja-JP"/>
        </w:rPr>
        <w:t xml:space="preserve"> </w:t>
      </w:r>
      <w:r w:rsidR="00747339">
        <w:rPr>
          <w:lang w:eastAsia="ja-JP"/>
        </w:rPr>
        <w:t>reform progresses.</w:t>
      </w:r>
    </w:p>
    <w:p w14:paraId="297EB3C0" w14:textId="42C52868" w:rsidR="003773CD" w:rsidRPr="00E45508" w:rsidRDefault="00E512B0" w:rsidP="0096681A">
      <w:pPr>
        <w:pStyle w:val="Heading2"/>
        <w:numPr>
          <w:ilvl w:val="0"/>
          <w:numId w:val="0"/>
        </w:numPr>
        <w:ind w:left="771" w:hanging="771"/>
      </w:pPr>
      <w:bookmarkStart w:id="262" w:name="_Toc178230271"/>
      <w:r w:rsidRPr="00E45508">
        <w:t>Glossary</w:t>
      </w:r>
      <w:bookmarkStart w:id="263" w:name="_Toc174552730"/>
      <w:bookmarkStart w:id="264" w:name="_Toc174552732"/>
      <w:bookmarkStart w:id="265" w:name="_Toc174552734"/>
      <w:bookmarkStart w:id="266" w:name="_Toc174552736"/>
      <w:bookmarkStart w:id="267" w:name="_Toc174552743"/>
      <w:bookmarkStart w:id="268" w:name="_Toc174552745"/>
      <w:bookmarkStart w:id="269" w:name="_Toc174552747"/>
      <w:bookmarkStart w:id="270" w:name="_Toc174552750"/>
      <w:bookmarkStart w:id="271" w:name="_Toc174552752"/>
      <w:bookmarkStart w:id="272" w:name="_Toc174552754"/>
      <w:bookmarkStart w:id="273" w:name="_Toc174552763"/>
      <w:bookmarkStart w:id="274" w:name="_Toc174552764"/>
      <w:bookmarkStart w:id="275" w:name="_Toc174552766"/>
      <w:bookmarkStart w:id="276" w:name="_Toc174552768"/>
      <w:bookmarkStart w:id="277" w:name="_Toc174552771"/>
      <w:bookmarkStart w:id="278" w:name="_Toc174552774"/>
      <w:bookmarkStart w:id="279" w:name="_Toc174552778"/>
      <w:bookmarkStart w:id="280" w:name="_Toc174552781"/>
      <w:bookmarkStart w:id="281" w:name="_Toc174552783"/>
      <w:bookmarkStart w:id="282" w:name="_Toc174552785"/>
      <w:bookmarkStart w:id="283" w:name="_Toc174552786"/>
      <w:bookmarkStart w:id="284" w:name="_Toc174552798"/>
      <w:bookmarkEnd w:id="103"/>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tbl>
      <w:tblPr>
        <w:tblW w:w="5022" w:type="pct"/>
        <w:tblInd w:w="-40" w:type="dxa"/>
        <w:tblBorders>
          <w:top w:val="single" w:sz="6" w:space="0" w:color="auto"/>
          <w:bottom w:val="single" w:sz="4" w:space="0" w:color="auto"/>
          <w:insideH w:val="single" w:sz="4" w:space="0" w:color="auto"/>
        </w:tblBorders>
        <w:tblCellMar>
          <w:left w:w="40" w:type="dxa"/>
          <w:right w:w="40" w:type="dxa"/>
        </w:tblCellMar>
        <w:tblLook w:val="06A0" w:firstRow="1" w:lastRow="0" w:firstColumn="1" w:lastColumn="0" w:noHBand="1" w:noVBand="1"/>
      </w:tblPr>
      <w:tblGrid>
        <w:gridCol w:w="1884"/>
        <w:gridCol w:w="7226"/>
      </w:tblGrid>
      <w:tr w:rsidR="00F92CB0" w:rsidRPr="00E45508" w14:paraId="39820C75" w14:textId="77777777" w:rsidTr="146DC098">
        <w:trPr>
          <w:cantSplit/>
          <w:trHeight w:val="300"/>
          <w:tblHeader/>
        </w:trPr>
        <w:tc>
          <w:tcPr>
            <w:tcW w:w="1034" w:type="pct"/>
            <w:tcMar>
              <w:left w:w="108" w:type="dxa"/>
              <w:right w:w="108" w:type="dxa"/>
            </w:tcMar>
          </w:tcPr>
          <w:p w14:paraId="7CC2A131" w14:textId="6E324421" w:rsidR="003773CD" w:rsidRPr="00E45508" w:rsidRDefault="003773CD" w:rsidP="000E6CC5">
            <w:pPr>
              <w:pStyle w:val="Tabletext0"/>
              <w:rPr>
                <w:b/>
              </w:rPr>
            </w:pPr>
            <w:r w:rsidRPr="00E45508">
              <w:rPr>
                <w:b/>
              </w:rPr>
              <w:t>Term</w:t>
            </w:r>
          </w:p>
        </w:tc>
        <w:tc>
          <w:tcPr>
            <w:tcW w:w="3966" w:type="pct"/>
            <w:tcMar>
              <w:left w:w="108" w:type="dxa"/>
              <w:right w:w="108" w:type="dxa"/>
            </w:tcMar>
          </w:tcPr>
          <w:p w14:paraId="51AEC9D7" w14:textId="739E8C1B" w:rsidR="003773CD" w:rsidRPr="00E45508" w:rsidRDefault="003773CD" w:rsidP="000E6CC5">
            <w:pPr>
              <w:pStyle w:val="Tabletext0"/>
              <w:rPr>
                <w:b/>
              </w:rPr>
            </w:pPr>
            <w:r w:rsidRPr="00E45508">
              <w:rPr>
                <w:b/>
              </w:rPr>
              <w:t>Definition</w:t>
            </w:r>
          </w:p>
        </w:tc>
      </w:tr>
      <w:tr w:rsidR="00F92CB0" w:rsidRPr="00E45508" w14:paraId="0B5EE1F1" w14:textId="77777777" w:rsidTr="00092E7A">
        <w:trPr>
          <w:cantSplit/>
          <w:trHeight w:val="300"/>
        </w:trPr>
        <w:tc>
          <w:tcPr>
            <w:tcW w:w="1034" w:type="pct"/>
            <w:tcMar>
              <w:left w:w="108" w:type="dxa"/>
              <w:right w:w="108" w:type="dxa"/>
            </w:tcMar>
          </w:tcPr>
          <w:p w14:paraId="4D24A5B1" w14:textId="3F32402E" w:rsidR="003773CD" w:rsidRPr="00E45508" w:rsidRDefault="003773CD" w:rsidP="000E6CC5">
            <w:pPr>
              <w:pStyle w:val="Tabletext0"/>
              <w:rPr>
                <w:b/>
              </w:rPr>
            </w:pPr>
            <w:r w:rsidRPr="00E45508">
              <w:rPr>
                <w:b/>
              </w:rPr>
              <w:t>Advanced recycling</w:t>
            </w:r>
          </w:p>
        </w:tc>
        <w:tc>
          <w:tcPr>
            <w:tcW w:w="3966" w:type="pct"/>
            <w:tcMar>
              <w:left w:w="108" w:type="dxa"/>
              <w:right w:w="108" w:type="dxa"/>
            </w:tcMar>
          </w:tcPr>
          <w:p w14:paraId="11F55231" w14:textId="3C392B33" w:rsidR="003773CD" w:rsidRPr="00E45508" w:rsidRDefault="003773CD" w:rsidP="000E6CC5">
            <w:pPr>
              <w:pStyle w:val="Tabletext0"/>
            </w:pPr>
            <w:r w:rsidRPr="00E45508">
              <w:t>Changing the chemical structure of a material or substance, with processes such as cracking and gasification, to produce monomers or new raw materials.</w:t>
            </w:r>
          </w:p>
        </w:tc>
      </w:tr>
      <w:tr w:rsidR="00F92CB0" w:rsidRPr="00E45508" w14:paraId="708CD040" w14:textId="77777777" w:rsidTr="00092E7A">
        <w:trPr>
          <w:cantSplit/>
          <w:trHeight w:val="300"/>
        </w:trPr>
        <w:tc>
          <w:tcPr>
            <w:tcW w:w="1034" w:type="pct"/>
            <w:tcMar>
              <w:left w:w="108" w:type="dxa"/>
              <w:right w:w="108" w:type="dxa"/>
            </w:tcMar>
          </w:tcPr>
          <w:p w14:paraId="520EA09C" w14:textId="1FF8B176" w:rsidR="003773CD" w:rsidRPr="00E45508" w:rsidRDefault="003773CD" w:rsidP="000E6CC5">
            <w:pPr>
              <w:pStyle w:val="Tabletext0"/>
              <w:rPr>
                <w:b/>
              </w:rPr>
            </w:pPr>
            <w:r w:rsidRPr="00E45508">
              <w:rPr>
                <w:b/>
              </w:rPr>
              <w:t>APCO</w:t>
            </w:r>
          </w:p>
        </w:tc>
        <w:tc>
          <w:tcPr>
            <w:tcW w:w="3966" w:type="pct"/>
            <w:tcMar>
              <w:left w:w="108" w:type="dxa"/>
              <w:right w:w="108" w:type="dxa"/>
            </w:tcMar>
          </w:tcPr>
          <w:p w14:paraId="16345425" w14:textId="406AFD6B" w:rsidR="003773CD" w:rsidRPr="00E45508" w:rsidRDefault="003773CD" w:rsidP="000E6CC5">
            <w:pPr>
              <w:pStyle w:val="Tabletext0"/>
            </w:pPr>
            <w:r w:rsidRPr="00E45508">
              <w:t>Australian Packaging Covenant Organisation</w:t>
            </w:r>
          </w:p>
        </w:tc>
      </w:tr>
      <w:tr w:rsidR="00F92CB0" w:rsidRPr="00E45508" w14:paraId="77F56648" w14:textId="77777777" w:rsidTr="00092E7A">
        <w:trPr>
          <w:cantSplit/>
          <w:trHeight w:val="300"/>
        </w:trPr>
        <w:tc>
          <w:tcPr>
            <w:tcW w:w="1034" w:type="pct"/>
            <w:tcMar>
              <w:left w:w="108" w:type="dxa"/>
              <w:right w:w="108" w:type="dxa"/>
            </w:tcMar>
          </w:tcPr>
          <w:p w14:paraId="651E2C05" w14:textId="12AB2EE7" w:rsidR="003773CD" w:rsidRPr="00E45508" w:rsidRDefault="003773CD" w:rsidP="000E6CC5">
            <w:pPr>
              <w:pStyle w:val="Tabletext0"/>
              <w:rPr>
                <w:b/>
              </w:rPr>
            </w:pPr>
            <w:r w:rsidRPr="00E45508">
              <w:rPr>
                <w:b/>
              </w:rPr>
              <w:t>ARL</w:t>
            </w:r>
          </w:p>
        </w:tc>
        <w:tc>
          <w:tcPr>
            <w:tcW w:w="3966" w:type="pct"/>
            <w:tcMar>
              <w:left w:w="108" w:type="dxa"/>
              <w:right w:w="108" w:type="dxa"/>
            </w:tcMar>
          </w:tcPr>
          <w:p w14:paraId="518BB6EC" w14:textId="5F308286" w:rsidR="003773CD" w:rsidRPr="00E45508" w:rsidRDefault="003773CD" w:rsidP="000E6CC5">
            <w:pPr>
              <w:pStyle w:val="Tabletext0"/>
            </w:pPr>
            <w:r w:rsidRPr="00E45508">
              <w:t>Australasian Recycling Label</w:t>
            </w:r>
          </w:p>
        </w:tc>
      </w:tr>
      <w:tr w:rsidR="00F92CB0" w:rsidRPr="00E45508" w14:paraId="24787C90" w14:textId="77777777" w:rsidTr="00092E7A">
        <w:trPr>
          <w:cantSplit/>
          <w:trHeight w:val="300"/>
        </w:trPr>
        <w:tc>
          <w:tcPr>
            <w:tcW w:w="1034" w:type="pct"/>
            <w:tcMar>
              <w:left w:w="108" w:type="dxa"/>
              <w:right w:w="108" w:type="dxa"/>
            </w:tcMar>
          </w:tcPr>
          <w:p w14:paraId="1C61BD3D" w14:textId="64AC25CA" w:rsidR="003773CD" w:rsidRPr="00E45508" w:rsidRDefault="003773CD" w:rsidP="000E6CC5">
            <w:pPr>
              <w:pStyle w:val="Tabletext0"/>
              <w:rPr>
                <w:b/>
              </w:rPr>
            </w:pPr>
            <w:r w:rsidRPr="00E45508">
              <w:rPr>
                <w:b/>
              </w:rPr>
              <w:t>B2B</w:t>
            </w:r>
          </w:p>
        </w:tc>
        <w:tc>
          <w:tcPr>
            <w:tcW w:w="3966" w:type="pct"/>
            <w:tcMar>
              <w:left w:w="108" w:type="dxa"/>
              <w:right w:w="108" w:type="dxa"/>
            </w:tcMar>
          </w:tcPr>
          <w:p w14:paraId="6CA581FB" w14:textId="1EC241A6" w:rsidR="003773CD" w:rsidRPr="00E45508" w:rsidRDefault="003773CD" w:rsidP="000E6CC5">
            <w:pPr>
              <w:pStyle w:val="Tabletext0"/>
            </w:pPr>
            <w:r w:rsidRPr="00E45508">
              <w:t>Business-to-business packaging. Packaging where the end customer, prior to the packaging reaching end of life, is a business or institution. Includes the secondary or tertiary packaging that is used in the transport of goods between businesses.</w:t>
            </w:r>
          </w:p>
        </w:tc>
      </w:tr>
      <w:tr w:rsidR="00F92CB0" w:rsidRPr="00E45508" w14:paraId="0F630D6B" w14:textId="77777777" w:rsidTr="00092E7A">
        <w:trPr>
          <w:cantSplit/>
          <w:trHeight w:val="300"/>
        </w:trPr>
        <w:tc>
          <w:tcPr>
            <w:tcW w:w="1034" w:type="pct"/>
            <w:tcMar>
              <w:left w:w="108" w:type="dxa"/>
              <w:right w:w="108" w:type="dxa"/>
            </w:tcMar>
          </w:tcPr>
          <w:p w14:paraId="3D4F55E3" w14:textId="1B8F958C" w:rsidR="003773CD" w:rsidRPr="00E45508" w:rsidRDefault="003773CD" w:rsidP="000E6CC5">
            <w:pPr>
              <w:pStyle w:val="Tabletext0"/>
              <w:rPr>
                <w:b/>
              </w:rPr>
            </w:pPr>
            <w:r w:rsidRPr="00E45508">
              <w:rPr>
                <w:b/>
              </w:rPr>
              <w:t>B2C</w:t>
            </w:r>
          </w:p>
        </w:tc>
        <w:tc>
          <w:tcPr>
            <w:tcW w:w="3966" w:type="pct"/>
            <w:tcMar>
              <w:left w:w="108" w:type="dxa"/>
              <w:right w:w="108" w:type="dxa"/>
            </w:tcMar>
          </w:tcPr>
          <w:p w14:paraId="279EBA6F" w14:textId="45FB0702" w:rsidR="003773CD" w:rsidRPr="00E45508" w:rsidRDefault="003773CD" w:rsidP="000E6CC5">
            <w:pPr>
              <w:pStyle w:val="Tabletext0"/>
            </w:pPr>
            <w:r w:rsidRPr="00E45508">
              <w:t>Business-to-consumer packaging. Packaging where the end customer, prior to the packaging reaching end of life, is a consumer (i.e. a person).</w:t>
            </w:r>
          </w:p>
        </w:tc>
      </w:tr>
      <w:tr w:rsidR="00F92CB0" w:rsidRPr="00E45508" w14:paraId="09D03065" w14:textId="77777777" w:rsidTr="00092E7A">
        <w:trPr>
          <w:cantSplit/>
          <w:trHeight w:val="300"/>
        </w:trPr>
        <w:tc>
          <w:tcPr>
            <w:tcW w:w="1034" w:type="pct"/>
            <w:tcMar>
              <w:left w:w="108" w:type="dxa"/>
              <w:right w:w="108" w:type="dxa"/>
            </w:tcMar>
          </w:tcPr>
          <w:p w14:paraId="66067439" w14:textId="632F8991" w:rsidR="003773CD" w:rsidRPr="00E45508" w:rsidRDefault="00AA2BAD" w:rsidP="000E6CC5">
            <w:pPr>
              <w:pStyle w:val="Tabletext0"/>
              <w:rPr>
                <w:b/>
              </w:rPr>
            </w:pPr>
            <w:r w:rsidRPr="00E45508">
              <w:rPr>
                <w:b/>
              </w:rPr>
              <w:t>Brand owner</w:t>
            </w:r>
          </w:p>
        </w:tc>
        <w:tc>
          <w:tcPr>
            <w:tcW w:w="3966" w:type="pct"/>
            <w:tcMar>
              <w:left w:w="108" w:type="dxa"/>
              <w:right w:w="108" w:type="dxa"/>
            </w:tcMar>
          </w:tcPr>
          <w:p w14:paraId="20A58AF2" w14:textId="3B57C45B" w:rsidR="003773CD" w:rsidRPr="00E45508" w:rsidRDefault="00F4677F" w:rsidP="000E6CC5">
            <w:pPr>
              <w:pStyle w:val="Tabletext0"/>
            </w:pPr>
            <w:r>
              <w:t xml:space="preserve">This term is defined in </w:t>
            </w:r>
            <w:r w:rsidR="00187555">
              <w:t>section</w:t>
            </w:r>
            <w:r w:rsidR="00421651" w:rsidRPr="00E45508">
              <w:t> 3</w:t>
            </w:r>
            <w:r>
              <w:t xml:space="preserve"> of the </w:t>
            </w:r>
            <w:hyperlink r:id="rId46" w:history="1">
              <w:r w:rsidR="006066F2" w:rsidRPr="006066F2">
                <w:rPr>
                  <w:rStyle w:val="Hyperlink"/>
                </w:rPr>
                <w:t>National Environment Protection (Used Packaging Materials) Measure 2011</w:t>
              </w:r>
            </w:hyperlink>
            <w:r w:rsidR="003D4897" w:rsidRPr="00E45508">
              <w:t>.</w:t>
            </w:r>
          </w:p>
        </w:tc>
      </w:tr>
      <w:tr w:rsidR="00F92CB0" w:rsidRPr="00E45508" w14:paraId="6A417CC6" w14:textId="77777777" w:rsidTr="00092E7A">
        <w:trPr>
          <w:cantSplit/>
          <w:trHeight w:val="300"/>
        </w:trPr>
        <w:tc>
          <w:tcPr>
            <w:tcW w:w="1034" w:type="pct"/>
            <w:tcMar>
              <w:left w:w="108" w:type="dxa"/>
              <w:right w:w="108" w:type="dxa"/>
            </w:tcMar>
          </w:tcPr>
          <w:p w14:paraId="1646AE74" w14:textId="430D2131" w:rsidR="00173D76" w:rsidRPr="00E45508" w:rsidRDefault="00173D76" w:rsidP="000E6CC5">
            <w:pPr>
              <w:pStyle w:val="Tabletext0"/>
              <w:rPr>
                <w:b/>
              </w:rPr>
            </w:pPr>
            <w:r w:rsidRPr="00E45508">
              <w:rPr>
                <w:b/>
              </w:rPr>
              <w:t>Carbon black</w:t>
            </w:r>
          </w:p>
        </w:tc>
        <w:tc>
          <w:tcPr>
            <w:tcW w:w="3966" w:type="pct"/>
            <w:tcMar>
              <w:left w:w="108" w:type="dxa"/>
              <w:right w:w="108" w:type="dxa"/>
            </w:tcMar>
          </w:tcPr>
          <w:p w14:paraId="309F4C5E" w14:textId="2A203BFE" w:rsidR="00173D76" w:rsidRPr="00E45508" w:rsidRDefault="00844B6A" w:rsidP="000E6CC5">
            <w:pPr>
              <w:pStyle w:val="Tabletext0"/>
            </w:pPr>
            <w:r w:rsidRPr="00E45508">
              <w:t xml:space="preserve">A common colouring agent used to create dark colours in packaging. Carbon black </w:t>
            </w:r>
            <w:r w:rsidR="002D00A9" w:rsidRPr="00E45508">
              <w:t xml:space="preserve">absorbs UV light rather than reflecting it </w:t>
            </w:r>
            <w:r w:rsidR="007F5B85" w:rsidRPr="00E45508">
              <w:t>mak</w:t>
            </w:r>
            <w:r w:rsidR="00773007" w:rsidRPr="00E45508">
              <w:t>ing</w:t>
            </w:r>
            <w:r w:rsidR="007F5B85" w:rsidRPr="00E45508">
              <w:t xml:space="preserve"> it difficult for </w:t>
            </w:r>
            <w:r w:rsidR="000D7D19" w:rsidRPr="00E45508">
              <w:t xml:space="preserve">near-infrared </w:t>
            </w:r>
            <w:r w:rsidR="002071C4" w:rsidRPr="00E45508">
              <w:t>scanners us</w:t>
            </w:r>
            <w:r w:rsidR="005F546D" w:rsidRPr="00E45508">
              <w:t>e</w:t>
            </w:r>
            <w:r w:rsidR="007005DA" w:rsidRPr="00E45508">
              <w:t xml:space="preserve">d in </w:t>
            </w:r>
            <w:r w:rsidR="00111729" w:rsidRPr="00E45508">
              <w:t>MRFs and processing facilities t</w:t>
            </w:r>
            <w:r w:rsidR="003833F2" w:rsidRPr="00E45508">
              <w:t xml:space="preserve">o </w:t>
            </w:r>
            <w:r w:rsidR="00DF1093" w:rsidRPr="00E45508">
              <w:t>identify and segregate waste streams.</w:t>
            </w:r>
          </w:p>
        </w:tc>
      </w:tr>
      <w:tr w:rsidR="00F92CB0" w:rsidRPr="00E45508" w14:paraId="2D0408CE" w14:textId="77777777" w:rsidTr="00092E7A">
        <w:trPr>
          <w:cantSplit/>
          <w:trHeight w:val="300"/>
        </w:trPr>
        <w:tc>
          <w:tcPr>
            <w:tcW w:w="1034" w:type="pct"/>
            <w:tcMar>
              <w:left w:w="108" w:type="dxa"/>
              <w:right w:w="108" w:type="dxa"/>
            </w:tcMar>
          </w:tcPr>
          <w:p w14:paraId="12DD5B4D" w14:textId="0758B6D5" w:rsidR="003773CD" w:rsidRPr="00E45508" w:rsidRDefault="00AA2BAD" w:rsidP="000E6CC5">
            <w:pPr>
              <w:pStyle w:val="Tabletext0"/>
              <w:rPr>
                <w:b/>
              </w:rPr>
            </w:pPr>
            <w:r w:rsidRPr="00E45508">
              <w:rPr>
                <w:b/>
              </w:rPr>
              <w:t>CDS</w:t>
            </w:r>
          </w:p>
        </w:tc>
        <w:tc>
          <w:tcPr>
            <w:tcW w:w="3966" w:type="pct"/>
            <w:tcMar>
              <w:left w:w="108" w:type="dxa"/>
              <w:right w:w="108" w:type="dxa"/>
            </w:tcMar>
          </w:tcPr>
          <w:p w14:paraId="51044CD3" w14:textId="27AAE5EC" w:rsidR="003773CD" w:rsidRPr="00E45508" w:rsidRDefault="00AA2BAD" w:rsidP="000E6CC5">
            <w:pPr>
              <w:pStyle w:val="Tabletext0"/>
            </w:pPr>
            <w:r w:rsidRPr="00E45508">
              <w:t>Container Deposit Scheme</w:t>
            </w:r>
          </w:p>
        </w:tc>
      </w:tr>
      <w:tr w:rsidR="00F92CB0" w:rsidRPr="00E45508" w14:paraId="309D326E" w14:textId="77777777" w:rsidTr="00092E7A">
        <w:trPr>
          <w:cantSplit/>
          <w:trHeight w:val="300"/>
        </w:trPr>
        <w:tc>
          <w:tcPr>
            <w:tcW w:w="1034" w:type="pct"/>
            <w:tcMar>
              <w:left w:w="108" w:type="dxa"/>
              <w:right w:w="108" w:type="dxa"/>
            </w:tcMar>
          </w:tcPr>
          <w:p w14:paraId="0ED28BA0" w14:textId="4ACB5238" w:rsidR="003773CD" w:rsidRPr="00E45508" w:rsidRDefault="00AA2BAD" w:rsidP="000E6CC5">
            <w:pPr>
              <w:pStyle w:val="Tabletext0"/>
              <w:rPr>
                <w:b/>
              </w:rPr>
            </w:pPr>
            <w:r w:rsidRPr="00E45508">
              <w:rPr>
                <w:b/>
              </w:rPr>
              <w:t>Chain of custody</w:t>
            </w:r>
          </w:p>
        </w:tc>
        <w:tc>
          <w:tcPr>
            <w:tcW w:w="3966" w:type="pct"/>
            <w:tcMar>
              <w:left w:w="108" w:type="dxa"/>
              <w:right w:w="108" w:type="dxa"/>
            </w:tcMar>
          </w:tcPr>
          <w:p w14:paraId="3E4322DC" w14:textId="07144329" w:rsidR="003773CD" w:rsidRPr="00E45508" w:rsidRDefault="00AA2BAD" w:rsidP="000E6CC5">
            <w:pPr>
              <w:pStyle w:val="Tabletext0"/>
            </w:pPr>
            <w:r w:rsidRPr="00E45508">
              <w:t>Consistent with ISO</w:t>
            </w:r>
            <w:r w:rsidR="00421651" w:rsidRPr="00E45508">
              <w:t> 2</w:t>
            </w:r>
            <w:r w:rsidRPr="00E45508">
              <w:t>2095:2020, chain of custody describes the rules for managing recycled materials, to ensure their characteristics remain transparent through the supply chain and can be accounted for in the final recycled content goods.</w:t>
            </w:r>
          </w:p>
        </w:tc>
      </w:tr>
      <w:tr w:rsidR="00F92CB0" w:rsidRPr="00E45508" w14:paraId="6EB05074" w14:textId="77777777" w:rsidTr="00092E7A">
        <w:trPr>
          <w:cantSplit/>
          <w:trHeight w:val="300"/>
        </w:trPr>
        <w:tc>
          <w:tcPr>
            <w:tcW w:w="1034" w:type="pct"/>
            <w:tcMar>
              <w:left w:w="108" w:type="dxa"/>
              <w:right w:w="108" w:type="dxa"/>
            </w:tcMar>
          </w:tcPr>
          <w:p w14:paraId="19A47E01" w14:textId="45AE68A6" w:rsidR="003773CD" w:rsidRPr="00E45508" w:rsidRDefault="00AA2BAD" w:rsidP="000E6CC5">
            <w:pPr>
              <w:pStyle w:val="Tabletext0"/>
              <w:rPr>
                <w:b/>
              </w:rPr>
            </w:pPr>
            <w:r w:rsidRPr="00E45508">
              <w:rPr>
                <w:b/>
              </w:rPr>
              <w:t>Chemicals of concern</w:t>
            </w:r>
          </w:p>
        </w:tc>
        <w:tc>
          <w:tcPr>
            <w:tcW w:w="3966" w:type="pct"/>
            <w:tcMar>
              <w:left w:w="108" w:type="dxa"/>
              <w:right w:w="108" w:type="dxa"/>
            </w:tcMar>
          </w:tcPr>
          <w:p w14:paraId="5682B03F" w14:textId="1FF86FB0" w:rsidR="003773CD" w:rsidRPr="00E45508" w:rsidRDefault="00AA2BAD" w:rsidP="000E6CC5">
            <w:pPr>
              <w:pStyle w:val="Tabletext0"/>
            </w:pPr>
            <w:r w:rsidRPr="00E45508">
              <w:t>Concern is a measure of the potential consequences of a chemical substance being used in Australia. Concern includes consideration of the risk to the environment, the inherent hazard characteristics of a chemical substance, and relevant social and economic impacts for a chemical’s use.</w:t>
            </w:r>
          </w:p>
        </w:tc>
      </w:tr>
      <w:tr w:rsidR="00F92CB0" w:rsidRPr="00E45508" w14:paraId="09408C1D" w14:textId="77777777" w:rsidTr="00092E7A">
        <w:trPr>
          <w:cantSplit/>
          <w:trHeight w:val="300"/>
        </w:trPr>
        <w:tc>
          <w:tcPr>
            <w:tcW w:w="1034" w:type="pct"/>
            <w:tcMar>
              <w:left w:w="108" w:type="dxa"/>
              <w:right w:w="108" w:type="dxa"/>
            </w:tcMar>
          </w:tcPr>
          <w:p w14:paraId="7D0B5DBC" w14:textId="1C6D27CD" w:rsidR="003773CD" w:rsidRPr="00E45508" w:rsidRDefault="00AA2BAD" w:rsidP="000E6CC5">
            <w:pPr>
              <w:pStyle w:val="Tabletext0"/>
              <w:rPr>
                <w:b/>
              </w:rPr>
            </w:pPr>
            <w:r w:rsidRPr="00E45508">
              <w:rPr>
                <w:b/>
              </w:rPr>
              <w:t>Circular economy</w:t>
            </w:r>
          </w:p>
        </w:tc>
        <w:tc>
          <w:tcPr>
            <w:tcW w:w="3966" w:type="pct"/>
            <w:tcMar>
              <w:left w:w="108" w:type="dxa"/>
              <w:right w:w="108" w:type="dxa"/>
            </w:tcMar>
          </w:tcPr>
          <w:p w14:paraId="3817EF35" w14:textId="28DA2EB3" w:rsidR="003773CD" w:rsidRPr="00E45508" w:rsidRDefault="00AA2BAD" w:rsidP="000E6CC5">
            <w:pPr>
              <w:pStyle w:val="Tabletext0"/>
            </w:pPr>
            <w:r w:rsidRPr="00E45508">
              <w:t>An economic model that promotes sustainable and efficient use of resources. It shifts away from the linear ‘take, make, waste’ consumption model to an approach where the value of resources is maintained in the economy for as long as possible</w:t>
            </w:r>
            <w:r w:rsidR="003B1408" w:rsidRPr="00E45508">
              <w:t xml:space="preserve"> (DCCEEW</w:t>
            </w:r>
            <w:r w:rsidR="00421651" w:rsidRPr="00E45508">
              <w:t> 2</w:t>
            </w:r>
            <w:r w:rsidR="003B1408" w:rsidRPr="00E45508">
              <w:t>024</w:t>
            </w:r>
            <w:r w:rsidR="001700FA">
              <w:t>a</w:t>
            </w:r>
            <w:r w:rsidR="006A0F6C" w:rsidRPr="00E45508">
              <w:t>)</w:t>
            </w:r>
            <w:r w:rsidRPr="00E45508">
              <w:t>.</w:t>
            </w:r>
          </w:p>
        </w:tc>
      </w:tr>
      <w:tr w:rsidR="00F92CB0" w:rsidRPr="00E45508" w14:paraId="562FE167" w14:textId="77777777" w:rsidTr="00092E7A">
        <w:trPr>
          <w:cantSplit/>
          <w:trHeight w:val="300"/>
        </w:trPr>
        <w:tc>
          <w:tcPr>
            <w:tcW w:w="1034" w:type="pct"/>
            <w:tcMar>
              <w:left w:w="108" w:type="dxa"/>
              <w:right w:w="108" w:type="dxa"/>
            </w:tcMar>
          </w:tcPr>
          <w:p w14:paraId="0C4BEF6F" w14:textId="24C6EE21" w:rsidR="003773CD" w:rsidRPr="00E45508" w:rsidRDefault="00AA2BAD" w:rsidP="000E6CC5">
            <w:pPr>
              <w:pStyle w:val="Tabletext0"/>
              <w:rPr>
                <w:b/>
              </w:rPr>
            </w:pPr>
            <w:r w:rsidRPr="00E45508">
              <w:rPr>
                <w:b/>
              </w:rPr>
              <w:t>Circularity</w:t>
            </w:r>
          </w:p>
        </w:tc>
        <w:tc>
          <w:tcPr>
            <w:tcW w:w="3966" w:type="pct"/>
            <w:tcMar>
              <w:left w:w="108" w:type="dxa"/>
              <w:right w:w="108" w:type="dxa"/>
            </w:tcMar>
          </w:tcPr>
          <w:p w14:paraId="582D1FF5" w14:textId="2E21F0A4" w:rsidR="003773CD" w:rsidRPr="00E45508" w:rsidRDefault="00E279FA" w:rsidP="000E6CC5">
            <w:pPr>
              <w:pStyle w:val="Tabletext0"/>
            </w:pPr>
            <w:r w:rsidRPr="00E45508">
              <w:rPr>
                <w:rFonts w:eastAsiaTheme="minorHAnsi"/>
              </w:rPr>
              <w:t>A system or process where products and the materials they contain are valued, used efficiently, recovered, and waste is avoided or reduced to a minimum</w:t>
            </w:r>
            <w:r w:rsidR="008149C8" w:rsidRPr="00E45508">
              <w:rPr>
                <w:rFonts w:eastAsiaTheme="minorHAnsi"/>
              </w:rPr>
              <w:t xml:space="preserve"> (</w:t>
            </w:r>
            <w:r w:rsidR="00854B6B" w:rsidRPr="00E45508">
              <w:rPr>
                <w:rFonts w:eastAsiaTheme="minorHAnsi"/>
              </w:rPr>
              <w:t>EPRS</w:t>
            </w:r>
            <w:r w:rsidR="00421651" w:rsidRPr="00E45508">
              <w:rPr>
                <w:rFonts w:eastAsiaTheme="minorHAnsi"/>
              </w:rPr>
              <w:t> 2</w:t>
            </w:r>
            <w:r w:rsidR="008149C8" w:rsidRPr="00E45508">
              <w:rPr>
                <w:rFonts w:eastAsiaTheme="minorHAnsi"/>
              </w:rPr>
              <w:t>016)</w:t>
            </w:r>
            <w:r w:rsidR="00D46526" w:rsidRPr="00E45508">
              <w:t>.</w:t>
            </w:r>
          </w:p>
        </w:tc>
      </w:tr>
      <w:tr w:rsidR="00F92CB0" w:rsidRPr="00E45508" w14:paraId="7299D384" w14:textId="77777777" w:rsidTr="00092E7A">
        <w:trPr>
          <w:cantSplit/>
          <w:trHeight w:val="300"/>
        </w:trPr>
        <w:tc>
          <w:tcPr>
            <w:tcW w:w="1034" w:type="pct"/>
            <w:tcMar>
              <w:left w:w="108" w:type="dxa"/>
              <w:right w:w="108" w:type="dxa"/>
            </w:tcMar>
          </w:tcPr>
          <w:p w14:paraId="05E71FBD" w14:textId="12D4EEA9" w:rsidR="003773CD" w:rsidRPr="00E45508" w:rsidRDefault="00AA2BAD" w:rsidP="000E6CC5">
            <w:pPr>
              <w:pStyle w:val="Tabletext0"/>
              <w:rPr>
                <w:b/>
              </w:rPr>
            </w:pPr>
            <w:r w:rsidRPr="00E45508">
              <w:rPr>
                <w:b/>
              </w:rPr>
              <w:t>The Covenant</w:t>
            </w:r>
          </w:p>
        </w:tc>
        <w:tc>
          <w:tcPr>
            <w:tcW w:w="3966" w:type="pct"/>
            <w:tcMar>
              <w:left w:w="108" w:type="dxa"/>
              <w:right w:w="108" w:type="dxa"/>
            </w:tcMar>
          </w:tcPr>
          <w:p w14:paraId="0EB937AE" w14:textId="2CE6BBC1" w:rsidR="003773CD" w:rsidRPr="00E45508" w:rsidRDefault="00AA2BAD" w:rsidP="000E6CC5">
            <w:pPr>
              <w:pStyle w:val="Tabletext0"/>
            </w:pPr>
            <w:r w:rsidRPr="00E45508">
              <w:t>Australian Packaging Covenant</w:t>
            </w:r>
          </w:p>
        </w:tc>
      </w:tr>
      <w:tr w:rsidR="00F92CB0" w:rsidRPr="00E45508" w14:paraId="60FB3CAA" w14:textId="77777777" w:rsidTr="00092E7A">
        <w:trPr>
          <w:cantSplit/>
          <w:trHeight w:val="300"/>
        </w:trPr>
        <w:tc>
          <w:tcPr>
            <w:tcW w:w="1034" w:type="pct"/>
            <w:tcMar>
              <w:left w:w="108" w:type="dxa"/>
              <w:right w:w="108" w:type="dxa"/>
            </w:tcMar>
          </w:tcPr>
          <w:p w14:paraId="5EE763D1" w14:textId="467E383B" w:rsidR="00523037" w:rsidRPr="00E45508" w:rsidRDefault="00AA2BAD" w:rsidP="000E6CC5">
            <w:pPr>
              <w:pStyle w:val="Tabletext0"/>
              <w:rPr>
                <w:b/>
              </w:rPr>
            </w:pPr>
            <w:r w:rsidRPr="00E45508">
              <w:rPr>
                <w:b/>
              </w:rPr>
              <w:t>DCCEEW/The department</w:t>
            </w:r>
          </w:p>
        </w:tc>
        <w:tc>
          <w:tcPr>
            <w:tcW w:w="3966" w:type="pct"/>
            <w:tcMar>
              <w:left w:w="108" w:type="dxa"/>
              <w:right w:w="108" w:type="dxa"/>
            </w:tcMar>
          </w:tcPr>
          <w:p w14:paraId="6DED3AE4" w14:textId="73401AA7" w:rsidR="00523037" w:rsidRPr="00E45508" w:rsidRDefault="00AA2BAD" w:rsidP="000E6CC5">
            <w:pPr>
              <w:pStyle w:val="Tabletext0"/>
            </w:pPr>
            <w:r w:rsidRPr="00E45508">
              <w:t>Department of Climate Change, Energy, the Environment, and Water</w:t>
            </w:r>
          </w:p>
        </w:tc>
      </w:tr>
      <w:tr w:rsidR="00F92CB0" w:rsidRPr="00E45508" w14:paraId="2782144C" w14:textId="77777777" w:rsidTr="00092E7A">
        <w:trPr>
          <w:cantSplit/>
          <w:trHeight w:val="300"/>
        </w:trPr>
        <w:tc>
          <w:tcPr>
            <w:tcW w:w="1034" w:type="pct"/>
            <w:tcMar>
              <w:left w:w="108" w:type="dxa"/>
              <w:right w:w="108" w:type="dxa"/>
            </w:tcMar>
          </w:tcPr>
          <w:p w14:paraId="12546FD5" w14:textId="52FE799E" w:rsidR="003773CD" w:rsidRPr="00E45508" w:rsidRDefault="00AA2BAD" w:rsidP="000E6CC5">
            <w:pPr>
              <w:pStyle w:val="Tabletext0"/>
              <w:rPr>
                <w:b/>
              </w:rPr>
            </w:pPr>
            <w:r w:rsidRPr="00E45508">
              <w:rPr>
                <w:b/>
              </w:rPr>
              <w:t>Eco-modulation</w:t>
            </w:r>
          </w:p>
        </w:tc>
        <w:tc>
          <w:tcPr>
            <w:tcW w:w="3966" w:type="pct"/>
            <w:tcMar>
              <w:left w:w="108" w:type="dxa"/>
              <w:right w:w="108" w:type="dxa"/>
            </w:tcMar>
          </w:tcPr>
          <w:p w14:paraId="4C53020A" w14:textId="3569EC1B" w:rsidR="003773CD" w:rsidRPr="00E45508" w:rsidRDefault="00AA2BAD" w:rsidP="000E6CC5">
            <w:pPr>
              <w:pStyle w:val="Tabletext0"/>
            </w:pPr>
            <w:r w:rsidRPr="00E45508">
              <w:t>The concept of penalising the use of materials that are less environmentally friendly, and rewarding the use of those which are better.</w:t>
            </w:r>
          </w:p>
        </w:tc>
      </w:tr>
      <w:tr w:rsidR="00F92CB0" w:rsidRPr="00E45508" w14:paraId="17F09732" w14:textId="77777777" w:rsidTr="00092E7A">
        <w:trPr>
          <w:cantSplit/>
          <w:trHeight w:val="300"/>
        </w:trPr>
        <w:tc>
          <w:tcPr>
            <w:tcW w:w="1034" w:type="pct"/>
            <w:tcMar>
              <w:left w:w="108" w:type="dxa"/>
              <w:right w:w="108" w:type="dxa"/>
            </w:tcMar>
          </w:tcPr>
          <w:p w14:paraId="44517935" w14:textId="2956F2DC" w:rsidR="003773CD" w:rsidRPr="00E45508" w:rsidRDefault="00AA2BAD" w:rsidP="000E6CC5">
            <w:pPr>
              <w:pStyle w:val="Tabletext0"/>
              <w:rPr>
                <w:b/>
              </w:rPr>
            </w:pPr>
            <w:r w:rsidRPr="00E45508">
              <w:rPr>
                <w:b/>
              </w:rPr>
              <w:t>EMM</w:t>
            </w:r>
          </w:p>
        </w:tc>
        <w:tc>
          <w:tcPr>
            <w:tcW w:w="3966" w:type="pct"/>
            <w:tcMar>
              <w:left w:w="108" w:type="dxa"/>
              <w:right w:w="108" w:type="dxa"/>
            </w:tcMar>
          </w:tcPr>
          <w:p w14:paraId="04A3B8AE" w14:textId="7739ADC2" w:rsidR="003773CD" w:rsidRPr="00E45508" w:rsidRDefault="00AA2BAD" w:rsidP="000E6CC5">
            <w:pPr>
              <w:pStyle w:val="Tabletext0"/>
            </w:pPr>
            <w:r w:rsidRPr="00E45508">
              <w:t>Environment Ministers’ Meeting</w:t>
            </w:r>
          </w:p>
        </w:tc>
      </w:tr>
      <w:tr w:rsidR="00F92CB0" w:rsidRPr="00E45508" w14:paraId="0B1A80C4" w14:textId="77777777" w:rsidTr="00092E7A">
        <w:trPr>
          <w:cantSplit/>
          <w:trHeight w:val="300"/>
        </w:trPr>
        <w:tc>
          <w:tcPr>
            <w:tcW w:w="1034" w:type="pct"/>
            <w:tcMar>
              <w:left w:w="108" w:type="dxa"/>
              <w:right w:w="108" w:type="dxa"/>
            </w:tcMar>
          </w:tcPr>
          <w:p w14:paraId="03E5248C" w14:textId="7896AC90" w:rsidR="003773CD" w:rsidRPr="00E45508" w:rsidRDefault="00AA2BAD" w:rsidP="000E6CC5">
            <w:pPr>
              <w:pStyle w:val="Tabletext0"/>
              <w:rPr>
                <w:b/>
              </w:rPr>
            </w:pPr>
            <w:r w:rsidRPr="00E45508">
              <w:rPr>
                <w:b/>
              </w:rPr>
              <w:t>EPR</w:t>
            </w:r>
          </w:p>
        </w:tc>
        <w:tc>
          <w:tcPr>
            <w:tcW w:w="3966" w:type="pct"/>
            <w:tcMar>
              <w:left w:w="108" w:type="dxa"/>
              <w:right w:w="108" w:type="dxa"/>
            </w:tcMar>
          </w:tcPr>
          <w:p w14:paraId="08B7B800" w14:textId="5761B02A" w:rsidR="003773CD" w:rsidRPr="00E45508" w:rsidRDefault="00AA2BAD" w:rsidP="000E6CC5">
            <w:pPr>
              <w:pStyle w:val="Tabletext0"/>
            </w:pPr>
            <w:r w:rsidRPr="00E45508">
              <w:t>Extended Producer Responsibility</w:t>
            </w:r>
          </w:p>
        </w:tc>
      </w:tr>
      <w:tr w:rsidR="00F92CB0" w:rsidRPr="00E45508" w14:paraId="472D3D42" w14:textId="77777777" w:rsidTr="00092E7A">
        <w:trPr>
          <w:cantSplit/>
          <w:trHeight w:val="300"/>
        </w:trPr>
        <w:tc>
          <w:tcPr>
            <w:tcW w:w="1034" w:type="pct"/>
            <w:tcMar>
              <w:left w:w="108" w:type="dxa"/>
              <w:right w:w="108" w:type="dxa"/>
            </w:tcMar>
          </w:tcPr>
          <w:p w14:paraId="0CC085F9" w14:textId="34B21395" w:rsidR="00850E0D" w:rsidRPr="00E45508" w:rsidRDefault="00850E0D" w:rsidP="000E6CC5">
            <w:pPr>
              <w:pStyle w:val="Tabletext0"/>
              <w:rPr>
                <w:b/>
              </w:rPr>
            </w:pPr>
            <w:r w:rsidRPr="00E45508">
              <w:rPr>
                <w:b/>
              </w:rPr>
              <w:t>Food grade packaging</w:t>
            </w:r>
          </w:p>
        </w:tc>
        <w:tc>
          <w:tcPr>
            <w:tcW w:w="3966" w:type="pct"/>
            <w:tcMar>
              <w:left w:w="108" w:type="dxa"/>
              <w:right w:w="108" w:type="dxa"/>
            </w:tcMar>
          </w:tcPr>
          <w:p w14:paraId="5FE914CB" w14:textId="128F0126" w:rsidR="00AB6727" w:rsidRPr="00E45508" w:rsidRDefault="00AB6727" w:rsidP="000E6CC5">
            <w:pPr>
              <w:pStyle w:val="Tabletext0"/>
            </w:pPr>
            <w:r w:rsidRPr="00E45508">
              <w:t>The Food Standards Code details specific requirements for surfaces in contact with foods, including containers and packaging in which food is processed or stored. They must be:</w:t>
            </w:r>
          </w:p>
          <w:p w14:paraId="37AF6532" w14:textId="24635A61" w:rsidR="00AB6727" w:rsidRPr="00E45508" w:rsidRDefault="00AB6727" w:rsidP="00BD3820">
            <w:pPr>
              <w:pStyle w:val="TableBullet1"/>
            </w:pPr>
            <w:r w:rsidRPr="00E45508">
              <w:t>adequate for the production of safe and suitable food</w:t>
            </w:r>
          </w:p>
          <w:p w14:paraId="04B4A079" w14:textId="43516382" w:rsidR="00AB6727" w:rsidRPr="00E45508" w:rsidRDefault="00AB6727" w:rsidP="00BD3820">
            <w:pPr>
              <w:pStyle w:val="TableBullet1"/>
            </w:pPr>
            <w:r w:rsidRPr="00E45508">
              <w:t>fit for their intended use.</w:t>
            </w:r>
          </w:p>
          <w:p w14:paraId="50E047BF" w14:textId="55A0AA5C" w:rsidR="00850E0D" w:rsidRPr="00E45508" w:rsidRDefault="00AB6727" w:rsidP="000E6CC5">
            <w:pPr>
              <w:pStyle w:val="Tabletext0"/>
            </w:pPr>
            <w:r w:rsidRPr="00E45508">
              <w:t>For a food contact surface to be considered food grade it must be able to be effectively cleaned and must be made from a material that will not migrate into, contaminate or taint the food. The requirements for a plastic to be considered</w:t>
            </w:r>
            <w:r w:rsidR="0034657C" w:rsidRPr="00E45508">
              <w:rPr>
                <w:sz w:val="22"/>
              </w:rPr>
              <w:t xml:space="preserve"> </w:t>
            </w:r>
            <w:r w:rsidR="0034657C" w:rsidRPr="00E45508">
              <w:t>food grade are listed in the Australian Standard for Plastics materials for food contact use AS</w:t>
            </w:r>
            <w:r w:rsidR="00421651" w:rsidRPr="00E45508">
              <w:t> 2</w:t>
            </w:r>
            <w:r w:rsidR="0034657C" w:rsidRPr="00E45508">
              <w:t>070-1999</w:t>
            </w:r>
            <w:r w:rsidR="00FC3F21" w:rsidRPr="00E45508">
              <w:t xml:space="preserve"> (NSW</w:t>
            </w:r>
            <w:r w:rsidR="00421651" w:rsidRPr="00E45508">
              <w:t> 2</w:t>
            </w:r>
            <w:r w:rsidR="00FC3F21" w:rsidRPr="00E45508">
              <w:t>020</w:t>
            </w:r>
            <w:r w:rsidR="0034657C" w:rsidRPr="00E45508">
              <w:t>).</w:t>
            </w:r>
          </w:p>
        </w:tc>
      </w:tr>
      <w:tr w:rsidR="00F92CB0" w:rsidRPr="00E45508" w14:paraId="2ECEDAF7" w14:textId="77777777" w:rsidTr="00092E7A">
        <w:trPr>
          <w:cantSplit/>
          <w:trHeight w:val="300"/>
        </w:trPr>
        <w:tc>
          <w:tcPr>
            <w:tcW w:w="1034" w:type="pct"/>
            <w:tcMar>
              <w:left w:w="108" w:type="dxa"/>
              <w:right w:w="108" w:type="dxa"/>
            </w:tcMar>
          </w:tcPr>
          <w:p w14:paraId="4785F59C" w14:textId="653BA051" w:rsidR="003773CD" w:rsidRPr="00E45508" w:rsidRDefault="00AA2BAD" w:rsidP="000E6CC5">
            <w:pPr>
              <w:pStyle w:val="Tabletext0"/>
              <w:rPr>
                <w:b/>
              </w:rPr>
            </w:pPr>
            <w:r w:rsidRPr="00E45508">
              <w:rPr>
                <w:b/>
              </w:rPr>
              <w:t>Free riders/free riding</w:t>
            </w:r>
          </w:p>
        </w:tc>
        <w:tc>
          <w:tcPr>
            <w:tcW w:w="3966" w:type="pct"/>
            <w:tcMar>
              <w:left w:w="108" w:type="dxa"/>
              <w:right w:w="108" w:type="dxa"/>
            </w:tcMar>
          </w:tcPr>
          <w:p w14:paraId="792C2D32" w14:textId="0E9A527A" w:rsidR="003773CD" w:rsidRPr="00E45508" w:rsidRDefault="00AA2BAD" w:rsidP="000E6CC5">
            <w:pPr>
              <w:pStyle w:val="Tabletext0"/>
            </w:pPr>
            <w:r w:rsidRPr="00E45508">
              <w:t>A business (or act of) that gains advantage by not participating in voluntary or regulatory programs which are funded by their competitors that deliver industry and public benefit.</w:t>
            </w:r>
          </w:p>
        </w:tc>
      </w:tr>
      <w:tr w:rsidR="00F92CB0" w:rsidRPr="00E45508" w14:paraId="4F88540F" w14:textId="77777777" w:rsidTr="00092E7A">
        <w:trPr>
          <w:cantSplit/>
          <w:trHeight w:val="300"/>
        </w:trPr>
        <w:tc>
          <w:tcPr>
            <w:tcW w:w="1034" w:type="pct"/>
            <w:tcMar>
              <w:left w:w="108" w:type="dxa"/>
              <w:right w:w="108" w:type="dxa"/>
            </w:tcMar>
          </w:tcPr>
          <w:p w14:paraId="50B2FCB0" w14:textId="20CAC726" w:rsidR="003773CD" w:rsidRPr="00E45508" w:rsidRDefault="00AA2BAD" w:rsidP="000E6CC5">
            <w:pPr>
              <w:pStyle w:val="Tabletext0"/>
              <w:rPr>
                <w:b/>
              </w:rPr>
            </w:pPr>
            <w:r w:rsidRPr="00E45508">
              <w:rPr>
                <w:b/>
              </w:rPr>
              <w:t>GOG</w:t>
            </w:r>
          </w:p>
        </w:tc>
        <w:tc>
          <w:tcPr>
            <w:tcW w:w="3966" w:type="pct"/>
            <w:tcMar>
              <w:left w:w="108" w:type="dxa"/>
              <w:right w:w="108" w:type="dxa"/>
            </w:tcMar>
          </w:tcPr>
          <w:p w14:paraId="7D94C64C" w14:textId="1A49FBCB" w:rsidR="003773CD" w:rsidRPr="00E45508" w:rsidRDefault="00AA2BAD" w:rsidP="000E6CC5">
            <w:pPr>
              <w:pStyle w:val="Tabletext0"/>
            </w:pPr>
            <w:r w:rsidRPr="00E45508">
              <w:t>Government Officials Group</w:t>
            </w:r>
          </w:p>
        </w:tc>
      </w:tr>
      <w:tr w:rsidR="00F92CB0" w:rsidRPr="00E45508" w14:paraId="2F0412A9" w14:textId="77777777" w:rsidTr="00092E7A">
        <w:trPr>
          <w:cantSplit/>
          <w:trHeight w:val="300"/>
        </w:trPr>
        <w:tc>
          <w:tcPr>
            <w:tcW w:w="1034" w:type="pct"/>
            <w:tcMar>
              <w:left w:w="108" w:type="dxa"/>
              <w:right w:w="108" w:type="dxa"/>
            </w:tcMar>
          </w:tcPr>
          <w:p w14:paraId="0F7C8E66" w14:textId="01DA9B8D" w:rsidR="00BE08CE" w:rsidRPr="00E45508" w:rsidRDefault="00BE08CE" w:rsidP="000E6CC5">
            <w:pPr>
              <w:pStyle w:val="Tabletext0"/>
              <w:rPr>
                <w:b/>
              </w:rPr>
            </w:pPr>
            <w:r w:rsidRPr="00E45508">
              <w:rPr>
                <w:b/>
              </w:rPr>
              <w:t>The government</w:t>
            </w:r>
          </w:p>
        </w:tc>
        <w:tc>
          <w:tcPr>
            <w:tcW w:w="3966" w:type="pct"/>
            <w:tcMar>
              <w:left w:w="108" w:type="dxa"/>
              <w:right w:w="108" w:type="dxa"/>
            </w:tcMar>
          </w:tcPr>
          <w:p w14:paraId="386FAB1C" w14:textId="1769CCAA" w:rsidR="00BE08CE" w:rsidRPr="00E45508" w:rsidRDefault="00BE08CE" w:rsidP="000E6CC5">
            <w:pPr>
              <w:pStyle w:val="Tabletext0"/>
            </w:pPr>
            <w:r w:rsidRPr="00E45508">
              <w:t>The Australian Government</w:t>
            </w:r>
          </w:p>
        </w:tc>
      </w:tr>
      <w:tr w:rsidR="00F92CB0" w:rsidRPr="00E45508" w14:paraId="636924A2" w14:textId="77777777" w:rsidTr="00092E7A">
        <w:trPr>
          <w:cantSplit/>
          <w:trHeight w:val="300"/>
        </w:trPr>
        <w:tc>
          <w:tcPr>
            <w:tcW w:w="1034" w:type="pct"/>
            <w:tcMar>
              <w:left w:w="108" w:type="dxa"/>
              <w:right w:w="108" w:type="dxa"/>
            </w:tcMar>
          </w:tcPr>
          <w:p w14:paraId="3C0DA66E" w14:textId="6B95C626" w:rsidR="003773CD" w:rsidRPr="00E45508" w:rsidRDefault="00AA2BAD" w:rsidP="000E6CC5">
            <w:pPr>
              <w:pStyle w:val="Tabletext0"/>
              <w:rPr>
                <w:b/>
              </w:rPr>
            </w:pPr>
            <w:r w:rsidRPr="00E45508">
              <w:rPr>
                <w:b/>
              </w:rPr>
              <w:t>Government Response</w:t>
            </w:r>
          </w:p>
        </w:tc>
        <w:tc>
          <w:tcPr>
            <w:tcW w:w="3966" w:type="pct"/>
            <w:tcMar>
              <w:left w:w="108" w:type="dxa"/>
              <w:right w:w="108" w:type="dxa"/>
            </w:tcMar>
          </w:tcPr>
          <w:p w14:paraId="72B6A1C6" w14:textId="7AB4E625" w:rsidR="003773CD" w:rsidRPr="00E45508" w:rsidRDefault="00AA2BAD" w:rsidP="000E6CC5">
            <w:pPr>
              <w:pStyle w:val="Tabletext0"/>
            </w:pPr>
            <w:hyperlink r:id="rId47" w:history="1">
              <w:r w:rsidRPr="00E45508">
                <w:rPr>
                  <w:rStyle w:val="Hyperlink"/>
                </w:rPr>
                <w:t>Australian Government response to the independent review of the co-regulatory arrangement under the National Environment Protection (Used Packaging Materials) Measure</w:t>
              </w:r>
              <w:r w:rsidR="00421651" w:rsidRPr="00E45508">
                <w:rPr>
                  <w:rStyle w:val="Hyperlink"/>
                </w:rPr>
                <w:t> 2</w:t>
              </w:r>
              <w:r w:rsidRPr="00E45508">
                <w:rPr>
                  <w:rStyle w:val="Hyperlink"/>
                </w:rPr>
                <w:t>011</w:t>
              </w:r>
            </w:hyperlink>
            <w:r w:rsidR="00FC3F21" w:rsidRPr="00E45508">
              <w:rPr>
                <w:rStyle w:val="Hyperlink"/>
                <w:u w:val="none"/>
              </w:rPr>
              <w:t xml:space="preserve"> </w:t>
            </w:r>
            <w:r w:rsidR="00FC3F21" w:rsidRPr="00E45508">
              <w:rPr>
                <w:rStyle w:val="Hyperlink"/>
                <w:color w:val="auto"/>
                <w:u w:val="none"/>
              </w:rPr>
              <w:t>(</w:t>
            </w:r>
            <w:r w:rsidR="007F5BCB" w:rsidRPr="00E45508">
              <w:rPr>
                <w:rStyle w:val="Hyperlink"/>
                <w:color w:val="auto"/>
                <w:u w:val="none"/>
              </w:rPr>
              <w:t>Australian Government</w:t>
            </w:r>
            <w:r w:rsidR="00421651" w:rsidRPr="00E45508">
              <w:rPr>
                <w:rStyle w:val="Hyperlink"/>
                <w:color w:val="auto"/>
                <w:u w:val="none"/>
              </w:rPr>
              <w:t> 2</w:t>
            </w:r>
            <w:r w:rsidR="00527C35" w:rsidRPr="00E45508">
              <w:rPr>
                <w:rStyle w:val="Hyperlink"/>
                <w:color w:val="auto"/>
                <w:u w:val="none"/>
              </w:rPr>
              <w:t>022)</w:t>
            </w:r>
          </w:p>
        </w:tc>
      </w:tr>
      <w:tr w:rsidR="00F92CB0" w:rsidRPr="00E45508" w14:paraId="16C736FE" w14:textId="77777777" w:rsidTr="00092E7A">
        <w:trPr>
          <w:cantSplit/>
          <w:trHeight w:val="300"/>
        </w:trPr>
        <w:tc>
          <w:tcPr>
            <w:tcW w:w="1034" w:type="pct"/>
            <w:tcMar>
              <w:left w:w="108" w:type="dxa"/>
              <w:right w:w="108" w:type="dxa"/>
            </w:tcMar>
          </w:tcPr>
          <w:p w14:paraId="53AF56DB" w14:textId="1C03E79E" w:rsidR="003773CD" w:rsidRPr="00E45508" w:rsidRDefault="00AA2BAD" w:rsidP="000E6CC5">
            <w:pPr>
              <w:pStyle w:val="Tabletext0"/>
              <w:rPr>
                <w:b/>
              </w:rPr>
            </w:pPr>
            <w:r w:rsidRPr="00E45508">
              <w:rPr>
                <w:b/>
              </w:rPr>
              <w:t>IChEMS</w:t>
            </w:r>
          </w:p>
        </w:tc>
        <w:tc>
          <w:tcPr>
            <w:tcW w:w="3966" w:type="pct"/>
            <w:tcMar>
              <w:left w:w="108" w:type="dxa"/>
              <w:right w:w="108" w:type="dxa"/>
            </w:tcMar>
          </w:tcPr>
          <w:p w14:paraId="08A40101" w14:textId="49467D6A" w:rsidR="003773CD" w:rsidRPr="00E45508" w:rsidRDefault="00AA2BAD" w:rsidP="000E6CC5">
            <w:pPr>
              <w:pStyle w:val="Tabletext0"/>
            </w:pPr>
            <w:r w:rsidRPr="00E45508">
              <w:t>Industrial Chemicals Environment Management Standard. This is a national approach to manage chemical use, storage, handling and disposal</w:t>
            </w:r>
            <w:r w:rsidR="00527C35" w:rsidRPr="00E45508">
              <w:t xml:space="preserve"> (DCCEEW</w:t>
            </w:r>
            <w:r w:rsidR="00421651" w:rsidRPr="00E45508">
              <w:t> 2</w:t>
            </w:r>
            <w:r w:rsidR="008431AB" w:rsidRPr="00E45508">
              <w:t>024</w:t>
            </w:r>
            <w:r w:rsidR="00B561E8">
              <w:t>d</w:t>
            </w:r>
            <w:r w:rsidR="008431AB" w:rsidRPr="00E45508">
              <w:t>)</w:t>
            </w:r>
            <w:r w:rsidR="00C56890">
              <w:t>.</w:t>
            </w:r>
          </w:p>
        </w:tc>
      </w:tr>
      <w:tr w:rsidR="00F92CB0" w:rsidRPr="00E45508" w14:paraId="38B6E648" w14:textId="77777777" w:rsidTr="00092E7A">
        <w:trPr>
          <w:cantSplit/>
          <w:trHeight w:val="300"/>
        </w:trPr>
        <w:tc>
          <w:tcPr>
            <w:tcW w:w="1034" w:type="pct"/>
            <w:tcMar>
              <w:left w:w="108" w:type="dxa"/>
              <w:right w:w="108" w:type="dxa"/>
            </w:tcMar>
          </w:tcPr>
          <w:p w14:paraId="73956784" w14:textId="3B416387" w:rsidR="003773CD" w:rsidRPr="00E45508" w:rsidRDefault="00AA2BAD" w:rsidP="000E6CC5">
            <w:pPr>
              <w:pStyle w:val="Tabletext0"/>
              <w:rPr>
                <w:b/>
              </w:rPr>
            </w:pPr>
            <w:r w:rsidRPr="00E45508">
              <w:rPr>
                <w:b/>
              </w:rPr>
              <w:t>Independent Review</w:t>
            </w:r>
          </w:p>
        </w:tc>
        <w:tc>
          <w:tcPr>
            <w:tcW w:w="3966" w:type="pct"/>
            <w:tcMar>
              <w:left w:w="108" w:type="dxa"/>
              <w:right w:w="108" w:type="dxa"/>
            </w:tcMar>
          </w:tcPr>
          <w:p w14:paraId="45B12A77" w14:textId="2A2C4792" w:rsidR="003773CD" w:rsidRPr="00E45508" w:rsidRDefault="00AA2BAD" w:rsidP="000E6CC5">
            <w:pPr>
              <w:pStyle w:val="Tabletext0"/>
            </w:pPr>
            <w:hyperlink r:id="rId48" w:anchor="download" w:history="1">
              <w:r w:rsidRPr="00E45508">
                <w:rPr>
                  <w:rStyle w:val="Hyperlink"/>
                </w:rPr>
                <w:t>Review of the co-regulatory arrangement under the National Environment Protection (Used Packaging Materials) Measure</w:t>
              </w:r>
              <w:r w:rsidR="00421651" w:rsidRPr="00E45508">
                <w:rPr>
                  <w:rStyle w:val="Hyperlink"/>
                </w:rPr>
                <w:t> 2</w:t>
              </w:r>
              <w:r w:rsidRPr="00E45508">
                <w:rPr>
                  <w:rStyle w:val="Hyperlink"/>
                </w:rPr>
                <w:t>011</w:t>
              </w:r>
            </w:hyperlink>
            <w:r w:rsidR="008431AB" w:rsidRPr="00E45508">
              <w:rPr>
                <w:rStyle w:val="Hyperlink"/>
              </w:rPr>
              <w:t xml:space="preserve"> </w:t>
            </w:r>
            <w:r w:rsidR="008431AB" w:rsidRPr="00E45508">
              <w:rPr>
                <w:rStyle w:val="Hyperlink"/>
                <w:color w:val="auto"/>
              </w:rPr>
              <w:t>(</w:t>
            </w:r>
            <w:r w:rsidR="00E63B6D" w:rsidRPr="00E45508">
              <w:t>mpc</w:t>
            </w:r>
            <w:r w:rsidR="008431AB" w:rsidRPr="00E45508">
              <w:t>onsulting</w:t>
            </w:r>
            <w:r w:rsidR="00421651" w:rsidRPr="00E45508">
              <w:t> 2</w:t>
            </w:r>
            <w:r w:rsidR="008431AB" w:rsidRPr="00E45508">
              <w:t>021)</w:t>
            </w:r>
          </w:p>
        </w:tc>
      </w:tr>
      <w:tr w:rsidR="00F92CB0" w:rsidRPr="00E45508" w14:paraId="06798844" w14:textId="77777777" w:rsidTr="00092E7A">
        <w:trPr>
          <w:cantSplit/>
          <w:trHeight w:val="300"/>
        </w:trPr>
        <w:tc>
          <w:tcPr>
            <w:tcW w:w="1034" w:type="pct"/>
            <w:tcMar>
              <w:left w:w="108" w:type="dxa"/>
              <w:right w:w="108" w:type="dxa"/>
            </w:tcMar>
          </w:tcPr>
          <w:p w14:paraId="389CF23B" w14:textId="7F919584" w:rsidR="00AE6D77" w:rsidRPr="00E45508" w:rsidRDefault="00B86967" w:rsidP="000E6CC5">
            <w:pPr>
              <w:pStyle w:val="Tabletext0"/>
              <w:rPr>
                <w:b/>
              </w:rPr>
            </w:pPr>
            <w:r w:rsidRPr="00E45508">
              <w:rPr>
                <w:b/>
              </w:rPr>
              <w:t>Kerbside collection</w:t>
            </w:r>
          </w:p>
        </w:tc>
        <w:tc>
          <w:tcPr>
            <w:tcW w:w="3966" w:type="pct"/>
            <w:tcMar>
              <w:left w:w="108" w:type="dxa"/>
              <w:right w:w="108" w:type="dxa"/>
            </w:tcMar>
          </w:tcPr>
          <w:p w14:paraId="780582D8" w14:textId="33B7A9A7" w:rsidR="00AE6D77" w:rsidRPr="00E45508" w:rsidRDefault="00B86967" w:rsidP="000E6CC5">
            <w:pPr>
              <w:pStyle w:val="Tabletext0"/>
            </w:pPr>
            <w:r w:rsidRPr="00E45508">
              <w:rPr>
                <w:rFonts w:eastAsia="Calibri"/>
                <w:szCs w:val="24"/>
              </w:rPr>
              <w:t>Materials collected by local councils from residential properties, including residual waste, commingled recyclables and garden organics, food organics and garden organics</w:t>
            </w:r>
            <w:r w:rsidR="005071CF" w:rsidRPr="00E45508">
              <w:rPr>
                <w:rFonts w:eastAsia="Calibri"/>
                <w:szCs w:val="24"/>
              </w:rPr>
              <w:t xml:space="preserve"> (APCO</w:t>
            </w:r>
            <w:r w:rsidR="00421651" w:rsidRPr="00E45508">
              <w:rPr>
                <w:rFonts w:eastAsia="Calibri"/>
                <w:szCs w:val="24"/>
              </w:rPr>
              <w:t> 2</w:t>
            </w:r>
            <w:r w:rsidR="005071CF" w:rsidRPr="00E45508">
              <w:rPr>
                <w:rFonts w:eastAsia="Calibri"/>
                <w:szCs w:val="24"/>
              </w:rPr>
              <w:t>023</w:t>
            </w:r>
            <w:r w:rsidR="00FF2C36">
              <w:rPr>
                <w:rFonts w:eastAsia="Calibri"/>
                <w:szCs w:val="24"/>
              </w:rPr>
              <w:t>a</w:t>
            </w:r>
            <w:r w:rsidR="005071CF" w:rsidRPr="00E45508">
              <w:rPr>
                <w:rFonts w:eastAsia="Calibri"/>
                <w:szCs w:val="24"/>
              </w:rPr>
              <w:t>)</w:t>
            </w:r>
            <w:r w:rsidRPr="00E45508">
              <w:rPr>
                <w:rFonts w:eastAsia="Calibri"/>
                <w:szCs w:val="24"/>
              </w:rPr>
              <w:t>.</w:t>
            </w:r>
          </w:p>
        </w:tc>
      </w:tr>
      <w:tr w:rsidR="00F92CB0" w:rsidRPr="00E45508" w14:paraId="0CFEE3C2" w14:textId="77777777" w:rsidTr="00092E7A">
        <w:trPr>
          <w:cantSplit/>
          <w:trHeight w:val="300"/>
        </w:trPr>
        <w:tc>
          <w:tcPr>
            <w:tcW w:w="1034" w:type="pct"/>
            <w:tcMar>
              <w:left w:w="108" w:type="dxa"/>
              <w:right w:w="108" w:type="dxa"/>
            </w:tcMar>
          </w:tcPr>
          <w:p w14:paraId="5BAD23D5" w14:textId="5A230B16" w:rsidR="003773CD" w:rsidRPr="00E45508" w:rsidRDefault="00AA2BAD" w:rsidP="000E6CC5">
            <w:pPr>
              <w:pStyle w:val="Tabletext0"/>
              <w:rPr>
                <w:b/>
              </w:rPr>
            </w:pPr>
            <w:r w:rsidRPr="00E45508">
              <w:rPr>
                <w:b/>
              </w:rPr>
              <w:t>Kerbside recyclable</w:t>
            </w:r>
          </w:p>
        </w:tc>
        <w:tc>
          <w:tcPr>
            <w:tcW w:w="3966" w:type="pct"/>
            <w:tcMar>
              <w:left w:w="108" w:type="dxa"/>
              <w:right w:w="108" w:type="dxa"/>
            </w:tcMar>
          </w:tcPr>
          <w:p w14:paraId="1C448DC1" w14:textId="324CCCF8" w:rsidR="003773CD" w:rsidRPr="00E45508" w:rsidRDefault="00AA2BAD" w:rsidP="000E6CC5">
            <w:pPr>
              <w:pStyle w:val="Tabletext0"/>
            </w:pPr>
            <w:r w:rsidRPr="00E45508">
              <w:t>Packaging that can be recycled through household kerbside collection systems. Includes, but is not limited to, packaging that has a ‘recyclable’ ARL.</w:t>
            </w:r>
          </w:p>
        </w:tc>
      </w:tr>
      <w:tr w:rsidR="00F92CB0" w:rsidRPr="00E45508" w14:paraId="061AA2D5" w14:textId="77777777" w:rsidTr="00092E7A">
        <w:trPr>
          <w:cantSplit/>
          <w:trHeight w:val="300"/>
        </w:trPr>
        <w:tc>
          <w:tcPr>
            <w:tcW w:w="1034" w:type="pct"/>
            <w:tcMar>
              <w:left w:w="108" w:type="dxa"/>
              <w:right w:w="108" w:type="dxa"/>
            </w:tcMar>
          </w:tcPr>
          <w:p w14:paraId="1D7A936A" w14:textId="1B30AF4C" w:rsidR="007B3722" w:rsidRPr="00E45508" w:rsidRDefault="007B3722" w:rsidP="000E6CC5">
            <w:pPr>
              <w:pStyle w:val="Tabletext0"/>
              <w:rPr>
                <w:b/>
              </w:rPr>
            </w:pPr>
            <w:r w:rsidRPr="00E45508">
              <w:rPr>
                <w:b/>
              </w:rPr>
              <w:t>Life cycle analysis</w:t>
            </w:r>
            <w:r w:rsidR="00B34327" w:rsidRPr="00E45508">
              <w:rPr>
                <w:b/>
              </w:rPr>
              <w:t xml:space="preserve"> (LCA)</w:t>
            </w:r>
          </w:p>
        </w:tc>
        <w:tc>
          <w:tcPr>
            <w:tcW w:w="3966" w:type="pct"/>
            <w:tcMar>
              <w:left w:w="108" w:type="dxa"/>
              <w:right w:w="108" w:type="dxa"/>
            </w:tcMar>
          </w:tcPr>
          <w:p w14:paraId="02760E99" w14:textId="0630EEA6" w:rsidR="007B3722" w:rsidRPr="00E45508" w:rsidRDefault="00F91D90" w:rsidP="000E6CC5">
            <w:pPr>
              <w:pStyle w:val="Tabletext0"/>
            </w:pPr>
            <w:r w:rsidRPr="00E45508">
              <w:t xml:space="preserve">The act of measuring the environmental impact of a product or service throughout its life cycle, from the resources used to create the product or service, across its use by the user, to </w:t>
            </w:r>
            <w:r w:rsidR="00B34327" w:rsidRPr="00E45508">
              <w:t>its</w:t>
            </w:r>
            <w:r w:rsidRPr="00E45508">
              <w:t xml:space="preserve"> final end of life destination. An LCA measures the environmental impacts of each distinct part involved in creating and using products and services, such as energy used in production, fuel used in transport, and end-of-life ecological costs</w:t>
            </w:r>
            <w:r w:rsidR="003741D7" w:rsidRPr="00E45508">
              <w:t xml:space="preserve"> (</w:t>
            </w:r>
            <w:r w:rsidR="003741D7" w:rsidRPr="00E45508" w:rsidDel="000721FE">
              <w:t>BPF</w:t>
            </w:r>
            <w:r w:rsidR="00421651" w:rsidRPr="00E45508" w:rsidDel="000721FE">
              <w:t> </w:t>
            </w:r>
            <w:r w:rsidR="00421651" w:rsidRPr="00E45508">
              <w:t>2</w:t>
            </w:r>
            <w:r w:rsidR="003741D7" w:rsidRPr="00E45508">
              <w:t>024).</w:t>
            </w:r>
          </w:p>
        </w:tc>
      </w:tr>
      <w:tr w:rsidR="00F92CB0" w:rsidRPr="00E45508" w14:paraId="7253EEA8" w14:textId="77777777" w:rsidTr="00092E7A">
        <w:trPr>
          <w:cantSplit/>
          <w:trHeight w:val="300"/>
        </w:trPr>
        <w:tc>
          <w:tcPr>
            <w:tcW w:w="1034" w:type="pct"/>
            <w:tcMar>
              <w:left w:w="108" w:type="dxa"/>
              <w:right w:w="108" w:type="dxa"/>
            </w:tcMar>
          </w:tcPr>
          <w:p w14:paraId="64FCA977" w14:textId="2BFE6BF5" w:rsidR="007B5F23" w:rsidRPr="00E45508" w:rsidRDefault="007B5F23" w:rsidP="000E6CC5">
            <w:pPr>
              <w:pStyle w:val="Tabletext0"/>
              <w:rPr>
                <w:b/>
              </w:rPr>
            </w:pPr>
            <w:r w:rsidRPr="00E45508">
              <w:rPr>
                <w:b/>
              </w:rPr>
              <w:t>Mass</w:t>
            </w:r>
            <w:r w:rsidR="007126AE" w:rsidRPr="00E45508">
              <w:rPr>
                <w:b/>
              </w:rPr>
              <w:t xml:space="preserve"> balance</w:t>
            </w:r>
          </w:p>
        </w:tc>
        <w:tc>
          <w:tcPr>
            <w:tcW w:w="3966" w:type="pct"/>
            <w:tcMar>
              <w:left w:w="108" w:type="dxa"/>
              <w:right w:w="108" w:type="dxa"/>
            </w:tcMar>
          </w:tcPr>
          <w:p w14:paraId="4BFE356A" w14:textId="4D735AC7" w:rsidR="007B5F23" w:rsidRPr="00E45508" w:rsidRDefault="00B92E10" w:rsidP="000E6CC5">
            <w:pPr>
              <w:pStyle w:val="Tabletext0"/>
            </w:pPr>
            <w:r w:rsidRPr="00E45508">
              <w:t>Consistent with ISO</w:t>
            </w:r>
            <w:r w:rsidR="00421651" w:rsidRPr="00E45508">
              <w:t> 2</w:t>
            </w:r>
            <w:r w:rsidRPr="00E45508">
              <w:t>2095:2020, mass balance is a chain of custody approach in which recycled materials and non-recycled materials are combined at any point in the supply chain over a defined period. The total amount of recycled materials incorporated into outputs must not exceed the total input amount after accounting for system losses. The percentage of recycled content in individual products or outputs is not known, but the average content for all the products or outputs produced during the defined period can be calculated.</w:t>
            </w:r>
          </w:p>
        </w:tc>
      </w:tr>
      <w:tr w:rsidR="00F92CB0" w:rsidRPr="00E45508" w14:paraId="26BA548B" w14:textId="77777777" w:rsidTr="00092E7A">
        <w:trPr>
          <w:cantSplit/>
          <w:trHeight w:val="300"/>
        </w:trPr>
        <w:tc>
          <w:tcPr>
            <w:tcW w:w="1034" w:type="pct"/>
            <w:tcMar>
              <w:left w:w="108" w:type="dxa"/>
              <w:right w:w="108" w:type="dxa"/>
            </w:tcMar>
          </w:tcPr>
          <w:p w14:paraId="77FD3A26" w14:textId="5695D87E" w:rsidR="00063C3D" w:rsidRPr="00E45508" w:rsidRDefault="001A4963" w:rsidP="000E6CC5">
            <w:pPr>
              <w:pStyle w:val="Tabletext0"/>
              <w:rPr>
                <w:b/>
              </w:rPr>
            </w:pPr>
            <w:r w:rsidRPr="00E45508">
              <w:rPr>
                <w:b/>
              </w:rPr>
              <w:t>Materials recovery facility (</w:t>
            </w:r>
            <w:r w:rsidR="00063C3D" w:rsidRPr="00E45508">
              <w:rPr>
                <w:b/>
              </w:rPr>
              <w:t>MRF</w:t>
            </w:r>
            <w:r w:rsidRPr="00E45508">
              <w:rPr>
                <w:b/>
              </w:rPr>
              <w:t>)</w:t>
            </w:r>
          </w:p>
        </w:tc>
        <w:tc>
          <w:tcPr>
            <w:tcW w:w="3966" w:type="pct"/>
            <w:tcMar>
              <w:left w:w="108" w:type="dxa"/>
              <w:right w:w="108" w:type="dxa"/>
            </w:tcMar>
          </w:tcPr>
          <w:p w14:paraId="48ACC2CF" w14:textId="4753A823" w:rsidR="00063C3D" w:rsidRPr="00E45508" w:rsidRDefault="00FD7459" w:rsidP="000E6CC5">
            <w:pPr>
              <w:pStyle w:val="Tabletext0"/>
            </w:pPr>
            <w:r w:rsidRPr="00E45508">
              <w:rPr>
                <w:rFonts w:eastAsia="Calibri" w:cstheme="minorHAnsi"/>
              </w:rPr>
              <w:t>A centre for the sortation, aggregation and baling of mixed recovered materials for further sorting or processing</w:t>
            </w:r>
            <w:r w:rsidR="00510345" w:rsidRPr="00E45508">
              <w:rPr>
                <w:rFonts w:eastAsia="Calibri" w:cstheme="minorHAnsi"/>
              </w:rPr>
              <w:t xml:space="preserve"> (</w:t>
            </w:r>
            <w:r w:rsidR="00172B7E" w:rsidRPr="00E45508">
              <w:rPr>
                <w:rFonts w:eastAsia="Calibri" w:cstheme="minorHAnsi"/>
              </w:rPr>
              <w:t>Pickin et al.</w:t>
            </w:r>
            <w:r w:rsidR="00421651" w:rsidRPr="00E45508">
              <w:rPr>
                <w:rFonts w:eastAsia="Calibri" w:cstheme="minorHAnsi"/>
              </w:rPr>
              <w:t> 2</w:t>
            </w:r>
            <w:r w:rsidR="00510345" w:rsidRPr="00E45508">
              <w:rPr>
                <w:rFonts w:eastAsia="Calibri" w:cstheme="minorHAnsi"/>
              </w:rPr>
              <w:t>022)</w:t>
            </w:r>
            <w:r w:rsidR="00BB4BB3">
              <w:rPr>
                <w:rFonts w:eastAsia="Calibri" w:cstheme="minorHAnsi"/>
              </w:rPr>
              <w:t>.</w:t>
            </w:r>
          </w:p>
        </w:tc>
      </w:tr>
      <w:tr w:rsidR="00F92CB0" w:rsidRPr="00E45508" w14:paraId="7E37B601" w14:textId="77777777" w:rsidTr="00092E7A">
        <w:trPr>
          <w:cantSplit/>
          <w:trHeight w:val="300"/>
        </w:trPr>
        <w:tc>
          <w:tcPr>
            <w:tcW w:w="1034" w:type="pct"/>
            <w:tcMar>
              <w:left w:w="108" w:type="dxa"/>
              <w:right w:w="108" w:type="dxa"/>
            </w:tcMar>
          </w:tcPr>
          <w:p w14:paraId="27853CF5" w14:textId="4DCFC455" w:rsidR="003773CD" w:rsidRPr="00E45508" w:rsidRDefault="00AA2BAD" w:rsidP="000E6CC5">
            <w:pPr>
              <w:pStyle w:val="Tabletext0"/>
              <w:rPr>
                <w:b/>
              </w:rPr>
            </w:pPr>
            <w:r w:rsidRPr="00E45508">
              <w:rPr>
                <w:b/>
              </w:rPr>
              <w:t>NEPM</w:t>
            </w:r>
          </w:p>
        </w:tc>
        <w:tc>
          <w:tcPr>
            <w:tcW w:w="3966" w:type="pct"/>
            <w:tcMar>
              <w:left w:w="108" w:type="dxa"/>
              <w:right w:w="108" w:type="dxa"/>
            </w:tcMar>
          </w:tcPr>
          <w:p w14:paraId="3D804DDC" w14:textId="6F66244C" w:rsidR="003773CD" w:rsidRPr="00E45508" w:rsidRDefault="00AA2BAD" w:rsidP="000E6CC5">
            <w:pPr>
              <w:pStyle w:val="Tabletext0"/>
            </w:pPr>
            <w:r w:rsidRPr="00E45508">
              <w:t>National Environment Protection (Used Packaging Materials) Measure</w:t>
            </w:r>
            <w:r w:rsidR="00421651" w:rsidRPr="00E45508">
              <w:t> 2</w:t>
            </w:r>
            <w:r w:rsidRPr="00E45508">
              <w:t>011</w:t>
            </w:r>
          </w:p>
        </w:tc>
      </w:tr>
      <w:tr w:rsidR="00F92CB0" w:rsidRPr="00E45508" w14:paraId="14D5A11E" w14:textId="77777777" w:rsidTr="00092E7A">
        <w:trPr>
          <w:cantSplit/>
          <w:trHeight w:val="300"/>
        </w:trPr>
        <w:tc>
          <w:tcPr>
            <w:tcW w:w="1034" w:type="pct"/>
            <w:tcMar>
              <w:left w:w="108" w:type="dxa"/>
              <w:right w:w="108" w:type="dxa"/>
            </w:tcMar>
          </w:tcPr>
          <w:p w14:paraId="3A4E3056" w14:textId="77D7636C" w:rsidR="003773CD" w:rsidRPr="00E45508" w:rsidRDefault="00AA2BAD" w:rsidP="000E6CC5">
            <w:pPr>
              <w:pStyle w:val="Tabletext0"/>
              <w:rPr>
                <w:b/>
              </w:rPr>
            </w:pPr>
            <w:r w:rsidRPr="00E45508">
              <w:rPr>
                <w:b/>
              </w:rPr>
              <w:t>NFRCT</w:t>
            </w:r>
          </w:p>
        </w:tc>
        <w:tc>
          <w:tcPr>
            <w:tcW w:w="3966" w:type="pct"/>
            <w:tcMar>
              <w:left w:w="108" w:type="dxa"/>
              <w:right w:w="108" w:type="dxa"/>
            </w:tcMar>
          </w:tcPr>
          <w:p w14:paraId="64A12357" w14:textId="5CF38788" w:rsidR="003773CD" w:rsidRPr="00E45508" w:rsidRDefault="00AA2BAD" w:rsidP="000E6CC5">
            <w:pPr>
              <w:pStyle w:val="Tabletext0"/>
            </w:pPr>
            <w:hyperlink r:id="rId49" w:history="1">
              <w:r w:rsidRPr="00E45508">
                <w:rPr>
                  <w:rStyle w:val="Hyperlink"/>
                </w:rPr>
                <w:t>National Framework for Recycled Content Traceability</w:t>
              </w:r>
            </w:hyperlink>
            <w:r w:rsidR="00A4508B" w:rsidRPr="00E45508">
              <w:rPr>
                <w:rStyle w:val="Hyperlink"/>
              </w:rPr>
              <w:t xml:space="preserve"> </w:t>
            </w:r>
            <w:r w:rsidR="00A4508B" w:rsidRPr="00E45508">
              <w:rPr>
                <w:rStyle w:val="Hyperlink"/>
                <w:color w:val="auto"/>
              </w:rPr>
              <w:t>(DCCEEW</w:t>
            </w:r>
            <w:r w:rsidR="00421651" w:rsidRPr="00E45508">
              <w:rPr>
                <w:rStyle w:val="Hyperlink"/>
                <w:color w:val="auto"/>
              </w:rPr>
              <w:t> 2</w:t>
            </w:r>
            <w:r w:rsidR="00A4508B" w:rsidRPr="00E45508">
              <w:rPr>
                <w:rStyle w:val="Hyperlink"/>
                <w:color w:val="auto"/>
              </w:rPr>
              <w:t>023)</w:t>
            </w:r>
          </w:p>
        </w:tc>
      </w:tr>
      <w:tr w:rsidR="00F92CB0" w:rsidRPr="00E45508" w14:paraId="688031DF" w14:textId="77777777" w:rsidTr="00092E7A">
        <w:trPr>
          <w:cantSplit/>
          <w:trHeight w:val="300"/>
        </w:trPr>
        <w:tc>
          <w:tcPr>
            <w:tcW w:w="1034" w:type="pct"/>
            <w:tcMar>
              <w:left w:w="108" w:type="dxa"/>
              <w:right w:w="108" w:type="dxa"/>
            </w:tcMar>
          </w:tcPr>
          <w:p w14:paraId="6292AD93" w14:textId="43CFD86F" w:rsidR="003773CD" w:rsidRPr="00E45508" w:rsidRDefault="00AA2BAD" w:rsidP="000E6CC5">
            <w:pPr>
              <w:pStyle w:val="Tabletext0"/>
              <w:rPr>
                <w:b/>
              </w:rPr>
            </w:pPr>
            <w:r w:rsidRPr="00E45508">
              <w:rPr>
                <w:b/>
              </w:rPr>
              <w:t>Non-kerbside recyclable</w:t>
            </w:r>
          </w:p>
        </w:tc>
        <w:tc>
          <w:tcPr>
            <w:tcW w:w="3966" w:type="pct"/>
            <w:tcMar>
              <w:left w:w="108" w:type="dxa"/>
              <w:right w:w="108" w:type="dxa"/>
            </w:tcMar>
          </w:tcPr>
          <w:p w14:paraId="3019CAA7" w14:textId="2FF9087D" w:rsidR="003773CD" w:rsidRPr="00E45508" w:rsidRDefault="00AA2BAD" w:rsidP="000E6CC5">
            <w:pPr>
              <w:pStyle w:val="Tabletext0"/>
            </w:pPr>
            <w:r w:rsidRPr="00E45508">
              <w:t>Packaging that cannot be recycled through household kerbside recycling collection systems, but may be recycled through alternative pathways, such as ‘return to store’.</w:t>
            </w:r>
          </w:p>
        </w:tc>
      </w:tr>
      <w:tr w:rsidR="00F92CB0" w:rsidRPr="00E45508" w14:paraId="219C8B21" w14:textId="77777777" w:rsidTr="00092E7A">
        <w:trPr>
          <w:cantSplit/>
          <w:trHeight w:val="300"/>
        </w:trPr>
        <w:tc>
          <w:tcPr>
            <w:tcW w:w="1034" w:type="pct"/>
            <w:tcMar>
              <w:left w:w="108" w:type="dxa"/>
              <w:right w:w="108" w:type="dxa"/>
            </w:tcMar>
          </w:tcPr>
          <w:p w14:paraId="1906239D" w14:textId="71BA7D28" w:rsidR="003773CD" w:rsidRPr="00E45508" w:rsidRDefault="00AA2BAD" w:rsidP="000E6CC5">
            <w:pPr>
              <w:pStyle w:val="Tabletext0"/>
              <w:rPr>
                <w:b/>
              </w:rPr>
            </w:pPr>
            <w:r w:rsidRPr="00E45508">
              <w:rPr>
                <w:b/>
              </w:rPr>
              <w:t>NPTs</w:t>
            </w:r>
          </w:p>
        </w:tc>
        <w:tc>
          <w:tcPr>
            <w:tcW w:w="3966" w:type="pct"/>
            <w:tcMar>
              <w:left w:w="108" w:type="dxa"/>
              <w:right w:w="108" w:type="dxa"/>
            </w:tcMar>
          </w:tcPr>
          <w:p w14:paraId="1B90EB38" w14:textId="26738A70" w:rsidR="003773CD" w:rsidRPr="00E45508" w:rsidRDefault="00AA2BAD" w:rsidP="000E6CC5">
            <w:pPr>
              <w:pStyle w:val="Tabletext0"/>
            </w:pPr>
            <w:r w:rsidRPr="00E45508">
              <w:t>National Packaging Targets</w:t>
            </w:r>
            <w:r w:rsidR="006350BE" w:rsidRPr="00E45508">
              <w:t xml:space="preserve"> (APCO</w:t>
            </w:r>
            <w:r w:rsidR="00421651" w:rsidRPr="00E45508">
              <w:t> 2</w:t>
            </w:r>
            <w:r w:rsidR="00D3359A" w:rsidRPr="00E45508">
              <w:t>024</w:t>
            </w:r>
            <w:r w:rsidR="00840740">
              <w:t>f</w:t>
            </w:r>
            <w:r w:rsidR="00D3359A" w:rsidRPr="00E45508">
              <w:t>)</w:t>
            </w:r>
          </w:p>
        </w:tc>
      </w:tr>
      <w:tr w:rsidR="00F92CB0" w:rsidRPr="00E45508" w14:paraId="741E5B09" w14:textId="77777777" w:rsidTr="00092E7A">
        <w:trPr>
          <w:cantSplit/>
          <w:trHeight w:val="300"/>
        </w:trPr>
        <w:tc>
          <w:tcPr>
            <w:tcW w:w="1034" w:type="pct"/>
            <w:tcMar>
              <w:left w:w="108" w:type="dxa"/>
              <w:right w:w="108" w:type="dxa"/>
            </w:tcMar>
          </w:tcPr>
          <w:p w14:paraId="426D4F51" w14:textId="222AB0D2" w:rsidR="005E6C56" w:rsidRPr="00E45508" w:rsidRDefault="005E6C56" w:rsidP="000E6CC5">
            <w:pPr>
              <w:pStyle w:val="Tabletext0"/>
              <w:rPr>
                <w:b/>
              </w:rPr>
            </w:pPr>
            <w:r w:rsidRPr="00E45508">
              <w:rPr>
                <w:b/>
              </w:rPr>
              <w:t>Oxo-degradable</w:t>
            </w:r>
          </w:p>
        </w:tc>
        <w:tc>
          <w:tcPr>
            <w:tcW w:w="3966" w:type="pct"/>
            <w:tcMar>
              <w:left w:w="108" w:type="dxa"/>
              <w:right w:w="108" w:type="dxa"/>
            </w:tcMar>
          </w:tcPr>
          <w:p w14:paraId="7688AB3E" w14:textId="11A2B4F7" w:rsidR="005E6C56" w:rsidRPr="00E45508" w:rsidRDefault="0012591F" w:rsidP="000E6CC5">
            <w:pPr>
              <w:pStyle w:val="Tabletext0"/>
            </w:pPr>
            <w:r w:rsidRPr="00E45508">
              <w:t>A</w:t>
            </w:r>
            <w:r w:rsidR="002B57DC" w:rsidRPr="00E45508">
              <w:t xml:space="preserve">dditives </w:t>
            </w:r>
            <w:r w:rsidR="00AD2DE7" w:rsidRPr="00E45508">
              <w:t xml:space="preserve">used in plastic packaging to </w:t>
            </w:r>
            <w:r w:rsidR="00D45A6B" w:rsidRPr="00E45508">
              <w:t xml:space="preserve">make </w:t>
            </w:r>
            <w:r w:rsidR="00CB0963" w:rsidRPr="00E45508">
              <w:t>it brea</w:t>
            </w:r>
            <w:r w:rsidR="005F7064" w:rsidRPr="00E45508">
              <w:t>k down faster</w:t>
            </w:r>
            <w:r w:rsidR="007B0E5E" w:rsidRPr="00E45508">
              <w:t xml:space="preserve"> into </w:t>
            </w:r>
            <w:r w:rsidR="00A47EE8" w:rsidRPr="00E45508">
              <w:t xml:space="preserve">tiny particles or </w:t>
            </w:r>
            <w:r w:rsidR="00E41225" w:rsidRPr="00E45508">
              <w:t xml:space="preserve">microplastics. These </w:t>
            </w:r>
            <w:r w:rsidR="00A47EE8" w:rsidRPr="00E45508">
              <w:t xml:space="preserve">particles do not </w:t>
            </w:r>
            <w:r w:rsidR="005B46E1" w:rsidRPr="00E45508">
              <w:t xml:space="preserve">completely </w:t>
            </w:r>
            <w:r w:rsidR="00A47EE8" w:rsidRPr="00E45508">
              <w:t>decompose</w:t>
            </w:r>
            <w:r w:rsidR="005B46E1" w:rsidRPr="00E45508">
              <w:t xml:space="preserve"> and </w:t>
            </w:r>
            <w:r w:rsidR="00B23B3F" w:rsidRPr="00E45508">
              <w:t>contaminate the environment and can end up in the food chain.</w:t>
            </w:r>
          </w:p>
        </w:tc>
      </w:tr>
      <w:tr w:rsidR="00F92CB0" w:rsidRPr="00E45508" w14:paraId="7FEE84A6" w14:textId="77777777" w:rsidTr="00092E7A">
        <w:trPr>
          <w:cantSplit/>
          <w:trHeight w:val="300"/>
        </w:trPr>
        <w:tc>
          <w:tcPr>
            <w:tcW w:w="1034" w:type="pct"/>
            <w:tcMar>
              <w:left w:w="108" w:type="dxa"/>
              <w:right w:w="108" w:type="dxa"/>
            </w:tcMar>
          </w:tcPr>
          <w:p w14:paraId="0D9224EB" w14:textId="05822586" w:rsidR="003773CD" w:rsidRPr="00E45508" w:rsidRDefault="00AA2BAD" w:rsidP="000E6CC5">
            <w:pPr>
              <w:pStyle w:val="Tabletext0"/>
              <w:rPr>
                <w:b/>
              </w:rPr>
            </w:pPr>
            <w:r w:rsidRPr="00E45508">
              <w:rPr>
                <w:b/>
              </w:rPr>
              <w:t>Packaging</w:t>
            </w:r>
          </w:p>
        </w:tc>
        <w:tc>
          <w:tcPr>
            <w:tcW w:w="3966" w:type="pct"/>
            <w:tcMar>
              <w:left w:w="108" w:type="dxa"/>
              <w:right w:w="108" w:type="dxa"/>
            </w:tcMar>
          </w:tcPr>
          <w:p w14:paraId="3A9EFA21" w14:textId="1511B2EC" w:rsidR="003773CD" w:rsidRPr="00E45508" w:rsidRDefault="00AA2BAD" w:rsidP="000E6CC5">
            <w:pPr>
              <w:pStyle w:val="Tabletext0"/>
            </w:pPr>
            <w:r w:rsidRPr="00E45508">
              <w:t>Material used for the containment or protection of a product. Includes primary, secondary, tertiary, and quaternary packaging in both consumer and business applications</w:t>
            </w:r>
            <w:r w:rsidR="00971373" w:rsidRPr="00E45508">
              <w:t xml:space="preserve"> (APCO</w:t>
            </w:r>
            <w:r w:rsidR="00421651" w:rsidRPr="00E45508">
              <w:t> 2</w:t>
            </w:r>
            <w:r w:rsidR="00971373" w:rsidRPr="00E45508">
              <w:t>023</w:t>
            </w:r>
            <w:r w:rsidR="0043689D">
              <w:t>a</w:t>
            </w:r>
            <w:r w:rsidR="00971373" w:rsidRPr="00E45508">
              <w:t>).</w:t>
            </w:r>
          </w:p>
        </w:tc>
      </w:tr>
      <w:tr w:rsidR="00F92CB0" w:rsidRPr="00E45508" w14:paraId="72BC6C6D" w14:textId="77777777" w:rsidTr="00092E7A">
        <w:trPr>
          <w:cantSplit/>
          <w:trHeight w:val="300"/>
        </w:trPr>
        <w:tc>
          <w:tcPr>
            <w:tcW w:w="1034" w:type="pct"/>
            <w:tcMar>
              <w:left w:w="108" w:type="dxa"/>
              <w:right w:w="108" w:type="dxa"/>
            </w:tcMar>
          </w:tcPr>
          <w:p w14:paraId="7C63CB23" w14:textId="2A17AF61" w:rsidR="003773CD" w:rsidRPr="00E45508" w:rsidRDefault="00AA2BAD" w:rsidP="000E6CC5">
            <w:pPr>
              <w:pStyle w:val="Tabletext0"/>
              <w:rPr>
                <w:b/>
              </w:rPr>
            </w:pPr>
            <w:r w:rsidRPr="00E45508">
              <w:rPr>
                <w:b/>
              </w:rPr>
              <w:t>PFAS</w:t>
            </w:r>
          </w:p>
        </w:tc>
        <w:tc>
          <w:tcPr>
            <w:tcW w:w="3966" w:type="pct"/>
            <w:tcMar>
              <w:left w:w="108" w:type="dxa"/>
              <w:right w:w="108" w:type="dxa"/>
            </w:tcMar>
          </w:tcPr>
          <w:p w14:paraId="1B750137" w14:textId="1CC862BA" w:rsidR="003773CD" w:rsidRPr="00E45508" w:rsidRDefault="00AA2BAD" w:rsidP="000E6CC5">
            <w:pPr>
              <w:pStyle w:val="Tabletext0"/>
            </w:pPr>
            <w:r w:rsidRPr="00E45508">
              <w:t>Per- and polyfluoroalkyl substances</w:t>
            </w:r>
          </w:p>
        </w:tc>
      </w:tr>
      <w:tr w:rsidR="00F92CB0" w:rsidRPr="00E45508" w14:paraId="7ED83CBB" w14:textId="77777777" w:rsidTr="00092E7A">
        <w:trPr>
          <w:cantSplit/>
          <w:trHeight w:val="300"/>
        </w:trPr>
        <w:tc>
          <w:tcPr>
            <w:tcW w:w="1034" w:type="pct"/>
            <w:tcMar>
              <w:left w:w="108" w:type="dxa"/>
              <w:right w:w="108" w:type="dxa"/>
            </w:tcMar>
          </w:tcPr>
          <w:p w14:paraId="41987C72" w14:textId="28BCBAF8" w:rsidR="003773CD" w:rsidRPr="00E45508" w:rsidRDefault="00AA2BAD" w:rsidP="000E6CC5">
            <w:pPr>
              <w:pStyle w:val="Tabletext0"/>
              <w:rPr>
                <w:b/>
              </w:rPr>
            </w:pPr>
            <w:r w:rsidRPr="00E45508">
              <w:rPr>
                <w:b/>
              </w:rPr>
              <w:t>POM</w:t>
            </w:r>
          </w:p>
        </w:tc>
        <w:tc>
          <w:tcPr>
            <w:tcW w:w="3966" w:type="pct"/>
            <w:tcMar>
              <w:left w:w="108" w:type="dxa"/>
              <w:right w:w="108" w:type="dxa"/>
            </w:tcMar>
          </w:tcPr>
          <w:p w14:paraId="11EAFC28" w14:textId="7E7378D5" w:rsidR="003773CD" w:rsidRPr="00E45508" w:rsidRDefault="00AA2BAD" w:rsidP="000E6CC5">
            <w:pPr>
              <w:pStyle w:val="Tabletext0"/>
            </w:pPr>
            <w:r w:rsidRPr="00E45508">
              <w:t>Placed on market</w:t>
            </w:r>
          </w:p>
        </w:tc>
      </w:tr>
      <w:tr w:rsidR="00F92CB0" w:rsidRPr="00E45508" w14:paraId="3C6F8E10" w14:textId="77777777" w:rsidTr="00092E7A">
        <w:trPr>
          <w:cantSplit/>
          <w:trHeight w:val="300"/>
        </w:trPr>
        <w:tc>
          <w:tcPr>
            <w:tcW w:w="1034" w:type="pct"/>
            <w:tcMar>
              <w:left w:w="108" w:type="dxa"/>
              <w:right w:w="108" w:type="dxa"/>
            </w:tcMar>
          </w:tcPr>
          <w:p w14:paraId="489EC699" w14:textId="33F40FC2" w:rsidR="003773CD" w:rsidRPr="00E45508" w:rsidRDefault="00AA2BAD" w:rsidP="000E6CC5">
            <w:pPr>
              <w:pStyle w:val="Tabletext0"/>
              <w:rPr>
                <w:b/>
              </w:rPr>
            </w:pPr>
            <w:r w:rsidRPr="00E45508">
              <w:rPr>
                <w:b/>
              </w:rPr>
              <w:t>Post-consumer recycled material</w:t>
            </w:r>
          </w:p>
        </w:tc>
        <w:tc>
          <w:tcPr>
            <w:tcW w:w="3966" w:type="pct"/>
            <w:tcMar>
              <w:left w:w="108" w:type="dxa"/>
              <w:right w:w="108" w:type="dxa"/>
            </w:tcMar>
          </w:tcPr>
          <w:p w14:paraId="0E35AE62" w14:textId="1B8073F8" w:rsidR="003773CD" w:rsidRPr="00E45508" w:rsidRDefault="00AA2BAD" w:rsidP="000E6CC5">
            <w:pPr>
              <w:pStyle w:val="Tabletext0"/>
            </w:pPr>
            <w:r w:rsidRPr="00E45508">
              <w:t>Consistent with AS</w:t>
            </w:r>
            <w:r w:rsidR="00421651" w:rsidRPr="00E45508">
              <w:t> 1</w:t>
            </w:r>
            <w:r w:rsidRPr="00E45508">
              <w:t>4021 or ISO</w:t>
            </w:r>
            <w:r w:rsidR="00421651" w:rsidRPr="00E45508">
              <w:t> 1</w:t>
            </w:r>
            <w:r w:rsidRPr="00E45508">
              <w:t>4021:2016, post-consumer recycled material is recycled from the waste generated by households or other end users when a product has reached end-of-use.</w:t>
            </w:r>
          </w:p>
        </w:tc>
      </w:tr>
      <w:tr w:rsidR="00F92CB0" w:rsidRPr="00E45508" w14:paraId="6A9CCB2F" w14:textId="77777777" w:rsidTr="00092E7A">
        <w:trPr>
          <w:cantSplit/>
          <w:trHeight w:val="300"/>
        </w:trPr>
        <w:tc>
          <w:tcPr>
            <w:tcW w:w="1034" w:type="pct"/>
            <w:tcMar>
              <w:left w:w="108" w:type="dxa"/>
              <w:right w:w="108" w:type="dxa"/>
            </w:tcMar>
          </w:tcPr>
          <w:p w14:paraId="1EA9D8F3" w14:textId="364EE0FA" w:rsidR="003773CD" w:rsidRPr="00E45508" w:rsidRDefault="00AA2BAD" w:rsidP="000E6CC5">
            <w:pPr>
              <w:pStyle w:val="Tabletext0"/>
              <w:rPr>
                <w:b/>
              </w:rPr>
            </w:pPr>
            <w:r w:rsidRPr="00E45508">
              <w:rPr>
                <w:b/>
              </w:rPr>
              <w:t>PPWR</w:t>
            </w:r>
          </w:p>
        </w:tc>
        <w:tc>
          <w:tcPr>
            <w:tcW w:w="3966" w:type="pct"/>
            <w:tcMar>
              <w:left w:w="108" w:type="dxa"/>
              <w:right w:w="108" w:type="dxa"/>
            </w:tcMar>
          </w:tcPr>
          <w:p w14:paraId="74F4B3A6" w14:textId="1104FA44" w:rsidR="003773CD" w:rsidRPr="00E45508" w:rsidRDefault="00AA2BAD" w:rsidP="000E6CC5">
            <w:pPr>
              <w:pStyle w:val="Tabletext0"/>
            </w:pPr>
            <w:r w:rsidRPr="00E45508">
              <w:t xml:space="preserve">European </w:t>
            </w:r>
            <w:r w:rsidRPr="00E45508">
              <w:rPr>
                <w:i/>
                <w:iCs/>
              </w:rPr>
              <w:t>Packaging and Packaging Waste Regulation</w:t>
            </w:r>
            <w:r w:rsidR="002F619D" w:rsidRPr="00E45508">
              <w:rPr>
                <w:i/>
                <w:iCs/>
              </w:rPr>
              <w:t xml:space="preserve"> </w:t>
            </w:r>
            <w:r w:rsidR="002F619D" w:rsidRPr="00E45508">
              <w:t>(</w:t>
            </w:r>
            <w:r w:rsidR="00BA7649" w:rsidRPr="00E45508">
              <w:t>European Parliament</w:t>
            </w:r>
            <w:r w:rsidR="00421651" w:rsidRPr="00E45508">
              <w:t> 2</w:t>
            </w:r>
            <w:r w:rsidR="002F619D" w:rsidRPr="00E45508">
              <w:t>024)</w:t>
            </w:r>
          </w:p>
        </w:tc>
      </w:tr>
      <w:tr w:rsidR="00F92CB0" w:rsidRPr="00E45508" w14:paraId="77D94E62" w14:textId="77777777" w:rsidTr="00092E7A">
        <w:trPr>
          <w:cantSplit/>
          <w:trHeight w:val="300"/>
        </w:trPr>
        <w:tc>
          <w:tcPr>
            <w:tcW w:w="1034" w:type="pct"/>
            <w:tcMar>
              <w:left w:w="108" w:type="dxa"/>
              <w:right w:w="108" w:type="dxa"/>
            </w:tcMar>
          </w:tcPr>
          <w:p w14:paraId="1C2BA8DC" w14:textId="785B54F7" w:rsidR="003773CD" w:rsidRPr="00E45508" w:rsidRDefault="00AA2BAD" w:rsidP="000E6CC5">
            <w:pPr>
              <w:pStyle w:val="Tabletext0"/>
              <w:rPr>
                <w:b/>
              </w:rPr>
            </w:pPr>
            <w:r w:rsidRPr="00E45508">
              <w:rPr>
                <w:b/>
              </w:rPr>
              <w:t>Pre-consumer recycled material</w:t>
            </w:r>
          </w:p>
        </w:tc>
        <w:tc>
          <w:tcPr>
            <w:tcW w:w="3966" w:type="pct"/>
            <w:tcMar>
              <w:left w:w="108" w:type="dxa"/>
              <w:right w:w="108" w:type="dxa"/>
            </w:tcMar>
          </w:tcPr>
          <w:p w14:paraId="51F9D125" w14:textId="55D3027D" w:rsidR="003773CD" w:rsidRPr="00E45508" w:rsidRDefault="00AA2BAD" w:rsidP="000E6CC5">
            <w:pPr>
              <w:pStyle w:val="Tabletext0"/>
            </w:pPr>
            <w:r w:rsidRPr="00E45508">
              <w:t>Consistent with AS</w:t>
            </w:r>
            <w:r w:rsidR="00421651" w:rsidRPr="00E45508">
              <w:t> 1</w:t>
            </w:r>
            <w:r w:rsidRPr="00E45508">
              <w:t>4021:2018 or ISO</w:t>
            </w:r>
            <w:r w:rsidR="00421651" w:rsidRPr="00E45508">
              <w:t> 1</w:t>
            </w:r>
            <w:r w:rsidRPr="00E45508">
              <w:t>4021:2016, pre-consumer recycled material is recycled from the waste discarded from manufacturing processes, excluding offcuts which are used again in the same manufacturing processes that created them (such as rework, regrind and scrap).</w:t>
            </w:r>
          </w:p>
        </w:tc>
      </w:tr>
      <w:tr w:rsidR="00F92CB0" w:rsidRPr="00E45508" w14:paraId="7B918C33" w14:textId="77777777" w:rsidTr="00092E7A">
        <w:trPr>
          <w:cantSplit/>
          <w:trHeight w:val="300"/>
        </w:trPr>
        <w:tc>
          <w:tcPr>
            <w:tcW w:w="1034" w:type="pct"/>
            <w:tcMar>
              <w:left w:w="108" w:type="dxa"/>
              <w:right w:w="108" w:type="dxa"/>
            </w:tcMar>
          </w:tcPr>
          <w:p w14:paraId="66A0EC8D" w14:textId="13BE7CEF" w:rsidR="003773CD" w:rsidRPr="00E45508" w:rsidRDefault="00AA2BAD" w:rsidP="000E6CC5">
            <w:pPr>
              <w:pStyle w:val="Tabletext0"/>
              <w:rPr>
                <w:b/>
              </w:rPr>
            </w:pPr>
            <w:r w:rsidRPr="00E45508">
              <w:rPr>
                <w:b/>
              </w:rPr>
              <w:t>PRO</w:t>
            </w:r>
          </w:p>
        </w:tc>
        <w:tc>
          <w:tcPr>
            <w:tcW w:w="3966" w:type="pct"/>
            <w:tcMar>
              <w:left w:w="108" w:type="dxa"/>
              <w:right w:w="108" w:type="dxa"/>
            </w:tcMar>
          </w:tcPr>
          <w:p w14:paraId="469FCD3E" w14:textId="5876A899" w:rsidR="003773CD" w:rsidRPr="00E45508" w:rsidRDefault="00AA2BAD" w:rsidP="000E6CC5">
            <w:pPr>
              <w:pStyle w:val="Tabletext0"/>
            </w:pPr>
            <w:r w:rsidRPr="00E45508">
              <w:t>Producer Responsibility Organisation</w:t>
            </w:r>
          </w:p>
        </w:tc>
      </w:tr>
      <w:tr w:rsidR="00F92CB0" w:rsidRPr="00E45508" w14:paraId="1A85A35B" w14:textId="77777777" w:rsidTr="00092E7A">
        <w:trPr>
          <w:cantSplit/>
          <w:trHeight w:val="300"/>
        </w:trPr>
        <w:tc>
          <w:tcPr>
            <w:tcW w:w="1034" w:type="pct"/>
            <w:tcMar>
              <w:left w:w="108" w:type="dxa"/>
              <w:right w:w="108" w:type="dxa"/>
            </w:tcMar>
          </w:tcPr>
          <w:p w14:paraId="22F9A0A2" w14:textId="77777777" w:rsidR="008E1F4F" w:rsidRPr="00E45508" w:rsidRDefault="008E1F4F" w:rsidP="000E6CC5">
            <w:pPr>
              <w:pStyle w:val="Tabletext0"/>
              <w:rPr>
                <w:b/>
              </w:rPr>
            </w:pPr>
            <w:r w:rsidRPr="00E45508">
              <w:rPr>
                <w:b/>
              </w:rPr>
              <w:t>Recovered material</w:t>
            </w:r>
          </w:p>
        </w:tc>
        <w:tc>
          <w:tcPr>
            <w:tcW w:w="3966" w:type="pct"/>
            <w:tcMar>
              <w:left w:w="108" w:type="dxa"/>
              <w:right w:w="108" w:type="dxa"/>
            </w:tcMar>
          </w:tcPr>
          <w:p w14:paraId="5D943A18" w14:textId="1EE4753C" w:rsidR="008E1F4F" w:rsidRPr="00E45508" w:rsidRDefault="008E1F4F" w:rsidP="000E6CC5">
            <w:pPr>
              <w:pStyle w:val="Tabletext0"/>
            </w:pPr>
            <w:r w:rsidRPr="00E45508">
              <w:t>Consistent with AS</w:t>
            </w:r>
            <w:r w:rsidR="00421651" w:rsidRPr="00E45508">
              <w:t> 1</w:t>
            </w:r>
            <w:r w:rsidRPr="00E45508">
              <w:t>4021:2018 or ISO</w:t>
            </w:r>
            <w:r w:rsidR="00421651" w:rsidRPr="00E45508">
              <w:t> 1</w:t>
            </w:r>
            <w:r w:rsidRPr="00E45508">
              <w:t>4021:2016, recovered material is end of use material collected and recovered as a material input for further recycling or processing.</w:t>
            </w:r>
          </w:p>
        </w:tc>
      </w:tr>
      <w:tr w:rsidR="00F92CB0" w:rsidRPr="00E45508" w14:paraId="6BBA4DBA" w14:textId="77777777" w:rsidTr="00092E7A">
        <w:trPr>
          <w:cantSplit/>
          <w:trHeight w:val="300"/>
        </w:trPr>
        <w:tc>
          <w:tcPr>
            <w:tcW w:w="1034" w:type="pct"/>
            <w:tcMar>
              <w:left w:w="108" w:type="dxa"/>
              <w:right w:w="108" w:type="dxa"/>
            </w:tcMar>
          </w:tcPr>
          <w:p w14:paraId="13D89E79" w14:textId="77777777" w:rsidR="008E1F4F" w:rsidRPr="00E45508" w:rsidRDefault="008E1F4F" w:rsidP="000E6CC5">
            <w:pPr>
              <w:pStyle w:val="Tabletext0"/>
              <w:rPr>
                <w:b/>
              </w:rPr>
            </w:pPr>
            <w:r w:rsidRPr="00E45508">
              <w:rPr>
                <w:b/>
              </w:rPr>
              <w:t>Recovery rate</w:t>
            </w:r>
          </w:p>
        </w:tc>
        <w:tc>
          <w:tcPr>
            <w:tcW w:w="3966" w:type="pct"/>
            <w:tcMar>
              <w:left w:w="108" w:type="dxa"/>
              <w:right w:w="108" w:type="dxa"/>
            </w:tcMar>
          </w:tcPr>
          <w:p w14:paraId="78443536" w14:textId="77777777" w:rsidR="008E1F4F" w:rsidRPr="00E45508" w:rsidRDefault="008E1F4F" w:rsidP="000E6CC5">
            <w:pPr>
              <w:pStyle w:val="Tabletext0"/>
            </w:pPr>
            <w:r w:rsidRPr="00E45508">
              <w:t>The weight of materials allocated to the fate of reuse, recycling or energy recovery divided by the weight of waste generated.</w:t>
            </w:r>
          </w:p>
        </w:tc>
      </w:tr>
      <w:tr w:rsidR="00F92CB0" w:rsidRPr="00E45508" w14:paraId="1975F375" w14:textId="77777777" w:rsidTr="00092E7A">
        <w:trPr>
          <w:cantSplit/>
          <w:trHeight w:val="300"/>
        </w:trPr>
        <w:tc>
          <w:tcPr>
            <w:tcW w:w="1034" w:type="pct"/>
            <w:tcMar>
              <w:left w:w="108" w:type="dxa"/>
              <w:right w:w="108" w:type="dxa"/>
            </w:tcMar>
          </w:tcPr>
          <w:p w14:paraId="6544D52D" w14:textId="77777777" w:rsidR="008E1F4F" w:rsidRPr="00E45508" w:rsidRDefault="008E1F4F" w:rsidP="000E6CC5">
            <w:pPr>
              <w:pStyle w:val="Tabletext0"/>
              <w:rPr>
                <w:b/>
              </w:rPr>
            </w:pPr>
            <w:r w:rsidRPr="00E45508">
              <w:rPr>
                <w:b/>
              </w:rPr>
              <w:t xml:space="preserve">Recyclability </w:t>
            </w:r>
          </w:p>
        </w:tc>
        <w:tc>
          <w:tcPr>
            <w:tcW w:w="3966" w:type="pct"/>
            <w:tcMar>
              <w:left w:w="108" w:type="dxa"/>
              <w:right w:w="108" w:type="dxa"/>
            </w:tcMar>
          </w:tcPr>
          <w:p w14:paraId="1CB2FBE3" w14:textId="77777777" w:rsidR="008E1F4F" w:rsidRPr="00E45508" w:rsidRDefault="008E1F4F" w:rsidP="000E6CC5">
            <w:pPr>
              <w:pStyle w:val="Tabletext0"/>
            </w:pPr>
            <w:r w:rsidRPr="00E45508">
              <w:t>The ability for packaging materials to be collected, sorted, processed, and turned into new products through recycling. Here it is further defined as being accepted through kerbside or commercial collection or Container Deposit Schemes in more than 80% of Local Government Areas and where there are sustainable end-markets for the material.</w:t>
            </w:r>
          </w:p>
        </w:tc>
      </w:tr>
      <w:tr w:rsidR="00F92CB0" w:rsidRPr="00E45508" w14:paraId="3D52582B" w14:textId="77777777" w:rsidTr="00092E7A">
        <w:trPr>
          <w:cantSplit/>
          <w:trHeight w:val="300"/>
        </w:trPr>
        <w:tc>
          <w:tcPr>
            <w:tcW w:w="1034" w:type="pct"/>
            <w:tcMar>
              <w:left w:w="108" w:type="dxa"/>
              <w:right w:w="108" w:type="dxa"/>
            </w:tcMar>
          </w:tcPr>
          <w:p w14:paraId="5D0987A0" w14:textId="77777777" w:rsidR="008E1F4F" w:rsidRPr="00E45508" w:rsidRDefault="008E1F4F" w:rsidP="000E6CC5">
            <w:pPr>
              <w:pStyle w:val="Tabletext0"/>
              <w:rPr>
                <w:b/>
              </w:rPr>
            </w:pPr>
            <w:r w:rsidRPr="00E45508">
              <w:rPr>
                <w:b/>
              </w:rPr>
              <w:t>Recyclate</w:t>
            </w:r>
          </w:p>
        </w:tc>
        <w:tc>
          <w:tcPr>
            <w:tcW w:w="3966" w:type="pct"/>
            <w:tcMar>
              <w:left w:w="108" w:type="dxa"/>
              <w:right w:w="108" w:type="dxa"/>
            </w:tcMar>
          </w:tcPr>
          <w:p w14:paraId="51A4E0D6" w14:textId="1CE27825" w:rsidR="008E1F4F" w:rsidRPr="00E45508" w:rsidRDefault="008E1F4F" w:rsidP="000E6CC5">
            <w:pPr>
              <w:pStyle w:val="Tabletext0"/>
            </w:pPr>
            <w:r w:rsidRPr="00E45508">
              <w:t>See recycled material</w:t>
            </w:r>
            <w:r w:rsidR="00B54B71">
              <w:t>.</w:t>
            </w:r>
          </w:p>
        </w:tc>
      </w:tr>
      <w:tr w:rsidR="000D4BD1" w:rsidRPr="00E45508" w14:paraId="0962233F" w14:textId="77777777" w:rsidTr="00092E7A">
        <w:trPr>
          <w:cantSplit/>
          <w:trHeight w:val="300"/>
        </w:trPr>
        <w:tc>
          <w:tcPr>
            <w:tcW w:w="1034" w:type="pct"/>
            <w:tcMar>
              <w:left w:w="108" w:type="dxa"/>
              <w:right w:w="108" w:type="dxa"/>
            </w:tcMar>
          </w:tcPr>
          <w:p w14:paraId="7031EB55" w14:textId="742F73CC" w:rsidR="000D4BD1" w:rsidRPr="00E45508" w:rsidRDefault="000D4BD1" w:rsidP="000D4BD1">
            <w:pPr>
              <w:pStyle w:val="Tabletext0"/>
              <w:rPr>
                <w:b/>
              </w:rPr>
            </w:pPr>
            <w:r w:rsidRPr="76153925">
              <w:rPr>
                <w:b/>
                <w:bCs/>
              </w:rPr>
              <w:t>Recycled at scale</w:t>
            </w:r>
          </w:p>
        </w:tc>
        <w:tc>
          <w:tcPr>
            <w:tcW w:w="3966" w:type="pct"/>
            <w:tcMar>
              <w:left w:w="108" w:type="dxa"/>
              <w:right w:w="108" w:type="dxa"/>
            </w:tcMar>
          </w:tcPr>
          <w:p w14:paraId="461E0993" w14:textId="699B0535" w:rsidR="000D4BD1" w:rsidRPr="00E45508" w:rsidRDefault="000D4BD1" w:rsidP="000D4BD1">
            <w:pPr>
              <w:pStyle w:val="Tabletext0"/>
            </w:pPr>
            <w:r w:rsidRPr="63E28D72">
              <w:rPr>
                <w:rFonts w:ascii="Segoe UI" w:eastAsia="Segoe UI" w:hAnsi="Segoe UI" w:cs="Segoe UI"/>
                <w:color w:val="333333"/>
                <w:sz w:val="18"/>
                <w:szCs w:val="18"/>
              </w:rPr>
              <w:t>‘</w:t>
            </w:r>
            <w:r w:rsidRPr="76153925">
              <w:rPr>
                <w:rFonts w:ascii="Segoe UI" w:eastAsia="Segoe UI" w:hAnsi="Segoe UI" w:cs="Segoe UI"/>
                <w:color w:val="333333"/>
                <w:sz w:val="18"/>
                <w:szCs w:val="18"/>
              </w:rPr>
              <w:t>At scale’ implies that there are significant and relevant geographical areas, as measured by population size, where the packaging is actually recycled in practice.</w:t>
            </w:r>
          </w:p>
        </w:tc>
      </w:tr>
      <w:tr w:rsidR="000D4BD1" w:rsidRPr="00E45508" w14:paraId="45B8BF93" w14:textId="77777777" w:rsidTr="00092E7A">
        <w:trPr>
          <w:cantSplit/>
          <w:trHeight w:val="300"/>
        </w:trPr>
        <w:tc>
          <w:tcPr>
            <w:tcW w:w="1034" w:type="pct"/>
            <w:tcMar>
              <w:left w:w="108" w:type="dxa"/>
              <w:right w:w="108" w:type="dxa"/>
            </w:tcMar>
          </w:tcPr>
          <w:p w14:paraId="1B0D4F14" w14:textId="77777777" w:rsidR="000D4BD1" w:rsidRPr="00E45508" w:rsidRDefault="000D4BD1" w:rsidP="000D4BD1">
            <w:pPr>
              <w:pStyle w:val="Tabletext0"/>
              <w:rPr>
                <w:b/>
              </w:rPr>
            </w:pPr>
            <w:r w:rsidRPr="00E45508">
              <w:rPr>
                <w:b/>
              </w:rPr>
              <w:t>Recycled content</w:t>
            </w:r>
          </w:p>
        </w:tc>
        <w:tc>
          <w:tcPr>
            <w:tcW w:w="3966" w:type="pct"/>
            <w:tcMar>
              <w:left w:w="108" w:type="dxa"/>
              <w:right w:w="108" w:type="dxa"/>
            </w:tcMar>
          </w:tcPr>
          <w:p w14:paraId="689F637E" w14:textId="233AABED" w:rsidR="000D4BD1" w:rsidRPr="00E45508" w:rsidRDefault="000D4BD1" w:rsidP="000D4BD1">
            <w:pPr>
              <w:pStyle w:val="Tabletext0"/>
            </w:pPr>
            <w:r w:rsidRPr="00E45508">
              <w:t>Consistent with AS 14021:2018 or ISO 14021:2016, recycled content is the proportion by weight of recycled materials in goods</w:t>
            </w:r>
            <w:r>
              <w:t>.</w:t>
            </w:r>
          </w:p>
        </w:tc>
      </w:tr>
      <w:tr w:rsidR="000D4BD1" w:rsidRPr="00E45508" w14:paraId="4C4C93BF" w14:textId="77777777" w:rsidTr="00092E7A">
        <w:trPr>
          <w:cantSplit/>
          <w:trHeight w:val="300"/>
        </w:trPr>
        <w:tc>
          <w:tcPr>
            <w:tcW w:w="1034" w:type="pct"/>
            <w:tcMar>
              <w:left w:w="108" w:type="dxa"/>
              <w:right w:w="108" w:type="dxa"/>
            </w:tcMar>
          </w:tcPr>
          <w:p w14:paraId="5B9A4C55" w14:textId="77777777" w:rsidR="000D4BD1" w:rsidRPr="00E45508" w:rsidRDefault="000D4BD1" w:rsidP="000D4BD1">
            <w:pPr>
              <w:pStyle w:val="Tabletext0"/>
              <w:rPr>
                <w:b/>
              </w:rPr>
            </w:pPr>
            <w:r w:rsidRPr="00E45508">
              <w:rPr>
                <w:b/>
              </w:rPr>
              <w:t>Recycled material</w:t>
            </w:r>
          </w:p>
        </w:tc>
        <w:tc>
          <w:tcPr>
            <w:tcW w:w="3966" w:type="pct"/>
            <w:tcMar>
              <w:left w:w="108" w:type="dxa"/>
              <w:right w:w="108" w:type="dxa"/>
            </w:tcMar>
          </w:tcPr>
          <w:p w14:paraId="496F423A" w14:textId="3B1B0A1E" w:rsidR="000D4BD1" w:rsidRPr="00E45508" w:rsidRDefault="000D4BD1" w:rsidP="000D4BD1">
            <w:pPr>
              <w:pStyle w:val="Tabletext0"/>
            </w:pPr>
            <w:r w:rsidRPr="00E45508">
              <w:t>Recovered materials processed to the point of being suitable for manufacturing into a final product or product component, or for direct use in applications like construction.</w:t>
            </w:r>
          </w:p>
        </w:tc>
      </w:tr>
      <w:tr w:rsidR="000D4BD1" w:rsidRPr="00E45508" w14:paraId="2C8CE49C" w14:textId="77777777" w:rsidTr="00092E7A">
        <w:trPr>
          <w:cantSplit/>
          <w:trHeight w:val="300"/>
        </w:trPr>
        <w:tc>
          <w:tcPr>
            <w:tcW w:w="1034" w:type="pct"/>
            <w:tcMar>
              <w:left w:w="108" w:type="dxa"/>
              <w:right w:w="108" w:type="dxa"/>
            </w:tcMar>
          </w:tcPr>
          <w:p w14:paraId="24A96B33" w14:textId="73B1D703" w:rsidR="000D4BD1" w:rsidRPr="00E45508" w:rsidRDefault="000D4BD1" w:rsidP="000D4BD1">
            <w:pPr>
              <w:pStyle w:val="Tabletext0"/>
              <w:rPr>
                <w:b/>
              </w:rPr>
            </w:pPr>
            <w:r w:rsidRPr="00E45508">
              <w:rPr>
                <w:b/>
              </w:rPr>
              <w:t>Recycling</w:t>
            </w:r>
          </w:p>
        </w:tc>
        <w:tc>
          <w:tcPr>
            <w:tcW w:w="3966" w:type="pct"/>
            <w:tcMar>
              <w:left w:w="108" w:type="dxa"/>
              <w:right w:w="108" w:type="dxa"/>
            </w:tcMar>
          </w:tcPr>
          <w:p w14:paraId="50A19CA6" w14:textId="3727DD23" w:rsidR="000D4BD1" w:rsidRDefault="000D4BD1" w:rsidP="000D4BD1">
            <w:pPr>
              <w:pStyle w:val="Tabletext0"/>
              <w:rPr>
                <w:rFonts w:eastAsia="Calibri" w:cstheme="minorHAnsi"/>
              </w:rPr>
            </w:pPr>
            <w:r w:rsidRPr="00E45508">
              <w:rPr>
                <w:rFonts w:eastAsia="Calibri" w:cstheme="minorHAnsi"/>
              </w:rPr>
              <w:t>Activities through which wastes are collected, sorted, reprocessed (including through composting), and/or converted into raw materials for use by end-markets in a production system, excluding for energy.</w:t>
            </w:r>
          </w:p>
          <w:p w14:paraId="2C936E3D" w14:textId="1C179AFD" w:rsidR="000D4BD1" w:rsidRPr="00E45508" w:rsidRDefault="000D4BD1" w:rsidP="000D4BD1">
            <w:pPr>
              <w:pStyle w:val="Tabletext0"/>
              <w:rPr>
                <w:rFonts w:eastAsia="Calibri" w:cstheme="minorHAnsi"/>
              </w:rPr>
            </w:pPr>
            <w:r w:rsidRPr="00E45508">
              <w:rPr>
                <w:rFonts w:eastAsia="Calibri" w:cstheme="minorHAnsi"/>
              </w:rPr>
              <w:t>For data reporting purposes, the mass of material allocated to the fate ‘recycling’ (Pickin et al. 2022):</w:t>
            </w:r>
          </w:p>
          <w:p w14:paraId="2EF8DCC6" w14:textId="16E7C2A3" w:rsidR="000D4BD1" w:rsidRPr="00E45508" w:rsidRDefault="000D4BD1" w:rsidP="000D4BD1">
            <w:pPr>
              <w:pStyle w:val="TableBullet1"/>
            </w:pPr>
            <w:r w:rsidRPr="00E45508">
              <w:t>includes all materials received by a reprocessing facility that are processed to the point of being suitable for remanufacturing or return to productive use, whether immediately used or stored for later sale or use</w:t>
            </w:r>
          </w:p>
          <w:p w14:paraId="1C3A5DC4" w14:textId="4D8C8415" w:rsidR="000D4BD1" w:rsidRPr="00E45508" w:rsidRDefault="000D4BD1" w:rsidP="000D4BD1">
            <w:pPr>
              <w:pStyle w:val="TableBullet1"/>
            </w:pPr>
            <w:r w:rsidRPr="00E45508">
              <w:t>includes weight losses to the atmosphere during the processing of wastes (for example, moisture, carbon dioxide from organics degradation)</w:t>
            </w:r>
          </w:p>
          <w:p w14:paraId="062BE6C6" w14:textId="7A117A88" w:rsidR="000D4BD1" w:rsidRPr="00E45508" w:rsidRDefault="000D4BD1" w:rsidP="000D4BD1">
            <w:pPr>
              <w:pStyle w:val="TableBullet1"/>
            </w:pPr>
            <w:r w:rsidRPr="00E45508">
              <w:t>excludes residuals that are sent to landfill or otherwise disposed of</w:t>
            </w:r>
          </w:p>
          <w:p w14:paraId="5D40E0BE" w14:textId="2EA92287" w:rsidR="000D4BD1" w:rsidRPr="00E45508" w:rsidRDefault="000D4BD1" w:rsidP="000D4BD1">
            <w:pPr>
              <w:pStyle w:val="TableBullet1"/>
            </w:pPr>
            <w:r w:rsidRPr="00E45508">
              <w:t>excludes materials received at a recycling facility but not yet processed</w:t>
            </w:r>
          </w:p>
          <w:p w14:paraId="128251E8" w14:textId="7A888906" w:rsidR="000D4BD1" w:rsidRPr="00E45508" w:rsidRDefault="000D4BD1" w:rsidP="000D4BD1">
            <w:pPr>
              <w:pStyle w:val="TableBullet1"/>
            </w:pPr>
            <w:r w:rsidRPr="00E45508">
              <w:t>is reported as wet weight</w:t>
            </w:r>
            <w:r>
              <w:t>.</w:t>
            </w:r>
          </w:p>
        </w:tc>
      </w:tr>
      <w:tr w:rsidR="000D4BD1" w:rsidRPr="00E45508" w14:paraId="2092E44D" w14:textId="77777777" w:rsidTr="00092E7A">
        <w:trPr>
          <w:cantSplit/>
          <w:trHeight w:val="300"/>
        </w:trPr>
        <w:tc>
          <w:tcPr>
            <w:tcW w:w="1034" w:type="pct"/>
            <w:tcMar>
              <w:left w:w="108" w:type="dxa"/>
              <w:right w:w="108" w:type="dxa"/>
            </w:tcMar>
          </w:tcPr>
          <w:p w14:paraId="30CCD6B6" w14:textId="2F5866C5" w:rsidR="000D4BD1" w:rsidRPr="00E45508" w:rsidRDefault="000D4BD1" w:rsidP="000D4BD1">
            <w:pPr>
              <w:pStyle w:val="Tabletext0"/>
              <w:rPr>
                <w:b/>
              </w:rPr>
            </w:pPr>
            <w:r w:rsidRPr="00E45508">
              <w:rPr>
                <w:b/>
              </w:rPr>
              <w:t xml:space="preserve">Regulated entity </w:t>
            </w:r>
          </w:p>
        </w:tc>
        <w:tc>
          <w:tcPr>
            <w:tcW w:w="3966" w:type="pct"/>
            <w:tcMar>
              <w:left w:w="108" w:type="dxa"/>
              <w:right w:w="108" w:type="dxa"/>
            </w:tcMar>
          </w:tcPr>
          <w:p w14:paraId="3D55D32B" w14:textId="77F4B116" w:rsidR="000D4BD1" w:rsidRPr="00E45508" w:rsidRDefault="000D4BD1" w:rsidP="000D4BD1">
            <w:pPr>
              <w:pStyle w:val="Tabletext0"/>
            </w:pPr>
            <w:r w:rsidRPr="00E45508">
              <w:t>A legal entity that is regulated under a legislative framework that relates to packaging.</w:t>
            </w:r>
          </w:p>
        </w:tc>
      </w:tr>
      <w:tr w:rsidR="000D4BD1" w:rsidRPr="00E45508" w14:paraId="7EFF54CF" w14:textId="77777777" w:rsidTr="00092E7A">
        <w:trPr>
          <w:cantSplit/>
          <w:trHeight w:val="300"/>
        </w:trPr>
        <w:tc>
          <w:tcPr>
            <w:tcW w:w="1034" w:type="pct"/>
            <w:tcMar>
              <w:left w:w="108" w:type="dxa"/>
              <w:right w:w="108" w:type="dxa"/>
            </w:tcMar>
          </w:tcPr>
          <w:p w14:paraId="2168F9FC" w14:textId="3815E855" w:rsidR="000D4BD1" w:rsidRPr="00E45508" w:rsidRDefault="000D4BD1" w:rsidP="000D4BD1">
            <w:pPr>
              <w:pStyle w:val="Tabletext0"/>
              <w:rPr>
                <w:b/>
              </w:rPr>
            </w:pPr>
            <w:r w:rsidRPr="00E45508">
              <w:rPr>
                <w:b/>
              </w:rPr>
              <w:t xml:space="preserve">Reprocessor </w:t>
            </w:r>
          </w:p>
        </w:tc>
        <w:tc>
          <w:tcPr>
            <w:tcW w:w="3966" w:type="pct"/>
            <w:tcMar>
              <w:left w:w="108" w:type="dxa"/>
              <w:right w:w="108" w:type="dxa"/>
            </w:tcMar>
          </w:tcPr>
          <w:p w14:paraId="534AFE01" w14:textId="31C510CA" w:rsidR="000D4BD1" w:rsidRPr="00E45508" w:rsidRDefault="000D4BD1" w:rsidP="000D4BD1">
            <w:pPr>
              <w:pStyle w:val="Tabletext0"/>
            </w:pPr>
            <w:r w:rsidRPr="00E45508">
              <w:rPr>
                <w:rFonts w:eastAsia="Calibri" w:cstheme="minorHAnsi"/>
              </w:rPr>
              <w:t xml:space="preserve">Facility that uses an industrial process to change the physical structure and properties of a waste material so it can be used again. This can include facilities that dismantle products, such as tyres, e-waste and mattresses, and energy from waste facilities that use materials to generate energy </w:t>
            </w:r>
            <w:r w:rsidRPr="00E45508">
              <w:t>(APCO 2023</w:t>
            </w:r>
            <w:r>
              <w:t>a</w:t>
            </w:r>
            <w:r w:rsidRPr="00E45508">
              <w:t>).</w:t>
            </w:r>
          </w:p>
        </w:tc>
      </w:tr>
      <w:tr w:rsidR="000D4BD1" w:rsidRPr="00E45508" w14:paraId="7B9CAFBF" w14:textId="77777777" w:rsidTr="00092E7A">
        <w:trPr>
          <w:cantSplit/>
          <w:trHeight w:val="300"/>
        </w:trPr>
        <w:tc>
          <w:tcPr>
            <w:tcW w:w="1034" w:type="pct"/>
            <w:tcMar>
              <w:left w:w="108" w:type="dxa"/>
              <w:right w:w="108" w:type="dxa"/>
            </w:tcMar>
          </w:tcPr>
          <w:p w14:paraId="76D35649" w14:textId="74135EC2" w:rsidR="000D4BD1" w:rsidRPr="00E45508" w:rsidRDefault="000D4BD1" w:rsidP="000D4BD1">
            <w:pPr>
              <w:pStyle w:val="Tabletext0"/>
              <w:rPr>
                <w:b/>
              </w:rPr>
            </w:pPr>
            <w:r w:rsidRPr="00E45508">
              <w:rPr>
                <w:b/>
              </w:rPr>
              <w:t xml:space="preserve">Reuse system </w:t>
            </w:r>
          </w:p>
        </w:tc>
        <w:tc>
          <w:tcPr>
            <w:tcW w:w="3966" w:type="pct"/>
            <w:tcMar>
              <w:left w:w="108" w:type="dxa"/>
              <w:right w:w="108" w:type="dxa"/>
            </w:tcMar>
          </w:tcPr>
          <w:p w14:paraId="24A2261B" w14:textId="3404BE4E" w:rsidR="000D4BD1" w:rsidRPr="00E45508" w:rsidRDefault="000D4BD1" w:rsidP="000D4BD1">
            <w:pPr>
              <w:pStyle w:val="Tabletext0"/>
              <w:rPr>
                <w:rFonts w:eastAsia="Calibri" w:cstheme="minorHAnsi"/>
              </w:rPr>
            </w:pPr>
            <w:r w:rsidRPr="00E45508">
              <w:rPr>
                <w:rFonts w:eastAsia="Calibri" w:cstheme="minorHAnsi"/>
              </w:rPr>
              <w:t>Established arrangements (organisational, technical or financial) which ensure the possibility of reuse, in closed-loop, open-loop or in a hybrid system (ISO 18603:2013).</w:t>
            </w:r>
            <w:r w:rsidRPr="00E45508">
              <w:rPr>
                <w:rStyle w:val="FootnoteReference"/>
                <w:rFonts w:eastAsia="Calibri" w:cstheme="minorHAnsi"/>
              </w:rPr>
              <w:t xml:space="preserve"> </w:t>
            </w:r>
          </w:p>
        </w:tc>
      </w:tr>
      <w:tr w:rsidR="000D4BD1" w:rsidRPr="00E45508" w14:paraId="3662F195" w14:textId="77777777" w:rsidTr="00092E7A">
        <w:trPr>
          <w:cantSplit/>
          <w:trHeight w:val="300"/>
        </w:trPr>
        <w:tc>
          <w:tcPr>
            <w:tcW w:w="1034" w:type="pct"/>
            <w:tcMar>
              <w:left w:w="108" w:type="dxa"/>
              <w:right w:w="108" w:type="dxa"/>
            </w:tcMar>
          </w:tcPr>
          <w:p w14:paraId="3E4D22FB" w14:textId="77777777" w:rsidR="000D4BD1" w:rsidRPr="00E45508" w:rsidRDefault="000D4BD1" w:rsidP="000D4BD1">
            <w:pPr>
              <w:pStyle w:val="Tabletext0"/>
              <w:rPr>
                <w:b/>
              </w:rPr>
            </w:pPr>
            <w:r w:rsidRPr="00E45508">
              <w:rPr>
                <w:b/>
              </w:rPr>
              <w:t>Scheme administrator</w:t>
            </w:r>
          </w:p>
        </w:tc>
        <w:tc>
          <w:tcPr>
            <w:tcW w:w="3966" w:type="pct"/>
            <w:tcMar>
              <w:left w:w="108" w:type="dxa"/>
              <w:right w:w="108" w:type="dxa"/>
            </w:tcMar>
          </w:tcPr>
          <w:p w14:paraId="3043DC30" w14:textId="1952B213" w:rsidR="000D4BD1" w:rsidRPr="00E45508" w:rsidRDefault="000D4BD1" w:rsidP="000D4BD1">
            <w:pPr>
              <w:pStyle w:val="Tabletext0"/>
            </w:pPr>
            <w:r w:rsidRPr="00E45508">
              <w:t>The administrator of an extended producer responsibility scheme.</w:t>
            </w:r>
          </w:p>
        </w:tc>
      </w:tr>
      <w:tr w:rsidR="000D4BD1" w:rsidRPr="00E45508" w14:paraId="6028B893" w14:textId="77777777" w:rsidTr="00092E7A">
        <w:trPr>
          <w:cantSplit/>
          <w:trHeight w:val="300"/>
        </w:trPr>
        <w:tc>
          <w:tcPr>
            <w:tcW w:w="1034" w:type="pct"/>
            <w:tcMar>
              <w:left w:w="108" w:type="dxa"/>
              <w:right w:w="108" w:type="dxa"/>
            </w:tcMar>
          </w:tcPr>
          <w:p w14:paraId="0CDABA4C" w14:textId="77777777" w:rsidR="000D4BD1" w:rsidRPr="00E45508" w:rsidRDefault="000D4BD1" w:rsidP="000D4BD1">
            <w:pPr>
              <w:pStyle w:val="Tabletext0"/>
              <w:rPr>
                <w:b/>
              </w:rPr>
            </w:pPr>
            <w:r w:rsidRPr="00E45508">
              <w:rPr>
                <w:b/>
              </w:rPr>
              <w:t>Signatory</w:t>
            </w:r>
          </w:p>
        </w:tc>
        <w:tc>
          <w:tcPr>
            <w:tcW w:w="3966" w:type="pct"/>
            <w:tcMar>
              <w:left w:w="108" w:type="dxa"/>
              <w:right w:w="108" w:type="dxa"/>
            </w:tcMar>
          </w:tcPr>
          <w:p w14:paraId="3E29AEEE" w14:textId="19B5BE54" w:rsidR="000D4BD1" w:rsidRPr="00E45508" w:rsidRDefault="000D4BD1" w:rsidP="000D4BD1">
            <w:pPr>
              <w:pStyle w:val="Tabletext0"/>
            </w:pPr>
            <w:r w:rsidRPr="00E45508">
              <w:t xml:space="preserve">A </w:t>
            </w:r>
            <w:r w:rsidR="00DB3A11">
              <w:t>S</w:t>
            </w:r>
            <w:r w:rsidRPr="00E45508">
              <w:t>ignatory to the Australian Packaging Covenant.</w:t>
            </w:r>
          </w:p>
        </w:tc>
      </w:tr>
      <w:tr w:rsidR="000D4BD1" w:rsidRPr="00E45508" w14:paraId="3108E729" w14:textId="77777777" w:rsidTr="00092E7A">
        <w:trPr>
          <w:cantSplit/>
          <w:trHeight w:val="300"/>
        </w:trPr>
        <w:tc>
          <w:tcPr>
            <w:tcW w:w="1034" w:type="pct"/>
            <w:tcMar>
              <w:left w:w="108" w:type="dxa"/>
              <w:right w:w="108" w:type="dxa"/>
            </w:tcMar>
          </w:tcPr>
          <w:p w14:paraId="0039501F" w14:textId="7561836D" w:rsidR="000D4BD1" w:rsidRPr="00E45508" w:rsidRDefault="000D4BD1" w:rsidP="000D4BD1">
            <w:pPr>
              <w:pStyle w:val="Tabletext0"/>
              <w:rPr>
                <w:b/>
              </w:rPr>
            </w:pPr>
            <w:r w:rsidRPr="00E45508">
              <w:rPr>
                <w:b/>
              </w:rPr>
              <w:t>Single-use packaging</w:t>
            </w:r>
          </w:p>
        </w:tc>
        <w:tc>
          <w:tcPr>
            <w:tcW w:w="3966" w:type="pct"/>
            <w:tcMar>
              <w:left w:w="108" w:type="dxa"/>
              <w:right w:w="108" w:type="dxa"/>
            </w:tcMar>
          </w:tcPr>
          <w:p w14:paraId="31C36BBC" w14:textId="3475BCF0" w:rsidR="000D4BD1" w:rsidRPr="00E45508" w:rsidRDefault="000D4BD1" w:rsidP="000D4BD1">
            <w:pPr>
              <w:pStyle w:val="Tabletext0"/>
            </w:pPr>
            <w:r w:rsidRPr="00E45508">
              <w:rPr>
                <w:rFonts w:eastAsia="Calibri" w:cstheme="minorHAnsi"/>
              </w:rPr>
              <w:t>A packaging system or packaging component which has been principally designed to accomplish a single trip, even if some form of reuse or repurposing is possible. Single-use packaging does not meet the definitional requirements of ISO 2013 (Packaging and the environment – Reuse) as reusable packaging.</w:t>
            </w:r>
          </w:p>
        </w:tc>
      </w:tr>
      <w:tr w:rsidR="000D4BD1" w:rsidRPr="00E45508" w14:paraId="29C0CD92" w14:textId="77777777" w:rsidTr="00092E7A">
        <w:trPr>
          <w:cantSplit/>
          <w:trHeight w:val="300"/>
        </w:trPr>
        <w:tc>
          <w:tcPr>
            <w:tcW w:w="1034" w:type="pct"/>
            <w:tcMar>
              <w:left w:w="108" w:type="dxa"/>
              <w:right w:w="108" w:type="dxa"/>
            </w:tcMar>
          </w:tcPr>
          <w:p w14:paraId="339C50D2" w14:textId="0C4584ED" w:rsidR="000D4BD1" w:rsidRPr="00E45508" w:rsidRDefault="000D4BD1" w:rsidP="000D4BD1">
            <w:pPr>
              <w:pStyle w:val="Tabletext0"/>
              <w:rPr>
                <w:b/>
              </w:rPr>
            </w:pPr>
            <w:r w:rsidRPr="00E45508">
              <w:rPr>
                <w:b/>
              </w:rPr>
              <w:t>Soft plastics</w:t>
            </w:r>
          </w:p>
        </w:tc>
        <w:tc>
          <w:tcPr>
            <w:tcW w:w="3966" w:type="pct"/>
            <w:tcMar>
              <w:left w:w="108" w:type="dxa"/>
              <w:right w:w="108" w:type="dxa"/>
            </w:tcMar>
          </w:tcPr>
          <w:p w14:paraId="0ED558EA" w14:textId="7D5BB6F6" w:rsidR="000D4BD1" w:rsidRPr="00E45508" w:rsidRDefault="000D4BD1" w:rsidP="000D4BD1">
            <w:pPr>
              <w:pStyle w:val="Tabletext0"/>
            </w:pPr>
            <w:r w:rsidRPr="00E45508">
              <w:t>Soft (flexible) plastics are generally defined as plastics that can be scrunched into a ball, unlike ‘rigid’ plastics such as bottles and tubs, which are moulded and hold their shape (APCO 2023</w:t>
            </w:r>
            <w:r>
              <w:t>a</w:t>
            </w:r>
            <w:r w:rsidRPr="00E45508">
              <w:t>).</w:t>
            </w:r>
          </w:p>
        </w:tc>
      </w:tr>
      <w:tr w:rsidR="000D4BD1" w:rsidRPr="00E45508" w14:paraId="6620D270" w14:textId="77777777" w:rsidTr="00092E7A">
        <w:trPr>
          <w:cantSplit/>
          <w:trHeight w:val="300"/>
        </w:trPr>
        <w:tc>
          <w:tcPr>
            <w:tcW w:w="1034" w:type="pct"/>
            <w:tcMar>
              <w:left w:w="108" w:type="dxa"/>
              <w:right w:w="108" w:type="dxa"/>
            </w:tcMar>
          </w:tcPr>
          <w:p w14:paraId="153DD09F" w14:textId="77777777" w:rsidR="000D4BD1" w:rsidRPr="00E45508" w:rsidRDefault="000D4BD1" w:rsidP="000D4BD1">
            <w:pPr>
              <w:pStyle w:val="Tabletext0"/>
              <w:rPr>
                <w:b/>
              </w:rPr>
            </w:pPr>
            <w:r w:rsidRPr="00E45508">
              <w:rPr>
                <w:b/>
              </w:rPr>
              <w:t>SPGs</w:t>
            </w:r>
          </w:p>
        </w:tc>
        <w:tc>
          <w:tcPr>
            <w:tcW w:w="3966" w:type="pct"/>
            <w:tcMar>
              <w:left w:w="108" w:type="dxa"/>
              <w:right w:w="108" w:type="dxa"/>
            </w:tcMar>
          </w:tcPr>
          <w:p w14:paraId="7F7928D8" w14:textId="09079830" w:rsidR="000D4BD1" w:rsidRPr="00E45508" w:rsidRDefault="000D4BD1" w:rsidP="000D4BD1">
            <w:pPr>
              <w:pStyle w:val="Tabletext0"/>
            </w:pPr>
            <w:r w:rsidRPr="00E45508">
              <w:t>Sustainable Packaging Guidelines (APCO 2020b)</w:t>
            </w:r>
          </w:p>
        </w:tc>
      </w:tr>
      <w:tr w:rsidR="000D4BD1" w:rsidRPr="00E45508" w14:paraId="2C95F01B" w14:textId="77777777" w:rsidTr="00092E7A">
        <w:trPr>
          <w:cantSplit/>
          <w:trHeight w:val="300"/>
        </w:trPr>
        <w:tc>
          <w:tcPr>
            <w:tcW w:w="1034" w:type="pct"/>
            <w:tcMar>
              <w:left w:w="108" w:type="dxa"/>
              <w:right w:w="108" w:type="dxa"/>
            </w:tcMar>
          </w:tcPr>
          <w:p w14:paraId="14360927" w14:textId="6D6B56A0" w:rsidR="000D4BD1" w:rsidRPr="00E45508" w:rsidRDefault="000D4BD1" w:rsidP="000D4BD1">
            <w:pPr>
              <w:pStyle w:val="Tabletext0"/>
              <w:rPr>
                <w:b/>
              </w:rPr>
            </w:pPr>
            <w:r w:rsidRPr="00E45508">
              <w:rPr>
                <w:b/>
              </w:rPr>
              <w:t>Supply chain</w:t>
            </w:r>
          </w:p>
        </w:tc>
        <w:tc>
          <w:tcPr>
            <w:tcW w:w="3966" w:type="pct"/>
            <w:tcMar>
              <w:left w:w="108" w:type="dxa"/>
              <w:right w:w="108" w:type="dxa"/>
            </w:tcMar>
          </w:tcPr>
          <w:p w14:paraId="7809D74F" w14:textId="77777777" w:rsidR="000D4BD1" w:rsidRPr="00E45508" w:rsidRDefault="000D4BD1" w:rsidP="000D4BD1">
            <w:pPr>
              <w:pStyle w:val="Tabletext0"/>
            </w:pPr>
            <w:r w:rsidRPr="00E45508">
              <w:t>Packaging supply chain. People and businesses involved in the movement of packaging materials along the supply chain from raw material production to sale of packaging to the final end-user.</w:t>
            </w:r>
          </w:p>
        </w:tc>
      </w:tr>
      <w:tr w:rsidR="000D4BD1" w:rsidRPr="00E45508" w14:paraId="2E9B5223" w14:textId="77777777" w:rsidTr="00092E7A">
        <w:trPr>
          <w:cantSplit/>
          <w:trHeight w:val="300"/>
        </w:trPr>
        <w:tc>
          <w:tcPr>
            <w:tcW w:w="1034" w:type="pct"/>
            <w:tcMar>
              <w:left w:w="108" w:type="dxa"/>
              <w:right w:w="108" w:type="dxa"/>
            </w:tcMar>
          </w:tcPr>
          <w:p w14:paraId="0F28FFC6" w14:textId="77777777" w:rsidR="000D4BD1" w:rsidRPr="00E45508" w:rsidRDefault="000D4BD1" w:rsidP="000D4BD1">
            <w:pPr>
              <w:pStyle w:val="Tabletext0"/>
              <w:rPr>
                <w:b/>
              </w:rPr>
            </w:pPr>
            <w:r w:rsidRPr="00E45508">
              <w:rPr>
                <w:b/>
              </w:rPr>
              <w:t xml:space="preserve">The Working Group </w:t>
            </w:r>
          </w:p>
        </w:tc>
        <w:tc>
          <w:tcPr>
            <w:tcW w:w="3966" w:type="pct"/>
            <w:tcMar>
              <w:left w:w="108" w:type="dxa"/>
              <w:right w:w="108" w:type="dxa"/>
            </w:tcMar>
          </w:tcPr>
          <w:p w14:paraId="32E8F8BE" w14:textId="77777777" w:rsidR="000D4BD1" w:rsidRPr="00E45508" w:rsidRDefault="000D4BD1" w:rsidP="000D4BD1">
            <w:pPr>
              <w:pStyle w:val="Tabletext0"/>
            </w:pPr>
            <w:bookmarkStart w:id="285" w:name="_Ref176279081"/>
            <w:r w:rsidRPr="00E45508">
              <w:t>The National Design Standard Working Group</w:t>
            </w:r>
            <w:bookmarkEnd w:id="285"/>
          </w:p>
        </w:tc>
      </w:tr>
      <w:tr w:rsidR="000D4BD1" w:rsidRPr="00E45508" w14:paraId="5A7A9701" w14:textId="77777777" w:rsidTr="00092E7A">
        <w:trPr>
          <w:cantSplit/>
          <w:trHeight w:val="300"/>
        </w:trPr>
        <w:tc>
          <w:tcPr>
            <w:tcW w:w="1034" w:type="pct"/>
            <w:tcMar>
              <w:left w:w="108" w:type="dxa"/>
              <w:right w:w="108" w:type="dxa"/>
            </w:tcMar>
          </w:tcPr>
          <w:p w14:paraId="17AADCA3" w14:textId="77777777" w:rsidR="000D4BD1" w:rsidRPr="00E45508" w:rsidRDefault="000D4BD1" w:rsidP="000D4BD1">
            <w:pPr>
              <w:pStyle w:val="Tabletext0"/>
              <w:rPr>
                <w:b/>
              </w:rPr>
            </w:pPr>
            <w:r w:rsidRPr="00E45508">
              <w:rPr>
                <w:b/>
              </w:rPr>
              <w:t>Traceability</w:t>
            </w:r>
          </w:p>
        </w:tc>
        <w:tc>
          <w:tcPr>
            <w:tcW w:w="3966" w:type="pct"/>
            <w:tcMar>
              <w:left w:w="108" w:type="dxa"/>
              <w:right w:w="108" w:type="dxa"/>
            </w:tcMar>
          </w:tcPr>
          <w:p w14:paraId="10DF1D7A" w14:textId="7FDA69E4" w:rsidR="000D4BD1" w:rsidRPr="00E45508" w:rsidRDefault="000D4BD1" w:rsidP="000D4BD1">
            <w:pPr>
              <w:pStyle w:val="Tabletext0"/>
            </w:pPr>
            <w:r w:rsidRPr="00E45508">
              <w:t>Consistent with ISO 22095:2020, traceability is the ability to trace the history, application, location or source of a material or product (backward or forward) throughout its supply chain.</w:t>
            </w:r>
          </w:p>
        </w:tc>
      </w:tr>
      <w:tr w:rsidR="000D4BD1" w:rsidRPr="00E45508" w14:paraId="77E554DB" w14:textId="77777777" w:rsidTr="00092E7A">
        <w:trPr>
          <w:cantSplit/>
          <w:trHeight w:val="300"/>
        </w:trPr>
        <w:tc>
          <w:tcPr>
            <w:tcW w:w="1034" w:type="pct"/>
            <w:tcMar>
              <w:left w:w="108" w:type="dxa"/>
              <w:right w:w="108" w:type="dxa"/>
            </w:tcMar>
          </w:tcPr>
          <w:p w14:paraId="2BFFD85B" w14:textId="77777777" w:rsidR="000D4BD1" w:rsidRPr="00E45508" w:rsidRDefault="000D4BD1" w:rsidP="000D4BD1">
            <w:pPr>
              <w:pStyle w:val="Tabletext0"/>
              <w:rPr>
                <w:b/>
              </w:rPr>
            </w:pPr>
            <w:r w:rsidRPr="00E45508">
              <w:rPr>
                <w:b/>
              </w:rPr>
              <w:t>Verification</w:t>
            </w:r>
          </w:p>
        </w:tc>
        <w:tc>
          <w:tcPr>
            <w:tcW w:w="3966" w:type="pct"/>
            <w:tcMar>
              <w:left w:w="108" w:type="dxa"/>
              <w:right w:w="108" w:type="dxa"/>
            </w:tcMar>
          </w:tcPr>
          <w:p w14:paraId="111BF07B" w14:textId="74A833D2" w:rsidR="000D4BD1" w:rsidRPr="00E45508" w:rsidRDefault="000D4BD1" w:rsidP="000D4BD1">
            <w:pPr>
              <w:pStyle w:val="Tabletext0"/>
            </w:pPr>
            <w:r w:rsidRPr="00E45508">
              <w:t>Consistent with ISO 22095:2020, verification is the process of confirming the truthfulness of claims.</w:t>
            </w:r>
          </w:p>
        </w:tc>
      </w:tr>
    </w:tbl>
    <w:p w14:paraId="2EC3E884" w14:textId="77777777" w:rsidR="00705BE5" w:rsidRPr="00E45508" w:rsidRDefault="00705BE5" w:rsidP="0096681A">
      <w:pPr>
        <w:pStyle w:val="Heading2"/>
        <w:numPr>
          <w:ilvl w:val="0"/>
          <w:numId w:val="0"/>
        </w:numPr>
        <w:ind w:left="771" w:hanging="771"/>
      </w:pPr>
      <w:bookmarkStart w:id="286" w:name="_Ref177633471"/>
      <w:bookmarkStart w:id="287" w:name="_Ref177633488"/>
      <w:bookmarkStart w:id="288" w:name="_Toc178230272"/>
      <w:r w:rsidRPr="00E45508">
        <w:t>References</w:t>
      </w:r>
      <w:bookmarkEnd w:id="286"/>
      <w:bookmarkEnd w:id="287"/>
      <w:bookmarkEnd w:id="288"/>
    </w:p>
    <w:p w14:paraId="2CBBC90D" w14:textId="77777777" w:rsidR="00705BE5" w:rsidRPr="00E45508" w:rsidRDefault="00705BE5" w:rsidP="00705BE5">
      <w:r w:rsidRPr="00E45508">
        <w:t xml:space="preserve">ACCC 2023a, </w:t>
      </w:r>
      <w:hyperlink r:id="rId50" w:history="1">
        <w:r w:rsidRPr="00E45508">
          <w:rPr>
            <w:rStyle w:val="Hyperlink"/>
          </w:rPr>
          <w:t>Greenwashing by businesses in Australia</w:t>
        </w:r>
      </w:hyperlink>
      <w:r w:rsidRPr="00E45508">
        <w:t>, Australian Competition and Consumer Commission, Canberra, 2 March 2023, accessed September 2024.</w:t>
      </w:r>
    </w:p>
    <w:p w14:paraId="3B1CBAEF" w14:textId="77777777" w:rsidR="00705BE5" w:rsidRPr="00E45508" w:rsidRDefault="00705BE5" w:rsidP="00705BE5">
      <w:r w:rsidRPr="00E45508">
        <w:t xml:space="preserve">——2023b, </w:t>
      </w:r>
      <w:hyperlink r:id="rId51">
        <w:r w:rsidRPr="00E45508">
          <w:rPr>
            <w:rStyle w:val="Hyperlink"/>
          </w:rPr>
          <w:t>Making Environmental Claims: A Guide for Business</w:t>
        </w:r>
      </w:hyperlink>
      <w:r w:rsidRPr="00E45508">
        <w:t>, Australian Competition and Consumer Commission, Canberra, 12 December 2023, accessed September 2024.</w:t>
      </w:r>
    </w:p>
    <w:p w14:paraId="583C3A0A" w14:textId="77777777" w:rsidR="00705BE5" w:rsidRPr="00E45508" w:rsidRDefault="00705BE5" w:rsidP="00705BE5">
      <w:r w:rsidRPr="00E45508">
        <w:t xml:space="preserve">——2024, </w:t>
      </w:r>
      <w:hyperlink r:id="rId52" w:history="1">
        <w:r w:rsidRPr="00E45508">
          <w:rPr>
            <w:rStyle w:val="Hyperlink"/>
          </w:rPr>
          <w:t>Sustainability collaborations and Australian competition law: A guide for business (Draft for consultation</w:t>
        </w:r>
      </w:hyperlink>
      <w:r w:rsidRPr="00E45508">
        <w:t>), Australian Competition and Consumer Commission, Canberra, July 2024, accessed September 2024.</w:t>
      </w:r>
    </w:p>
    <w:p w14:paraId="198B7BF5" w14:textId="41274204" w:rsidR="00705BE5" w:rsidRPr="00E45508" w:rsidRDefault="00705BE5" w:rsidP="00705BE5">
      <w:r w:rsidRPr="00E45508">
        <w:t>AM</w:t>
      </w:r>
      <w:r w:rsidR="00BA0551">
        <w:t>C</w:t>
      </w:r>
      <w:r w:rsidRPr="00E45508">
        <w:t xml:space="preserve">S WWF Blue Environment 2023, </w:t>
      </w:r>
      <w:hyperlink r:id="rId53" w:history="1">
        <w:r w:rsidRPr="00E45508">
          <w:rPr>
            <w:rStyle w:val="Hyperlink"/>
          </w:rPr>
          <w:t>Climate impacts of plastic consumption in Australia: summary report</w:t>
        </w:r>
      </w:hyperlink>
      <w:r w:rsidRPr="00E45508">
        <w:t>, Australian Marine Conservation Society and World Wildlife Fund Australia, July 2023, accessed September 2024.</w:t>
      </w:r>
    </w:p>
    <w:p w14:paraId="171F362E" w14:textId="77777777" w:rsidR="00705BE5" w:rsidRPr="00E45508" w:rsidRDefault="00705BE5" w:rsidP="00705BE5">
      <w:pPr>
        <w:rPr>
          <w:rFonts w:eastAsia="Calibri" w:cs="Calibri"/>
        </w:rPr>
      </w:pPr>
      <w:r w:rsidRPr="00E45508">
        <w:t xml:space="preserve">All Australian Governments 2019, </w:t>
      </w:r>
      <w:hyperlink r:id="rId54" w:history="1">
        <w:r w:rsidRPr="00E45508">
          <w:rPr>
            <w:rStyle w:val="Hyperlink"/>
          </w:rPr>
          <w:t>National per- and polyfluoroalkyl substances (PFAS) Position Statement</w:t>
        </w:r>
      </w:hyperlink>
      <w:r w:rsidRPr="00E45508">
        <w:t xml:space="preserve">, All Australian governments (Australian, state and territory), 21 October 2019, </w:t>
      </w:r>
      <w:r w:rsidRPr="00E45508">
        <w:rPr>
          <w:rFonts w:eastAsia="Calibri" w:cs="Calibri"/>
        </w:rPr>
        <w:t>accessed September 2024.</w:t>
      </w:r>
    </w:p>
    <w:p w14:paraId="236E43D3" w14:textId="77777777" w:rsidR="00705BE5" w:rsidRPr="00E45508" w:rsidRDefault="00705BE5" w:rsidP="00705BE5">
      <w:r w:rsidRPr="00E45508">
        <w:t xml:space="preserve">Amazon 2023, </w:t>
      </w:r>
      <w:hyperlink r:id="rId55" w:history="1">
        <w:r w:rsidRPr="00E45508">
          <w:rPr>
            <w:rStyle w:val="Hyperlink"/>
          </w:rPr>
          <w:t>Sustainability first: New study shows Australians support minimal packaging for more sustainable deliveries</w:t>
        </w:r>
      </w:hyperlink>
      <w:r w:rsidRPr="00E45508">
        <w:t>, accessed September 2024.</w:t>
      </w:r>
    </w:p>
    <w:p w14:paraId="582CC992" w14:textId="77777777" w:rsidR="00705BE5" w:rsidRPr="00E45508" w:rsidRDefault="00705BE5" w:rsidP="00705BE5">
      <w:r w:rsidRPr="00E45508">
        <w:t xml:space="preserve">Anderson, L &amp; Gbor, N 2024, </w:t>
      </w:r>
      <w:hyperlink r:id="rId56" w:history="1">
        <w:r w:rsidRPr="00E45508">
          <w:rPr>
            <w:rStyle w:val="Hyperlink"/>
          </w:rPr>
          <w:t>Plastic Waste in Australia and the recycling greenwash</w:t>
        </w:r>
      </w:hyperlink>
      <w:r w:rsidRPr="00E45508">
        <w:t>, The Australia Institute, January 2024, accessed September 2024.</w:t>
      </w:r>
    </w:p>
    <w:p w14:paraId="493DD0A9" w14:textId="77777777" w:rsidR="00705BE5" w:rsidRPr="00E45508" w:rsidRDefault="00705BE5" w:rsidP="00705BE5">
      <w:r w:rsidRPr="00E45508">
        <w:t xml:space="preserve">ANZPAC 2024, </w:t>
      </w:r>
      <w:hyperlink r:id="rId57" w:history="1">
        <w:r w:rsidRPr="00E45508">
          <w:rPr>
            <w:rStyle w:val="Hyperlink"/>
          </w:rPr>
          <w:t>Activating reusable packaging in the ANZPAC region</w:t>
        </w:r>
      </w:hyperlink>
      <w:r w:rsidRPr="00E45508">
        <w:t>, report prepared by Edge Impact on behalf of the Australia, New Zealand, and Pacific Islands Plastics Pact (ANZPAC), April 2024, accessed September 2024.</w:t>
      </w:r>
    </w:p>
    <w:p w14:paraId="637ACF70" w14:textId="510389F6" w:rsidR="00705BE5" w:rsidRPr="00E45508" w:rsidRDefault="00705BE5" w:rsidP="00705BE5">
      <w:r w:rsidRPr="0096681A">
        <w:t>APCO 2020a</w:t>
      </w:r>
      <w:r w:rsidRPr="00E45508">
        <w:t xml:space="preserve">, </w:t>
      </w:r>
      <w:hyperlink r:id="rId58" w:history="1">
        <w:r w:rsidRPr="00E45508">
          <w:rPr>
            <w:rStyle w:val="Hyperlink"/>
          </w:rPr>
          <w:t>Our packaging future: A collective impact framework to achieve the 2025 national packaging targets</w:t>
        </w:r>
      </w:hyperlink>
      <w:r w:rsidRPr="00E45508">
        <w:t>, Australian Packaging Covenant Organisation, 1 April 2020, accessed September 2024</w:t>
      </w:r>
      <w:r w:rsidR="00E7615E" w:rsidRPr="00E45508">
        <w:t>.</w:t>
      </w:r>
    </w:p>
    <w:p w14:paraId="7974F90A" w14:textId="77777777" w:rsidR="00705BE5" w:rsidRDefault="00705BE5" w:rsidP="00705BE5">
      <w:r w:rsidRPr="0096681A">
        <w:t>——2020b,</w:t>
      </w:r>
      <w:r w:rsidRPr="00E45508">
        <w:t xml:space="preserve"> </w:t>
      </w:r>
      <w:hyperlink r:id="rId59" w:history="1">
        <w:r w:rsidRPr="00E45508">
          <w:rPr>
            <w:rStyle w:val="Hyperlink"/>
          </w:rPr>
          <w:t>Sustainable Packagin</w:t>
        </w:r>
        <w:bookmarkStart w:id="289" w:name="_Hlt178146682"/>
        <w:bookmarkStart w:id="290" w:name="_Hlt178146683"/>
        <w:r w:rsidRPr="00E45508">
          <w:rPr>
            <w:rStyle w:val="Hyperlink"/>
          </w:rPr>
          <w:t>g</w:t>
        </w:r>
        <w:bookmarkEnd w:id="289"/>
        <w:bookmarkEnd w:id="290"/>
        <w:r w:rsidRPr="00E45508">
          <w:rPr>
            <w:rStyle w:val="Hyperlink"/>
          </w:rPr>
          <w:t xml:space="preserve"> Guidelines (SPG)</w:t>
        </w:r>
      </w:hyperlink>
      <w:r w:rsidRPr="00E45508">
        <w:t>, Australian Packaging Covenant Organisation, October 2020, accessed September 2024.</w:t>
      </w:r>
    </w:p>
    <w:p w14:paraId="1782F06B" w14:textId="77777777" w:rsidR="00705BE5" w:rsidRPr="00E45508" w:rsidRDefault="00705BE5" w:rsidP="00705BE5">
      <w:r w:rsidRPr="00E45508">
        <w:t>——2021, PFAS in Fibre-Based Packaging, Australian Packaging Covenant Organisation, 2021.</w:t>
      </w:r>
    </w:p>
    <w:p w14:paraId="154DEF0C" w14:textId="77777777" w:rsidR="00705BE5" w:rsidRPr="00E45508" w:rsidRDefault="00705BE5" w:rsidP="00705BE5">
      <w:r w:rsidRPr="00E45508">
        <w:t xml:space="preserve">——2022, </w:t>
      </w:r>
      <w:hyperlink r:id="rId60" w:history="1">
        <w:r w:rsidRPr="00E45508">
          <w:rPr>
            <w:rStyle w:val="Hyperlink"/>
          </w:rPr>
          <w:t>Action Plan to Phase out PFAS in Fibre-Based Food Contact Packaging</w:t>
        </w:r>
      </w:hyperlink>
      <w:r w:rsidRPr="00E45508">
        <w:t>, Australian Packaging Covenant Organisation, September 2022, accessed September 2024.</w:t>
      </w:r>
    </w:p>
    <w:p w14:paraId="5B6AB08E" w14:textId="12F3CC03" w:rsidR="002516D9" w:rsidRDefault="002516D9" w:rsidP="00705BE5">
      <w:r w:rsidRPr="00E45508">
        <w:t>——2023</w:t>
      </w:r>
      <w:r w:rsidR="00326D6B">
        <w:t>a</w:t>
      </w:r>
      <w:r w:rsidRPr="00E45508">
        <w:t xml:space="preserve">, </w:t>
      </w:r>
      <w:hyperlink r:id="rId61" w:history="1">
        <w:r w:rsidRPr="00E45508">
          <w:rPr>
            <w:rStyle w:val="Hyperlink"/>
          </w:rPr>
          <w:t>Australian Packaging Consumption and Recovery Data 2020-21</w:t>
        </w:r>
      </w:hyperlink>
      <w:r w:rsidRPr="00E45508">
        <w:t>, Australian Packaging Covenant Organisation, April 2023, accessed September 2024</w:t>
      </w:r>
      <w:r>
        <w:t>.</w:t>
      </w:r>
    </w:p>
    <w:p w14:paraId="116EA8A4" w14:textId="1BA63770" w:rsidR="00705BE5" w:rsidRPr="00E45508" w:rsidRDefault="00705BE5" w:rsidP="00705BE5">
      <w:r w:rsidRPr="00E45508">
        <w:t>——2023</w:t>
      </w:r>
      <w:r w:rsidR="00DD746C">
        <w:t>b</w:t>
      </w:r>
      <w:r w:rsidRPr="00E45508">
        <w:t xml:space="preserve">, </w:t>
      </w:r>
      <w:hyperlink r:id="rId62" w:history="1">
        <w:r w:rsidRPr="00E45508">
          <w:rPr>
            <w:rStyle w:val="Hyperlink"/>
          </w:rPr>
          <w:t>Review of the 2025 National Packaging Targets</w:t>
        </w:r>
      </w:hyperlink>
      <w:r w:rsidRPr="00E45508">
        <w:t>, Australian Packaging Covenant Organisation, 20 April 2023, accessed September 2024.</w:t>
      </w:r>
    </w:p>
    <w:p w14:paraId="5D485BA4" w14:textId="77777777" w:rsidR="00705BE5" w:rsidRPr="00E45508" w:rsidRDefault="00705BE5" w:rsidP="00705BE5">
      <w:pPr>
        <w:rPr>
          <w:u w:val="single"/>
        </w:rPr>
      </w:pPr>
      <w:r w:rsidRPr="00E45508">
        <w:t xml:space="preserve">——2024a, </w:t>
      </w:r>
      <w:hyperlink r:id="rId63" w:history="1">
        <w:r w:rsidRPr="00E45508">
          <w:rPr>
            <w:rStyle w:val="Hyperlink"/>
          </w:rPr>
          <w:t>Australian Packaging Consumption and Recovery Data 2021-22</w:t>
        </w:r>
      </w:hyperlink>
      <w:r w:rsidRPr="00E45508">
        <w:t>, Australian Packaging Covenant Organisation, 29 April 2024, accessed September 2024.</w:t>
      </w:r>
    </w:p>
    <w:p w14:paraId="3BF08808" w14:textId="77777777" w:rsidR="00705BE5" w:rsidRPr="00E45508" w:rsidRDefault="00705BE5" w:rsidP="00705BE5">
      <w:r w:rsidRPr="00E45508">
        <w:t xml:space="preserve">——2024b, </w:t>
      </w:r>
      <w:hyperlink r:id="rId64" w:history="1">
        <w:r w:rsidRPr="00E45508">
          <w:rPr>
            <w:rStyle w:val="Hyperlink"/>
          </w:rPr>
          <w:t>APCO 2030 Strategic Plan</w:t>
        </w:r>
      </w:hyperlink>
      <w:r w:rsidRPr="00E45508">
        <w:t>, Australian Packaging Covenant Organisation, 15 August 2024, accessed September 2024.</w:t>
      </w:r>
    </w:p>
    <w:p w14:paraId="159F7280" w14:textId="0D29F40A" w:rsidR="00705BE5" w:rsidRPr="00E45508" w:rsidRDefault="00705BE5" w:rsidP="00705BE5">
      <w:r w:rsidRPr="00E45508">
        <w:t>——2024</w:t>
      </w:r>
      <w:r w:rsidR="00812AB8">
        <w:t>c</w:t>
      </w:r>
      <w:r w:rsidRPr="00E45508">
        <w:t xml:space="preserve">, </w:t>
      </w:r>
      <w:hyperlink r:id="rId65" w:history="1">
        <w:r w:rsidRPr="00E45508">
          <w:rPr>
            <w:rStyle w:val="Hyperlink"/>
          </w:rPr>
          <w:t>Recycled Content Options Paper for Packaging</w:t>
        </w:r>
      </w:hyperlink>
      <w:r w:rsidRPr="00E45508">
        <w:t>, Australian Packaging Covenant Organisation, 2 July 2024, accessed September 2024.</w:t>
      </w:r>
    </w:p>
    <w:p w14:paraId="20F858F1" w14:textId="1D83D40A" w:rsidR="00705BE5" w:rsidRPr="00E45508" w:rsidRDefault="00705BE5" w:rsidP="00705BE5">
      <w:r w:rsidRPr="00E45508">
        <w:t>——2024</w:t>
      </w:r>
      <w:r w:rsidR="00812AB8">
        <w:t>d</w:t>
      </w:r>
      <w:r w:rsidRPr="00E45508">
        <w:t xml:space="preserve">, </w:t>
      </w:r>
      <w:hyperlink r:id="rId66" w:history="1">
        <w:r w:rsidRPr="00E45508">
          <w:rPr>
            <w:rStyle w:val="Hyperlink"/>
          </w:rPr>
          <w:t>Traceability Data Requirements</w:t>
        </w:r>
      </w:hyperlink>
      <w:r w:rsidRPr="00E45508">
        <w:t>, Australian Packaging Covenant Organisation, 3 July 2024, accessed September 2024.</w:t>
      </w:r>
    </w:p>
    <w:p w14:paraId="7278D11E" w14:textId="656A4425" w:rsidR="00705BE5" w:rsidRPr="00E45508" w:rsidRDefault="00705BE5" w:rsidP="00705BE5">
      <w:r w:rsidRPr="00E45508">
        <w:t>——2024</w:t>
      </w:r>
      <w:r w:rsidR="00812AB8">
        <w:t>e</w:t>
      </w:r>
      <w:r w:rsidRPr="00E45508">
        <w:t xml:space="preserve">, </w:t>
      </w:r>
      <w:hyperlink r:id="rId67" w:history="1">
        <w:r w:rsidRPr="00E45508">
          <w:rPr>
            <w:rStyle w:val="Hyperlink"/>
          </w:rPr>
          <w:t>Traceability Technical Solutions</w:t>
        </w:r>
      </w:hyperlink>
      <w:r w:rsidRPr="00E45508">
        <w:t>, Australian Packaging Covenant Organisation, 2 July 2024, accessed September 2024.</w:t>
      </w:r>
    </w:p>
    <w:p w14:paraId="1FFB5540" w14:textId="265B89FD" w:rsidR="00705BE5" w:rsidRPr="00E45508" w:rsidRDefault="00705BE5" w:rsidP="00705BE5">
      <w:pPr>
        <w:rPr>
          <w:rFonts w:ascii="Calibri" w:hAnsi="Calibri"/>
        </w:rPr>
      </w:pPr>
      <w:r w:rsidRPr="00E45508">
        <w:t>——</w:t>
      </w:r>
      <w:r w:rsidRPr="00E45508">
        <w:rPr>
          <w:rFonts w:ascii="Calibri" w:hAnsi="Calibri"/>
        </w:rPr>
        <w:t>2024</w:t>
      </w:r>
      <w:r w:rsidR="00812AB8">
        <w:rPr>
          <w:rFonts w:ascii="Calibri" w:hAnsi="Calibri"/>
        </w:rPr>
        <w:t>f</w:t>
      </w:r>
      <w:r w:rsidRPr="00E45508">
        <w:rPr>
          <w:rFonts w:ascii="Calibri" w:hAnsi="Calibri"/>
        </w:rPr>
        <w:t xml:space="preserve">, </w:t>
      </w:r>
      <w:hyperlink r:id="rId68">
        <w:r w:rsidRPr="00E45508">
          <w:rPr>
            <w:rStyle w:val="Hyperlink"/>
            <w:rFonts w:eastAsia="Calibri" w:cs="Calibri"/>
          </w:rPr>
          <w:t>Australia's 2025 National Packaging Targets - APCO</w:t>
        </w:r>
      </w:hyperlink>
      <w:r w:rsidRPr="00E45508">
        <w:rPr>
          <w:rFonts w:ascii="Calibri" w:hAnsi="Calibri"/>
        </w:rPr>
        <w:t xml:space="preserve">, Australian Packaging Covenant Organisation, </w:t>
      </w:r>
      <w:r w:rsidR="00812AB8">
        <w:rPr>
          <w:rFonts w:ascii="Calibri" w:hAnsi="Calibri"/>
        </w:rPr>
        <w:t>a</w:t>
      </w:r>
      <w:r w:rsidRPr="00E45508">
        <w:rPr>
          <w:rFonts w:ascii="Calibri" w:hAnsi="Calibri"/>
        </w:rPr>
        <w:t>ccessed September 2024.</w:t>
      </w:r>
    </w:p>
    <w:p w14:paraId="08023AB7" w14:textId="6BB42B5D" w:rsidR="00705BE5" w:rsidRDefault="00705BE5" w:rsidP="00705BE5">
      <w:pPr>
        <w:rPr>
          <w:rFonts w:ascii="Calibri" w:hAnsi="Calibri"/>
        </w:rPr>
      </w:pPr>
      <w:r w:rsidRPr="00E45508">
        <w:t>——</w:t>
      </w:r>
      <w:r w:rsidRPr="00E45508">
        <w:rPr>
          <w:rFonts w:ascii="Calibri" w:hAnsi="Calibri"/>
        </w:rPr>
        <w:t>2024</w:t>
      </w:r>
      <w:r w:rsidR="00812AB8">
        <w:rPr>
          <w:rFonts w:ascii="Calibri" w:hAnsi="Calibri"/>
        </w:rPr>
        <w:t>g</w:t>
      </w:r>
      <w:r w:rsidRPr="00E45508">
        <w:rPr>
          <w:rFonts w:ascii="Calibri" w:hAnsi="Calibri"/>
        </w:rPr>
        <w:t xml:space="preserve">, </w:t>
      </w:r>
      <w:hyperlink r:id="rId69" w:history="1">
        <w:r w:rsidRPr="00E45508">
          <w:rPr>
            <w:rStyle w:val="Hyperlink"/>
            <w:rFonts w:ascii="Calibri" w:hAnsi="Calibri"/>
          </w:rPr>
          <w:t>The Australian Packaging Covenant - APCO</w:t>
        </w:r>
      </w:hyperlink>
      <w:r w:rsidRPr="00E45508">
        <w:rPr>
          <w:rFonts w:ascii="Calibri" w:hAnsi="Calibri"/>
        </w:rPr>
        <w:t>, Australian Packaging Covenant Organisation, accessed September 2024</w:t>
      </w:r>
      <w:r w:rsidR="00E7615E" w:rsidRPr="00E45508">
        <w:rPr>
          <w:rFonts w:ascii="Calibri" w:hAnsi="Calibri"/>
        </w:rPr>
        <w:t>.</w:t>
      </w:r>
    </w:p>
    <w:p w14:paraId="58933660" w14:textId="072680C1" w:rsidR="00705BE5" w:rsidRPr="00E45508" w:rsidRDefault="00705BE5" w:rsidP="00705BE5">
      <w:pPr>
        <w:rPr>
          <w:rFonts w:ascii="Calibri" w:hAnsi="Calibri"/>
        </w:rPr>
      </w:pPr>
      <w:r w:rsidRPr="00E45508">
        <w:rPr>
          <w:rFonts w:ascii="Calibri" w:hAnsi="Calibri"/>
        </w:rPr>
        <w:t xml:space="preserve">ARL 2024, </w:t>
      </w:r>
      <w:hyperlink r:id="rId70" w:history="1">
        <w:r w:rsidRPr="00E45508">
          <w:rPr>
            <w:rStyle w:val="Hyperlink"/>
            <w:rFonts w:ascii="Calibri" w:hAnsi="Calibri"/>
          </w:rPr>
          <w:t>About the Australasian Recycling Label (ARL) Program</w:t>
        </w:r>
      </w:hyperlink>
      <w:r w:rsidRPr="00E45508">
        <w:rPr>
          <w:rFonts w:ascii="Calibri" w:hAnsi="Calibri"/>
        </w:rPr>
        <w:t>, Australasian Recycling Label, accessed September 2024</w:t>
      </w:r>
      <w:r w:rsidR="00E7615E" w:rsidRPr="00E45508">
        <w:rPr>
          <w:rFonts w:ascii="Calibri" w:hAnsi="Calibri"/>
        </w:rPr>
        <w:t>.</w:t>
      </w:r>
    </w:p>
    <w:p w14:paraId="2299EE0C" w14:textId="1235EFB1" w:rsidR="00705BE5" w:rsidRPr="00E45508" w:rsidRDefault="00705BE5" w:rsidP="00705BE5">
      <w:r w:rsidRPr="00E45508">
        <w:t xml:space="preserve">Australian Government 2019, </w:t>
      </w:r>
      <w:hyperlink r:id="rId71" w:history="1">
        <w:r w:rsidRPr="00E45508">
          <w:rPr>
            <w:rStyle w:val="Hyperlink"/>
          </w:rPr>
          <w:t>National Waste Policy Action Plan</w:t>
        </w:r>
      </w:hyperlink>
      <w:r w:rsidRPr="00E45508">
        <w:t>, Australian Government, 2019, accessed September 2024.</w:t>
      </w:r>
    </w:p>
    <w:p w14:paraId="064E0ECA" w14:textId="77777777" w:rsidR="00705BE5" w:rsidRPr="00E45508" w:rsidRDefault="00705BE5" w:rsidP="00705BE5">
      <w:r w:rsidRPr="00E45508">
        <w:t xml:space="preserve">——2022, </w:t>
      </w:r>
      <w:hyperlink r:id="rId72" w:history="1">
        <w:r w:rsidRPr="00E45508">
          <w:rPr>
            <w:rStyle w:val="Hyperlink"/>
          </w:rPr>
          <w:t>Australian Government response to the independent review of the co-regulatory arrangement under the National Environment Protection (Used Packaging Materials) Measure 2011</w:t>
        </w:r>
      </w:hyperlink>
      <w:r w:rsidRPr="00E45508">
        <w:t>, Australian Government, Canberra, 2022.</w:t>
      </w:r>
    </w:p>
    <w:p w14:paraId="7B9A1958" w14:textId="77777777" w:rsidR="00705BE5" w:rsidRPr="00E45508" w:rsidRDefault="00705BE5" w:rsidP="00705BE5">
      <w:pPr>
        <w:rPr>
          <w:rFonts w:ascii="Calibri" w:hAnsi="Calibri"/>
        </w:rPr>
      </w:pPr>
      <w:r w:rsidRPr="00E45508">
        <w:rPr>
          <w:rFonts w:ascii="Calibri" w:hAnsi="Calibri"/>
        </w:rPr>
        <w:t xml:space="preserve">BPF 2024, </w:t>
      </w:r>
      <w:hyperlink r:id="rId73">
        <w:r w:rsidRPr="00E45508">
          <w:rPr>
            <w:rStyle w:val="Hyperlink"/>
            <w:rFonts w:eastAsia="Calibri" w:cs="Calibri"/>
          </w:rPr>
          <w:t>Life Cycle Analysis (LCA) - A Complete Guide to LCAs (bpf.co.uk)</w:t>
        </w:r>
      </w:hyperlink>
      <w:r w:rsidRPr="00E45508">
        <w:rPr>
          <w:rFonts w:ascii="Calibri" w:hAnsi="Calibri"/>
        </w:rPr>
        <w:t>, British Plastics Federation, accessed 6 September 2024.</w:t>
      </w:r>
    </w:p>
    <w:p w14:paraId="61CB4D7D" w14:textId="77777777" w:rsidR="00705BE5" w:rsidRPr="00E45508" w:rsidRDefault="00705BE5" w:rsidP="00705BE5">
      <w:r w:rsidRPr="00E45508">
        <w:t xml:space="preserve">CA Government 2020, </w:t>
      </w:r>
      <w:hyperlink r:id="rId74" w:history="1">
        <w:r w:rsidRPr="00E45508">
          <w:rPr>
            <w:rStyle w:val="Hyperlink"/>
          </w:rPr>
          <w:t>AB-793 Recycling: plastic beverage containers: minimum recycled content</w:t>
        </w:r>
      </w:hyperlink>
      <w:r w:rsidRPr="00E45508">
        <w:t>, Government of California, 24 September 2020.</w:t>
      </w:r>
    </w:p>
    <w:p w14:paraId="4F688C73" w14:textId="77777777" w:rsidR="00705BE5" w:rsidRPr="00E45508" w:rsidRDefault="00705BE5" w:rsidP="00705BE5">
      <w:r w:rsidRPr="00E45508">
        <w:t xml:space="preserve">Clean Up Australia 2023, </w:t>
      </w:r>
      <w:hyperlink r:id="rId75" w:history="1">
        <w:r w:rsidRPr="00E45508">
          <w:rPr>
            <w:rStyle w:val="Hyperlink"/>
          </w:rPr>
          <w:t>Litter Report FY23</w:t>
        </w:r>
      </w:hyperlink>
      <w:r w:rsidRPr="00E45508">
        <w:t>, Clean Up Australia, 2023, accessed September 2024.</w:t>
      </w:r>
    </w:p>
    <w:p w14:paraId="78E10206" w14:textId="77777777" w:rsidR="00705BE5" w:rsidRPr="00E45508" w:rsidRDefault="00705BE5" w:rsidP="00705BE5">
      <w:r w:rsidRPr="00E45508">
        <w:t xml:space="preserve">Cleanaway 2024, </w:t>
      </w:r>
      <w:hyperlink r:id="rId76" w:history="1">
        <w:r w:rsidRPr="00E45508">
          <w:rPr>
            <w:rStyle w:val="Hyperlink"/>
          </w:rPr>
          <w:t>Recycling Behaviours Report 2024</w:t>
        </w:r>
      </w:hyperlink>
      <w:r w:rsidRPr="00E45508">
        <w:t>, Cleanaway Waste Management Limited, May 2024, accessed September 2024.</w:t>
      </w:r>
    </w:p>
    <w:p w14:paraId="6B178FBF" w14:textId="77777777" w:rsidR="00705BE5" w:rsidRPr="00E45508" w:rsidRDefault="00705BE5" w:rsidP="00705BE5">
      <w:r w:rsidRPr="00E45508">
        <w:t xml:space="preserve">Convention on Biological Biodiversity 2016, </w:t>
      </w:r>
      <w:hyperlink r:id="rId77" w:history="1">
        <w:r w:rsidRPr="00E45508">
          <w:rPr>
            <w:rStyle w:val="Hyperlink"/>
          </w:rPr>
          <w:t>Marine Debris: Understanding, Preventing and Mitigating the Significant Adverse Impacts on Marine and Coastal Biodiversity</w:t>
        </w:r>
      </w:hyperlink>
      <w:r w:rsidRPr="00E45508">
        <w:t>, Technical Series No.83, Secretariat of the Convention on Biological Diversity, Montreal, 2016, accessed August 2024.</w:t>
      </w:r>
    </w:p>
    <w:p w14:paraId="01F27E10" w14:textId="4D02FA87" w:rsidR="00705BE5" w:rsidRPr="00E45508" w:rsidRDefault="00705BE5" w:rsidP="00705BE5">
      <w:r w:rsidRPr="00E45508">
        <w:t xml:space="preserve">DCCEEW 2021, </w:t>
      </w:r>
      <w:hyperlink r:id="rId78" w:history="1">
        <w:r w:rsidRPr="00E45508">
          <w:rPr>
            <w:rStyle w:val="Hyperlink"/>
          </w:rPr>
          <w:t xml:space="preserve">Environment Ministers Meeting 1 Communique </w:t>
        </w:r>
        <w:r w:rsidR="00B43509" w:rsidRPr="00B43509">
          <w:rPr>
            <w:rStyle w:val="Hyperlink"/>
          </w:rPr>
          <w:t>–</w:t>
        </w:r>
        <w:r w:rsidR="00B43509">
          <w:rPr>
            <w:rStyle w:val="Hyperlink"/>
          </w:rPr>
          <w:t xml:space="preserve"> </w:t>
        </w:r>
        <w:r w:rsidRPr="00E45508">
          <w:rPr>
            <w:rStyle w:val="Hyperlink"/>
          </w:rPr>
          <w:t>15 April 2021</w:t>
        </w:r>
      </w:hyperlink>
      <w:r w:rsidRPr="00E45508">
        <w:rPr>
          <w:rFonts w:ascii="Calibri" w:hAnsi="Calibri"/>
        </w:rPr>
        <w:t xml:space="preserve"> [media release], Department of Climate Change, Energy, the Environment and Water, 15 April 2021, accessed September 2024.</w:t>
      </w:r>
    </w:p>
    <w:p w14:paraId="4EDAE009" w14:textId="7C9801AD" w:rsidR="00705BE5" w:rsidRPr="00E45508" w:rsidRDefault="00705BE5" w:rsidP="00705BE5">
      <w:r w:rsidRPr="00E45508">
        <w:t>——</w:t>
      </w:r>
      <w:r w:rsidRPr="00E45508">
        <w:rPr>
          <w:rFonts w:ascii="Calibri" w:hAnsi="Calibri"/>
        </w:rPr>
        <w:t xml:space="preserve">2022, </w:t>
      </w:r>
      <w:hyperlink r:id="rId79">
        <w:r w:rsidR="00A633D8" w:rsidRPr="00E45508">
          <w:rPr>
            <w:rStyle w:val="Hyperlink"/>
          </w:rPr>
          <w:t>E</w:t>
        </w:r>
        <w:r w:rsidR="00A633D8">
          <w:rPr>
            <w:rStyle w:val="Hyperlink"/>
          </w:rPr>
          <w:t>nvironment Ministers Meeting</w:t>
        </w:r>
        <w:r w:rsidR="00972DFB" w:rsidRPr="00E45508">
          <w:rPr>
            <w:rStyle w:val="Hyperlink"/>
          </w:rPr>
          <w:t xml:space="preserve"> </w:t>
        </w:r>
        <w:r w:rsidR="00A633D8">
          <w:rPr>
            <w:rStyle w:val="Hyperlink"/>
          </w:rPr>
          <w:t xml:space="preserve">Communique </w:t>
        </w:r>
        <w:r w:rsidR="00972DFB" w:rsidRPr="00E45508">
          <w:rPr>
            <w:rStyle w:val="Hyperlink"/>
          </w:rPr>
          <w:t>– 21 October 2022</w:t>
        </w:r>
      </w:hyperlink>
      <w:r w:rsidRPr="00E45508">
        <w:rPr>
          <w:rFonts w:ascii="Calibri" w:hAnsi="Calibri"/>
        </w:rPr>
        <w:t xml:space="preserve"> [media release], Department of Climate Change, Energy, the Environment and Water, 21 October 2022, accessed September 2024.</w:t>
      </w:r>
    </w:p>
    <w:p w14:paraId="3DD1AA44" w14:textId="77777777" w:rsidR="00705BE5" w:rsidRPr="00E45508" w:rsidRDefault="00705BE5" w:rsidP="00705BE5">
      <w:pPr>
        <w:rPr>
          <w:rFonts w:ascii="Calibri" w:hAnsi="Calibri"/>
        </w:rPr>
      </w:pPr>
      <w:r w:rsidRPr="00E45508">
        <w:t xml:space="preserve">——2023a, </w:t>
      </w:r>
      <w:hyperlink r:id="rId80">
        <w:r w:rsidRPr="00E45508">
          <w:rPr>
            <w:rStyle w:val="Hyperlink"/>
          </w:rPr>
          <w:t>A national framework for recycled content traceability</w:t>
        </w:r>
      </w:hyperlink>
      <w:r w:rsidRPr="00E45508">
        <w:t>, Department of Climate Change, Energy, the Environment and Water, Canberra, December 2023, accessed September 2024.</w:t>
      </w:r>
    </w:p>
    <w:p w14:paraId="2F7DB9E3" w14:textId="2728263F" w:rsidR="00705BE5" w:rsidRPr="00E45508" w:rsidRDefault="00705BE5" w:rsidP="00705BE5">
      <w:pPr>
        <w:rPr>
          <w:rFonts w:ascii="Calibri" w:hAnsi="Calibri"/>
        </w:rPr>
      </w:pPr>
      <w:r w:rsidRPr="00E45508">
        <w:t>——</w:t>
      </w:r>
      <w:r w:rsidRPr="00E45508">
        <w:rPr>
          <w:rFonts w:ascii="Calibri" w:hAnsi="Calibri"/>
        </w:rPr>
        <w:t xml:space="preserve">2023b, </w:t>
      </w:r>
      <w:hyperlink r:id="rId81" w:history="1">
        <w:r w:rsidRPr="00E45508">
          <w:rPr>
            <w:rStyle w:val="Hyperlink"/>
          </w:rPr>
          <w:t xml:space="preserve">Environment Ministers Meeting Communique </w:t>
        </w:r>
        <w:r w:rsidR="00A633D8" w:rsidRPr="00A633D8">
          <w:rPr>
            <w:rStyle w:val="Hyperlink"/>
          </w:rPr>
          <w:t>–</w:t>
        </w:r>
        <w:r w:rsidR="00232D44">
          <w:rPr>
            <w:rStyle w:val="Hyperlink"/>
          </w:rPr>
          <w:t xml:space="preserve"> </w:t>
        </w:r>
        <w:r w:rsidRPr="00E45508">
          <w:rPr>
            <w:rStyle w:val="Hyperlink"/>
          </w:rPr>
          <w:t>9 June 2023</w:t>
        </w:r>
      </w:hyperlink>
      <w:r w:rsidRPr="00E45508">
        <w:rPr>
          <w:rFonts w:ascii="Calibri" w:hAnsi="Calibri"/>
        </w:rPr>
        <w:t xml:space="preserve"> [media release], Department of Climate Change, Energy, the Environment and Water, 9 June 2023, accessed  September 2024.</w:t>
      </w:r>
    </w:p>
    <w:p w14:paraId="05510260" w14:textId="0A8447E7" w:rsidR="00705BE5" w:rsidRPr="00E45508" w:rsidRDefault="00705BE5" w:rsidP="00705BE5">
      <w:pPr>
        <w:rPr>
          <w:rFonts w:ascii="Calibri" w:hAnsi="Calibri"/>
        </w:rPr>
      </w:pPr>
      <w:r w:rsidRPr="00E45508">
        <w:t>——</w:t>
      </w:r>
      <w:r w:rsidRPr="00E45508">
        <w:rPr>
          <w:rFonts w:ascii="Calibri" w:hAnsi="Calibri"/>
        </w:rPr>
        <w:t xml:space="preserve">2023c, </w:t>
      </w:r>
      <w:hyperlink r:id="rId82" w:history="1">
        <w:r w:rsidRPr="00E45508">
          <w:rPr>
            <w:rStyle w:val="Hyperlink"/>
          </w:rPr>
          <w:t xml:space="preserve">Environment Ministers Meeting Communique </w:t>
        </w:r>
        <w:r w:rsidR="009F3BE7">
          <w:rPr>
            <w:rStyle w:val="Hyperlink"/>
          </w:rPr>
          <w:t>–</w:t>
        </w:r>
        <w:r w:rsidRPr="00E45508">
          <w:rPr>
            <w:rStyle w:val="Hyperlink"/>
          </w:rPr>
          <w:t xml:space="preserve"> </w:t>
        </w:r>
        <w:r w:rsidR="009F3BE7">
          <w:rPr>
            <w:rStyle w:val="Hyperlink"/>
          </w:rPr>
          <w:t xml:space="preserve">10 </w:t>
        </w:r>
        <w:r w:rsidRPr="00E45508">
          <w:rPr>
            <w:rStyle w:val="Hyperlink"/>
          </w:rPr>
          <w:t>November 2023</w:t>
        </w:r>
      </w:hyperlink>
      <w:r w:rsidRPr="00E45508">
        <w:rPr>
          <w:rFonts w:ascii="Calibri" w:hAnsi="Calibri"/>
        </w:rPr>
        <w:t xml:space="preserve"> [media release], Department of Climate Change, Energy, the Environment and Water, 10 November 2023, accessed  September 2024.</w:t>
      </w:r>
    </w:p>
    <w:p w14:paraId="70C5CFD3" w14:textId="2F515563" w:rsidR="00705BE5" w:rsidRPr="00E45508" w:rsidRDefault="00705BE5" w:rsidP="00705BE5">
      <w:r w:rsidRPr="00E45508">
        <w:t>——2024</w:t>
      </w:r>
      <w:r w:rsidR="002850C5">
        <w:t>a</w:t>
      </w:r>
      <w:r w:rsidRPr="00E45508">
        <w:t xml:space="preserve">, </w:t>
      </w:r>
      <w:hyperlink r:id="rId83" w:history="1">
        <w:r w:rsidRPr="00E45508">
          <w:rPr>
            <w:rStyle w:val="Hyperlink"/>
          </w:rPr>
          <w:t>Circular Economy Ministerial Advisory Group Interim report</w:t>
        </w:r>
      </w:hyperlink>
      <w:r w:rsidRPr="00E45508">
        <w:t>, Department of Climate Change, Energy, the Environment and Water, Canberra, April 2024, accessed September 2024.</w:t>
      </w:r>
    </w:p>
    <w:p w14:paraId="573EA210" w14:textId="40A4E0A1" w:rsidR="00554784" w:rsidRPr="00E45508" w:rsidRDefault="00554784" w:rsidP="00554784">
      <w:pPr>
        <w:rPr>
          <w:rFonts w:ascii="Calibri" w:hAnsi="Calibri"/>
        </w:rPr>
      </w:pPr>
      <w:r w:rsidRPr="00E45508">
        <w:t>——</w:t>
      </w:r>
      <w:r w:rsidRPr="00E45508">
        <w:rPr>
          <w:rFonts w:ascii="Calibri" w:hAnsi="Calibri"/>
        </w:rPr>
        <w:t>2024</w:t>
      </w:r>
      <w:r>
        <w:rPr>
          <w:rFonts w:ascii="Calibri" w:hAnsi="Calibri"/>
        </w:rPr>
        <w:t>b</w:t>
      </w:r>
      <w:r w:rsidRPr="00E45508">
        <w:rPr>
          <w:rFonts w:ascii="Calibri" w:hAnsi="Calibri"/>
        </w:rPr>
        <w:t xml:space="preserve">, </w:t>
      </w:r>
      <w:hyperlink r:id="rId84">
        <w:r w:rsidRPr="009F3BE7">
          <w:rPr>
            <w:rStyle w:val="Hyperlink"/>
            <w:rFonts w:eastAsia="Calibri" w:cs="Calibri"/>
          </w:rPr>
          <w:t xml:space="preserve">Environment Ministers Meeting Communique – </w:t>
        </w:r>
        <w:r>
          <w:rPr>
            <w:rStyle w:val="Hyperlink"/>
            <w:rFonts w:eastAsia="Calibri" w:cs="Calibri"/>
          </w:rPr>
          <w:t>21June</w:t>
        </w:r>
        <w:r w:rsidRPr="009F3BE7">
          <w:rPr>
            <w:rStyle w:val="Hyperlink"/>
            <w:rFonts w:eastAsia="Calibri" w:cs="Calibri"/>
          </w:rPr>
          <w:t xml:space="preserve"> 20</w:t>
        </w:r>
        <w:r>
          <w:rPr>
            <w:rStyle w:val="Hyperlink"/>
            <w:rFonts w:eastAsia="Calibri" w:cs="Calibri"/>
          </w:rPr>
          <w:t>24</w:t>
        </w:r>
      </w:hyperlink>
      <w:r w:rsidRPr="00E45508">
        <w:rPr>
          <w:rFonts w:ascii="Calibri" w:hAnsi="Calibri"/>
        </w:rPr>
        <w:t xml:space="preserve"> [media release], Department of Climate Change, Energy, the Environment and Water, 21 June 2024, accessed September 2024.</w:t>
      </w:r>
    </w:p>
    <w:p w14:paraId="6FC2BE4C" w14:textId="77777777" w:rsidR="00705BE5" w:rsidRPr="00E45508" w:rsidRDefault="00705BE5" w:rsidP="00705BE5">
      <w:r w:rsidRPr="00E45508">
        <w:t>——2024c, Internal analysis for this consultation paper, Department of Climate Change, Energy, the Environment and Water.</w:t>
      </w:r>
    </w:p>
    <w:p w14:paraId="1D0B5223" w14:textId="2BA62A7B" w:rsidR="00705BE5" w:rsidRPr="00E45508" w:rsidRDefault="00705BE5" w:rsidP="00705BE5">
      <w:r w:rsidRPr="00E45508">
        <w:t>——2024</w:t>
      </w:r>
      <w:r w:rsidR="00554784">
        <w:t>d</w:t>
      </w:r>
      <w:r w:rsidRPr="00E45508">
        <w:t xml:space="preserve">, </w:t>
      </w:r>
      <w:hyperlink r:id="rId85" w:history="1">
        <w:r w:rsidRPr="00E45508">
          <w:rPr>
            <w:rStyle w:val="Hyperlink"/>
          </w:rPr>
          <w:t>Industrial Chemicals Environment Management Standard</w:t>
        </w:r>
      </w:hyperlink>
      <w:r w:rsidRPr="00E45508">
        <w:t>, Department of Climate Change, Energy, the Environment and Water, Canberra, accessed September 2024.</w:t>
      </w:r>
    </w:p>
    <w:p w14:paraId="565ACB2D" w14:textId="77777777" w:rsidR="00705BE5" w:rsidRPr="00E45508" w:rsidRDefault="00705BE5" w:rsidP="00705BE5">
      <w:r w:rsidRPr="00E45508">
        <w:t xml:space="preserve">——2024e, </w:t>
      </w:r>
      <w:hyperlink r:id="rId86" w:history="1">
        <w:r w:rsidRPr="00E45508">
          <w:rPr>
            <w:rStyle w:val="Hyperlink"/>
          </w:rPr>
          <w:t>Environmentally Sustainable Procurement Policy</w:t>
        </w:r>
      </w:hyperlink>
      <w:r w:rsidRPr="00E45508">
        <w:t>, Department of Climate Change, Energy, the Environment and Water, Canberra, July 2024, accessed August 2024.</w:t>
      </w:r>
    </w:p>
    <w:p w14:paraId="74315B9B" w14:textId="77777777" w:rsidR="00705BE5" w:rsidRPr="00E45508" w:rsidRDefault="00705BE5" w:rsidP="00705BE5">
      <w:r w:rsidRPr="00E45508">
        <w:t xml:space="preserve">DEE 2017, </w:t>
      </w:r>
      <w:hyperlink r:id="rId87" w:history="1">
        <w:r w:rsidRPr="00E45508">
          <w:rPr>
            <w:rStyle w:val="Hyperlink"/>
          </w:rPr>
          <w:t>National Food Waste Strategy</w:t>
        </w:r>
      </w:hyperlink>
      <w:r w:rsidRPr="00E45508">
        <w:t>, Department of the Environment and Energy, Canberra, 2017, accessed August 2024.</w:t>
      </w:r>
    </w:p>
    <w:p w14:paraId="2494367B" w14:textId="77777777" w:rsidR="00705BE5" w:rsidRPr="00E45508" w:rsidRDefault="00705BE5" w:rsidP="00705BE5">
      <w:r w:rsidRPr="00E45508">
        <w:t xml:space="preserve">EPRS 2016, </w:t>
      </w:r>
      <w:hyperlink r:id="rId88" w:history="1">
        <w:r w:rsidRPr="00E45508">
          <w:rPr>
            <w:rStyle w:val="Hyperlink"/>
          </w:rPr>
          <w:t>Closing the loop New circular economy package</w:t>
        </w:r>
      </w:hyperlink>
      <w:r w:rsidRPr="00E45508">
        <w:t>, European Parliamentary Research Service, 6 January 2016, accessed September 2024.</w:t>
      </w:r>
    </w:p>
    <w:p w14:paraId="066ACB60" w14:textId="77777777" w:rsidR="00705BE5" w:rsidRPr="00E45508" w:rsidRDefault="00705BE5" w:rsidP="00705BE5">
      <w:r w:rsidRPr="00E45508">
        <w:t xml:space="preserve">EU 2019, </w:t>
      </w:r>
      <w:hyperlink r:id="rId89" w:history="1">
        <w:r w:rsidRPr="00E45508">
          <w:rPr>
            <w:rStyle w:val="Hyperlink"/>
          </w:rPr>
          <w:t>Directive (Eu) 2019/904 Of The European Parliament And Of The Council on the reduction of the impact of certain plastic products on the environment</w:t>
        </w:r>
      </w:hyperlink>
      <w:r w:rsidRPr="00E45508">
        <w:t>, European Union, 5 June 2019, accessed September 2024.</w:t>
      </w:r>
    </w:p>
    <w:p w14:paraId="4A08D98C" w14:textId="1BD8E3BF" w:rsidR="00705BE5" w:rsidRPr="00E45508" w:rsidRDefault="00705BE5" w:rsidP="00705BE5">
      <w:r w:rsidRPr="00E45508">
        <w:t xml:space="preserve">European Parliament 2024, </w:t>
      </w:r>
      <w:hyperlink r:id="rId90" w:history="1">
        <w:r w:rsidRPr="00E45508">
          <w:rPr>
            <w:rStyle w:val="Hyperlink"/>
          </w:rPr>
          <w:t>European Parliament legislative resolution of 24 April 2024 on the proposal for a regulation of the European Parliament and of the Council on packaging and packaging waste, amending Regulation (EU) 2019/1020 and Directive (EU) 2019/904, and repealing Directive 94/62/EC</w:t>
        </w:r>
      </w:hyperlink>
      <w:r w:rsidRPr="00E45508">
        <w:t>, European Parliament, 24 April 2024</w:t>
      </w:r>
      <w:r w:rsidR="00E7615E" w:rsidRPr="00E45508">
        <w:t>.</w:t>
      </w:r>
    </w:p>
    <w:p w14:paraId="508EA820" w14:textId="77777777" w:rsidR="00705BE5" w:rsidRPr="00E45508" w:rsidRDefault="00705BE5" w:rsidP="00705BE5">
      <w:pPr>
        <w:rPr>
          <w:rFonts w:ascii="Calibri" w:hAnsi="Calibri"/>
        </w:rPr>
      </w:pPr>
      <w:r w:rsidRPr="00E45508">
        <w:rPr>
          <w:rFonts w:ascii="Calibri" w:hAnsi="Calibri"/>
        </w:rPr>
        <w:t xml:space="preserve">FSANZ 2024, </w:t>
      </w:r>
      <w:hyperlink r:id="rId91" w:history="1">
        <w:r w:rsidRPr="00E45508">
          <w:rPr>
            <w:rStyle w:val="Hyperlink"/>
            <w:rFonts w:ascii="Calibri" w:hAnsi="Calibri"/>
          </w:rPr>
          <w:t>Bisphenol A (BPA)</w:t>
        </w:r>
      </w:hyperlink>
      <w:r w:rsidRPr="00E45508">
        <w:rPr>
          <w:rFonts w:ascii="Calibri" w:hAnsi="Calibri"/>
        </w:rPr>
        <w:t>, Food Standards Australia and New Zealand, 18 January 2024, accessed August 2024.</w:t>
      </w:r>
    </w:p>
    <w:p w14:paraId="0BD4AC6B" w14:textId="77777777" w:rsidR="00705BE5" w:rsidRPr="00E45508" w:rsidRDefault="00705BE5" w:rsidP="00705BE5">
      <w:r w:rsidRPr="00E45508">
        <w:t xml:space="preserve">Gendell, A &amp; Stoner R, 2021, </w:t>
      </w:r>
      <w:hyperlink r:id="rId92" w:history="1">
        <w:r w:rsidRPr="00E45508">
          <w:rPr>
            <w:rStyle w:val="Hyperlink"/>
          </w:rPr>
          <w:t>Extended Producer Responsibility for Packaging: Elements and Outcomes,</w:t>
        </w:r>
      </w:hyperlink>
      <w:r w:rsidRPr="00E45508">
        <w:t xml:space="preserve"> Eunomia Research and Consulting report for the National Waste and Recycling Association, Washington, D.C, 2021, accessed August 2024.</w:t>
      </w:r>
    </w:p>
    <w:p w14:paraId="78E741B6" w14:textId="77777777" w:rsidR="00705BE5" w:rsidRPr="00E45508" w:rsidRDefault="00705BE5" w:rsidP="00705BE5">
      <w:r w:rsidRPr="00E45508">
        <w:t xml:space="preserve">Government of Canada 2023, </w:t>
      </w:r>
      <w:hyperlink r:id="rId93" w:history="1">
        <w:r w:rsidRPr="00E45508">
          <w:rPr>
            <w:rStyle w:val="Hyperlink"/>
          </w:rPr>
          <w:t>Recycled content and labelling rules for plastics: Regulatory Framework Paper</w:t>
        </w:r>
      </w:hyperlink>
      <w:r w:rsidRPr="00E45508">
        <w:t>, Government of Canada, Ottawa, May 2023, accessed September 2024.</w:t>
      </w:r>
    </w:p>
    <w:p w14:paraId="5AD0CFD6" w14:textId="77777777" w:rsidR="00705BE5" w:rsidRPr="00E45508" w:rsidRDefault="00705BE5" w:rsidP="00705BE5">
      <w:r w:rsidRPr="00E45508">
        <w:t xml:space="preserve">ISO 2013, </w:t>
      </w:r>
      <w:hyperlink r:id="rId94" w:history="1">
        <w:r w:rsidRPr="00E45508">
          <w:rPr>
            <w:rStyle w:val="Hyperlink"/>
          </w:rPr>
          <w:t>ISO 18603:2013 Packaging and the environment – Reuse</w:t>
        </w:r>
      </w:hyperlink>
      <w:r w:rsidRPr="00E45508">
        <w:t>, International Organization for Standardization, 2013, accessed August 2024.</w:t>
      </w:r>
    </w:p>
    <w:p w14:paraId="17C2342A" w14:textId="77777777" w:rsidR="00705BE5" w:rsidRPr="00E45508" w:rsidRDefault="00705BE5" w:rsidP="00705BE5">
      <w:r w:rsidRPr="00E45508">
        <w:t xml:space="preserve">ISO 2016, </w:t>
      </w:r>
      <w:hyperlink r:id="rId95" w:history="1">
        <w:r w:rsidRPr="00E45508">
          <w:rPr>
            <w:rStyle w:val="Hyperlink"/>
          </w:rPr>
          <w:t>ISO 14021:2016 Environmental labels and declarations – Self-declared environmental claims (Type II environmental labelling)</w:t>
        </w:r>
      </w:hyperlink>
      <w:r w:rsidRPr="00E45508">
        <w:t>, International Organization for Standardizations, 2016, accessed August 2024.</w:t>
      </w:r>
    </w:p>
    <w:p w14:paraId="1057E68F" w14:textId="77777777" w:rsidR="00705BE5" w:rsidRPr="00E45508" w:rsidRDefault="00705BE5" w:rsidP="00705BE5">
      <w:r w:rsidRPr="00E45508">
        <w:t xml:space="preserve">Maine Government 2022, </w:t>
      </w:r>
      <w:hyperlink r:id="rId96" w:history="1">
        <w:r w:rsidRPr="00E45508">
          <w:rPr>
            <w:rStyle w:val="Hyperlink"/>
          </w:rPr>
          <w:t>Public Law Chapter 742 An Act To Promote a Circular Economy through Increased Post-consumer Recycled Plastic Content in Plastic Beverage Containers</w:t>
        </w:r>
      </w:hyperlink>
      <w:r w:rsidRPr="00E45508">
        <w:t>, Government of Maine, May 7 2022.</w:t>
      </w:r>
    </w:p>
    <w:p w14:paraId="1734B160" w14:textId="77777777" w:rsidR="00705BE5" w:rsidRPr="00E45508" w:rsidRDefault="00705BE5" w:rsidP="00705BE5">
      <w:r w:rsidRPr="00E45508">
        <w:t xml:space="preserve">Mpconsulting 2021, </w:t>
      </w:r>
      <w:hyperlink r:id="rId97" w:anchor="download" w:history="1">
        <w:r w:rsidRPr="00E45508">
          <w:rPr>
            <w:rStyle w:val="Hyperlink"/>
          </w:rPr>
          <w:t>Review of the co-regulatory arrangement under the National Environment Protection (Used Packaging Materials) Measure 2011</w:t>
        </w:r>
      </w:hyperlink>
      <w:r w:rsidRPr="00E45508">
        <w:t>, Matthews Pegg Consulting report prepared for the Department of Agriculture, Water and the Environment, Department of Climate Change, Energy, the Environment and Water, Canberra, September 2021, accessed August 2024.</w:t>
      </w:r>
    </w:p>
    <w:p w14:paraId="5B8576E8" w14:textId="77777777" w:rsidR="00705BE5" w:rsidRPr="00E45508" w:rsidRDefault="00705BE5" w:rsidP="00705BE5">
      <w:r w:rsidRPr="00E45508">
        <w:t xml:space="preserve">NSW 2020, </w:t>
      </w:r>
      <w:hyperlink r:id="rId98" w:history="1">
        <w:r w:rsidRPr="00E45508">
          <w:rPr>
            <w:rStyle w:val="Hyperlink"/>
          </w:rPr>
          <w:t>Food grade packaging</w:t>
        </w:r>
      </w:hyperlink>
      <w:r w:rsidRPr="00E45508">
        <w:t>, New South Wales Government Food Authority, accessed September 2024.</w:t>
      </w:r>
    </w:p>
    <w:p w14:paraId="2A2F839D" w14:textId="77777777" w:rsidR="00705BE5" w:rsidRPr="00E45508" w:rsidRDefault="00705BE5" w:rsidP="00705BE5">
      <w:r w:rsidRPr="00E45508">
        <w:t xml:space="preserve">OECD 2024, </w:t>
      </w:r>
      <w:hyperlink r:id="rId99" w:history="1">
        <w:r w:rsidRPr="00E45508">
          <w:rPr>
            <w:rStyle w:val="Hyperlink"/>
          </w:rPr>
          <w:t>Extended Producer Responsibility: Basic facts and key principles</w:t>
        </w:r>
      </w:hyperlink>
      <w:r w:rsidRPr="00E45508">
        <w:t>, OECD Environment Policy Paper No. 41, OECD Publishing, Paris, 17 April 2024, accessed July 2024.</w:t>
      </w:r>
    </w:p>
    <w:p w14:paraId="7BD8F5FF" w14:textId="77777777" w:rsidR="00705BE5" w:rsidRPr="00E45508" w:rsidRDefault="00705BE5" w:rsidP="00705BE5">
      <w:r w:rsidRPr="00E45508">
        <w:t xml:space="preserve">O’Farrell, K, Caggiati-Shortell, G, Rhodes, L &amp; Harney, H 2024, </w:t>
      </w:r>
      <w:hyperlink r:id="rId100" w:history="1">
        <w:r w:rsidRPr="00E45508">
          <w:rPr>
            <w:rStyle w:val="Hyperlink"/>
          </w:rPr>
          <w:t>Australian Plastics Flows and Fates Study 2021-22 – National Report</w:t>
        </w:r>
      </w:hyperlink>
      <w:r w:rsidRPr="00E45508">
        <w:t>, Blue Environment report to the Department of Climate Change, Energy, the Environment and Water, Department of Climate Change, Energy, the Environment and Water, Canberra, accessed September 2024.</w:t>
      </w:r>
    </w:p>
    <w:p w14:paraId="4D624148" w14:textId="77777777" w:rsidR="00705BE5" w:rsidRPr="00E45508" w:rsidRDefault="00705BE5" w:rsidP="00705BE5">
      <w:r w:rsidRPr="00E45508">
        <w:t xml:space="preserve">OIA 2023, </w:t>
      </w:r>
      <w:hyperlink r:id="rId101" w:history="1">
        <w:r w:rsidRPr="00E45508">
          <w:rPr>
            <w:rStyle w:val="Hyperlink"/>
          </w:rPr>
          <w:t>Australian Government Guide to Policy Impact Analysis</w:t>
        </w:r>
      </w:hyperlink>
      <w:r w:rsidRPr="00E45508">
        <w:t>, Office of Impact Analysis, Department of Prime Minister and Cabinet, March 2023, accessed September 2024.</w:t>
      </w:r>
    </w:p>
    <w:p w14:paraId="4D6F348F" w14:textId="77777777" w:rsidR="00705BE5" w:rsidRPr="00E45508" w:rsidRDefault="00705BE5" w:rsidP="00705BE5">
      <w:r w:rsidRPr="00E45508">
        <w:t xml:space="preserve">Pact 2021, </w:t>
      </w:r>
      <w:hyperlink r:id="rId102" w:history="1">
        <w:r w:rsidRPr="00E45508">
          <w:rPr>
            <w:rStyle w:val="Hyperlink"/>
          </w:rPr>
          <w:t>End of Waste: A White Paper</w:t>
        </w:r>
      </w:hyperlink>
      <w:r w:rsidRPr="00E45508">
        <w:t>, Pact Group, 2021, accessed August 2024.</w:t>
      </w:r>
    </w:p>
    <w:p w14:paraId="3E401DC7" w14:textId="77777777" w:rsidR="00705BE5" w:rsidRPr="00E45508" w:rsidRDefault="00705BE5" w:rsidP="00705BE5">
      <w:r w:rsidRPr="00E45508">
        <w:t xml:space="preserve">Pickin, J, Wardle, C, O’Farrell, K, Stovell, L, Nyunt, P, Guazzo, S, Lin, Y, Caggiati-Shortell, G, Chakma, P, Edwards, C, Lindley, B, Latimer, G, Downes, J &amp; Axiö, I 2022, </w:t>
      </w:r>
      <w:hyperlink r:id="rId103" w:history="1">
        <w:r w:rsidRPr="00E45508">
          <w:rPr>
            <w:rStyle w:val="Hyperlink"/>
          </w:rPr>
          <w:t>National Waste Report 2022</w:t>
        </w:r>
      </w:hyperlink>
      <w:r w:rsidRPr="00E45508">
        <w:t>, Blue Environment report to the Department of Climate Change, Energy, the Environment and Water, Department of Climate Change, Energy, the Environment and Water, Canberra, accessed September 2024.</w:t>
      </w:r>
    </w:p>
    <w:p w14:paraId="3CC32E3D" w14:textId="497D934B" w:rsidR="00705BE5" w:rsidRPr="00E45508" w:rsidRDefault="00705BE5" w:rsidP="00705BE5">
      <w:r w:rsidRPr="00E45508">
        <w:t xml:space="preserve">Staub, C 2024, </w:t>
      </w:r>
      <w:hyperlink r:id="rId104" w:history="1">
        <w:r w:rsidRPr="00E45508">
          <w:rPr>
            <w:rStyle w:val="Hyperlink"/>
          </w:rPr>
          <w:t>Analyst lays out cyclic pattern of recycled resin markets</w:t>
        </w:r>
      </w:hyperlink>
      <w:r w:rsidRPr="00E45508">
        <w:t>, Resource Recycling, 8 May 2024, accessed September 2024</w:t>
      </w:r>
      <w:r w:rsidR="00E7615E" w:rsidRPr="00E45508">
        <w:t>.</w:t>
      </w:r>
    </w:p>
    <w:p w14:paraId="26D1B6EC" w14:textId="77777777" w:rsidR="00705BE5" w:rsidRPr="00E45508" w:rsidRDefault="00705BE5" w:rsidP="00705BE5">
      <w:r w:rsidRPr="00E45508">
        <w:t xml:space="preserve">Toluna 2021, </w:t>
      </w:r>
      <w:hyperlink r:id="rId105" w:history="1">
        <w:r w:rsidRPr="00E45508">
          <w:rPr>
            <w:rStyle w:val="Hyperlink"/>
          </w:rPr>
          <w:t>Consumer shift towards sustainability: Going green is going strong</w:t>
        </w:r>
      </w:hyperlink>
      <w:r w:rsidRPr="00E45508">
        <w:t>, Toluna Corporate, 2021, accessed August 2024.</w:t>
      </w:r>
    </w:p>
    <w:p w14:paraId="19BC8813" w14:textId="5032B44D" w:rsidR="003773CD" w:rsidRPr="00E45508" w:rsidRDefault="00705BE5" w:rsidP="003773CD">
      <w:r w:rsidRPr="00E45508">
        <w:rPr>
          <w:rFonts w:ascii="Calibri" w:hAnsi="Calibri"/>
        </w:rPr>
        <w:t xml:space="preserve">UK Government 2021, </w:t>
      </w:r>
      <w:hyperlink r:id="rId106" w:history="1">
        <w:r w:rsidRPr="00E45508">
          <w:rPr>
            <w:rStyle w:val="Hyperlink"/>
            <w:rFonts w:ascii="Calibri" w:hAnsi="Calibri"/>
          </w:rPr>
          <w:t>Plastic Packaging Tax: steps to take</w:t>
        </w:r>
      </w:hyperlink>
      <w:r w:rsidRPr="00E45508">
        <w:rPr>
          <w:rFonts w:ascii="Calibri" w:hAnsi="Calibri"/>
        </w:rPr>
        <w:t>, Government of the United Kingdom, 4 November 2021, accessed September 2024.</w:t>
      </w:r>
    </w:p>
    <w:p w14:paraId="3BEF893C" w14:textId="00A9CD24" w:rsidR="00D11A3D" w:rsidRPr="00E45508" w:rsidRDefault="00E512B0" w:rsidP="00505189">
      <w:pPr>
        <w:pStyle w:val="Heading2"/>
        <w:numPr>
          <w:ilvl w:val="0"/>
          <w:numId w:val="15"/>
        </w:numPr>
        <w:tabs>
          <w:tab w:val="left" w:pos="0"/>
        </w:tabs>
      </w:pPr>
      <w:bookmarkStart w:id="291" w:name="_Ref177121758"/>
      <w:bookmarkStart w:id="292" w:name="_Toc177126617"/>
      <w:bookmarkStart w:id="293" w:name="_Toc177493025"/>
      <w:bookmarkStart w:id="294" w:name="_Toc178230273"/>
      <w:r w:rsidRPr="00E45508">
        <w:t xml:space="preserve">– </w:t>
      </w:r>
      <w:r w:rsidR="00981B2B" w:rsidRPr="00E45508">
        <w:t>Current regulation of packaging in Australia</w:t>
      </w:r>
      <w:bookmarkEnd w:id="291"/>
      <w:bookmarkEnd w:id="292"/>
      <w:bookmarkEnd w:id="293"/>
      <w:bookmarkEnd w:id="294"/>
    </w:p>
    <w:p w14:paraId="6377447C" w14:textId="088AC81F" w:rsidR="00D11A3D" w:rsidRPr="00E45508" w:rsidRDefault="00D11A3D" w:rsidP="009C7010">
      <w:pPr>
        <w:pStyle w:val="Heading3"/>
        <w:numPr>
          <w:ilvl w:val="0"/>
          <w:numId w:val="0"/>
        </w:numPr>
        <w:ind w:left="771" w:hanging="771"/>
      </w:pPr>
      <w:bookmarkStart w:id="295" w:name="_Toc177126618"/>
      <w:bookmarkStart w:id="296" w:name="_Toc177493026"/>
      <w:bookmarkStart w:id="297" w:name="_Toc177633318"/>
      <w:bookmarkStart w:id="298" w:name="_Toc177653275"/>
      <w:bookmarkStart w:id="299" w:name="_Toc178071686"/>
      <w:bookmarkStart w:id="300" w:name="_Toc178167878"/>
      <w:bookmarkStart w:id="301" w:name="_Toc178229354"/>
      <w:bookmarkStart w:id="302" w:name="_Toc178230274"/>
      <w:r w:rsidRPr="00E45508">
        <w:t>The Covenant</w:t>
      </w:r>
      <w:bookmarkEnd w:id="295"/>
      <w:bookmarkEnd w:id="296"/>
      <w:bookmarkEnd w:id="297"/>
      <w:bookmarkEnd w:id="298"/>
      <w:bookmarkEnd w:id="299"/>
      <w:bookmarkEnd w:id="300"/>
      <w:bookmarkEnd w:id="301"/>
      <w:bookmarkEnd w:id="302"/>
    </w:p>
    <w:p w14:paraId="718B26DB" w14:textId="3D4547A4" w:rsidR="00D11A3D" w:rsidRPr="00E45508" w:rsidRDefault="0CE76637" w:rsidP="00D11A3D">
      <w:pPr>
        <w:spacing w:after="120"/>
      </w:pPr>
      <w:r w:rsidRPr="00E45508">
        <w:t>The</w:t>
      </w:r>
      <w:hyperlink r:id="rId107">
        <w:r w:rsidRPr="00E45508">
          <w:rPr>
            <w:rStyle w:val="Hyperlink"/>
          </w:rPr>
          <w:t xml:space="preserve"> Covenant</w:t>
        </w:r>
      </w:hyperlink>
      <w:r w:rsidR="2E0E23DE" w:rsidRPr="00E45508">
        <w:t xml:space="preserve"> (APCO</w:t>
      </w:r>
      <w:r w:rsidR="36F14B88" w:rsidRPr="00E45508">
        <w:t> 2</w:t>
      </w:r>
      <w:r w:rsidR="2E0E23DE" w:rsidRPr="00E45508">
        <w:t>024</w:t>
      </w:r>
      <w:r w:rsidR="00C81FEE">
        <w:t>g</w:t>
      </w:r>
      <w:r w:rsidR="2E0E23DE" w:rsidRPr="00E45508">
        <w:t>)</w:t>
      </w:r>
      <w:r w:rsidRPr="00E45508">
        <w:t xml:space="preserve"> is an agreement between APCO, representing industry participants in the packaging supply chain, and the </w:t>
      </w:r>
      <w:r w:rsidR="141BD7D3" w:rsidRPr="00E45508">
        <w:t>Australian</w:t>
      </w:r>
      <w:r w:rsidRPr="00E45508">
        <w:t xml:space="preserve">, state and territory governments to reduce the environmental impacts of packaging. It is the industry-led component of the co-regulatory arrangement. The Covenant’s goals are to optimise resource recovery of packaging and prevent the impacts of litter. </w:t>
      </w:r>
      <w:bookmarkStart w:id="303" w:name="_Hlk177482054"/>
      <w:bookmarkEnd w:id="303"/>
      <w:r w:rsidR="68E54D0C" w:rsidRPr="00E45508">
        <w:t xml:space="preserve">Through the Covenant, APCO is also responsible for delivering the National Packaging Targets (NPTs) by 2025 </w:t>
      </w:r>
      <w:r w:rsidR="6711210E" w:rsidRPr="00E45508">
        <w:t>(APCO</w:t>
      </w:r>
      <w:r w:rsidR="36F14B88" w:rsidRPr="00E45508">
        <w:t> 2</w:t>
      </w:r>
      <w:r w:rsidR="6711210E" w:rsidRPr="00E45508">
        <w:t>024</w:t>
      </w:r>
      <w:r w:rsidR="00840740">
        <w:t>f</w:t>
      </w:r>
      <w:r w:rsidR="6711210E" w:rsidRPr="00E45508">
        <w:t>)</w:t>
      </w:r>
      <w:r w:rsidRPr="00E45508">
        <w:t>. These four voluntary, industry-led targets</w:t>
      </w:r>
      <w:r w:rsidR="26D563CF" w:rsidRPr="00E45508">
        <w:t xml:space="preserve"> to be achieved by 31 December 2025</w:t>
      </w:r>
      <w:r w:rsidRPr="00E45508">
        <w:t xml:space="preserve"> are:</w:t>
      </w:r>
    </w:p>
    <w:p w14:paraId="025E8949" w14:textId="024E14F9" w:rsidR="00D11A3D" w:rsidRPr="00E45508" w:rsidRDefault="0CE76637" w:rsidP="009C1F84">
      <w:pPr>
        <w:pStyle w:val="ListBullet"/>
      </w:pPr>
      <w:r w:rsidRPr="00E45508">
        <w:t>100% of packaging being reusable, recyclable, or compostable.</w:t>
      </w:r>
    </w:p>
    <w:p w14:paraId="7FC57461" w14:textId="764C9D70" w:rsidR="00D11A3D" w:rsidRPr="00E45508" w:rsidRDefault="0CE76637" w:rsidP="009C1F84">
      <w:pPr>
        <w:pStyle w:val="ListBullet"/>
      </w:pPr>
      <w:r w:rsidRPr="00E45508">
        <w:t>70% of plastic packaging being recycled or composted.</w:t>
      </w:r>
    </w:p>
    <w:p w14:paraId="550EBCA7" w14:textId="2DFEDA40" w:rsidR="00D11A3D" w:rsidRPr="00E45508" w:rsidRDefault="0CE76637" w:rsidP="009C1F84">
      <w:pPr>
        <w:pStyle w:val="ListBullet"/>
      </w:pPr>
      <w:r w:rsidRPr="00E45508">
        <w:t xml:space="preserve">50% average recycled content </w:t>
      </w:r>
      <w:r w:rsidR="4F37C0CF" w:rsidRPr="00E45508">
        <w:t>included in</w:t>
      </w:r>
      <w:r w:rsidRPr="00E45508">
        <w:t xml:space="preserve"> packaging.</w:t>
      </w:r>
    </w:p>
    <w:p w14:paraId="3168368C" w14:textId="3A860805" w:rsidR="00D11A3D" w:rsidRPr="00E45508" w:rsidRDefault="0CE76637" w:rsidP="009C1F84">
      <w:pPr>
        <w:pStyle w:val="ListBullet"/>
      </w:pPr>
      <w:r w:rsidRPr="00E45508">
        <w:t>The phase-out of problematic and unnecessary single-use plastic packaging.</w:t>
      </w:r>
    </w:p>
    <w:p w14:paraId="06017793" w14:textId="20AE124E" w:rsidR="00D11A3D" w:rsidRPr="00E45508" w:rsidRDefault="00D11A3D" w:rsidP="005071CF">
      <w:r w:rsidRPr="00E45508">
        <w:t xml:space="preserve">APCO has recently released their </w:t>
      </w:r>
      <w:hyperlink r:id="rId108">
        <w:r w:rsidRPr="00E45508">
          <w:rPr>
            <w:rStyle w:val="Hyperlink"/>
          </w:rPr>
          <w:t>Strategic Plan to</w:t>
        </w:r>
        <w:r w:rsidR="00421651" w:rsidRPr="00E45508">
          <w:rPr>
            <w:rStyle w:val="Hyperlink"/>
          </w:rPr>
          <w:t> 2</w:t>
        </w:r>
        <w:r w:rsidRPr="00E45508">
          <w:rPr>
            <w:rStyle w:val="Hyperlink"/>
          </w:rPr>
          <w:t>030</w:t>
        </w:r>
      </w:hyperlink>
      <w:r w:rsidR="00547301" w:rsidRPr="00E45508">
        <w:rPr>
          <w:rStyle w:val="Hyperlink"/>
        </w:rPr>
        <w:t xml:space="preserve"> </w:t>
      </w:r>
      <w:r w:rsidR="00547301" w:rsidRPr="00E45508">
        <w:rPr>
          <w:rStyle w:val="Hyperlink"/>
          <w:color w:val="auto"/>
          <w:u w:val="none"/>
        </w:rPr>
        <w:t>(2024b)</w:t>
      </w:r>
      <w:r w:rsidRPr="00E45508">
        <w:t xml:space="preserve">. This outlines how APCO will deliver the goals and objectives of the Covenant and the NPTs. The Strategic Plan includes new actions which respond to </w:t>
      </w:r>
      <w:r w:rsidR="00771A70" w:rsidRPr="00E45508">
        <w:t>e</w:t>
      </w:r>
      <w:r w:rsidRPr="00E45508">
        <w:t xml:space="preserve">nvironment </w:t>
      </w:r>
      <w:r w:rsidR="00771A70" w:rsidRPr="00E45508">
        <w:t>m</w:t>
      </w:r>
      <w:r w:rsidRPr="00E45508">
        <w:t>inisters’ calls for greater action to deliver the NPTs.</w:t>
      </w:r>
    </w:p>
    <w:p w14:paraId="0154E64C" w14:textId="05DAFD38" w:rsidR="00D11A3D" w:rsidRPr="00E45508" w:rsidRDefault="00D11A3D" w:rsidP="009C7010">
      <w:pPr>
        <w:pStyle w:val="Heading3"/>
        <w:numPr>
          <w:ilvl w:val="0"/>
          <w:numId w:val="0"/>
        </w:numPr>
        <w:ind w:left="771" w:hanging="771"/>
      </w:pPr>
      <w:bookmarkStart w:id="304" w:name="_Toc177126619"/>
      <w:bookmarkStart w:id="305" w:name="_Toc177493027"/>
      <w:bookmarkStart w:id="306" w:name="_Toc177633319"/>
      <w:bookmarkStart w:id="307" w:name="_Toc177653276"/>
      <w:bookmarkStart w:id="308" w:name="_Toc178071687"/>
      <w:bookmarkStart w:id="309" w:name="_Toc178167879"/>
      <w:bookmarkStart w:id="310" w:name="_Toc178229355"/>
      <w:bookmarkStart w:id="311" w:name="_Toc178230275"/>
      <w:r w:rsidRPr="00E45508">
        <w:t>The NEPM</w:t>
      </w:r>
      <w:bookmarkEnd w:id="304"/>
      <w:bookmarkEnd w:id="305"/>
      <w:bookmarkEnd w:id="306"/>
      <w:bookmarkEnd w:id="307"/>
      <w:bookmarkEnd w:id="308"/>
      <w:bookmarkEnd w:id="309"/>
      <w:bookmarkEnd w:id="310"/>
      <w:bookmarkEnd w:id="311"/>
    </w:p>
    <w:p w14:paraId="3113A550" w14:textId="31AFF863" w:rsidR="00D11A3D" w:rsidRPr="00E45508" w:rsidRDefault="5B1810D9" w:rsidP="146DC098">
      <w:pPr>
        <w:rPr>
          <w:rFonts w:eastAsiaTheme="minorEastAsia"/>
        </w:rPr>
      </w:pPr>
      <w:r w:rsidRPr="00E45508">
        <w:t xml:space="preserve">One of the purposes of the </w:t>
      </w:r>
      <w:r w:rsidR="58206492" w:rsidRPr="00E45508">
        <w:rPr>
          <w:i/>
          <w:iCs/>
        </w:rPr>
        <w:t xml:space="preserve">National Environmental Protection (Used Packaging Materials) Measure 2011 </w:t>
      </w:r>
      <w:r w:rsidR="58206492" w:rsidRPr="00E45508">
        <w:t>(NEPM)</w:t>
      </w:r>
      <w:r w:rsidRPr="00E45508">
        <w:t xml:space="preserve"> is encouraging jurisdictions to establish a statutory basis to ensure </w:t>
      </w:r>
      <w:r w:rsidR="0CE76637" w:rsidRPr="00E45508">
        <w:t>that businesses that do not sign up to the Covenant cannot gain a commercial advantage over those that do (free riding). It</w:t>
      </w:r>
      <w:r w:rsidR="0CE76637" w:rsidRPr="00E45508">
        <w:rPr>
          <w:rFonts w:eastAsiaTheme="minorEastAsia"/>
        </w:rPr>
        <w:t xml:space="preserve"> outlines obligations that participating state and territories should impose on brand owners through their laws and other arrangements, including:</w:t>
      </w:r>
    </w:p>
    <w:p w14:paraId="59B9AE47" w14:textId="7DA16A60" w:rsidR="00D11A3D" w:rsidRPr="00E45508" w:rsidRDefault="00D11A3D" w:rsidP="009C1F84">
      <w:pPr>
        <w:pStyle w:val="ListBullet"/>
      </w:pPr>
      <w:r w:rsidRPr="00E45508">
        <w:t>undertaking or assuring the systematic recovery, reuse, recycling or energy recovery of consumer packaging in which the brand owner’s products are sold</w:t>
      </w:r>
    </w:p>
    <w:p w14:paraId="435FB252" w14:textId="77777777" w:rsidR="00D11A3D" w:rsidRPr="00E45508" w:rsidRDefault="00D11A3D" w:rsidP="009C1F84">
      <w:pPr>
        <w:pStyle w:val="ListBullet"/>
      </w:pPr>
      <w:r w:rsidRPr="00E45508">
        <w:t>demonstrating that reasonable steps have been taken to ensure that consumers are adequately advised as to how the packaging is to be recovered, and</w:t>
      </w:r>
    </w:p>
    <w:p w14:paraId="4948D1C0" w14:textId="347AD1D2" w:rsidR="00D11A3D" w:rsidRPr="00E45508" w:rsidRDefault="00D11A3D" w:rsidP="009C1F84">
      <w:pPr>
        <w:pStyle w:val="ListBullet"/>
      </w:pPr>
      <w:r w:rsidRPr="00E45508">
        <w:t>keeping records of their packaging material used during a financial year by packaging type, including total weight used, recovered, reused, recycled and landfilled.</w:t>
      </w:r>
    </w:p>
    <w:p w14:paraId="09A3840D" w14:textId="3B379ADC" w:rsidR="00D11A3D" w:rsidRPr="00E45508" w:rsidRDefault="00D11A3D" w:rsidP="009C7010">
      <w:pPr>
        <w:pStyle w:val="Heading3"/>
        <w:numPr>
          <w:ilvl w:val="0"/>
          <w:numId w:val="0"/>
        </w:numPr>
      </w:pPr>
      <w:bookmarkStart w:id="312" w:name="_Toc177126620"/>
      <w:bookmarkStart w:id="313" w:name="_Toc177493028"/>
      <w:bookmarkStart w:id="314" w:name="_Toc177633320"/>
      <w:bookmarkStart w:id="315" w:name="_Toc177653277"/>
      <w:bookmarkStart w:id="316" w:name="_Toc178071688"/>
      <w:bookmarkStart w:id="317" w:name="_Toc178167880"/>
      <w:bookmarkStart w:id="318" w:name="_Toc178229356"/>
      <w:bookmarkStart w:id="319" w:name="_Toc178230276"/>
      <w:r w:rsidRPr="00E45508">
        <w:t xml:space="preserve">2021 Review of the </w:t>
      </w:r>
      <w:r w:rsidR="00DD3390" w:rsidRPr="00E45508">
        <w:t>n</w:t>
      </w:r>
      <w:r w:rsidRPr="00E45508">
        <w:t xml:space="preserve">ational </w:t>
      </w:r>
      <w:r w:rsidR="00DD3390" w:rsidRPr="00E45508">
        <w:t>c</w:t>
      </w:r>
      <w:r w:rsidRPr="00E45508">
        <w:t xml:space="preserve">o-regulatory </w:t>
      </w:r>
      <w:r w:rsidR="00DD3390" w:rsidRPr="00E45508">
        <w:t>a</w:t>
      </w:r>
      <w:r w:rsidRPr="00E45508">
        <w:t xml:space="preserve">rrangement for </w:t>
      </w:r>
      <w:r w:rsidR="00DD3390" w:rsidRPr="00E45508">
        <w:t>p</w:t>
      </w:r>
      <w:r w:rsidRPr="00E45508">
        <w:t>ackaging</w:t>
      </w:r>
      <w:bookmarkEnd w:id="312"/>
      <w:bookmarkEnd w:id="313"/>
      <w:bookmarkEnd w:id="314"/>
      <w:bookmarkEnd w:id="315"/>
      <w:bookmarkEnd w:id="316"/>
      <w:bookmarkEnd w:id="317"/>
      <w:bookmarkEnd w:id="318"/>
      <w:bookmarkEnd w:id="319"/>
    </w:p>
    <w:p w14:paraId="610D9D45" w14:textId="75EC7584" w:rsidR="00D11A3D" w:rsidRPr="00E45508" w:rsidRDefault="00D11A3D" w:rsidP="008162EF">
      <w:r w:rsidRPr="00E45508">
        <w:t>Clause</w:t>
      </w:r>
      <w:r w:rsidR="00421651" w:rsidRPr="00E45508">
        <w:t> 2</w:t>
      </w:r>
      <w:r w:rsidRPr="00E45508">
        <w:t>2 of the NEPM states that it will be subject to a review every five years as part of any comprehensive evaluation of the Covenant. In</w:t>
      </w:r>
      <w:r w:rsidR="00421651" w:rsidRPr="00E45508">
        <w:t> 2</w:t>
      </w:r>
      <w:r w:rsidRPr="00E45508">
        <w:t>021, the department commissioned an independent review of the NEPM and the Covenant to evaluate and report on whether they achieved their environmental protection goals (the Independent Review).</w:t>
      </w:r>
    </w:p>
    <w:p w14:paraId="625742E5" w14:textId="461B8F54" w:rsidR="00D11A3D" w:rsidRPr="00E45508" w:rsidRDefault="00D11A3D" w:rsidP="008162EF">
      <w:r w:rsidRPr="00E45508">
        <w:t xml:space="preserve">The Independent Review </w:t>
      </w:r>
      <w:r w:rsidR="00847556" w:rsidRPr="00E45508">
        <w:t>(</w:t>
      </w:r>
      <w:r w:rsidR="00C71FB5" w:rsidRPr="00E45508">
        <w:t>mpc</w:t>
      </w:r>
      <w:r w:rsidR="00847556" w:rsidRPr="00E45508">
        <w:t>onsulting</w:t>
      </w:r>
      <w:r w:rsidR="00421651" w:rsidRPr="00E45508">
        <w:t> 2</w:t>
      </w:r>
      <w:r w:rsidR="00847556" w:rsidRPr="00E45508">
        <w:t xml:space="preserve">021) </w:t>
      </w:r>
      <w:r w:rsidRPr="00E45508">
        <w:t>was the first comprehensive statutory review undertaken of Australia’s co-regulatory arrangement for packaging since it was established in</w:t>
      </w:r>
      <w:r w:rsidR="00421651" w:rsidRPr="00E45508">
        <w:t> 1</w:t>
      </w:r>
      <w:r w:rsidRPr="00E45508">
        <w:t>999. It commenced in December</w:t>
      </w:r>
      <w:r w:rsidR="00421651" w:rsidRPr="00E45508">
        <w:t> 2</w:t>
      </w:r>
      <w:r w:rsidRPr="00E45508">
        <w:t>020 and a final written report with recommendations was provided to the government on 6 September</w:t>
      </w:r>
      <w:r w:rsidR="00421651" w:rsidRPr="00E45508">
        <w:t> 2</w:t>
      </w:r>
      <w:r w:rsidRPr="00E45508">
        <w:t>021. The review was informed by a detailed analysis of the federal, state and territory legislation and policies that underpin and provide for enforcement of the NEPM and Covenant, as well as data on packaging consumption and recovery rates in Australia.</w:t>
      </w:r>
    </w:p>
    <w:p w14:paraId="48AE3B6F" w14:textId="5C20D39D" w:rsidR="00D11A3D" w:rsidRPr="00E45508" w:rsidRDefault="00D11A3D" w:rsidP="008162EF">
      <w:r w:rsidRPr="00E45508">
        <w:t>The reviewer undertook comprehensive briefings and one-on-one interviews with key industry and government stakeholders, including APCO and all state and territory governments through the Government Officials Group (GOG), chaired by the Australian Government. The review also included a targeted, five-week consultation period that invited submissions from businesses, all governments, industry peak bodies, associations, non-government organisations, and members of the public.</w:t>
      </w:r>
    </w:p>
    <w:p w14:paraId="21BB4EF0" w14:textId="468AFFA7" w:rsidR="008D3517" w:rsidRPr="00E45508" w:rsidRDefault="00D11A3D" w:rsidP="008162EF">
      <w:r w:rsidRPr="00E45508">
        <w:t>The Independent Review found that while the Covenant operates effectively as a voluntary stewardship initiative, there have been significant failures in the implementation and enforcement of the NEPM. These limitations have created a lack of clarity for brand owners regarding their liability and obligations, enabled free riders, reduced industry confidence and participation and resulted in limited or no data collection to measure and report on performance. It made nine recommendations to address these limitations and assist governments and industry to develop a reformed packaging scheme</w:t>
      </w:r>
      <w:r w:rsidR="008D3517" w:rsidRPr="00E45508">
        <w:t>:</w:t>
      </w:r>
    </w:p>
    <w:p w14:paraId="29D0193E" w14:textId="77777777" w:rsidR="008D3517" w:rsidRPr="00E45508" w:rsidRDefault="008D3517" w:rsidP="009C1F84">
      <w:pPr>
        <w:pStyle w:val="ListBullet"/>
      </w:pPr>
      <w:r w:rsidRPr="00E45508">
        <w:t>Establish a clear goal and associated key performance indicators</w:t>
      </w:r>
    </w:p>
    <w:p w14:paraId="2F652103" w14:textId="77777777" w:rsidR="008D3517" w:rsidRPr="00E45508" w:rsidRDefault="008D3517" w:rsidP="009C1F84">
      <w:pPr>
        <w:pStyle w:val="ListBullet"/>
      </w:pPr>
      <w:r w:rsidRPr="00E45508">
        <w:t>Establish a national agreement that forms the basis of a reformed used packaging scheme</w:t>
      </w:r>
    </w:p>
    <w:p w14:paraId="55B0407D" w14:textId="77777777" w:rsidR="008D3517" w:rsidRPr="00E45508" w:rsidRDefault="008D3517" w:rsidP="009C1F84">
      <w:pPr>
        <w:pStyle w:val="ListBullet"/>
      </w:pPr>
      <w:r w:rsidRPr="00E45508">
        <w:t xml:space="preserve">Clarify the liable parties </w:t>
      </w:r>
    </w:p>
    <w:p w14:paraId="65A6D16D" w14:textId="77777777" w:rsidR="008D3517" w:rsidRPr="00E45508" w:rsidRDefault="008D3517" w:rsidP="009C1F84">
      <w:pPr>
        <w:pStyle w:val="ListBullet"/>
      </w:pPr>
      <w:r w:rsidRPr="00E45508">
        <w:t>Establish a nationally consistent set of obligations for liable parties based on those described in the Covenant, that enables flexibility as to how outcomes can be demonstrated</w:t>
      </w:r>
    </w:p>
    <w:p w14:paraId="4BBD3084" w14:textId="72630ACB" w:rsidR="008D3517" w:rsidRPr="00E45508" w:rsidRDefault="008D3517" w:rsidP="009C1F84">
      <w:pPr>
        <w:pStyle w:val="ListBullet"/>
      </w:pPr>
      <w:r w:rsidRPr="00E45508">
        <w:t>Centralise administration</w:t>
      </w:r>
    </w:p>
    <w:p w14:paraId="33FB23B3" w14:textId="5CA20900" w:rsidR="008D3517" w:rsidRPr="00E45508" w:rsidRDefault="008D3517" w:rsidP="009C1F84">
      <w:pPr>
        <w:pStyle w:val="ListBullet"/>
      </w:pPr>
      <w:r w:rsidRPr="00E45508">
        <w:t>Coordinate and strengthen monitoring and enforcement</w:t>
      </w:r>
    </w:p>
    <w:p w14:paraId="44956B82" w14:textId="77777777" w:rsidR="008D3517" w:rsidRPr="00E45508" w:rsidRDefault="008D3517" w:rsidP="009C1F84">
      <w:pPr>
        <w:pStyle w:val="ListBullet"/>
      </w:pPr>
      <w:r w:rsidRPr="00E45508">
        <w:t>Governments [should] fund the implementation with ongoing costs funded by industry</w:t>
      </w:r>
    </w:p>
    <w:p w14:paraId="334A4021" w14:textId="77777777" w:rsidR="008D3517" w:rsidRPr="00E45508" w:rsidRDefault="008D3517" w:rsidP="009C1F84">
      <w:pPr>
        <w:pStyle w:val="ListBullet"/>
      </w:pPr>
      <w:r w:rsidRPr="00E45508">
        <w:t>Governments [should] agree a preferred implementation approach</w:t>
      </w:r>
    </w:p>
    <w:p w14:paraId="68C8A573" w14:textId="6D44FF8C" w:rsidR="008D3517" w:rsidRPr="00E45508" w:rsidRDefault="008D3517" w:rsidP="009C1F84">
      <w:pPr>
        <w:pStyle w:val="ListBullet"/>
      </w:pPr>
      <w:r w:rsidRPr="00E45508">
        <w:t>While changes are being made to legislation to make the used packaging scheme sustainable into the future, governments take interim actions to reinforce the ongoing expectation that parties who can influence the design, procurement and use of more sustainable packaging will re-design packaging to improve sustainability, optimise recovery and reuse, collaborate across the packaging chain and be accountable for the achievement of outcomes.</w:t>
      </w:r>
    </w:p>
    <w:p w14:paraId="0D1C3577" w14:textId="4DBDC05A" w:rsidR="00D11A3D" w:rsidRPr="00E45508" w:rsidRDefault="00D11A3D" w:rsidP="009C7010">
      <w:pPr>
        <w:pStyle w:val="Heading3"/>
        <w:numPr>
          <w:ilvl w:val="0"/>
          <w:numId w:val="0"/>
        </w:numPr>
        <w:ind w:left="771" w:hanging="771"/>
      </w:pPr>
      <w:bookmarkStart w:id="320" w:name="_Toc177126621"/>
      <w:bookmarkStart w:id="321" w:name="_Toc177493029"/>
      <w:bookmarkStart w:id="322" w:name="_Toc177633321"/>
      <w:bookmarkStart w:id="323" w:name="_Toc177653278"/>
      <w:bookmarkStart w:id="324" w:name="_Toc178071689"/>
      <w:bookmarkStart w:id="325" w:name="_Toc178167881"/>
      <w:bookmarkStart w:id="326" w:name="_Toc178229357"/>
      <w:bookmarkStart w:id="327" w:name="_Toc178230277"/>
      <w:r w:rsidRPr="00E45508">
        <w:t>Government’s response to the Independent Review</w:t>
      </w:r>
      <w:bookmarkEnd w:id="320"/>
      <w:bookmarkEnd w:id="321"/>
      <w:bookmarkEnd w:id="322"/>
      <w:bookmarkEnd w:id="323"/>
      <w:bookmarkEnd w:id="324"/>
      <w:bookmarkEnd w:id="325"/>
      <w:bookmarkEnd w:id="326"/>
      <w:bookmarkEnd w:id="327"/>
    </w:p>
    <w:p w14:paraId="0E3BE163" w14:textId="4F5F4988" w:rsidR="00D11A3D" w:rsidRPr="00E45508" w:rsidRDefault="00D11A3D" w:rsidP="008162EF">
      <w:r w:rsidRPr="00E45508">
        <w:t>The government responded to the Independent Review in December</w:t>
      </w:r>
      <w:r w:rsidR="00421651" w:rsidRPr="00E45508">
        <w:t> 2</w:t>
      </w:r>
      <w:r w:rsidRPr="00E45508">
        <w:t xml:space="preserve">022 (the </w:t>
      </w:r>
      <w:hyperlink r:id="rId109">
        <w:r w:rsidRPr="00E45508">
          <w:rPr>
            <w:rStyle w:val="Hyperlink"/>
          </w:rPr>
          <w:t>Government Response</w:t>
        </w:r>
      </w:hyperlink>
      <w:r w:rsidRPr="00E45508">
        <w:t>). The government endorsed the need for reform of Australia’s packaging regulation, reaffirming its commitment to working with state and territory governments to establish an effective national framework that enables Australia’s transition to a circular economy for packaging. The Government Response addresses the Independent Review’s recommendations, outlines the steps and consultation needed to identify and implement a reform model. All jurisdictions have considered the Independent Review report and endorsed the need for reform.</w:t>
      </w:r>
    </w:p>
    <w:p w14:paraId="597C1D29" w14:textId="4EA92F0D" w:rsidR="002D0E52" w:rsidRPr="00E45508" w:rsidRDefault="002D0E52" w:rsidP="002D0E52">
      <w:r w:rsidRPr="00E45508">
        <w:t>In October 2022, Australia’s environment ministers agreed to reform the regulation of packaging by 2025, to ensure that all packaging available in Australia is designed to be recovered, reused, recycled and reprocessed safely in line with circular economy principles. In June 2023, ministers also agreed to mandate obligations for packaging design based on international best practice and make industry responsible for the packaging they place on the market.</w:t>
      </w:r>
    </w:p>
    <w:p w14:paraId="4CA64270" w14:textId="250E848B" w:rsidR="00D11A3D" w:rsidRPr="00E45508" w:rsidRDefault="008D239E" w:rsidP="00C915A5">
      <w:pPr>
        <w:pStyle w:val="Caption"/>
      </w:pPr>
      <w:bookmarkStart w:id="328" w:name="_Toc177126686"/>
      <w:r w:rsidRPr="00E45508">
        <w:t>Table A.1</w:t>
      </w:r>
      <w:r w:rsidR="00D11A3D" w:rsidRPr="00E45508">
        <w:t>: Timeline of key events for packaging reform</w:t>
      </w:r>
      <w:bookmarkEnd w:id="328"/>
    </w:p>
    <w:tbl>
      <w:tblPr>
        <w:tblStyle w:val="PlainTable2"/>
        <w:tblW w:w="8500" w:type="dxa"/>
        <w:tblLayout w:type="fixed"/>
        <w:tblLook w:val="04A0" w:firstRow="1" w:lastRow="0" w:firstColumn="1" w:lastColumn="0" w:noHBand="0" w:noVBand="1"/>
      </w:tblPr>
      <w:tblGrid>
        <w:gridCol w:w="1329"/>
        <w:gridCol w:w="7171"/>
      </w:tblGrid>
      <w:tr w:rsidR="00D11A3D" w:rsidRPr="00E45508" w14:paraId="1832FBBC" w14:textId="77777777" w:rsidTr="416FA5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9" w:type="dxa"/>
          </w:tcPr>
          <w:p w14:paraId="04F5A713" w14:textId="62F058A3" w:rsidR="00D11A3D" w:rsidRPr="00E45508" w:rsidRDefault="00D11A3D" w:rsidP="008162EF">
            <w:pPr>
              <w:spacing w:after="0" w:line="240" w:lineRule="auto"/>
              <w:rPr>
                <w:b w:val="0"/>
                <w:bCs w:val="0"/>
                <w:sz w:val="24"/>
                <w:szCs w:val="24"/>
              </w:rPr>
            </w:pPr>
            <w:r w:rsidRPr="00E45508">
              <w:rPr>
                <w:sz w:val="24"/>
                <w:szCs w:val="24"/>
              </w:rPr>
              <w:t>Date</w:t>
            </w:r>
          </w:p>
        </w:tc>
        <w:tc>
          <w:tcPr>
            <w:tcW w:w="7171" w:type="dxa"/>
          </w:tcPr>
          <w:p w14:paraId="5F173401" w14:textId="77777777" w:rsidR="00D11A3D" w:rsidRPr="00E45508" w:rsidRDefault="00D11A3D" w:rsidP="008162EF">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E45508">
              <w:rPr>
                <w:sz w:val="24"/>
                <w:szCs w:val="24"/>
              </w:rPr>
              <w:t>Key Events/ Milestones</w:t>
            </w:r>
          </w:p>
        </w:tc>
      </w:tr>
      <w:tr w:rsidR="00D11A3D" w:rsidRPr="00E45508" w14:paraId="4A3FFC11" w14:textId="77777777" w:rsidTr="416FA5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9" w:type="dxa"/>
          </w:tcPr>
          <w:p w14:paraId="7D7C92F5" w14:textId="36865411" w:rsidR="00D11A3D" w:rsidRPr="00E45508" w:rsidRDefault="008162EF" w:rsidP="008162EF">
            <w:pPr>
              <w:spacing w:after="0" w:line="240" w:lineRule="auto"/>
            </w:pPr>
            <w:r w:rsidRPr="00E45508">
              <w:t>1999</w:t>
            </w:r>
          </w:p>
        </w:tc>
        <w:tc>
          <w:tcPr>
            <w:tcW w:w="7171" w:type="dxa"/>
          </w:tcPr>
          <w:p w14:paraId="2F1EC388" w14:textId="0A57E25D" w:rsidR="00D11A3D" w:rsidRPr="00E45508" w:rsidRDefault="008162EF" w:rsidP="008162EF">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E45508">
              <w:t>Establishment of the NEPM and Australian Packaging Covenant</w:t>
            </w:r>
          </w:p>
        </w:tc>
      </w:tr>
      <w:tr w:rsidR="008162EF" w:rsidRPr="00E45508" w14:paraId="14CA1933" w14:textId="77777777" w:rsidTr="416FA5C3">
        <w:trPr>
          <w:trHeight w:val="20"/>
        </w:trPr>
        <w:tc>
          <w:tcPr>
            <w:cnfStyle w:val="001000000000" w:firstRow="0" w:lastRow="0" w:firstColumn="1" w:lastColumn="0" w:oddVBand="0" w:evenVBand="0" w:oddHBand="0" w:evenHBand="0" w:firstRowFirstColumn="0" w:firstRowLastColumn="0" w:lastRowFirstColumn="0" w:lastRowLastColumn="0"/>
            <w:tcW w:w="1329" w:type="dxa"/>
          </w:tcPr>
          <w:p w14:paraId="583D8DC0" w14:textId="6D76E5EE" w:rsidR="008162EF" w:rsidRPr="00E45508" w:rsidRDefault="008162EF" w:rsidP="008162EF">
            <w:pPr>
              <w:spacing w:after="0" w:line="240" w:lineRule="auto"/>
            </w:pPr>
            <w:r w:rsidRPr="00E45508">
              <w:t>2018</w:t>
            </w:r>
          </w:p>
        </w:tc>
        <w:tc>
          <w:tcPr>
            <w:tcW w:w="7171" w:type="dxa"/>
          </w:tcPr>
          <w:p w14:paraId="4C73E2A1" w14:textId="055FDCA4" w:rsidR="008162EF" w:rsidRPr="00E45508" w:rsidRDefault="008162EF" w:rsidP="008162EF">
            <w:pPr>
              <w:spacing w:after="0" w:line="240" w:lineRule="auto"/>
              <w:cnfStyle w:val="000000000000" w:firstRow="0" w:lastRow="0" w:firstColumn="0" w:lastColumn="0" w:oddVBand="0" w:evenVBand="0" w:oddHBand="0" w:evenHBand="0" w:firstRowFirstColumn="0" w:firstRowLastColumn="0" w:lastRowFirstColumn="0" w:lastRowLastColumn="0"/>
            </w:pPr>
            <w:r w:rsidRPr="00E45508">
              <w:t>National Packaging Targets established</w:t>
            </w:r>
          </w:p>
        </w:tc>
      </w:tr>
      <w:tr w:rsidR="008162EF" w:rsidRPr="00E45508" w14:paraId="055F12D1" w14:textId="77777777" w:rsidTr="416FA5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9" w:type="dxa"/>
          </w:tcPr>
          <w:p w14:paraId="13B5F2D8" w14:textId="3408F719" w:rsidR="008162EF" w:rsidRPr="00E45508" w:rsidRDefault="008162EF" w:rsidP="008162EF">
            <w:pPr>
              <w:spacing w:after="0" w:line="240" w:lineRule="auto"/>
            </w:pPr>
            <w:r w:rsidRPr="00E45508">
              <w:t>Dec</w:t>
            </w:r>
            <w:r w:rsidR="00421651" w:rsidRPr="00E45508">
              <w:t> 2</w:t>
            </w:r>
            <w:r w:rsidRPr="00E45508">
              <w:t>020</w:t>
            </w:r>
          </w:p>
        </w:tc>
        <w:tc>
          <w:tcPr>
            <w:tcW w:w="7171" w:type="dxa"/>
          </w:tcPr>
          <w:p w14:paraId="4631F3B4" w14:textId="57B58016" w:rsidR="008162EF" w:rsidRPr="00E45508" w:rsidRDefault="008162EF" w:rsidP="008162EF">
            <w:pPr>
              <w:spacing w:after="0" w:line="240" w:lineRule="auto"/>
              <w:cnfStyle w:val="000000100000" w:firstRow="0" w:lastRow="0" w:firstColumn="0" w:lastColumn="0" w:oddVBand="0" w:evenVBand="0" w:oddHBand="1" w:evenHBand="0" w:firstRowFirstColumn="0" w:firstRowLastColumn="0" w:lastRowFirstColumn="0" w:lastRowLastColumn="0"/>
            </w:pPr>
            <w:r w:rsidRPr="00E45508">
              <w:t>Independent Review of the NEPM and Australian Packaging Covenant commenced</w:t>
            </w:r>
          </w:p>
        </w:tc>
      </w:tr>
      <w:tr w:rsidR="008162EF" w:rsidRPr="00E45508" w14:paraId="59A4D2AD" w14:textId="77777777" w:rsidTr="416FA5C3">
        <w:trPr>
          <w:trHeight w:val="20"/>
        </w:trPr>
        <w:tc>
          <w:tcPr>
            <w:cnfStyle w:val="001000000000" w:firstRow="0" w:lastRow="0" w:firstColumn="1" w:lastColumn="0" w:oddVBand="0" w:evenVBand="0" w:oddHBand="0" w:evenHBand="0" w:firstRowFirstColumn="0" w:firstRowLastColumn="0" w:lastRowFirstColumn="0" w:lastRowLastColumn="0"/>
            <w:tcW w:w="1329" w:type="dxa"/>
          </w:tcPr>
          <w:p w14:paraId="2B6187E9" w14:textId="2A2C2AE6" w:rsidR="008162EF" w:rsidRPr="00E45508" w:rsidRDefault="008162EF" w:rsidP="008162EF">
            <w:pPr>
              <w:spacing w:after="0" w:line="240" w:lineRule="auto"/>
            </w:pPr>
            <w:r w:rsidRPr="00E45508">
              <w:t>Sep</w:t>
            </w:r>
            <w:r w:rsidR="00421651" w:rsidRPr="00E45508">
              <w:t> 2</w:t>
            </w:r>
            <w:r w:rsidRPr="00E45508">
              <w:t>021</w:t>
            </w:r>
          </w:p>
        </w:tc>
        <w:tc>
          <w:tcPr>
            <w:tcW w:w="7171" w:type="dxa"/>
          </w:tcPr>
          <w:p w14:paraId="57A7C105" w14:textId="5A19EF50" w:rsidR="008162EF" w:rsidRPr="00E45508" w:rsidRDefault="008162EF" w:rsidP="008162EF">
            <w:pPr>
              <w:spacing w:after="0" w:line="240" w:lineRule="auto"/>
              <w:cnfStyle w:val="000000000000" w:firstRow="0" w:lastRow="0" w:firstColumn="0" w:lastColumn="0" w:oddVBand="0" w:evenVBand="0" w:oddHBand="0" w:evenHBand="0" w:firstRowFirstColumn="0" w:firstRowLastColumn="0" w:lastRowFirstColumn="0" w:lastRowLastColumn="0"/>
            </w:pPr>
            <w:r w:rsidRPr="00E45508">
              <w:t>NEPM Independent Review provided to governments</w:t>
            </w:r>
          </w:p>
        </w:tc>
      </w:tr>
      <w:tr w:rsidR="008162EF" w:rsidRPr="00E45508" w14:paraId="030D38B8" w14:textId="77777777" w:rsidTr="416FA5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9" w:type="dxa"/>
          </w:tcPr>
          <w:p w14:paraId="23332C56" w14:textId="0BB72142" w:rsidR="008162EF" w:rsidRPr="00E45508" w:rsidRDefault="008162EF" w:rsidP="008162EF">
            <w:pPr>
              <w:spacing w:after="0" w:line="240" w:lineRule="auto"/>
            </w:pPr>
            <w:r w:rsidRPr="00E45508">
              <w:t>Oct</w:t>
            </w:r>
            <w:r w:rsidR="00421651" w:rsidRPr="00E45508">
              <w:t> 2</w:t>
            </w:r>
            <w:r w:rsidRPr="00E45508">
              <w:t>022</w:t>
            </w:r>
          </w:p>
        </w:tc>
        <w:tc>
          <w:tcPr>
            <w:tcW w:w="7171" w:type="dxa"/>
          </w:tcPr>
          <w:p w14:paraId="7D38B1E2" w14:textId="59A0C9C2" w:rsidR="008162EF" w:rsidRPr="00E45508" w:rsidRDefault="008162EF" w:rsidP="008162EF">
            <w:pPr>
              <w:spacing w:after="0" w:line="240" w:lineRule="auto"/>
              <w:cnfStyle w:val="000000100000" w:firstRow="0" w:lastRow="0" w:firstColumn="0" w:lastColumn="0" w:oddVBand="0" w:evenVBand="0" w:oddHBand="1" w:evenHBand="0" w:firstRowFirstColumn="0" w:firstRowLastColumn="0" w:lastRowFirstColumn="0" w:lastRowLastColumn="0"/>
            </w:pPr>
            <w:r w:rsidRPr="00E45508">
              <w:t>All environment ministers agreed to reform regulation by</w:t>
            </w:r>
            <w:r w:rsidR="00421651" w:rsidRPr="00E45508">
              <w:t> 2</w:t>
            </w:r>
            <w:r w:rsidRPr="00E45508">
              <w:t>025</w:t>
            </w:r>
            <w:r w:rsidR="00B3510A" w:rsidRPr="00E45508">
              <w:t xml:space="preserve"> (DCCEEW 2022)</w:t>
            </w:r>
          </w:p>
        </w:tc>
      </w:tr>
      <w:tr w:rsidR="008162EF" w:rsidRPr="00E45508" w14:paraId="33770334" w14:textId="77777777" w:rsidTr="416FA5C3">
        <w:trPr>
          <w:trHeight w:val="20"/>
        </w:trPr>
        <w:tc>
          <w:tcPr>
            <w:cnfStyle w:val="001000000000" w:firstRow="0" w:lastRow="0" w:firstColumn="1" w:lastColumn="0" w:oddVBand="0" w:evenVBand="0" w:oddHBand="0" w:evenHBand="0" w:firstRowFirstColumn="0" w:firstRowLastColumn="0" w:lastRowFirstColumn="0" w:lastRowLastColumn="0"/>
            <w:tcW w:w="1329" w:type="dxa"/>
          </w:tcPr>
          <w:p w14:paraId="2D45AA03" w14:textId="38485220" w:rsidR="008162EF" w:rsidRPr="00E45508" w:rsidRDefault="008162EF" w:rsidP="008162EF">
            <w:pPr>
              <w:spacing w:after="0" w:line="240" w:lineRule="auto"/>
            </w:pPr>
            <w:r w:rsidRPr="00E45508">
              <w:t>Dec</w:t>
            </w:r>
            <w:r w:rsidR="00421651" w:rsidRPr="00E45508">
              <w:t> 2</w:t>
            </w:r>
            <w:r w:rsidRPr="00E45508">
              <w:t>022</w:t>
            </w:r>
          </w:p>
        </w:tc>
        <w:tc>
          <w:tcPr>
            <w:tcW w:w="7171" w:type="dxa"/>
          </w:tcPr>
          <w:p w14:paraId="6497ED49" w14:textId="112114BE" w:rsidR="008162EF" w:rsidRPr="00E45508" w:rsidRDefault="008162EF" w:rsidP="008162EF">
            <w:pPr>
              <w:spacing w:after="0" w:line="240" w:lineRule="auto"/>
              <w:cnfStyle w:val="000000000000" w:firstRow="0" w:lastRow="0" w:firstColumn="0" w:lastColumn="0" w:oddVBand="0" w:evenVBand="0" w:oddHBand="0" w:evenHBand="0" w:firstRowFirstColumn="0" w:firstRowLastColumn="0" w:lastRowFirstColumn="0" w:lastRowLastColumn="0"/>
            </w:pPr>
            <w:r w:rsidRPr="00E45508">
              <w:t>Australian Government response to the NEPM Review</w:t>
            </w:r>
            <w:r w:rsidR="00B3510A" w:rsidRPr="00E45508">
              <w:t xml:space="preserve"> (</w:t>
            </w:r>
            <w:r w:rsidR="00572A11" w:rsidRPr="00E45508">
              <w:t>Australian Government</w:t>
            </w:r>
            <w:r w:rsidR="00893EC0" w:rsidRPr="00E45508">
              <w:t xml:space="preserve"> 2022)</w:t>
            </w:r>
          </w:p>
        </w:tc>
      </w:tr>
      <w:tr w:rsidR="008162EF" w:rsidRPr="00E45508" w14:paraId="67A4B2B8" w14:textId="77777777" w:rsidTr="416FA5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9" w:type="dxa"/>
          </w:tcPr>
          <w:p w14:paraId="77C2BB21" w14:textId="511BC821" w:rsidR="008162EF" w:rsidRPr="00E45508" w:rsidRDefault="008162EF" w:rsidP="008162EF">
            <w:pPr>
              <w:spacing w:after="0" w:line="240" w:lineRule="auto"/>
            </w:pPr>
            <w:r w:rsidRPr="00E45508">
              <w:t>Feb</w:t>
            </w:r>
            <w:r w:rsidR="00421651" w:rsidRPr="00E45508">
              <w:t> 2</w:t>
            </w:r>
            <w:r w:rsidRPr="00E45508">
              <w:t>023</w:t>
            </w:r>
          </w:p>
        </w:tc>
        <w:tc>
          <w:tcPr>
            <w:tcW w:w="7171" w:type="dxa"/>
          </w:tcPr>
          <w:p w14:paraId="0491C7A5" w14:textId="2106C556" w:rsidR="008162EF" w:rsidRPr="00E45508" w:rsidRDefault="008162EF" w:rsidP="008162EF">
            <w:pPr>
              <w:spacing w:after="0" w:line="240" w:lineRule="auto"/>
              <w:cnfStyle w:val="000000100000" w:firstRow="0" w:lastRow="0" w:firstColumn="0" w:lastColumn="0" w:oddVBand="0" w:evenVBand="0" w:oddHBand="1" w:evenHBand="0" w:firstRowFirstColumn="0" w:firstRowLastColumn="0" w:lastRowFirstColumn="0" w:lastRowLastColumn="0"/>
            </w:pPr>
            <w:r w:rsidRPr="00E45508">
              <w:t xml:space="preserve">APCO National Packaging Targets Review </w:t>
            </w:r>
            <w:r w:rsidR="002B2725" w:rsidRPr="00E45508">
              <w:t>(2023</w:t>
            </w:r>
            <w:r w:rsidR="00DE79FB">
              <w:t>b</w:t>
            </w:r>
            <w:r w:rsidR="002B2725" w:rsidRPr="00E45508">
              <w:t xml:space="preserve">) </w:t>
            </w:r>
            <w:r w:rsidRPr="00E45508">
              <w:t>report provided to all Environment Ministers; published in April</w:t>
            </w:r>
            <w:r w:rsidR="00421651" w:rsidRPr="00E45508">
              <w:t> 2</w:t>
            </w:r>
            <w:r w:rsidRPr="00E45508">
              <w:t>023</w:t>
            </w:r>
          </w:p>
        </w:tc>
      </w:tr>
      <w:tr w:rsidR="008162EF" w:rsidRPr="00E45508" w14:paraId="16019E48" w14:textId="77777777" w:rsidTr="416FA5C3">
        <w:trPr>
          <w:trHeight w:val="20"/>
        </w:trPr>
        <w:tc>
          <w:tcPr>
            <w:cnfStyle w:val="001000000000" w:firstRow="0" w:lastRow="0" w:firstColumn="1" w:lastColumn="0" w:oddVBand="0" w:evenVBand="0" w:oddHBand="0" w:evenHBand="0" w:firstRowFirstColumn="0" w:firstRowLastColumn="0" w:lastRowFirstColumn="0" w:lastRowLastColumn="0"/>
            <w:tcW w:w="1329" w:type="dxa"/>
          </w:tcPr>
          <w:p w14:paraId="34693C5F" w14:textId="4FD6CA8A" w:rsidR="008162EF" w:rsidRPr="00E45508" w:rsidRDefault="008162EF" w:rsidP="008162EF">
            <w:pPr>
              <w:spacing w:after="0" w:line="240" w:lineRule="auto"/>
            </w:pPr>
            <w:r w:rsidRPr="00E45508">
              <w:t>Jun</w:t>
            </w:r>
            <w:r w:rsidR="00421651" w:rsidRPr="00E45508">
              <w:t> 2</w:t>
            </w:r>
            <w:r w:rsidRPr="00E45508">
              <w:t>023</w:t>
            </w:r>
          </w:p>
        </w:tc>
        <w:tc>
          <w:tcPr>
            <w:tcW w:w="7171" w:type="dxa"/>
          </w:tcPr>
          <w:p w14:paraId="443DE832" w14:textId="56A2E95F" w:rsidR="008162EF" w:rsidRPr="00E45508" w:rsidRDefault="008162EF" w:rsidP="008162EF">
            <w:pPr>
              <w:spacing w:after="0" w:line="240" w:lineRule="auto"/>
              <w:cnfStyle w:val="000000000000" w:firstRow="0" w:lastRow="0" w:firstColumn="0" w:lastColumn="0" w:oddVBand="0" w:evenVBand="0" w:oddHBand="0" w:evenHBand="0" w:firstRowFirstColumn="0" w:firstRowLastColumn="0" w:lastRowFirstColumn="0" w:lastRowLastColumn="0"/>
            </w:pPr>
            <w:r w:rsidRPr="00E45508">
              <w:t>All environment ministers agreed to mandate obligations for packaging design based on international best practice</w:t>
            </w:r>
            <w:r w:rsidR="002C6B94" w:rsidRPr="00E45508">
              <w:t xml:space="preserve"> (DCCEEW 2023b)</w:t>
            </w:r>
          </w:p>
        </w:tc>
      </w:tr>
      <w:tr w:rsidR="008162EF" w:rsidRPr="00E45508" w14:paraId="2A2DEEF5" w14:textId="77777777" w:rsidTr="416FA5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9" w:type="dxa"/>
          </w:tcPr>
          <w:p w14:paraId="5721FB02" w14:textId="692B0763" w:rsidR="008162EF" w:rsidRPr="00E45508" w:rsidRDefault="008162EF" w:rsidP="008162EF">
            <w:pPr>
              <w:spacing w:after="0" w:line="240" w:lineRule="auto"/>
            </w:pPr>
            <w:r w:rsidRPr="00E45508">
              <w:t>Oct</w:t>
            </w:r>
            <w:r w:rsidR="00421651" w:rsidRPr="00E45508">
              <w:t> 2</w:t>
            </w:r>
            <w:r w:rsidRPr="00E45508">
              <w:t>023</w:t>
            </w:r>
          </w:p>
        </w:tc>
        <w:tc>
          <w:tcPr>
            <w:tcW w:w="7171" w:type="dxa"/>
          </w:tcPr>
          <w:p w14:paraId="4DA7672C" w14:textId="77777777" w:rsidR="008162EF" w:rsidRPr="00E45508" w:rsidRDefault="008162EF" w:rsidP="008162EF">
            <w:pPr>
              <w:spacing w:after="0" w:line="240" w:lineRule="auto"/>
              <w:cnfStyle w:val="000000100000" w:firstRow="0" w:lastRow="0" w:firstColumn="0" w:lastColumn="0" w:oddVBand="0" w:evenVBand="0" w:oddHBand="1" w:evenHBand="0" w:firstRowFirstColumn="0" w:firstRowLastColumn="0" w:lastRowFirstColumn="0" w:lastRowLastColumn="0"/>
            </w:pPr>
            <w:r w:rsidRPr="00E45508">
              <w:t>DCCEEW conducts targeted consultation and modelling on potential reform obligations</w:t>
            </w:r>
          </w:p>
        </w:tc>
      </w:tr>
      <w:tr w:rsidR="00105B01" w:rsidRPr="00E45508" w14:paraId="01A434CB" w14:textId="77777777" w:rsidTr="416FA5C3">
        <w:trPr>
          <w:trHeight w:val="20"/>
        </w:trPr>
        <w:tc>
          <w:tcPr>
            <w:cnfStyle w:val="001000000000" w:firstRow="0" w:lastRow="0" w:firstColumn="1" w:lastColumn="0" w:oddVBand="0" w:evenVBand="0" w:oddHBand="0" w:evenHBand="0" w:firstRowFirstColumn="0" w:firstRowLastColumn="0" w:lastRowFirstColumn="0" w:lastRowLastColumn="0"/>
            <w:tcW w:w="1329" w:type="dxa"/>
          </w:tcPr>
          <w:p w14:paraId="3F34FD07" w14:textId="57420220" w:rsidR="00105B01" w:rsidRPr="00E45508" w:rsidRDefault="00105B01" w:rsidP="00105B01">
            <w:pPr>
              <w:spacing w:after="0" w:line="240" w:lineRule="auto"/>
            </w:pPr>
            <w:r w:rsidRPr="00E45508">
              <w:t>Nov 2023</w:t>
            </w:r>
          </w:p>
        </w:tc>
        <w:tc>
          <w:tcPr>
            <w:tcW w:w="7171" w:type="dxa"/>
          </w:tcPr>
          <w:p w14:paraId="6EDBCF14" w14:textId="2491611D" w:rsidR="00105B01" w:rsidRPr="00E45508" w:rsidRDefault="257DCF6A" w:rsidP="00105B01">
            <w:pPr>
              <w:spacing w:after="0" w:line="240" w:lineRule="auto"/>
              <w:cnfStyle w:val="000000000000" w:firstRow="0" w:lastRow="0" w:firstColumn="0" w:lastColumn="0" w:oddVBand="0" w:evenVBand="0" w:oddHBand="0" w:evenHBand="0" w:firstRowFirstColumn="0" w:firstRowLastColumn="0" w:lastRowFirstColumn="0" w:lastRowLastColumn="0"/>
            </w:pPr>
            <w:r w:rsidRPr="00E45508">
              <w:t>All environment ministers supported packaging regulations being implemented under Commonwealth legislation</w:t>
            </w:r>
            <w:r w:rsidR="7973561A" w:rsidRPr="00E45508">
              <w:t xml:space="preserve"> (</w:t>
            </w:r>
            <w:r w:rsidR="00A40B9A">
              <w:t>DCCEEW </w:t>
            </w:r>
            <w:r w:rsidR="70AB8856" w:rsidRPr="00E45508">
              <w:t>202</w:t>
            </w:r>
            <w:r w:rsidR="00136D7E">
              <w:t>3</w:t>
            </w:r>
            <w:r w:rsidR="2725E729" w:rsidRPr="00E45508">
              <w:t>c)</w:t>
            </w:r>
          </w:p>
        </w:tc>
      </w:tr>
      <w:tr w:rsidR="008162EF" w:rsidRPr="00E45508" w14:paraId="21828D84" w14:textId="77777777" w:rsidTr="416FA5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9" w:type="dxa"/>
          </w:tcPr>
          <w:p w14:paraId="138A1369" w14:textId="70CCE6B5" w:rsidR="008162EF" w:rsidRPr="00E45508" w:rsidRDefault="008162EF" w:rsidP="008162EF">
            <w:pPr>
              <w:spacing w:after="0" w:line="240" w:lineRule="auto"/>
            </w:pPr>
            <w:r w:rsidRPr="00E45508">
              <w:t>Sep</w:t>
            </w:r>
            <w:r w:rsidR="00421651" w:rsidRPr="00E45508">
              <w:t> 2</w:t>
            </w:r>
            <w:r w:rsidRPr="00E45508">
              <w:t>024</w:t>
            </w:r>
          </w:p>
        </w:tc>
        <w:tc>
          <w:tcPr>
            <w:tcW w:w="7171" w:type="dxa"/>
          </w:tcPr>
          <w:p w14:paraId="33175772" w14:textId="5DFE25A6" w:rsidR="008162EF" w:rsidRPr="00E45508" w:rsidRDefault="008162EF" w:rsidP="008162EF">
            <w:pPr>
              <w:spacing w:after="0" w:line="240" w:lineRule="auto"/>
              <w:cnfStyle w:val="000000100000" w:firstRow="0" w:lastRow="0" w:firstColumn="0" w:lastColumn="0" w:oddVBand="0" w:evenVBand="0" w:oddHBand="1" w:evenHBand="0" w:firstRowFirstColumn="0" w:firstRowLastColumn="0" w:lastRowFirstColumn="0" w:lastRowLastColumn="0"/>
            </w:pPr>
            <w:r w:rsidRPr="00E45508">
              <w:t>Public consultation on reform options</w:t>
            </w:r>
          </w:p>
        </w:tc>
      </w:tr>
    </w:tbl>
    <w:p w14:paraId="24437C63" w14:textId="77777777" w:rsidR="00D11A3D" w:rsidRPr="00E45508" w:rsidRDefault="00D11A3D" w:rsidP="00B009E6"/>
    <w:p w14:paraId="1F39051F" w14:textId="6995E000" w:rsidR="00E771C0" w:rsidRPr="00E45508" w:rsidRDefault="00E512B0" w:rsidP="00505189">
      <w:pPr>
        <w:pStyle w:val="Heading2"/>
        <w:numPr>
          <w:ilvl w:val="0"/>
          <w:numId w:val="15"/>
        </w:numPr>
      </w:pPr>
      <w:bookmarkStart w:id="329" w:name="_Toc177126622"/>
      <w:bookmarkStart w:id="330" w:name="_Toc177493030"/>
      <w:bookmarkStart w:id="331" w:name="_Ref177633503"/>
      <w:bookmarkStart w:id="332" w:name="_Ref177633700"/>
      <w:bookmarkStart w:id="333" w:name="_Toc178230278"/>
      <w:r w:rsidRPr="00E45508">
        <w:t xml:space="preserve">– </w:t>
      </w:r>
      <w:r w:rsidR="00981B2B" w:rsidRPr="00E45508">
        <w:t>Circular economy initiatives</w:t>
      </w:r>
      <w:bookmarkEnd w:id="329"/>
      <w:bookmarkEnd w:id="330"/>
      <w:bookmarkEnd w:id="331"/>
      <w:bookmarkEnd w:id="332"/>
      <w:bookmarkEnd w:id="333"/>
    </w:p>
    <w:p w14:paraId="69862910" w14:textId="49DA0553" w:rsidR="003D6A69" w:rsidRPr="00E45508" w:rsidRDefault="003D6A69" w:rsidP="008162EF">
      <w:r w:rsidRPr="00E45508">
        <w:t>The Australian and state and territory governments are working together to address threats to the environment from waste and pollution and to transition Australia to a circular economy. As part of the reform of packaging regulation, the department is working closely with relevant governments on related policies and programs, to avoid duplication and stakeholder confusion, and realise opportunities to collaborate and boost outcomes by integrating systems and processes.</w:t>
      </w:r>
    </w:p>
    <w:p w14:paraId="5AE22A7F" w14:textId="77777777" w:rsidR="003D6A69" w:rsidRPr="00E45508" w:rsidRDefault="003D6A69" w:rsidP="003D6A69">
      <w:r w:rsidRPr="00E45508">
        <w:t>These related circular economy initiatives include:</w:t>
      </w:r>
    </w:p>
    <w:tbl>
      <w:tblPr>
        <w:tblStyle w:val="PlainTable2"/>
        <w:tblW w:w="5314" w:type="pct"/>
        <w:tblLook w:val="04A0" w:firstRow="1" w:lastRow="0" w:firstColumn="1" w:lastColumn="0" w:noHBand="0" w:noVBand="1"/>
      </w:tblPr>
      <w:tblGrid>
        <w:gridCol w:w="2269"/>
        <w:gridCol w:w="7371"/>
      </w:tblGrid>
      <w:tr w:rsidR="00EC0EDF" w:rsidRPr="00E45508" w14:paraId="541FDAAD" w14:textId="77777777" w:rsidTr="00524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31852241" w14:textId="3287A43F" w:rsidR="003D6A69" w:rsidRPr="00E45508" w:rsidRDefault="003D6A69" w:rsidP="00524851">
            <w:pPr>
              <w:pStyle w:val="Tabletext0"/>
            </w:pPr>
            <w:r w:rsidRPr="00E45508">
              <w:t>Initiative</w:t>
            </w:r>
          </w:p>
        </w:tc>
        <w:tc>
          <w:tcPr>
            <w:tcW w:w="3823" w:type="pct"/>
          </w:tcPr>
          <w:p w14:paraId="5B7FE277" w14:textId="77777777" w:rsidR="003D6A69" w:rsidRPr="00E45508" w:rsidRDefault="003D6A69" w:rsidP="00524851">
            <w:pPr>
              <w:pStyle w:val="Tabletext0"/>
              <w:cnfStyle w:val="100000000000" w:firstRow="1" w:lastRow="0" w:firstColumn="0" w:lastColumn="0" w:oddVBand="0" w:evenVBand="0" w:oddHBand="0" w:evenHBand="0" w:firstRowFirstColumn="0" w:firstRowLastColumn="0" w:lastRowFirstColumn="0" w:lastRowLastColumn="0"/>
            </w:pPr>
            <w:r w:rsidRPr="00E45508">
              <w:t>Detail</w:t>
            </w:r>
          </w:p>
        </w:tc>
      </w:tr>
      <w:tr w:rsidR="00EC0EDF" w:rsidRPr="00E45508" w14:paraId="68C5D89A" w14:textId="77777777" w:rsidTr="005248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9" w:type="dxa"/>
          </w:tcPr>
          <w:p w14:paraId="65150AD1" w14:textId="77777777" w:rsidR="003D6A69" w:rsidRPr="00E45508" w:rsidRDefault="003D6A69" w:rsidP="00524851">
            <w:pPr>
              <w:pStyle w:val="Tabletext0"/>
            </w:pPr>
            <w:r w:rsidRPr="00E45508">
              <w:t>Transitioning towards a circular economy</w:t>
            </w:r>
          </w:p>
        </w:tc>
        <w:tc>
          <w:tcPr>
            <w:tcW w:w="7311" w:type="dxa"/>
          </w:tcPr>
          <w:p w14:paraId="734CEA4F" w14:textId="2C5DF781" w:rsidR="003D6A69" w:rsidRPr="00E45508" w:rsidRDefault="00352849" w:rsidP="00524851">
            <w:pPr>
              <w:pStyle w:val="Tabletext0"/>
              <w:cnfStyle w:val="000000100000" w:firstRow="0" w:lastRow="0" w:firstColumn="0" w:lastColumn="0" w:oddVBand="0" w:evenVBand="0" w:oddHBand="1" w:evenHBand="0" w:firstRowFirstColumn="0" w:firstRowLastColumn="0" w:lastRowFirstColumn="0" w:lastRowLastColumn="0"/>
            </w:pPr>
            <w:r w:rsidRPr="00E45508">
              <w:t>In October</w:t>
            </w:r>
            <w:r w:rsidR="00421651" w:rsidRPr="00E45508">
              <w:t> 2</w:t>
            </w:r>
            <w:r w:rsidRPr="00E45508">
              <w:t>022, all of Australia’s environment ministers agreed to work with the private sector to design out waste and pollution, keep materials in use and foster markets to achieve a circular economy by</w:t>
            </w:r>
            <w:r w:rsidR="00421651" w:rsidRPr="00E45508">
              <w:t> 2</w:t>
            </w:r>
            <w:r w:rsidRPr="00E45508">
              <w:t>030</w:t>
            </w:r>
            <w:r w:rsidR="009E692A" w:rsidRPr="00E45508">
              <w:t xml:space="preserve"> (DCCEEW 2022)</w:t>
            </w:r>
            <w:r w:rsidRPr="00E45508">
              <w:t xml:space="preserve">. </w:t>
            </w:r>
            <w:r w:rsidR="003D6A69" w:rsidRPr="00E45508">
              <w:t xml:space="preserve">The Australian Government is developing a National Circular Economy Framework to set the </w:t>
            </w:r>
            <w:r w:rsidRPr="00E45508">
              <w:t xml:space="preserve">policy, </w:t>
            </w:r>
            <w:r w:rsidR="003D6A69" w:rsidRPr="00E45508">
              <w:t xml:space="preserve">pace and direction for Australia’s transition to a </w:t>
            </w:r>
            <w:r w:rsidR="00E016C9" w:rsidRPr="00E45508">
              <w:t>more</w:t>
            </w:r>
            <w:r w:rsidR="003D6A69" w:rsidRPr="00E45508">
              <w:t xml:space="preserve"> circular economy.</w:t>
            </w:r>
          </w:p>
        </w:tc>
      </w:tr>
      <w:tr w:rsidR="00EC0EDF" w:rsidRPr="00E45508" w14:paraId="6EF91930" w14:textId="77777777" w:rsidTr="00524851">
        <w:tc>
          <w:tcPr>
            <w:cnfStyle w:val="001000000000" w:firstRow="0" w:lastRow="0" w:firstColumn="1" w:lastColumn="0" w:oddVBand="0" w:evenVBand="0" w:oddHBand="0" w:evenHBand="0" w:firstRowFirstColumn="0" w:firstRowLastColumn="0" w:lastRowFirstColumn="0" w:lastRowLastColumn="0"/>
            <w:tcW w:w="1177" w:type="pct"/>
          </w:tcPr>
          <w:p w14:paraId="09136830" w14:textId="11EEBC1D" w:rsidR="003D6A69" w:rsidRPr="00E45508" w:rsidRDefault="003D6A69" w:rsidP="00524851">
            <w:pPr>
              <w:pStyle w:val="Tabletext0"/>
            </w:pPr>
            <w:r w:rsidRPr="00E45508">
              <w:t>National Waste Policy Action Plan</w:t>
            </w:r>
            <w:r w:rsidR="000B029F" w:rsidRPr="00E45508">
              <w:t xml:space="preserve"> (</w:t>
            </w:r>
            <w:r w:rsidR="00771A81" w:rsidRPr="00E45508">
              <w:t>Australian Government 2019</w:t>
            </w:r>
            <w:r w:rsidR="00F20A5B" w:rsidRPr="00E45508">
              <w:t>)</w:t>
            </w:r>
          </w:p>
        </w:tc>
        <w:tc>
          <w:tcPr>
            <w:tcW w:w="3823" w:type="pct"/>
          </w:tcPr>
          <w:p w14:paraId="48909D8E" w14:textId="20B0C92F" w:rsidR="003D6A69" w:rsidRPr="00E45508" w:rsidRDefault="00580BBC" w:rsidP="00524851">
            <w:pPr>
              <w:pStyle w:val="Tabletext0"/>
              <w:cnfStyle w:val="000000000000" w:firstRow="0" w:lastRow="0" w:firstColumn="0" w:lastColumn="0" w:oddVBand="0" w:evenVBand="0" w:oddHBand="0" w:evenHBand="0" w:firstRowFirstColumn="0" w:firstRowLastColumn="0" w:lastRowFirstColumn="0" w:lastRowLastColumn="0"/>
            </w:pPr>
            <w:r w:rsidRPr="00E45508">
              <w:t>The National Waste Policy Action Plan guides Australia’s investment and national efforts to deliver against seven ambitious targets to better manage Australia’s waste and resource recovery in support of a circular economy to</w:t>
            </w:r>
            <w:r w:rsidR="00421651" w:rsidRPr="00E45508">
              <w:t> 2</w:t>
            </w:r>
            <w:r w:rsidRPr="00E45508">
              <w:t>030. The Australian Government is leading work with the states and territories and industry to strengthen the Action Plan, which is to be considered by environment ministers at the end of</w:t>
            </w:r>
            <w:r w:rsidR="00421651" w:rsidRPr="00E45508">
              <w:t> 2</w:t>
            </w:r>
            <w:r w:rsidRPr="00E45508">
              <w:t>024.</w:t>
            </w:r>
          </w:p>
        </w:tc>
      </w:tr>
      <w:tr w:rsidR="00EC0EDF" w:rsidRPr="00E45508" w14:paraId="47772918" w14:textId="77777777" w:rsidTr="00524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65484703" w14:textId="77777777" w:rsidR="003D6A69" w:rsidRPr="00E45508" w:rsidRDefault="003D6A69" w:rsidP="00524851">
            <w:pPr>
              <w:pStyle w:val="Tabletext0"/>
            </w:pPr>
            <w:r w:rsidRPr="00E45508">
              <w:t>Boosting recycling infrastructure</w:t>
            </w:r>
          </w:p>
        </w:tc>
        <w:tc>
          <w:tcPr>
            <w:tcW w:w="3823" w:type="pct"/>
          </w:tcPr>
          <w:p w14:paraId="20D9329B" w14:textId="77777777" w:rsidR="003D6A69" w:rsidRPr="00E45508" w:rsidRDefault="003D6A69" w:rsidP="00524851">
            <w:pPr>
              <w:pStyle w:val="Tabletext0"/>
              <w:cnfStyle w:val="000000100000" w:firstRow="0" w:lastRow="0" w:firstColumn="0" w:lastColumn="0" w:oddVBand="0" w:evenVBand="0" w:oddHBand="1" w:evenHBand="0" w:firstRowFirstColumn="0" w:firstRowLastColumn="0" w:lastRowFirstColumn="0" w:lastRowLastColumn="0"/>
            </w:pPr>
            <w:r w:rsidRPr="00E45508">
              <w:t>The Australian Government’s $250 million Recycling Modernisation Fund leverages $1 billion in investment across governments and industry for new or upgraded recycling facilities. This will ensure the nation has greater capacity and capability to sort and recycle used packaging.</w:t>
            </w:r>
          </w:p>
        </w:tc>
      </w:tr>
      <w:tr w:rsidR="00EC0EDF" w:rsidRPr="00E45508" w14:paraId="469D195D" w14:textId="77777777" w:rsidTr="00524851">
        <w:tc>
          <w:tcPr>
            <w:cnfStyle w:val="001000000000" w:firstRow="0" w:lastRow="0" w:firstColumn="1" w:lastColumn="0" w:oddVBand="0" w:evenVBand="0" w:oddHBand="0" w:evenHBand="0" w:firstRowFirstColumn="0" w:firstRowLastColumn="0" w:lastRowFirstColumn="0" w:lastRowLastColumn="0"/>
            <w:tcW w:w="1177" w:type="pct"/>
          </w:tcPr>
          <w:p w14:paraId="41704DD1" w14:textId="0F93B114" w:rsidR="003D6A69" w:rsidRPr="00E45508" w:rsidRDefault="002A6F02" w:rsidP="00524851">
            <w:pPr>
              <w:pStyle w:val="Tabletext0"/>
            </w:pPr>
            <w:r w:rsidRPr="00E45508">
              <w:t xml:space="preserve">International legally binding instrument on plastic pollution, including in the marine </w:t>
            </w:r>
            <w:r w:rsidR="7BBEB08F" w:rsidRPr="00E45508">
              <w:t>environment</w:t>
            </w:r>
          </w:p>
        </w:tc>
        <w:tc>
          <w:tcPr>
            <w:tcW w:w="3823" w:type="pct"/>
          </w:tcPr>
          <w:p w14:paraId="0C662B70" w14:textId="71248830" w:rsidR="003D6A69" w:rsidRPr="00E45508" w:rsidRDefault="001D2A07" w:rsidP="00524851">
            <w:pPr>
              <w:pStyle w:val="Tabletext0"/>
              <w:cnfStyle w:val="000000000000" w:firstRow="0" w:lastRow="0" w:firstColumn="0" w:lastColumn="0" w:oddVBand="0" w:evenVBand="0" w:oddHBand="0" w:evenHBand="0" w:firstRowFirstColumn="0" w:firstRowLastColumn="0" w:lastRowFirstColumn="0" w:lastRowLastColumn="0"/>
            </w:pPr>
            <w:r w:rsidRPr="00E45508">
              <w:t>Australia is playing an ambitious leadership role in negotiations for a new international legally binding instrument on plastic pollution, including in the marine environment (the instrument). The government seeks an instrument that covers the full lifecycle of plastics, promotes a safe circular economy, accelerates international efforts to remove harmful chemicals from plastics, and includes globally binding obligations to complement national-level actions</w:t>
            </w:r>
            <w:r w:rsidR="7EAA8268" w:rsidRPr="00E45508">
              <w:t>.</w:t>
            </w:r>
          </w:p>
        </w:tc>
      </w:tr>
      <w:tr w:rsidR="00EC0EDF" w:rsidRPr="00E45508" w14:paraId="00EE0E8F" w14:textId="77777777" w:rsidTr="00524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13E2EF09" w14:textId="77777777" w:rsidR="003D6A69" w:rsidRPr="00E45508" w:rsidRDefault="003D6A69" w:rsidP="00524851">
            <w:pPr>
              <w:pStyle w:val="Tabletext0"/>
            </w:pPr>
            <w:r w:rsidRPr="00E45508">
              <w:t>Restricting harmful chemicals</w:t>
            </w:r>
          </w:p>
        </w:tc>
        <w:tc>
          <w:tcPr>
            <w:tcW w:w="3823" w:type="pct"/>
          </w:tcPr>
          <w:p w14:paraId="03F8F57A" w14:textId="710FE666" w:rsidR="003D6A69" w:rsidRPr="00E45508" w:rsidRDefault="003D6A69" w:rsidP="00524851">
            <w:pPr>
              <w:pStyle w:val="Tabletext0"/>
              <w:cnfStyle w:val="000000100000" w:firstRow="0" w:lastRow="0" w:firstColumn="0" w:lastColumn="0" w:oddVBand="0" w:evenVBand="0" w:oddHBand="1" w:evenHBand="0" w:firstRowFirstColumn="0" w:firstRowLastColumn="0" w:lastRowFirstColumn="0" w:lastRowLastColumn="0"/>
            </w:pPr>
            <w:r w:rsidRPr="00E45508">
              <w:t xml:space="preserve">The Industrial Chemicals Environmental Management Standard (IChEMS) </w:t>
            </w:r>
            <w:r w:rsidR="006E7BB3" w:rsidRPr="00E45508">
              <w:t>(DCCEEW</w:t>
            </w:r>
            <w:r w:rsidR="002835EE" w:rsidRPr="00E45508">
              <w:t xml:space="preserve"> 2024</w:t>
            </w:r>
            <w:r w:rsidR="001E3D54">
              <w:t>d</w:t>
            </w:r>
            <w:r w:rsidR="002835EE" w:rsidRPr="00E45508">
              <w:t>)</w:t>
            </w:r>
            <w:r w:rsidRPr="00E45508">
              <w:t xml:space="preserve"> helps industry and governments manage the environmental risks of chemicals. It will deliver more consistent regulation, make it easier for industry to choose less harmful chemicals, and help reduce emissions of harmful chemicals into wastewater and the environment. Restricting chemicals at the start of the supply chain ensures they do not enter the environment or recycling streams, which prevents the contamination of recycled content.</w:t>
            </w:r>
          </w:p>
        </w:tc>
      </w:tr>
      <w:tr w:rsidR="00EC0EDF" w:rsidRPr="00E45508" w14:paraId="421CD71B" w14:textId="77777777" w:rsidTr="00524851">
        <w:tc>
          <w:tcPr>
            <w:cnfStyle w:val="001000000000" w:firstRow="0" w:lastRow="0" w:firstColumn="1" w:lastColumn="0" w:oddVBand="0" w:evenVBand="0" w:oddHBand="0" w:evenHBand="0" w:firstRowFirstColumn="0" w:firstRowLastColumn="0" w:lastRowFirstColumn="0" w:lastRowLastColumn="0"/>
            <w:tcW w:w="1177" w:type="pct"/>
          </w:tcPr>
          <w:p w14:paraId="47B13121" w14:textId="77777777" w:rsidR="003D6A69" w:rsidRPr="00E45508" w:rsidRDefault="003D6A69" w:rsidP="00524851">
            <w:pPr>
              <w:pStyle w:val="Tabletext0"/>
            </w:pPr>
            <w:r w:rsidRPr="00E45508">
              <w:t>Promoting the use of recycled content</w:t>
            </w:r>
          </w:p>
        </w:tc>
        <w:tc>
          <w:tcPr>
            <w:tcW w:w="3823" w:type="pct"/>
          </w:tcPr>
          <w:p w14:paraId="73B6AD22" w14:textId="21899D04" w:rsidR="003D6A69" w:rsidRPr="00E45508" w:rsidRDefault="003D6A69" w:rsidP="00524851">
            <w:pPr>
              <w:pStyle w:val="Tabletext0"/>
              <w:cnfStyle w:val="000000000000" w:firstRow="0" w:lastRow="0" w:firstColumn="0" w:lastColumn="0" w:oddVBand="0" w:evenVBand="0" w:oddHBand="0" w:evenHBand="0" w:firstRowFirstColumn="0" w:firstRowLastColumn="0" w:lastRowFirstColumn="0" w:lastRowLastColumn="0"/>
            </w:pPr>
            <w:r w:rsidRPr="00E45508">
              <w:t>In addition to improving our recovery and recycling of valuable materials, using recycled content in products is an essential capability needed for Australia to achieve a circular economy. The government has committed $8 million to develop a brand and labelling scheme for Australian made recycled content products. ReMade in Australia, which will help Australians shop sustainably with confidence and ease. Packaging is not in scope at this time, due in part to the packaging reforms underway. Consultation feedback on ReMade in Australia also raised that including packaging in the scheme may confuse consumers on whether the brand refers to the packaging or the product</w:t>
            </w:r>
            <w:r w:rsidR="008162EF" w:rsidRPr="00E45508">
              <w:t>.</w:t>
            </w:r>
          </w:p>
        </w:tc>
      </w:tr>
      <w:tr w:rsidR="00EC0EDF" w:rsidRPr="00E45508" w14:paraId="4DD11F94" w14:textId="77777777" w:rsidTr="00524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6774F40F" w14:textId="77777777" w:rsidR="003D6A69" w:rsidRPr="00E45508" w:rsidRDefault="003D6A69" w:rsidP="00524851">
            <w:pPr>
              <w:pStyle w:val="Tabletext0"/>
            </w:pPr>
            <w:r w:rsidRPr="00E45508">
              <w:t>Supporting industry systems for recycled content traceability</w:t>
            </w:r>
          </w:p>
        </w:tc>
        <w:tc>
          <w:tcPr>
            <w:tcW w:w="3823" w:type="pct"/>
          </w:tcPr>
          <w:p w14:paraId="0CC3C7B5" w14:textId="1D2BD035" w:rsidR="003D6A69" w:rsidRPr="00E45508" w:rsidRDefault="003D6A69" w:rsidP="00524851">
            <w:pPr>
              <w:pStyle w:val="Tabletext0"/>
              <w:cnfStyle w:val="000000100000" w:firstRow="0" w:lastRow="0" w:firstColumn="0" w:lastColumn="0" w:oddVBand="0" w:evenVBand="0" w:oddHBand="1" w:evenHBand="0" w:firstRowFirstColumn="0" w:firstRowLastColumn="0" w:lastRowFirstColumn="0" w:lastRowLastColumn="0"/>
            </w:pPr>
            <w:r w:rsidRPr="00E45508">
              <w:t xml:space="preserve">Uncertainty in the origin, composition and quality of recycled content can prevent </w:t>
            </w:r>
            <w:r w:rsidR="65CA43F8" w:rsidRPr="00E45508">
              <w:t>producer</w:t>
            </w:r>
            <w:r w:rsidRPr="00E45508">
              <w:t xml:space="preserve">s from using this content, which is a barrier to Australia’s transition to a circular economy. To help overcome this, the National Framework for Recycled Content Traceability </w:t>
            </w:r>
            <w:r w:rsidR="009E2E10" w:rsidRPr="00E45508">
              <w:t>(</w:t>
            </w:r>
            <w:r w:rsidR="00F47B3F" w:rsidRPr="00E45508">
              <w:t>DCCEEW 2023a)</w:t>
            </w:r>
            <w:r w:rsidRPr="00E45508">
              <w:t xml:space="preserve"> provides guidance to industry to collect and exchange verifiable data about recycled content across all recycled content supply chains in Australia.</w:t>
            </w:r>
          </w:p>
        </w:tc>
      </w:tr>
      <w:tr w:rsidR="00EC0EDF" w:rsidRPr="00E45508" w14:paraId="24DF8E67" w14:textId="77777777" w:rsidTr="00524851">
        <w:tc>
          <w:tcPr>
            <w:cnfStyle w:val="001000000000" w:firstRow="0" w:lastRow="0" w:firstColumn="1" w:lastColumn="0" w:oddVBand="0" w:evenVBand="0" w:oddHBand="0" w:evenHBand="0" w:firstRowFirstColumn="0" w:firstRowLastColumn="0" w:lastRowFirstColumn="0" w:lastRowLastColumn="0"/>
            <w:tcW w:w="1177" w:type="pct"/>
          </w:tcPr>
          <w:p w14:paraId="6AB54CC6" w14:textId="77777777" w:rsidR="003D6A69" w:rsidRPr="00E45508" w:rsidRDefault="003D6A69" w:rsidP="00524851">
            <w:pPr>
              <w:pStyle w:val="Tabletext0"/>
            </w:pPr>
            <w:r w:rsidRPr="00E45508">
              <w:t>Restarting flexible plastic collection and recycling</w:t>
            </w:r>
          </w:p>
        </w:tc>
        <w:tc>
          <w:tcPr>
            <w:tcW w:w="3823" w:type="pct"/>
          </w:tcPr>
          <w:p w14:paraId="484F4A3B" w14:textId="5DDD5118" w:rsidR="003D6A69" w:rsidRPr="00E45508" w:rsidRDefault="003D6A69" w:rsidP="00524851">
            <w:pPr>
              <w:pStyle w:val="Tabletext0"/>
              <w:cnfStyle w:val="000000000000" w:firstRow="0" w:lastRow="0" w:firstColumn="0" w:lastColumn="0" w:oddVBand="0" w:evenVBand="0" w:oddHBand="0" w:evenHBand="0" w:firstRowFirstColumn="0" w:firstRowLastColumn="0" w:lastRowFirstColumn="0" w:lastRowLastColumn="0"/>
            </w:pPr>
            <w:r w:rsidRPr="00E45508">
              <w:t>In June</w:t>
            </w:r>
            <w:r w:rsidR="00421651" w:rsidRPr="00E45508">
              <w:t> 2</w:t>
            </w:r>
            <w:r w:rsidRPr="00E45508">
              <w:t>024, all environment ministers agreed to develop a pathway for flexible plastics collection by the end of the year</w:t>
            </w:r>
            <w:r w:rsidR="00BB73CB" w:rsidRPr="00E45508">
              <w:t xml:space="preserve"> (DCCEEW 2024</w:t>
            </w:r>
            <w:r w:rsidR="00AB77E9">
              <w:t>b</w:t>
            </w:r>
            <w:r w:rsidR="00BB73CB" w:rsidRPr="00E45508">
              <w:t>)</w:t>
            </w:r>
            <w:r w:rsidRPr="00E45508">
              <w:t>. This will consider different collection approaches across metropolitan, regional and remote locations, and available processing capacity in Australia. The reform provides an opportunity to tackle the soft plastics challenge including by ensuring industry complies with standards for sustainable packaging design and by creating demand for recycled content through minimum mandated thresholds.</w:t>
            </w:r>
          </w:p>
        </w:tc>
      </w:tr>
      <w:tr w:rsidR="00EC0EDF" w:rsidRPr="00E45508" w14:paraId="0DEB6ECA" w14:textId="77777777" w:rsidTr="00524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2F66DE82" w14:textId="77777777" w:rsidR="003D6A69" w:rsidRPr="00E45508" w:rsidRDefault="003D6A69" w:rsidP="00524851">
            <w:pPr>
              <w:pStyle w:val="Tabletext0"/>
            </w:pPr>
            <w:r w:rsidRPr="00E45508">
              <w:t>Phasing out single-use plastics</w:t>
            </w:r>
          </w:p>
        </w:tc>
        <w:tc>
          <w:tcPr>
            <w:tcW w:w="3823" w:type="pct"/>
          </w:tcPr>
          <w:p w14:paraId="1872F9F2" w14:textId="77777777" w:rsidR="003D6A69" w:rsidRPr="00E45508" w:rsidRDefault="003D6A69" w:rsidP="00524851">
            <w:pPr>
              <w:pStyle w:val="Tabletext0"/>
              <w:cnfStyle w:val="000000100000" w:firstRow="0" w:lastRow="0" w:firstColumn="0" w:lastColumn="0" w:oddVBand="0" w:evenVBand="0" w:oddHBand="1" w:evenHBand="0" w:firstRowFirstColumn="0" w:firstRowLastColumn="0" w:lastRowFirstColumn="0" w:lastRowLastColumn="0"/>
            </w:pPr>
            <w:r w:rsidRPr="00E45508">
              <w:t>All Australian governments are working together to harmonise the phase-out of single-use plastic items that are the most common offenders for litter in our natural environment. New packaging regulation could contribute to protecting the environment from litter and reducing the consumption of unnecessary packaging by improving the way packaging is designed, used, collected, and reprocessed.</w:t>
            </w:r>
          </w:p>
        </w:tc>
      </w:tr>
      <w:tr w:rsidR="00EC0EDF" w:rsidRPr="00E45508" w14:paraId="786A800A" w14:textId="77777777" w:rsidTr="00524851">
        <w:tc>
          <w:tcPr>
            <w:cnfStyle w:val="001000000000" w:firstRow="0" w:lastRow="0" w:firstColumn="1" w:lastColumn="0" w:oddVBand="0" w:evenVBand="0" w:oddHBand="0" w:evenHBand="0" w:firstRowFirstColumn="0" w:firstRowLastColumn="0" w:lastRowFirstColumn="0" w:lastRowLastColumn="0"/>
            <w:tcW w:w="1177" w:type="pct"/>
          </w:tcPr>
          <w:p w14:paraId="1C0605DD" w14:textId="77777777" w:rsidR="003D6A69" w:rsidRPr="00E45508" w:rsidRDefault="003D6A69" w:rsidP="00524851">
            <w:pPr>
              <w:pStyle w:val="Tabletext0"/>
            </w:pPr>
            <w:r w:rsidRPr="00E45508">
              <w:t>Harmonising kerbside collections</w:t>
            </w:r>
          </w:p>
        </w:tc>
        <w:tc>
          <w:tcPr>
            <w:tcW w:w="3823" w:type="pct"/>
          </w:tcPr>
          <w:p w14:paraId="2E1BB7E4" w14:textId="1A628EAF" w:rsidR="003D6A69" w:rsidRPr="00E45508" w:rsidRDefault="003D6A69" w:rsidP="00524851">
            <w:pPr>
              <w:pStyle w:val="Tabletext0"/>
              <w:cnfStyle w:val="000000000000" w:firstRow="0" w:lastRow="0" w:firstColumn="0" w:lastColumn="0" w:oddVBand="0" w:evenVBand="0" w:oddHBand="0" w:evenHBand="0" w:firstRowFirstColumn="0" w:firstRowLastColumn="0" w:lastRowFirstColumn="0" w:lastRowLastColumn="0"/>
            </w:pPr>
            <w:r w:rsidRPr="00E45508">
              <w:t>All Australian governments are developing a national roadmap for the harmonisation of kerbside bin collections. Greater consistency and better practice kerbside recycling collections provide certainty to the public on how to recycle correctly and boost recycling rates and quality, assisting our transition to a more circular economy.</w:t>
            </w:r>
          </w:p>
        </w:tc>
      </w:tr>
      <w:tr w:rsidR="00EC0EDF" w:rsidRPr="00E45508" w14:paraId="3270C2D3" w14:textId="77777777" w:rsidTr="00524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28BEF426" w14:textId="77777777" w:rsidR="003D6A69" w:rsidRPr="00E45508" w:rsidRDefault="003D6A69" w:rsidP="00524851">
            <w:pPr>
              <w:pStyle w:val="Tabletext0"/>
            </w:pPr>
            <w:r w:rsidRPr="00E45508">
              <w:t>Taking responsibility for our waste exports</w:t>
            </w:r>
          </w:p>
        </w:tc>
        <w:tc>
          <w:tcPr>
            <w:tcW w:w="3823" w:type="pct"/>
          </w:tcPr>
          <w:p w14:paraId="40A91AAA" w14:textId="77777777" w:rsidR="003D6A69" w:rsidRPr="00E45508" w:rsidRDefault="003D6A69" w:rsidP="00524851">
            <w:pPr>
              <w:pStyle w:val="Tabletext0"/>
              <w:cnfStyle w:val="000000100000" w:firstRow="0" w:lastRow="0" w:firstColumn="0" w:lastColumn="0" w:oddVBand="0" w:evenVBand="0" w:oddHBand="1" w:evenHBand="0" w:firstRowFirstColumn="0" w:firstRowLastColumn="0" w:lastRowFirstColumn="0" w:lastRowLastColumn="0"/>
            </w:pPr>
            <w:r w:rsidRPr="00E45508">
              <w:t>The Australian Government’s waste export regulations for glass, plastic, tyres and paper are an important mechanism for Australia to take responsibility for its waste. By ensuring only properly processed waste is exported, Australia is preventing these materials from being dumped overseas, reducing harm to the environment and human health while building our capacity to turn these waste materials into high-value, recycled commodities in Australia.</w:t>
            </w:r>
          </w:p>
        </w:tc>
      </w:tr>
      <w:tr w:rsidR="00EC0EDF" w:rsidRPr="00E45508" w14:paraId="10470EF5" w14:textId="77777777" w:rsidTr="00524851">
        <w:tc>
          <w:tcPr>
            <w:cnfStyle w:val="001000000000" w:firstRow="0" w:lastRow="0" w:firstColumn="1" w:lastColumn="0" w:oddVBand="0" w:evenVBand="0" w:oddHBand="0" w:evenHBand="0" w:firstRowFirstColumn="0" w:firstRowLastColumn="0" w:lastRowFirstColumn="0" w:lastRowLastColumn="0"/>
            <w:tcW w:w="1177" w:type="pct"/>
          </w:tcPr>
          <w:p w14:paraId="2AEEF50A" w14:textId="77777777" w:rsidR="003D6A69" w:rsidRPr="00E45508" w:rsidRDefault="003D6A69" w:rsidP="00524851">
            <w:pPr>
              <w:pStyle w:val="Tabletext0"/>
            </w:pPr>
            <w:r w:rsidRPr="00E45508">
              <w:t>Container Deposit Schemes (CDS)</w:t>
            </w:r>
          </w:p>
        </w:tc>
        <w:tc>
          <w:tcPr>
            <w:tcW w:w="3823" w:type="pct"/>
          </w:tcPr>
          <w:p w14:paraId="2C3B590D" w14:textId="3759546E" w:rsidR="003D6A69" w:rsidRPr="00E45508" w:rsidRDefault="003D6A69" w:rsidP="00524851">
            <w:pPr>
              <w:pStyle w:val="Tabletext0"/>
              <w:cnfStyle w:val="000000000000" w:firstRow="0" w:lastRow="0" w:firstColumn="0" w:lastColumn="0" w:oddVBand="0" w:evenVBand="0" w:oddHBand="0" w:evenHBand="0" w:firstRowFirstColumn="0" w:firstRowLastColumn="0" w:lastRowFirstColumn="0" w:lastRowLastColumn="0"/>
            </w:pPr>
            <w:r w:rsidRPr="00E45508">
              <w:t>Container deposit schemes provide a financial incentive to consumers to return containers. This keeps litter out of the natural environment, reduces the cost of kerbside collection and sorting, and provides an ongoing source of higher-value materials for reprocessing into new products.</w:t>
            </w:r>
          </w:p>
          <w:p w14:paraId="7BD40815" w14:textId="77777777" w:rsidR="003D6A69" w:rsidRPr="00E45508" w:rsidRDefault="003D6A69" w:rsidP="00524851">
            <w:pPr>
              <w:pStyle w:val="Tabletext0"/>
              <w:cnfStyle w:val="000000000000" w:firstRow="0" w:lastRow="0" w:firstColumn="0" w:lastColumn="0" w:oddVBand="0" w:evenVBand="0" w:oddHBand="0" w:evenHBand="0" w:firstRowFirstColumn="0" w:firstRowLastColumn="0" w:lastRowFirstColumn="0" w:lastRowLastColumn="0"/>
            </w:pPr>
            <w:r w:rsidRPr="00E45508">
              <w:t>The Australian Government is committed to working towards the harmonisation of Container Deposit Schemes. The department will work closely with state and territory governments and industry to ensure any new packaging regulations work consistently with and build upon the success of CDS.</w:t>
            </w:r>
          </w:p>
        </w:tc>
      </w:tr>
      <w:tr w:rsidR="00EC0EDF" w:rsidRPr="00E45508" w14:paraId="6CA7AFF3" w14:textId="77777777" w:rsidTr="005248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Pr>
          <w:p w14:paraId="35269110" w14:textId="0713B86A" w:rsidR="14F813AC" w:rsidRPr="00E45508" w:rsidRDefault="42F229C2" w:rsidP="00524851">
            <w:pPr>
              <w:pStyle w:val="Tabletext0"/>
            </w:pPr>
            <w:r w:rsidRPr="00E45508">
              <w:t>Sustainable procurement for government</w:t>
            </w:r>
          </w:p>
        </w:tc>
        <w:tc>
          <w:tcPr>
            <w:tcW w:w="7105" w:type="dxa"/>
          </w:tcPr>
          <w:p w14:paraId="142E4F7A" w14:textId="156BE7A8" w:rsidR="14F813AC" w:rsidRPr="00E45508" w:rsidRDefault="42F229C2" w:rsidP="00524851">
            <w:pPr>
              <w:pStyle w:val="Tabletext0"/>
              <w:cnfStyle w:val="000000100000" w:firstRow="0" w:lastRow="0" w:firstColumn="0" w:lastColumn="0" w:oddVBand="0" w:evenVBand="0" w:oddHBand="1" w:evenHBand="0" w:firstRowFirstColumn="0" w:firstRowLastColumn="0" w:lastRowFirstColumn="0" w:lastRowLastColumn="0"/>
            </w:pPr>
            <w:r w:rsidRPr="00E45508">
              <w:t xml:space="preserve">The Environmentally Sustainable Procurement (ESP) Policy </w:t>
            </w:r>
            <w:r w:rsidR="00C22B84" w:rsidRPr="00E45508">
              <w:t xml:space="preserve">(DCCEEW 2024e) </w:t>
            </w:r>
            <w:r w:rsidRPr="00E45508">
              <w:t>guides decisions and allows the Australian Government to measure the environmental outcomes from its procurements. It establishes a reporting framework which will create a baseline of environmentally sustainable procurement.</w:t>
            </w:r>
          </w:p>
        </w:tc>
      </w:tr>
      <w:tr w:rsidR="00EC0EDF" w:rsidRPr="00E45508" w14:paraId="5880A325" w14:textId="77777777" w:rsidTr="00524851">
        <w:trPr>
          <w:trHeight w:val="300"/>
        </w:trPr>
        <w:tc>
          <w:tcPr>
            <w:cnfStyle w:val="001000000000" w:firstRow="0" w:lastRow="0" w:firstColumn="1" w:lastColumn="0" w:oddVBand="0" w:evenVBand="0" w:oddHBand="0" w:evenHBand="0" w:firstRowFirstColumn="0" w:firstRowLastColumn="0" w:lastRowFirstColumn="0" w:lastRowLastColumn="0"/>
            <w:tcW w:w="2535" w:type="dxa"/>
          </w:tcPr>
          <w:p w14:paraId="4BFB0166" w14:textId="503AC28F" w:rsidR="00411735" w:rsidRPr="00E45508" w:rsidRDefault="00657D49" w:rsidP="00524851">
            <w:pPr>
              <w:pStyle w:val="Tabletext0"/>
            </w:pPr>
            <w:r w:rsidRPr="00E45508">
              <w:t>National Food Waste Strategy: Halving Australia’s food waste by</w:t>
            </w:r>
            <w:r w:rsidR="00421651" w:rsidRPr="00E45508">
              <w:t> 2</w:t>
            </w:r>
            <w:r w:rsidRPr="00E45508">
              <w:t>030 (</w:t>
            </w:r>
            <w:r w:rsidR="00E91E4D" w:rsidRPr="00E45508">
              <w:t>D</w:t>
            </w:r>
            <w:r w:rsidR="00847ED3" w:rsidRPr="00E45508">
              <w:t xml:space="preserve">EE </w:t>
            </w:r>
            <w:r w:rsidRPr="00E45508">
              <w:t>2017)</w:t>
            </w:r>
          </w:p>
        </w:tc>
        <w:tc>
          <w:tcPr>
            <w:tcW w:w="7105" w:type="dxa"/>
          </w:tcPr>
          <w:p w14:paraId="77718177" w14:textId="51B2E175" w:rsidR="00411735" w:rsidRPr="00E45508" w:rsidRDefault="00DE3D12" w:rsidP="00524851">
            <w:pPr>
              <w:pStyle w:val="Tabletext0"/>
              <w:cnfStyle w:val="000000000000" w:firstRow="0" w:lastRow="0" w:firstColumn="0" w:lastColumn="0" w:oddVBand="0" w:evenVBand="0" w:oddHBand="0" w:evenHBand="0" w:firstRowFirstColumn="0" w:firstRowLastColumn="0" w:lastRowFirstColumn="0" w:lastRowLastColumn="0"/>
            </w:pPr>
            <w:r w:rsidRPr="00E45508">
              <w:t>The National Food Waste Strategy outlines Australia’s target to halve food waste by</w:t>
            </w:r>
            <w:r w:rsidR="00421651" w:rsidRPr="00E45508">
              <w:t> 2</w:t>
            </w:r>
            <w:r w:rsidRPr="00E45508">
              <w:t>030. It provides a framework to support the collective action of governments, industry, business, academia and not-for-profit organisations.</w:t>
            </w:r>
          </w:p>
        </w:tc>
      </w:tr>
    </w:tbl>
    <w:p w14:paraId="0D9D64E0" w14:textId="77777777" w:rsidR="00E771C0" w:rsidRPr="00E45508" w:rsidRDefault="00E771C0" w:rsidP="39AEFFE9"/>
    <w:p w14:paraId="58102D07" w14:textId="35BF5976" w:rsidR="004B20C6" w:rsidRPr="00E45508" w:rsidRDefault="00E512B0" w:rsidP="00505189">
      <w:pPr>
        <w:pStyle w:val="Heading2"/>
        <w:numPr>
          <w:ilvl w:val="0"/>
          <w:numId w:val="15"/>
        </w:numPr>
      </w:pPr>
      <w:bookmarkStart w:id="334" w:name="_Toc177126623"/>
      <w:bookmarkStart w:id="335" w:name="_Toc177493031"/>
      <w:bookmarkStart w:id="336" w:name="_Ref177633649"/>
      <w:bookmarkStart w:id="337" w:name="_Toc178230279"/>
      <w:r w:rsidRPr="00E45508">
        <w:t xml:space="preserve">– </w:t>
      </w:r>
      <w:r w:rsidR="002C4422" w:rsidRPr="00E45508">
        <w:t>Additional information on chemicals of concern</w:t>
      </w:r>
      <w:bookmarkEnd w:id="334"/>
      <w:bookmarkEnd w:id="335"/>
      <w:bookmarkEnd w:id="336"/>
      <w:bookmarkEnd w:id="337"/>
    </w:p>
    <w:p w14:paraId="3C27B980" w14:textId="77777777" w:rsidR="00DB6275" w:rsidRPr="00E45508" w:rsidRDefault="00DB6275" w:rsidP="009C7010">
      <w:pPr>
        <w:pStyle w:val="Heading3"/>
        <w:numPr>
          <w:ilvl w:val="0"/>
          <w:numId w:val="0"/>
        </w:numPr>
        <w:ind w:left="771" w:hanging="771"/>
      </w:pPr>
      <w:bookmarkStart w:id="338" w:name="_Toc177126624"/>
      <w:bookmarkStart w:id="339" w:name="_Toc177493032"/>
      <w:bookmarkStart w:id="340" w:name="_Toc177633324"/>
      <w:bookmarkStart w:id="341" w:name="_Toc177653281"/>
      <w:bookmarkStart w:id="342" w:name="_Toc178071692"/>
      <w:bookmarkStart w:id="343" w:name="_Toc178167884"/>
      <w:bookmarkStart w:id="344" w:name="_Toc178229360"/>
      <w:bookmarkStart w:id="345" w:name="_Toc178230280"/>
      <w:r w:rsidRPr="00E45508">
        <w:t>Addressing chemicals of concern in packaging</w:t>
      </w:r>
      <w:bookmarkEnd w:id="338"/>
      <w:bookmarkEnd w:id="339"/>
      <w:bookmarkEnd w:id="340"/>
      <w:bookmarkEnd w:id="341"/>
      <w:bookmarkEnd w:id="342"/>
      <w:bookmarkEnd w:id="343"/>
      <w:bookmarkEnd w:id="344"/>
      <w:bookmarkEnd w:id="345"/>
    </w:p>
    <w:p w14:paraId="5B042AC1" w14:textId="7A2BD109" w:rsidR="00DB6275" w:rsidRPr="00E45508" w:rsidRDefault="00DB6275" w:rsidP="008162EF">
      <w:r w:rsidRPr="00E45508">
        <w:t xml:space="preserve">Chemicals of concern are found in a wide range of sectors and product </w:t>
      </w:r>
      <w:r w:rsidR="00E23C6F">
        <w:t>supply</w:t>
      </w:r>
      <w:r w:rsidR="00E23C6F" w:rsidRPr="00E45508">
        <w:t xml:space="preserve"> </w:t>
      </w:r>
      <w:r w:rsidRPr="00E45508">
        <w:t>chains. Concern is a measure of the potential consequences of a chemical substance being used in Australia. Concern includes consideration of the risk to the environment, the inherent hazard characteristics of a chemical substance, and relevant social and economic impacts for a chemical’s use.</w:t>
      </w:r>
    </w:p>
    <w:p w14:paraId="6429ACF4" w14:textId="49E9245A" w:rsidR="00DB6275" w:rsidRPr="00E45508" w:rsidRDefault="00DB6275" w:rsidP="008162EF">
      <w:r w:rsidRPr="00E45508">
        <w:t>A variety of chemicals may be added to packaging materials to help the packaging achieve specific properties and functions. Chemicals are chosen based on the specific requirements of the packaging material, including durability, flexibility, appearance, and protective properties. Some of these functions and properties add economic benefit or are cosmetic, while others may be performance requirements outlined by public and worker health and safety legislation. Types of chemicals include stabilisers to prevent degradation of packaging, colourants and dyes, adhesives and sealants, and anti-microbial and barrier agents.</w:t>
      </w:r>
    </w:p>
    <w:p w14:paraId="313042FB" w14:textId="4171CBFA" w:rsidR="74C9606F" w:rsidRPr="00E45508" w:rsidRDefault="74C9606F" w:rsidP="008162EF">
      <w:r w:rsidRPr="00E45508">
        <w:t>The types of chemicals used in packaging include:</w:t>
      </w:r>
    </w:p>
    <w:p w14:paraId="61844B55" w14:textId="77777777" w:rsidR="74C9606F" w:rsidRPr="00E45508" w:rsidRDefault="74C9606F" w:rsidP="009C1F84">
      <w:pPr>
        <w:pStyle w:val="ListBullet"/>
      </w:pPr>
      <w:r w:rsidRPr="00E45508">
        <w:rPr>
          <w:b/>
          <w:bCs/>
        </w:rPr>
        <w:t>Plasticisers:</w:t>
      </w:r>
      <w:r w:rsidRPr="00E45508">
        <w:t xml:space="preserve"> added to plastics to make them more flexible and workable. They improve pliability and durability of materials.</w:t>
      </w:r>
    </w:p>
    <w:p w14:paraId="570A7DC9" w14:textId="77777777" w:rsidR="74C9606F" w:rsidRPr="00E45508" w:rsidRDefault="74C9606F" w:rsidP="009C1F84">
      <w:pPr>
        <w:pStyle w:val="ListBullet"/>
      </w:pPr>
      <w:r w:rsidRPr="00E45508">
        <w:rPr>
          <w:b/>
          <w:bCs/>
        </w:rPr>
        <w:t>Stabilisers and antioxidants:</w:t>
      </w:r>
      <w:r w:rsidRPr="00E45508">
        <w:t xml:space="preserve"> used to prevent degradation of plastics and other materials due to heat, light, or oxygen exposure. They maintain integrity and extend shelf life of materials.</w:t>
      </w:r>
    </w:p>
    <w:p w14:paraId="5C4F0C6B" w14:textId="77777777" w:rsidR="74C9606F" w:rsidRPr="00E45508" w:rsidRDefault="74C9606F" w:rsidP="009C1F84">
      <w:pPr>
        <w:pStyle w:val="ListBullet"/>
      </w:pPr>
      <w:r w:rsidRPr="00E45508">
        <w:rPr>
          <w:b/>
          <w:bCs/>
        </w:rPr>
        <w:t>Colourants and dyes:</w:t>
      </w:r>
      <w:r w:rsidRPr="00E45508">
        <w:t xml:space="preserve"> used to add colour to packaging materials, which can enhance visual appeal and aid in branding. Some dyes are used in inks for printing labels and designs.</w:t>
      </w:r>
    </w:p>
    <w:p w14:paraId="08C1DFF3" w14:textId="77777777" w:rsidR="74C9606F" w:rsidRPr="00E45508" w:rsidRDefault="74C9606F" w:rsidP="009C1F84">
      <w:pPr>
        <w:pStyle w:val="ListBullet"/>
      </w:pPr>
      <w:r w:rsidRPr="00E45508">
        <w:rPr>
          <w:b/>
          <w:bCs/>
        </w:rPr>
        <w:t>Flame retardants:</w:t>
      </w:r>
      <w:r w:rsidRPr="00E45508">
        <w:t xml:space="preserve"> added to materials to reduce their flammability and prevent or slow the spread of fire, enhancing safety.</w:t>
      </w:r>
    </w:p>
    <w:p w14:paraId="24FEBE24" w14:textId="77777777" w:rsidR="74C9606F" w:rsidRPr="00E45508" w:rsidRDefault="74C9606F" w:rsidP="009C1F84">
      <w:pPr>
        <w:pStyle w:val="ListBullet"/>
      </w:pPr>
      <w:r w:rsidRPr="00E45508">
        <w:rPr>
          <w:b/>
          <w:bCs/>
        </w:rPr>
        <w:t>Coatings:</w:t>
      </w:r>
      <w:r w:rsidRPr="00E45508">
        <w:t xml:space="preserve"> provide barrier properties to protect contents from moisture, oxygen, light, and contaminants, and improve properties such as oil and water resistance.</w:t>
      </w:r>
    </w:p>
    <w:p w14:paraId="4C5FB855" w14:textId="77777777" w:rsidR="74C9606F" w:rsidRPr="00E45508" w:rsidRDefault="74C9606F" w:rsidP="009C1F84">
      <w:pPr>
        <w:pStyle w:val="ListBullet"/>
      </w:pPr>
      <w:r w:rsidRPr="00E45508">
        <w:rPr>
          <w:b/>
          <w:bCs/>
        </w:rPr>
        <w:t>Adhesives and sealants:</w:t>
      </w:r>
      <w:r w:rsidRPr="00E45508">
        <w:t xml:space="preserve"> used to bond different components of packaging together, ensuring that it remains intact and functional. They maintain the integrity of packaging materials.</w:t>
      </w:r>
    </w:p>
    <w:p w14:paraId="41847C49" w14:textId="77777777" w:rsidR="74C9606F" w:rsidRPr="00E45508" w:rsidRDefault="74C9606F" w:rsidP="009C1F84">
      <w:pPr>
        <w:pStyle w:val="ListBullet"/>
      </w:pPr>
      <w:r w:rsidRPr="00E45508">
        <w:rPr>
          <w:b/>
          <w:bCs/>
        </w:rPr>
        <w:t>Preservatives and Anti-Microbial Agents:</w:t>
      </w:r>
      <w:r w:rsidRPr="00E45508">
        <w:t xml:space="preserve"> incorporated into packaging to prevent microbial growth and extend the shelf life of the contents, particularly in food packaging.</w:t>
      </w:r>
    </w:p>
    <w:p w14:paraId="36EB058A" w14:textId="77777777" w:rsidR="74C9606F" w:rsidRPr="00E45508" w:rsidRDefault="74C9606F" w:rsidP="009C1F84">
      <w:pPr>
        <w:pStyle w:val="ListBullet"/>
      </w:pPr>
      <w:r w:rsidRPr="00E45508">
        <w:rPr>
          <w:b/>
          <w:bCs/>
        </w:rPr>
        <w:t>Barrier Agents:</w:t>
      </w:r>
      <w:r w:rsidRPr="00E45508">
        <w:t xml:space="preserve"> used to create layers that prevent the permeation of gases, moisture, and light, which helps protect sensitive products like food and pharmaceuticals from spoilage.</w:t>
      </w:r>
    </w:p>
    <w:p w14:paraId="4BCA6DC4" w14:textId="77777777" w:rsidR="0003212D" w:rsidRPr="00E45508" w:rsidRDefault="0003212D" w:rsidP="008162EF">
      <w:r w:rsidRPr="00E45508">
        <w:t>Some chemicals of concern in packaging may interrupt material circularity due to:</w:t>
      </w:r>
    </w:p>
    <w:p w14:paraId="2FE1CADA" w14:textId="77777777" w:rsidR="0003212D" w:rsidRPr="00E45508" w:rsidRDefault="0003212D" w:rsidP="009C1F84">
      <w:pPr>
        <w:pStyle w:val="ListBullet"/>
      </w:pPr>
      <w:r w:rsidRPr="00E45508">
        <w:t>their human health risks</w:t>
      </w:r>
    </w:p>
    <w:p w14:paraId="042FCE16" w14:textId="77777777" w:rsidR="0003212D" w:rsidRPr="00E45508" w:rsidRDefault="0003212D" w:rsidP="009C1F84">
      <w:pPr>
        <w:pStyle w:val="ListBullet"/>
      </w:pPr>
      <w:r w:rsidRPr="00E45508">
        <w:t>their environmental risks</w:t>
      </w:r>
    </w:p>
    <w:p w14:paraId="3901E102" w14:textId="77777777" w:rsidR="0003212D" w:rsidRPr="00E45508" w:rsidRDefault="0003212D" w:rsidP="009C1F84">
      <w:pPr>
        <w:pStyle w:val="ListBullet"/>
      </w:pPr>
      <w:r w:rsidRPr="00E45508">
        <w:t>compatibility with sorting, processing or recycling technologies</w:t>
      </w:r>
    </w:p>
    <w:p w14:paraId="1821DA5A" w14:textId="77777777" w:rsidR="0003212D" w:rsidRPr="00E45508" w:rsidRDefault="0003212D" w:rsidP="009C1F84">
      <w:pPr>
        <w:pStyle w:val="ListBullet"/>
      </w:pPr>
      <w:r w:rsidRPr="00E45508">
        <w:t>reduced material value</w:t>
      </w:r>
    </w:p>
    <w:p w14:paraId="65C27341" w14:textId="547B4F39" w:rsidR="0003212D" w:rsidRPr="00E45508" w:rsidRDefault="0003212D" w:rsidP="009C1F84">
      <w:pPr>
        <w:pStyle w:val="ListBullet"/>
      </w:pPr>
      <w:r w:rsidRPr="00E45508">
        <w:t>end market requirements for recovered materials.</w:t>
      </w:r>
    </w:p>
    <w:p w14:paraId="6FCC662B" w14:textId="77777777" w:rsidR="0003212D" w:rsidRPr="00E45508" w:rsidRDefault="0003212D" w:rsidP="008162EF">
      <w:r w:rsidRPr="00E45508">
        <w:t>Chemicals that negatively impact recyclability can reduce the efficiency of recycling processes and increase costs, slowing down progress to circularity or reduce the value of recyclate. Contaminants such as adhesives and flame retardants can lower the quality of recycled materials and complicate recycling operations.</w:t>
      </w:r>
    </w:p>
    <w:p w14:paraId="173215D2" w14:textId="71066B80" w:rsidR="00725913" w:rsidRPr="00E45508" w:rsidRDefault="00725913" w:rsidP="008162EF">
      <w:r w:rsidRPr="00E45508">
        <w:t>Chemicals of concern from consumer goods and materials prevent recycling where the alternate disposal pathway is landfill. As packaging materials degrade over time, chemicals can leach into the surrounding environment. Substances like PFAS are likely to be present in packaging materials long after their intentional addition to products ceases, making them difficult to remove in the recycling process and reducing the value of the recyclate.</w:t>
      </w:r>
    </w:p>
    <w:p w14:paraId="777BE1AB" w14:textId="77777777" w:rsidR="00725913" w:rsidRPr="00E45508" w:rsidRDefault="00725913" w:rsidP="008162EF">
      <w:r w:rsidRPr="00E45508">
        <w:t>Preventing or reducing the intentional use of chemicals of concern in packaging supports material recovery and circularity. Cleaner packaging supports the recovery of more, better quality and higher value packaging materials. Higher value recycled materials will improve recovery and recycling rates, resulting in less material diverted to landfill, and be more competitive in the market with virgin materials.</w:t>
      </w:r>
    </w:p>
    <w:p w14:paraId="432015D1" w14:textId="3B997E87" w:rsidR="00725913" w:rsidRPr="00E45508" w:rsidRDefault="00477F72" w:rsidP="009C7010">
      <w:pPr>
        <w:pStyle w:val="Heading3"/>
        <w:numPr>
          <w:ilvl w:val="0"/>
          <w:numId w:val="0"/>
        </w:numPr>
      </w:pPr>
      <w:bookmarkStart w:id="346" w:name="_Toc177126625"/>
      <w:bookmarkStart w:id="347" w:name="_Toc177493033"/>
      <w:bookmarkStart w:id="348" w:name="_Toc177633325"/>
      <w:bookmarkStart w:id="349" w:name="_Toc177653282"/>
      <w:bookmarkStart w:id="350" w:name="_Toc178071693"/>
      <w:bookmarkStart w:id="351" w:name="_Toc178167885"/>
      <w:bookmarkStart w:id="352" w:name="_Toc178229361"/>
      <w:bookmarkStart w:id="353" w:name="_Toc178230281"/>
      <w:r w:rsidRPr="00E45508">
        <w:t>Which chemicals used in packaging should be targeted?</w:t>
      </w:r>
      <w:bookmarkEnd w:id="346"/>
      <w:bookmarkEnd w:id="347"/>
      <w:bookmarkEnd w:id="348"/>
      <w:bookmarkEnd w:id="349"/>
      <w:bookmarkEnd w:id="350"/>
      <w:bookmarkEnd w:id="351"/>
      <w:bookmarkEnd w:id="352"/>
      <w:bookmarkEnd w:id="353"/>
    </w:p>
    <w:p w14:paraId="1CD42EAE" w14:textId="238C1F93" w:rsidR="00705BE5" w:rsidRPr="00E45508" w:rsidRDefault="008D239E" w:rsidP="00705BE5">
      <w:r w:rsidRPr="00E45508">
        <w:t>Table</w:t>
      </w:r>
      <w:r w:rsidR="00040D3A" w:rsidRPr="00E45508">
        <w:t>s</w:t>
      </w:r>
      <w:r w:rsidR="00AE1A93">
        <w:t xml:space="preserve"> </w:t>
      </w:r>
      <w:r w:rsidRPr="00E45508">
        <w:t>C.1</w:t>
      </w:r>
      <w:r w:rsidR="00040D3A" w:rsidRPr="00E45508">
        <w:t>, C.2 and C</w:t>
      </w:r>
      <w:r w:rsidR="0046234F" w:rsidRPr="00E45508">
        <w:t>.3</w:t>
      </w:r>
      <w:r w:rsidR="005A5648" w:rsidRPr="00E45508">
        <w:t xml:space="preserve"> </w:t>
      </w:r>
      <w:r w:rsidR="17F260FD" w:rsidRPr="00E45508">
        <w:t xml:space="preserve">below </w:t>
      </w:r>
      <w:r w:rsidR="00725913" w:rsidRPr="00E45508">
        <w:t>outline the proposed chemicals where the use in packaging should be eliminated, phased-down or minimised</w:t>
      </w:r>
      <w:r w:rsidR="0046234F" w:rsidRPr="00E45508">
        <w:t xml:space="preserve"> to improve safe circularity of packaging</w:t>
      </w:r>
      <w:r w:rsidR="00725913" w:rsidRPr="00E45508">
        <w:t xml:space="preserve">. This approach is broadly consistent with approaches overseas, including the amended EU </w:t>
      </w:r>
      <w:hyperlink r:id="rId110" w:anchor="title2">
        <w:r w:rsidR="00725913" w:rsidRPr="00E45508">
          <w:rPr>
            <w:rStyle w:val="Hyperlink"/>
          </w:rPr>
          <w:t>Packaging and Packaging Waste Regulations</w:t>
        </w:r>
      </w:hyperlink>
      <w:r w:rsidR="00725913" w:rsidRPr="00E45508">
        <w:t>, and acknowledges the global nature of the trade of packaging.</w:t>
      </w:r>
      <w:r w:rsidR="00705BE5" w:rsidRPr="00E45508">
        <w:br w:type="page"/>
      </w:r>
    </w:p>
    <w:p w14:paraId="3317DDF0" w14:textId="1459CFBD" w:rsidR="004B20C6" w:rsidRPr="00E45508" w:rsidRDefault="005A5648" w:rsidP="00C915A5">
      <w:pPr>
        <w:pStyle w:val="Caption"/>
      </w:pPr>
      <w:bookmarkStart w:id="354" w:name="_Ref174011258"/>
      <w:bookmarkStart w:id="355" w:name="_Toc177126687"/>
      <w:r w:rsidRPr="00E45508">
        <w:t>Table</w:t>
      </w:r>
      <w:bookmarkEnd w:id="354"/>
      <w:r w:rsidR="00421651" w:rsidRPr="00E45508">
        <w:t> </w:t>
      </w:r>
      <w:r w:rsidR="008D239E" w:rsidRPr="00E45508">
        <w:t>C.1</w:t>
      </w:r>
      <w:r w:rsidR="004B20C6" w:rsidRPr="00E45508">
        <w:t xml:space="preserve">: </w:t>
      </w:r>
      <w:r w:rsidR="0046234F" w:rsidRPr="00E45508">
        <w:t>Chemicals targeted for elimination from packaging</w:t>
      </w:r>
      <w:bookmarkEnd w:id="355"/>
    </w:p>
    <w:tbl>
      <w:tblPr>
        <w:tblStyle w:val="PlainTable2"/>
        <w:tblW w:w="0" w:type="auto"/>
        <w:tblLook w:val="04A0" w:firstRow="1" w:lastRow="0" w:firstColumn="1" w:lastColumn="0" w:noHBand="0" w:noVBand="1"/>
      </w:tblPr>
      <w:tblGrid>
        <w:gridCol w:w="2977"/>
        <w:gridCol w:w="6044"/>
      </w:tblGrid>
      <w:tr w:rsidR="0046234F" w:rsidRPr="00E45508" w14:paraId="4CCB1DDB" w14:textId="77777777" w:rsidTr="00406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D3D89EF" w14:textId="4A4204D3" w:rsidR="0046234F" w:rsidRPr="00E45508" w:rsidRDefault="0046234F" w:rsidP="0046234F">
            <w:pPr>
              <w:pStyle w:val="Tabletext0"/>
            </w:pPr>
            <w:r w:rsidRPr="00E45508">
              <w:t>Chemical</w:t>
            </w:r>
          </w:p>
        </w:tc>
        <w:tc>
          <w:tcPr>
            <w:tcW w:w="6044" w:type="dxa"/>
          </w:tcPr>
          <w:p w14:paraId="5CE15D74" w14:textId="09BADB8B" w:rsidR="0046234F" w:rsidRPr="00E45508" w:rsidRDefault="0046234F" w:rsidP="0046234F">
            <w:pPr>
              <w:pStyle w:val="Tabletext0"/>
              <w:cnfStyle w:val="100000000000" w:firstRow="1" w:lastRow="0" w:firstColumn="0" w:lastColumn="0" w:oddVBand="0" w:evenVBand="0" w:oddHBand="0" w:evenHBand="0" w:firstRowFirstColumn="0" w:firstRowLastColumn="0" w:lastRowFirstColumn="0" w:lastRowLastColumn="0"/>
            </w:pPr>
            <w:r w:rsidRPr="00E45508">
              <w:t>Description</w:t>
            </w:r>
          </w:p>
        </w:tc>
      </w:tr>
      <w:tr w:rsidR="00411735" w:rsidRPr="00E45508" w14:paraId="146B441E" w14:textId="77777777" w:rsidTr="0040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9261F3A" w14:textId="77777777" w:rsidR="004B20C6" w:rsidRPr="00E45508" w:rsidRDefault="004B20C6" w:rsidP="0046234F">
            <w:pPr>
              <w:pStyle w:val="Tabletext0"/>
            </w:pPr>
            <w:r w:rsidRPr="00E45508">
              <w:t>Substances listed under international agreements for elimination</w:t>
            </w:r>
          </w:p>
        </w:tc>
        <w:tc>
          <w:tcPr>
            <w:tcW w:w="6044" w:type="dxa"/>
          </w:tcPr>
          <w:p w14:paraId="5688E24A" w14:textId="77777777" w:rsidR="004B20C6" w:rsidRPr="00E45508" w:rsidRDefault="004B20C6" w:rsidP="0046234F">
            <w:pPr>
              <w:pStyle w:val="Tabletext0"/>
              <w:cnfStyle w:val="000000100000" w:firstRow="0" w:lastRow="0" w:firstColumn="0" w:lastColumn="0" w:oddVBand="0" w:evenVBand="0" w:oddHBand="1" w:evenHBand="0" w:firstRowFirstColumn="0" w:firstRowLastColumn="0" w:lastRowFirstColumn="0" w:lastRowLastColumn="0"/>
              <w:rPr>
                <w:i/>
                <w:iCs/>
                <w:color w:val="197C7D" w:themeColor="accent1"/>
              </w:rPr>
            </w:pPr>
            <w:r w:rsidRPr="00E45508">
              <w:rPr>
                <w:i/>
                <w:iCs/>
                <w:color w:val="197C7D" w:themeColor="accent1"/>
              </w:rPr>
              <w:t>Impact: likely to cause serious or irreversible harm to the environment and/or human health</w:t>
            </w:r>
          </w:p>
          <w:p w14:paraId="5C5E1223" w14:textId="77777777" w:rsidR="004B20C6" w:rsidRPr="00E45508" w:rsidRDefault="004B20C6" w:rsidP="0046234F">
            <w:pPr>
              <w:pStyle w:val="Tabletext0"/>
              <w:cnfStyle w:val="000000100000" w:firstRow="0" w:lastRow="0" w:firstColumn="0" w:lastColumn="0" w:oddVBand="0" w:evenVBand="0" w:oddHBand="1" w:evenHBand="0" w:firstRowFirstColumn="0" w:firstRowLastColumn="0" w:lastRowFirstColumn="0" w:lastRowLastColumn="0"/>
            </w:pPr>
            <w:r w:rsidRPr="00E45508">
              <w:t>The Stockholm Convention on Persistent Organic Pollutants and Minamata Convention on Mercury are global treaties to protect human health and the environment. Australia is a Party to both treaties and has obligations to eliminate and reduce release of these substances into the environment.</w:t>
            </w:r>
          </w:p>
        </w:tc>
      </w:tr>
      <w:tr w:rsidR="00987CF7" w:rsidRPr="00E45508" w14:paraId="67FE2907" w14:textId="77777777" w:rsidTr="004060A0">
        <w:tc>
          <w:tcPr>
            <w:cnfStyle w:val="001000000000" w:firstRow="0" w:lastRow="0" w:firstColumn="1" w:lastColumn="0" w:oddVBand="0" w:evenVBand="0" w:oddHBand="0" w:evenHBand="0" w:firstRowFirstColumn="0" w:firstRowLastColumn="0" w:lastRowFirstColumn="0" w:lastRowLastColumn="0"/>
            <w:tcW w:w="2977" w:type="dxa"/>
          </w:tcPr>
          <w:p w14:paraId="0BD7804F" w14:textId="77777777" w:rsidR="004B20C6" w:rsidRPr="00E45508" w:rsidRDefault="004B20C6" w:rsidP="0046234F">
            <w:pPr>
              <w:pStyle w:val="Tabletext0"/>
            </w:pPr>
            <w:r w:rsidRPr="00E45508">
              <w:t>Chemicals that are prohibited or restricted through Australian regulatory frameworks</w:t>
            </w:r>
          </w:p>
        </w:tc>
        <w:tc>
          <w:tcPr>
            <w:tcW w:w="6044" w:type="dxa"/>
          </w:tcPr>
          <w:p w14:paraId="6561FD49" w14:textId="493D07DE" w:rsidR="004B20C6" w:rsidRPr="00E45508" w:rsidRDefault="6B5D75F0" w:rsidP="0046234F">
            <w:pPr>
              <w:pStyle w:val="Tabletext0"/>
              <w:cnfStyle w:val="000000000000" w:firstRow="0" w:lastRow="0" w:firstColumn="0" w:lastColumn="0" w:oddVBand="0" w:evenVBand="0" w:oddHBand="0" w:evenHBand="0" w:firstRowFirstColumn="0" w:firstRowLastColumn="0" w:lastRowFirstColumn="0" w:lastRowLastColumn="0"/>
              <w:rPr>
                <w:i/>
                <w:iCs/>
                <w:color w:val="197C7D" w:themeColor="accent1"/>
              </w:rPr>
            </w:pPr>
            <w:r w:rsidRPr="00E45508">
              <w:rPr>
                <w:i/>
                <w:iCs/>
                <w:color w:val="197C7D" w:themeColor="accent1"/>
              </w:rPr>
              <w:t>Reason</w:t>
            </w:r>
            <w:r w:rsidR="004B20C6" w:rsidRPr="00E45508">
              <w:rPr>
                <w:i/>
                <w:iCs/>
                <w:color w:val="197C7D" w:themeColor="accent1"/>
              </w:rPr>
              <w:t>: likely to cause serious or irreversible harm to the environment and/or human health</w:t>
            </w:r>
          </w:p>
          <w:p w14:paraId="7B3EC843" w14:textId="77777777" w:rsidR="004B20C6" w:rsidRPr="00E45508" w:rsidRDefault="004B20C6" w:rsidP="0046234F">
            <w:pPr>
              <w:pStyle w:val="Tabletext0"/>
              <w:cnfStyle w:val="000000000000" w:firstRow="0" w:lastRow="0" w:firstColumn="0" w:lastColumn="0" w:oddVBand="0" w:evenVBand="0" w:oddHBand="0" w:evenHBand="0" w:firstRowFirstColumn="0" w:firstRowLastColumn="0" w:lastRowFirstColumn="0" w:lastRowLastColumn="0"/>
            </w:pPr>
            <w:r w:rsidRPr="00E45508">
              <w:t>There are existing Australian regulatory frameworks for worker and public health and safety and environment protection. Packaging must comply with these frameworks.</w:t>
            </w:r>
          </w:p>
        </w:tc>
      </w:tr>
      <w:tr w:rsidR="00411735" w:rsidRPr="00E45508" w14:paraId="66F48916" w14:textId="77777777" w:rsidTr="0040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0DBB3AE" w14:textId="77777777" w:rsidR="004B20C6" w:rsidRPr="00E45508" w:rsidRDefault="004B20C6" w:rsidP="0046234F">
            <w:pPr>
              <w:pStyle w:val="Tabletext0"/>
            </w:pPr>
            <w:r w:rsidRPr="00E45508">
              <w:t>Heavy Metals</w:t>
            </w:r>
          </w:p>
        </w:tc>
        <w:tc>
          <w:tcPr>
            <w:tcW w:w="6044" w:type="dxa"/>
          </w:tcPr>
          <w:p w14:paraId="7788E4D6" w14:textId="31E79267" w:rsidR="004B20C6" w:rsidRPr="00E45508" w:rsidRDefault="6B5D75F0" w:rsidP="0046234F">
            <w:pPr>
              <w:pStyle w:val="Tabletext0"/>
              <w:cnfStyle w:val="000000100000" w:firstRow="0" w:lastRow="0" w:firstColumn="0" w:lastColumn="0" w:oddVBand="0" w:evenVBand="0" w:oddHBand="1" w:evenHBand="0" w:firstRowFirstColumn="0" w:firstRowLastColumn="0" w:lastRowFirstColumn="0" w:lastRowLastColumn="0"/>
              <w:rPr>
                <w:i/>
                <w:iCs/>
              </w:rPr>
            </w:pPr>
            <w:r w:rsidRPr="00E45508">
              <w:rPr>
                <w:i/>
                <w:iCs/>
                <w:color w:val="197C7D" w:themeColor="accent1"/>
              </w:rPr>
              <w:t>Reason</w:t>
            </w:r>
            <w:r w:rsidR="004B20C6" w:rsidRPr="00E45508">
              <w:rPr>
                <w:i/>
                <w:iCs/>
                <w:color w:val="197C7D" w:themeColor="accent1"/>
              </w:rPr>
              <w:t>: likely to cause harm to the environment and/or human health</w:t>
            </w:r>
          </w:p>
          <w:p w14:paraId="59BFE2A5" w14:textId="77777777" w:rsidR="004B20C6" w:rsidRPr="00E45508" w:rsidRDefault="004B20C6" w:rsidP="0046234F">
            <w:pPr>
              <w:pStyle w:val="Tabletext0"/>
              <w:cnfStyle w:val="000000100000" w:firstRow="0" w:lastRow="0" w:firstColumn="0" w:lastColumn="0" w:oddVBand="0" w:evenVBand="0" w:oddHBand="1" w:evenHBand="0" w:firstRowFirstColumn="0" w:firstRowLastColumn="0" w:lastRowFirstColumn="0" w:lastRowLastColumn="0"/>
            </w:pPr>
            <w:r w:rsidRPr="00E45508">
              <w:t xml:space="preserve">Lead, cadmium, arsenic and hexavalent chromium can be toxic, complicate recycling processes, and impact the value and usability of recyclate in other products. </w:t>
            </w:r>
          </w:p>
        </w:tc>
      </w:tr>
      <w:tr w:rsidR="00987CF7" w:rsidRPr="00E45508" w14:paraId="41C66E25" w14:textId="77777777" w:rsidTr="004060A0">
        <w:tc>
          <w:tcPr>
            <w:cnfStyle w:val="001000000000" w:firstRow="0" w:lastRow="0" w:firstColumn="1" w:lastColumn="0" w:oddVBand="0" w:evenVBand="0" w:oddHBand="0" w:evenHBand="0" w:firstRowFirstColumn="0" w:firstRowLastColumn="0" w:lastRowFirstColumn="0" w:lastRowLastColumn="0"/>
            <w:tcW w:w="2977" w:type="dxa"/>
          </w:tcPr>
          <w:p w14:paraId="4FBA6E90" w14:textId="77777777" w:rsidR="004B20C6" w:rsidRPr="00E45508" w:rsidRDefault="004B20C6" w:rsidP="0046234F">
            <w:pPr>
              <w:pStyle w:val="Tabletext0"/>
            </w:pPr>
            <w:r w:rsidRPr="00E45508">
              <w:t>PFAS</w:t>
            </w:r>
          </w:p>
        </w:tc>
        <w:tc>
          <w:tcPr>
            <w:tcW w:w="6044" w:type="dxa"/>
          </w:tcPr>
          <w:p w14:paraId="3E306A4C" w14:textId="2774B41B" w:rsidR="004B20C6" w:rsidRPr="00E45508" w:rsidRDefault="6B5D75F0" w:rsidP="0046234F">
            <w:pPr>
              <w:pStyle w:val="Tabletext0"/>
              <w:cnfStyle w:val="000000000000" w:firstRow="0" w:lastRow="0" w:firstColumn="0" w:lastColumn="0" w:oddVBand="0" w:evenVBand="0" w:oddHBand="0" w:evenHBand="0" w:firstRowFirstColumn="0" w:firstRowLastColumn="0" w:lastRowFirstColumn="0" w:lastRowLastColumn="0"/>
              <w:rPr>
                <w:i/>
                <w:iCs/>
              </w:rPr>
            </w:pPr>
            <w:r w:rsidRPr="00E45508">
              <w:rPr>
                <w:i/>
                <w:iCs/>
                <w:color w:val="197C7D" w:themeColor="accent1"/>
              </w:rPr>
              <w:t>Reason</w:t>
            </w:r>
            <w:r w:rsidR="004B20C6" w:rsidRPr="00E45508">
              <w:rPr>
                <w:i/>
                <w:iCs/>
                <w:color w:val="197C7D" w:themeColor="accent1"/>
              </w:rPr>
              <w:t>: may cause harm to the environment, or have unknown, intergenerational environmental impacts</w:t>
            </w:r>
          </w:p>
          <w:p w14:paraId="626AB33C" w14:textId="77777777" w:rsidR="004B20C6" w:rsidRPr="00E45508" w:rsidRDefault="004B20C6" w:rsidP="0046234F">
            <w:pPr>
              <w:pStyle w:val="Tabletext0"/>
              <w:cnfStyle w:val="000000000000" w:firstRow="0" w:lastRow="0" w:firstColumn="0" w:lastColumn="0" w:oddVBand="0" w:evenVBand="0" w:oddHBand="0" w:evenHBand="0" w:firstRowFirstColumn="0" w:firstRowLastColumn="0" w:lastRowFirstColumn="0" w:lastRowLastColumn="0"/>
            </w:pPr>
            <w:r w:rsidRPr="00E45508">
              <w:t xml:space="preserve">PFAS are difficult to remove in the recycling process and reduce the value of recyclate. The long-term impacts of many PFAS are unknown so they should not be used in products where disposal and release to the environment cannot be controlled. As they persist for long periods of time, PFAS are likely to be present in packaging materials long after their intentional addition to products ceases. Preventing intentional addition to packaging will reduce levels in packaging over time. </w:t>
            </w:r>
          </w:p>
        </w:tc>
      </w:tr>
      <w:tr w:rsidR="00411735" w:rsidRPr="00E45508" w14:paraId="20F0CF90" w14:textId="77777777" w:rsidTr="0040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9F458FD" w14:textId="22FF9057" w:rsidR="004B20C6" w:rsidRPr="00E45508" w:rsidRDefault="004B20C6" w:rsidP="0046234F">
            <w:pPr>
              <w:pStyle w:val="Tabletext0"/>
            </w:pPr>
            <w:r w:rsidRPr="00E45508">
              <w:t>PBT</w:t>
            </w:r>
            <w:r w:rsidR="001A18A2" w:rsidRPr="00E45508">
              <w:t xml:space="preserve"> chemicals</w:t>
            </w:r>
          </w:p>
        </w:tc>
        <w:tc>
          <w:tcPr>
            <w:tcW w:w="6044" w:type="dxa"/>
          </w:tcPr>
          <w:p w14:paraId="3E06BFCC" w14:textId="34D95410" w:rsidR="004B20C6" w:rsidRPr="00E45508" w:rsidRDefault="6B5D75F0" w:rsidP="0046234F">
            <w:pPr>
              <w:pStyle w:val="Tabletext0"/>
              <w:cnfStyle w:val="000000100000" w:firstRow="0" w:lastRow="0" w:firstColumn="0" w:lastColumn="0" w:oddVBand="0" w:evenVBand="0" w:oddHBand="1" w:evenHBand="0" w:firstRowFirstColumn="0" w:firstRowLastColumn="0" w:lastRowFirstColumn="0" w:lastRowLastColumn="0"/>
              <w:rPr>
                <w:i/>
                <w:iCs/>
              </w:rPr>
            </w:pPr>
            <w:r w:rsidRPr="00E45508">
              <w:rPr>
                <w:i/>
                <w:iCs/>
                <w:color w:val="197C7D" w:themeColor="accent1"/>
              </w:rPr>
              <w:t>Reason</w:t>
            </w:r>
            <w:r w:rsidR="004B20C6" w:rsidRPr="00E45508">
              <w:rPr>
                <w:i/>
                <w:iCs/>
                <w:color w:val="197C7D" w:themeColor="accent1"/>
              </w:rPr>
              <w:t>: likely to cause serious or irreversible harm to the environment</w:t>
            </w:r>
            <w:r w:rsidR="004B20C6" w:rsidRPr="00E45508">
              <w:rPr>
                <w:i/>
                <w:iCs/>
              </w:rPr>
              <w:t xml:space="preserve"> </w:t>
            </w:r>
          </w:p>
          <w:p w14:paraId="23F8BF71" w14:textId="43C9EDA9" w:rsidR="004B20C6" w:rsidRPr="00E45508" w:rsidRDefault="004B20C6" w:rsidP="0046234F">
            <w:pPr>
              <w:pStyle w:val="Tabletext0"/>
              <w:cnfStyle w:val="000000100000" w:firstRow="0" w:lastRow="0" w:firstColumn="0" w:lastColumn="0" w:oddVBand="0" w:evenVBand="0" w:oddHBand="1" w:evenHBand="0" w:firstRowFirstColumn="0" w:firstRowLastColumn="0" w:lastRowFirstColumn="0" w:lastRowLastColumn="0"/>
            </w:pPr>
            <w:r w:rsidRPr="00E45508">
              <w:t>Persistent, bioaccumulative and toxic (PBT) chemicals are the highest concern chemicals to the environment and will be prohibited or severely restricted under the Industrial Chemicals Environmental Management Standard (IChEMS)</w:t>
            </w:r>
            <w:r w:rsidR="00796460" w:rsidRPr="00E45508">
              <w:t xml:space="preserve"> (DCCEEW 2024</w:t>
            </w:r>
            <w:r w:rsidR="001E3D54">
              <w:t>d</w:t>
            </w:r>
            <w:r w:rsidRPr="00E45508">
              <w:t>).</w:t>
            </w:r>
          </w:p>
        </w:tc>
      </w:tr>
      <w:tr w:rsidR="00987CF7" w:rsidRPr="00E45508" w14:paraId="78C39C38" w14:textId="77777777" w:rsidTr="004060A0">
        <w:tc>
          <w:tcPr>
            <w:cnfStyle w:val="001000000000" w:firstRow="0" w:lastRow="0" w:firstColumn="1" w:lastColumn="0" w:oddVBand="0" w:evenVBand="0" w:oddHBand="0" w:evenHBand="0" w:firstRowFirstColumn="0" w:firstRowLastColumn="0" w:lastRowFirstColumn="0" w:lastRowLastColumn="0"/>
            <w:tcW w:w="2977" w:type="dxa"/>
          </w:tcPr>
          <w:p w14:paraId="4055D14D" w14:textId="77777777" w:rsidR="004B20C6" w:rsidRPr="00E45508" w:rsidRDefault="004B20C6" w:rsidP="0046234F">
            <w:pPr>
              <w:pStyle w:val="Tabletext0"/>
            </w:pPr>
            <w:r w:rsidRPr="00E45508">
              <w:t>Chemicals that prevent recycling</w:t>
            </w:r>
          </w:p>
        </w:tc>
        <w:tc>
          <w:tcPr>
            <w:tcW w:w="6044" w:type="dxa"/>
          </w:tcPr>
          <w:p w14:paraId="374B4460" w14:textId="4DE8CE08" w:rsidR="004B20C6" w:rsidRPr="00E45508" w:rsidRDefault="6B5D75F0" w:rsidP="0046234F">
            <w:pPr>
              <w:pStyle w:val="Tabletext0"/>
              <w:cnfStyle w:val="000000000000" w:firstRow="0" w:lastRow="0" w:firstColumn="0" w:lastColumn="0" w:oddVBand="0" w:evenVBand="0" w:oddHBand="0" w:evenHBand="0" w:firstRowFirstColumn="0" w:firstRowLastColumn="0" w:lastRowFirstColumn="0" w:lastRowLastColumn="0"/>
              <w:rPr>
                <w:i/>
                <w:iCs/>
              </w:rPr>
            </w:pPr>
            <w:r w:rsidRPr="00E45508">
              <w:rPr>
                <w:i/>
                <w:iCs/>
                <w:color w:val="197C7D" w:themeColor="accent1"/>
              </w:rPr>
              <w:t>Reason</w:t>
            </w:r>
            <w:r w:rsidR="004B20C6" w:rsidRPr="00E45508">
              <w:rPr>
                <w:i/>
                <w:iCs/>
                <w:color w:val="197C7D" w:themeColor="accent1"/>
              </w:rPr>
              <w:t>: landfilling the only disposal pathway</w:t>
            </w:r>
          </w:p>
          <w:p w14:paraId="5D8AE2B3" w14:textId="77777777" w:rsidR="004B20C6" w:rsidRPr="00E45508" w:rsidRDefault="004B20C6" w:rsidP="0046234F">
            <w:pPr>
              <w:pStyle w:val="Tabletext0"/>
              <w:cnfStyle w:val="000000000000" w:firstRow="0" w:lastRow="0" w:firstColumn="0" w:lastColumn="0" w:oddVBand="0" w:evenVBand="0" w:oddHBand="0" w:evenHBand="0" w:firstRowFirstColumn="0" w:firstRowLastColumn="0" w:lastRowFirstColumn="0" w:lastRowLastColumn="0"/>
            </w:pPr>
            <w:r w:rsidRPr="00E45508">
              <w:t>Chemicals that prevent recycling should be eliminated from materials where the disposal pathway is landfilling.</w:t>
            </w:r>
          </w:p>
        </w:tc>
      </w:tr>
    </w:tbl>
    <w:p w14:paraId="19A968A6" w14:textId="77777777" w:rsidR="00705BE5" w:rsidRPr="00E45508" w:rsidRDefault="00705BE5">
      <w:pPr>
        <w:spacing w:after="0" w:line="240" w:lineRule="auto"/>
      </w:pPr>
      <w:r w:rsidRPr="00E45508">
        <w:br w:type="page"/>
      </w:r>
    </w:p>
    <w:p w14:paraId="589B896A" w14:textId="6D828947" w:rsidR="0046234F" w:rsidRPr="00E45508" w:rsidRDefault="0046234F" w:rsidP="00032651">
      <w:pPr>
        <w:pStyle w:val="Caption"/>
      </w:pPr>
      <w:r w:rsidRPr="00E45508">
        <w:t>Table C.</w:t>
      </w:r>
      <w:r w:rsidR="00032651" w:rsidRPr="00E45508">
        <w:t>2</w:t>
      </w:r>
      <w:r w:rsidRPr="00E45508">
        <w:t xml:space="preserve">: </w:t>
      </w:r>
      <w:r w:rsidR="00032651" w:rsidRPr="00E45508">
        <w:t>Chemicals targeted for phase-down and transition to alternatives</w:t>
      </w:r>
    </w:p>
    <w:tbl>
      <w:tblPr>
        <w:tblStyle w:val="PlainTable2"/>
        <w:tblW w:w="0" w:type="auto"/>
        <w:tblLook w:val="04A0" w:firstRow="1" w:lastRow="0" w:firstColumn="1" w:lastColumn="0" w:noHBand="0" w:noVBand="1"/>
      </w:tblPr>
      <w:tblGrid>
        <w:gridCol w:w="2977"/>
        <w:gridCol w:w="6044"/>
      </w:tblGrid>
      <w:tr w:rsidR="0046234F" w:rsidRPr="00E45508" w14:paraId="28BBDEA4" w14:textId="77777777" w:rsidTr="00FF5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1F398B9" w14:textId="77777777" w:rsidR="0046234F" w:rsidRPr="00E45508" w:rsidRDefault="0046234F" w:rsidP="00FF570C">
            <w:pPr>
              <w:pStyle w:val="Tabletext0"/>
            </w:pPr>
            <w:r w:rsidRPr="00E45508">
              <w:t>Chemical</w:t>
            </w:r>
          </w:p>
        </w:tc>
        <w:tc>
          <w:tcPr>
            <w:tcW w:w="6044" w:type="dxa"/>
          </w:tcPr>
          <w:p w14:paraId="5936DCA7" w14:textId="77777777" w:rsidR="0046234F" w:rsidRPr="00E45508" w:rsidRDefault="0046234F" w:rsidP="00FF570C">
            <w:pPr>
              <w:pStyle w:val="Tabletext0"/>
              <w:cnfStyle w:val="100000000000" w:firstRow="1" w:lastRow="0" w:firstColumn="0" w:lastColumn="0" w:oddVBand="0" w:evenVBand="0" w:oddHBand="0" w:evenHBand="0" w:firstRowFirstColumn="0" w:firstRowLastColumn="0" w:lastRowFirstColumn="0" w:lastRowLastColumn="0"/>
            </w:pPr>
            <w:r w:rsidRPr="00E45508">
              <w:t>Description</w:t>
            </w:r>
          </w:p>
        </w:tc>
      </w:tr>
      <w:tr w:rsidR="0046234F" w:rsidRPr="00E45508" w14:paraId="5A36927A" w14:textId="77777777" w:rsidTr="00FF5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3C2961A" w14:textId="77777777" w:rsidR="0046234F" w:rsidRPr="00E45508" w:rsidRDefault="0046234F" w:rsidP="00032651">
            <w:pPr>
              <w:pStyle w:val="Tabletext0"/>
            </w:pPr>
            <w:r w:rsidRPr="00E45508">
              <w:t>Phthalates</w:t>
            </w:r>
          </w:p>
        </w:tc>
        <w:tc>
          <w:tcPr>
            <w:tcW w:w="6044" w:type="dxa"/>
          </w:tcPr>
          <w:p w14:paraId="1B05496D" w14:textId="77777777" w:rsidR="0046234F" w:rsidRPr="00E45508" w:rsidRDefault="0046234F" w:rsidP="00032651">
            <w:pPr>
              <w:pStyle w:val="Tabletext0"/>
              <w:cnfStyle w:val="000000100000" w:firstRow="0" w:lastRow="0" w:firstColumn="0" w:lastColumn="0" w:oddVBand="0" w:evenVBand="0" w:oddHBand="1" w:evenHBand="0" w:firstRowFirstColumn="0" w:firstRowLastColumn="0" w:lastRowFirstColumn="0" w:lastRowLastColumn="0"/>
              <w:rPr>
                <w:i/>
                <w:iCs/>
                <w:color w:val="197C7D" w:themeColor="accent1"/>
              </w:rPr>
            </w:pPr>
            <w:r w:rsidRPr="00E45508">
              <w:rPr>
                <w:i/>
                <w:iCs/>
                <w:color w:val="197C7D" w:themeColor="accent1"/>
              </w:rPr>
              <w:t>Reason: interfere with recycling process, reduce quality and safety of recyclate</w:t>
            </w:r>
          </w:p>
          <w:p w14:paraId="34DE963E" w14:textId="77777777" w:rsidR="0046234F" w:rsidRPr="00E45508" w:rsidRDefault="0046234F" w:rsidP="00032651">
            <w:pPr>
              <w:pStyle w:val="Tabletext0"/>
              <w:cnfStyle w:val="000000100000" w:firstRow="0" w:lastRow="0" w:firstColumn="0" w:lastColumn="0" w:oddVBand="0" w:evenVBand="0" w:oddHBand="1" w:evenHBand="0" w:firstRowFirstColumn="0" w:firstRowLastColumn="0" w:lastRowFirstColumn="0" w:lastRowLastColumn="0"/>
            </w:pPr>
            <w:r w:rsidRPr="00E45508">
              <w:t>Phthalates can disrupt the normal functioning of hormones in animals and people. They can affect the quality and safety of recyclate. Safer alternatives should be considered.</w:t>
            </w:r>
          </w:p>
        </w:tc>
      </w:tr>
      <w:tr w:rsidR="0046234F" w:rsidRPr="00E45508" w14:paraId="7732CD44" w14:textId="77777777" w:rsidTr="00FF570C">
        <w:tc>
          <w:tcPr>
            <w:cnfStyle w:val="001000000000" w:firstRow="0" w:lastRow="0" w:firstColumn="1" w:lastColumn="0" w:oddVBand="0" w:evenVBand="0" w:oddHBand="0" w:evenHBand="0" w:firstRowFirstColumn="0" w:firstRowLastColumn="0" w:lastRowFirstColumn="0" w:lastRowLastColumn="0"/>
            <w:tcW w:w="2977" w:type="dxa"/>
          </w:tcPr>
          <w:p w14:paraId="7A9E36DF" w14:textId="77777777" w:rsidR="0046234F" w:rsidRPr="00E45508" w:rsidRDefault="0046234F" w:rsidP="00032651">
            <w:pPr>
              <w:pStyle w:val="Tabletext0"/>
            </w:pPr>
            <w:r w:rsidRPr="00E45508">
              <w:t>Flame retardants (not otherwise targeted for elimination)</w:t>
            </w:r>
          </w:p>
        </w:tc>
        <w:tc>
          <w:tcPr>
            <w:tcW w:w="6044" w:type="dxa"/>
          </w:tcPr>
          <w:p w14:paraId="22AC0013" w14:textId="77777777" w:rsidR="0046234F" w:rsidRPr="00E45508" w:rsidRDefault="0046234F" w:rsidP="00032651">
            <w:pPr>
              <w:pStyle w:val="Tabletext0"/>
              <w:cnfStyle w:val="000000000000" w:firstRow="0" w:lastRow="0" w:firstColumn="0" w:lastColumn="0" w:oddVBand="0" w:evenVBand="0" w:oddHBand="0" w:evenHBand="0" w:firstRowFirstColumn="0" w:firstRowLastColumn="0" w:lastRowFirstColumn="0" w:lastRowLastColumn="0"/>
            </w:pPr>
            <w:r w:rsidRPr="00E45508">
              <w:rPr>
                <w:i/>
                <w:iCs/>
                <w:color w:val="197C7D" w:themeColor="accent1"/>
              </w:rPr>
              <w:t>Reason: reduce quality and safety of recyclate, persist in the environment</w:t>
            </w:r>
          </w:p>
          <w:p w14:paraId="3B8BA481" w14:textId="77777777" w:rsidR="0046234F" w:rsidRPr="00E45508" w:rsidRDefault="0046234F" w:rsidP="00032651">
            <w:pPr>
              <w:pStyle w:val="Tabletext0"/>
              <w:cnfStyle w:val="000000000000" w:firstRow="0" w:lastRow="0" w:firstColumn="0" w:lastColumn="0" w:oddVBand="0" w:evenVBand="0" w:oddHBand="0" w:evenHBand="0" w:firstRowFirstColumn="0" w:firstRowLastColumn="0" w:lastRowFirstColumn="0" w:lastRowLastColumn="0"/>
            </w:pPr>
            <w:r w:rsidRPr="00E45508">
              <w:t xml:space="preserve">Some flame retardants can be harmful to the environment and persist for long period of time. Some brominated flame retardants are PBT or listed on the Stockholm Convention so should be eliminated. Flame retardants affect the quality and safety of recyclate so safer alternatives should be considered. </w:t>
            </w:r>
          </w:p>
        </w:tc>
      </w:tr>
      <w:tr w:rsidR="0046234F" w:rsidRPr="00E45508" w14:paraId="027B9885" w14:textId="77777777" w:rsidTr="00FF5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2F992D3" w14:textId="77777777" w:rsidR="0046234F" w:rsidRPr="00E45508" w:rsidRDefault="0046234F" w:rsidP="00032651">
            <w:pPr>
              <w:pStyle w:val="Tabletext0"/>
            </w:pPr>
            <w:r w:rsidRPr="00E45508">
              <w:t>Azo dyes</w:t>
            </w:r>
          </w:p>
        </w:tc>
        <w:tc>
          <w:tcPr>
            <w:tcW w:w="6044" w:type="dxa"/>
          </w:tcPr>
          <w:p w14:paraId="6B82A2DC" w14:textId="77777777" w:rsidR="0046234F" w:rsidRPr="00E45508" w:rsidRDefault="0046234F" w:rsidP="00032651">
            <w:pPr>
              <w:pStyle w:val="Tabletext0"/>
              <w:cnfStyle w:val="000000100000" w:firstRow="0" w:lastRow="0" w:firstColumn="0" w:lastColumn="0" w:oddVBand="0" w:evenVBand="0" w:oddHBand="1" w:evenHBand="0" w:firstRowFirstColumn="0" w:firstRowLastColumn="0" w:lastRowFirstColumn="0" w:lastRowLastColumn="0"/>
              <w:rPr>
                <w:i/>
                <w:iCs/>
                <w:color w:val="197C7D" w:themeColor="accent1"/>
              </w:rPr>
            </w:pPr>
            <w:r w:rsidRPr="00E45508">
              <w:rPr>
                <w:i/>
                <w:iCs/>
                <w:color w:val="197C7D" w:themeColor="accent1"/>
              </w:rPr>
              <w:t>Reason: reduce quality and safety of recyclate</w:t>
            </w:r>
          </w:p>
          <w:p w14:paraId="0DAEB5A8" w14:textId="77777777" w:rsidR="0046234F" w:rsidRPr="00E45508" w:rsidRDefault="0046234F" w:rsidP="00032651">
            <w:pPr>
              <w:pStyle w:val="Tabletext0"/>
              <w:cnfStyle w:val="000000100000" w:firstRow="0" w:lastRow="0" w:firstColumn="0" w:lastColumn="0" w:oddVBand="0" w:evenVBand="0" w:oddHBand="1" w:evenHBand="0" w:firstRowFirstColumn="0" w:firstRowLastColumn="0" w:lastRowFirstColumn="0" w:lastRowLastColumn="0"/>
            </w:pPr>
            <w:r w:rsidRPr="00E45508">
              <w:t>Some azo dyes can degrade into aromatic amines during the recycling process and affect the safety and quality of recyclate.</w:t>
            </w:r>
          </w:p>
        </w:tc>
      </w:tr>
      <w:tr w:rsidR="0046234F" w:rsidRPr="00E45508" w14:paraId="6E8BFBD8" w14:textId="77777777" w:rsidTr="00FF570C">
        <w:tc>
          <w:tcPr>
            <w:cnfStyle w:val="001000000000" w:firstRow="0" w:lastRow="0" w:firstColumn="1" w:lastColumn="0" w:oddVBand="0" w:evenVBand="0" w:oddHBand="0" w:evenHBand="0" w:firstRowFirstColumn="0" w:firstRowLastColumn="0" w:lastRowFirstColumn="0" w:lastRowLastColumn="0"/>
            <w:tcW w:w="2977" w:type="dxa"/>
          </w:tcPr>
          <w:p w14:paraId="5A96D96B" w14:textId="77777777" w:rsidR="0046234F" w:rsidRPr="00E45508" w:rsidRDefault="0046234F" w:rsidP="00032651">
            <w:pPr>
              <w:pStyle w:val="Tabletext0"/>
            </w:pPr>
            <w:r w:rsidRPr="00E45508">
              <w:t>Bisphenols</w:t>
            </w:r>
          </w:p>
        </w:tc>
        <w:tc>
          <w:tcPr>
            <w:tcW w:w="6044" w:type="dxa"/>
          </w:tcPr>
          <w:p w14:paraId="681FB311" w14:textId="77777777" w:rsidR="0046234F" w:rsidRPr="00E45508" w:rsidRDefault="0046234F" w:rsidP="00032651">
            <w:pPr>
              <w:pStyle w:val="Tabletext0"/>
              <w:cnfStyle w:val="000000000000" w:firstRow="0" w:lastRow="0" w:firstColumn="0" w:lastColumn="0" w:oddVBand="0" w:evenVBand="0" w:oddHBand="0" w:evenHBand="0" w:firstRowFirstColumn="0" w:firstRowLastColumn="0" w:lastRowFirstColumn="0" w:lastRowLastColumn="0"/>
              <w:rPr>
                <w:i/>
                <w:iCs/>
                <w:color w:val="197C7D" w:themeColor="accent1"/>
              </w:rPr>
            </w:pPr>
            <w:r w:rsidRPr="00E45508">
              <w:rPr>
                <w:i/>
                <w:iCs/>
                <w:color w:val="197C7D" w:themeColor="accent1"/>
              </w:rPr>
              <w:t>Reason: reduce quality and usability of recyclate</w:t>
            </w:r>
          </w:p>
          <w:p w14:paraId="232571D0" w14:textId="77777777" w:rsidR="0046234F" w:rsidRPr="00E45508" w:rsidRDefault="0046234F" w:rsidP="00032651">
            <w:pPr>
              <w:pStyle w:val="Tabletext0"/>
              <w:cnfStyle w:val="000000000000" w:firstRow="0" w:lastRow="0" w:firstColumn="0" w:lastColumn="0" w:oddVBand="0" w:evenVBand="0" w:oddHBand="0" w:evenHBand="0" w:firstRowFirstColumn="0" w:firstRowLastColumn="0" w:lastRowFirstColumn="0" w:lastRowLastColumn="0"/>
            </w:pPr>
            <w:r w:rsidRPr="00E45508">
              <w:t>There are concerns around the use of Bisphenol A (BPA) as it has been shown to leach into food and beverages. Food Standards Australia and New Zealand (FSANZ) found that in Australia, the risk to human health from BPA leaching into food and drink is low. However, BPA as a free additive can affect the quality and reusability of recyclate so alternatives should be considered.</w:t>
            </w:r>
          </w:p>
        </w:tc>
      </w:tr>
      <w:tr w:rsidR="0046234F" w:rsidRPr="00E45508" w14:paraId="079FF59D" w14:textId="77777777" w:rsidTr="00FF5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B499205" w14:textId="77777777" w:rsidR="0046234F" w:rsidRPr="00E45508" w:rsidRDefault="0046234F" w:rsidP="00032651">
            <w:pPr>
              <w:pStyle w:val="Tabletext0"/>
            </w:pPr>
            <w:r w:rsidRPr="00E45508">
              <w:t>Chemicals that impede recycling</w:t>
            </w:r>
          </w:p>
        </w:tc>
        <w:tc>
          <w:tcPr>
            <w:tcW w:w="6044" w:type="dxa"/>
          </w:tcPr>
          <w:p w14:paraId="207389BC" w14:textId="77777777" w:rsidR="0046234F" w:rsidRPr="00E45508" w:rsidRDefault="0046234F" w:rsidP="00032651">
            <w:pPr>
              <w:pStyle w:val="Tabletext0"/>
              <w:cnfStyle w:val="000000100000" w:firstRow="0" w:lastRow="0" w:firstColumn="0" w:lastColumn="0" w:oddVBand="0" w:evenVBand="0" w:oddHBand="1" w:evenHBand="0" w:firstRowFirstColumn="0" w:firstRowLastColumn="0" w:lastRowFirstColumn="0" w:lastRowLastColumn="0"/>
              <w:rPr>
                <w:i/>
                <w:iCs/>
              </w:rPr>
            </w:pPr>
            <w:r w:rsidRPr="00E45508">
              <w:rPr>
                <w:i/>
                <w:iCs/>
                <w:color w:val="197C7D" w:themeColor="accent1"/>
                <w:shd w:val="clear" w:color="auto" w:fill="FFFFFF" w:themeFill="background1"/>
              </w:rPr>
              <w:t>Reason: reduced material value or landfilling a likely disposal pathway</w:t>
            </w:r>
          </w:p>
          <w:p w14:paraId="0B77A274" w14:textId="77777777" w:rsidR="0046234F" w:rsidRPr="00E45508" w:rsidRDefault="0046234F" w:rsidP="00032651">
            <w:pPr>
              <w:pStyle w:val="Tabletext0"/>
              <w:cnfStyle w:val="000000100000" w:firstRow="0" w:lastRow="0" w:firstColumn="0" w:lastColumn="0" w:oddVBand="0" w:evenVBand="0" w:oddHBand="1" w:evenHBand="0" w:firstRowFirstColumn="0" w:firstRowLastColumn="0" w:lastRowFirstColumn="0" w:lastRowLastColumn="0"/>
            </w:pPr>
            <w:r w:rsidRPr="00E45508">
              <w:t>Chemicals that impede recycling should be phased-down to increase the likelihood of efficient recycling and decrease packaging being diverted to landfill.</w:t>
            </w:r>
          </w:p>
        </w:tc>
      </w:tr>
    </w:tbl>
    <w:p w14:paraId="51FEAC8F" w14:textId="77777777" w:rsidR="00032651" w:rsidRPr="00E45508" w:rsidRDefault="00032651" w:rsidP="00032651"/>
    <w:p w14:paraId="5322F6D6" w14:textId="1F922D5C" w:rsidR="00032651" w:rsidRPr="00E45508" w:rsidRDefault="00032651" w:rsidP="00032651">
      <w:pPr>
        <w:pStyle w:val="Caption"/>
      </w:pPr>
      <w:r w:rsidRPr="00E45508">
        <w:t>Table C.3: Chemical use that should be minimised or avoided</w:t>
      </w:r>
    </w:p>
    <w:tbl>
      <w:tblPr>
        <w:tblStyle w:val="PlainTable2"/>
        <w:tblW w:w="0" w:type="auto"/>
        <w:tblLook w:val="04A0" w:firstRow="1" w:lastRow="0" w:firstColumn="1" w:lastColumn="0" w:noHBand="0" w:noVBand="1"/>
      </w:tblPr>
      <w:tblGrid>
        <w:gridCol w:w="2977"/>
        <w:gridCol w:w="6044"/>
      </w:tblGrid>
      <w:tr w:rsidR="00032651" w:rsidRPr="00E45508" w14:paraId="0FB64395" w14:textId="77777777" w:rsidTr="00FF5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F644708" w14:textId="77777777" w:rsidR="00032651" w:rsidRPr="00E45508" w:rsidRDefault="00032651" w:rsidP="00FF570C">
            <w:pPr>
              <w:pStyle w:val="Tabletext0"/>
            </w:pPr>
            <w:r w:rsidRPr="00E45508">
              <w:t>Chemical</w:t>
            </w:r>
          </w:p>
        </w:tc>
        <w:tc>
          <w:tcPr>
            <w:tcW w:w="6044" w:type="dxa"/>
          </w:tcPr>
          <w:p w14:paraId="4505EF33" w14:textId="77777777" w:rsidR="00032651" w:rsidRPr="00E45508" w:rsidRDefault="00032651" w:rsidP="00FF570C">
            <w:pPr>
              <w:pStyle w:val="Tabletext0"/>
              <w:cnfStyle w:val="100000000000" w:firstRow="1" w:lastRow="0" w:firstColumn="0" w:lastColumn="0" w:oddVBand="0" w:evenVBand="0" w:oddHBand="0" w:evenHBand="0" w:firstRowFirstColumn="0" w:firstRowLastColumn="0" w:lastRowFirstColumn="0" w:lastRowLastColumn="0"/>
            </w:pPr>
            <w:r w:rsidRPr="00E45508">
              <w:t>Description</w:t>
            </w:r>
          </w:p>
        </w:tc>
      </w:tr>
      <w:tr w:rsidR="00032651" w:rsidRPr="00E45508" w14:paraId="13ECBBFB" w14:textId="77777777" w:rsidTr="00FF5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5A81661" w14:textId="77777777" w:rsidR="00032651" w:rsidRPr="00E45508" w:rsidRDefault="00032651" w:rsidP="00032651">
            <w:pPr>
              <w:pStyle w:val="Tabletext0"/>
            </w:pPr>
            <w:r w:rsidRPr="00E45508">
              <w:t>Colourants</w:t>
            </w:r>
          </w:p>
        </w:tc>
        <w:tc>
          <w:tcPr>
            <w:tcW w:w="6044" w:type="dxa"/>
          </w:tcPr>
          <w:p w14:paraId="3C6F4667" w14:textId="77777777" w:rsidR="00032651" w:rsidRPr="00E45508" w:rsidRDefault="00032651" w:rsidP="00032651">
            <w:pPr>
              <w:pStyle w:val="Tabletext0"/>
              <w:cnfStyle w:val="000000100000" w:firstRow="0" w:lastRow="0" w:firstColumn="0" w:lastColumn="0" w:oddVBand="0" w:evenVBand="0" w:oddHBand="1" w:evenHBand="0" w:firstRowFirstColumn="0" w:firstRowLastColumn="0" w:lastRowFirstColumn="0" w:lastRowLastColumn="0"/>
              <w:rPr>
                <w:i/>
                <w:iCs/>
              </w:rPr>
            </w:pPr>
            <w:r w:rsidRPr="00E45508">
              <w:rPr>
                <w:i/>
                <w:iCs/>
                <w:color w:val="197C7D" w:themeColor="accent1"/>
              </w:rPr>
              <w:t>Reason: reduced material value</w:t>
            </w:r>
          </w:p>
        </w:tc>
      </w:tr>
      <w:tr w:rsidR="00032651" w:rsidRPr="00E45508" w14:paraId="1C261CAA" w14:textId="77777777" w:rsidTr="00FF570C">
        <w:tc>
          <w:tcPr>
            <w:cnfStyle w:val="001000000000" w:firstRow="0" w:lastRow="0" w:firstColumn="1" w:lastColumn="0" w:oddVBand="0" w:evenVBand="0" w:oddHBand="0" w:evenHBand="0" w:firstRowFirstColumn="0" w:firstRowLastColumn="0" w:lastRowFirstColumn="0" w:lastRowLastColumn="0"/>
            <w:tcW w:w="2977" w:type="dxa"/>
          </w:tcPr>
          <w:p w14:paraId="7BF4487F" w14:textId="77777777" w:rsidR="00032651" w:rsidRPr="00E45508" w:rsidRDefault="00032651" w:rsidP="00032651">
            <w:pPr>
              <w:pStyle w:val="Tabletext0"/>
            </w:pPr>
            <w:r w:rsidRPr="00E45508">
              <w:t>Solvents</w:t>
            </w:r>
          </w:p>
        </w:tc>
        <w:tc>
          <w:tcPr>
            <w:tcW w:w="6044" w:type="dxa"/>
          </w:tcPr>
          <w:p w14:paraId="658E38CE" w14:textId="77777777" w:rsidR="00032651" w:rsidRPr="00E45508" w:rsidRDefault="00032651" w:rsidP="00032651">
            <w:pPr>
              <w:pStyle w:val="Tabletext0"/>
              <w:cnfStyle w:val="000000000000" w:firstRow="0" w:lastRow="0" w:firstColumn="0" w:lastColumn="0" w:oddVBand="0" w:evenVBand="0" w:oddHBand="0" w:evenHBand="0" w:firstRowFirstColumn="0" w:firstRowLastColumn="0" w:lastRowFirstColumn="0" w:lastRowLastColumn="0"/>
              <w:rPr>
                <w:i/>
                <w:iCs/>
              </w:rPr>
            </w:pPr>
            <w:r w:rsidRPr="00E45508">
              <w:rPr>
                <w:i/>
                <w:iCs/>
                <w:color w:val="197C7D" w:themeColor="accent1"/>
              </w:rPr>
              <w:t>Reason: residues can interfere with recycling, reduced material value</w:t>
            </w:r>
          </w:p>
        </w:tc>
      </w:tr>
      <w:tr w:rsidR="00032651" w:rsidRPr="00E45508" w14:paraId="0A3BD780" w14:textId="77777777" w:rsidTr="00FF5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D2679D3" w14:textId="77777777" w:rsidR="00032651" w:rsidRPr="00E45508" w:rsidRDefault="00032651" w:rsidP="00032651">
            <w:pPr>
              <w:pStyle w:val="Tabletext0"/>
            </w:pPr>
            <w:r w:rsidRPr="00E45508">
              <w:t>Adhesives</w:t>
            </w:r>
          </w:p>
        </w:tc>
        <w:tc>
          <w:tcPr>
            <w:tcW w:w="6044" w:type="dxa"/>
          </w:tcPr>
          <w:p w14:paraId="481C8C36" w14:textId="77777777" w:rsidR="00032651" w:rsidRPr="00E45508" w:rsidRDefault="00032651" w:rsidP="00032651">
            <w:pPr>
              <w:pStyle w:val="Tabletext0"/>
              <w:cnfStyle w:val="000000100000" w:firstRow="0" w:lastRow="0" w:firstColumn="0" w:lastColumn="0" w:oddVBand="0" w:evenVBand="0" w:oddHBand="1" w:evenHBand="0" w:firstRowFirstColumn="0" w:firstRowLastColumn="0" w:lastRowFirstColumn="0" w:lastRowLastColumn="0"/>
              <w:rPr>
                <w:i/>
                <w:iCs/>
              </w:rPr>
            </w:pPr>
            <w:r w:rsidRPr="00E45508">
              <w:rPr>
                <w:i/>
                <w:iCs/>
                <w:color w:val="197C7D" w:themeColor="accent1"/>
              </w:rPr>
              <w:t>Reason: residues can interfere with recycling, reduced material value</w:t>
            </w:r>
          </w:p>
        </w:tc>
      </w:tr>
    </w:tbl>
    <w:p w14:paraId="57C7442B" w14:textId="4FF8644A" w:rsidR="009E3107" w:rsidRPr="00E45508" w:rsidRDefault="009E3107">
      <w:pPr>
        <w:spacing w:after="0" w:line="240" w:lineRule="auto"/>
        <w:rPr>
          <w:rFonts w:cstheme="minorHAnsi"/>
        </w:rPr>
      </w:pPr>
    </w:p>
    <w:p w14:paraId="4030B83B" w14:textId="08D7C835" w:rsidR="009E3107" w:rsidRPr="00E45508" w:rsidRDefault="00E512B0" w:rsidP="00505189">
      <w:pPr>
        <w:pStyle w:val="Heading2"/>
        <w:numPr>
          <w:ilvl w:val="0"/>
          <w:numId w:val="15"/>
        </w:numPr>
      </w:pPr>
      <w:bookmarkStart w:id="356" w:name="_Toc177126626"/>
      <w:bookmarkStart w:id="357" w:name="_Toc177493034"/>
      <w:bookmarkStart w:id="358" w:name="_Ref177633664"/>
      <w:bookmarkStart w:id="359" w:name="_Ref177633671"/>
      <w:bookmarkStart w:id="360" w:name="_Ref177633689"/>
      <w:bookmarkStart w:id="361" w:name="_Toc178230282"/>
      <w:r w:rsidRPr="00E45508">
        <w:t xml:space="preserve">– </w:t>
      </w:r>
      <w:r w:rsidR="00981B2B" w:rsidRPr="00E45508">
        <w:t>A</w:t>
      </w:r>
      <w:r w:rsidR="002C4422" w:rsidRPr="00E45508">
        <w:t>dditional recycled content information</w:t>
      </w:r>
      <w:bookmarkEnd w:id="356"/>
      <w:bookmarkEnd w:id="357"/>
      <w:bookmarkEnd w:id="358"/>
      <w:bookmarkEnd w:id="359"/>
      <w:bookmarkEnd w:id="360"/>
      <w:bookmarkEnd w:id="361"/>
    </w:p>
    <w:p w14:paraId="74364FF2" w14:textId="2B52BB4A" w:rsidR="009E3107" w:rsidRPr="00E45508" w:rsidRDefault="00981B2B" w:rsidP="009C7010">
      <w:pPr>
        <w:pStyle w:val="Heading3"/>
        <w:numPr>
          <w:ilvl w:val="0"/>
          <w:numId w:val="0"/>
        </w:numPr>
      </w:pPr>
      <w:bookmarkStart w:id="362" w:name="_Toc177126627"/>
      <w:bookmarkStart w:id="363" w:name="_Toc177493035"/>
      <w:bookmarkStart w:id="364" w:name="_Toc177633327"/>
      <w:bookmarkStart w:id="365" w:name="_Toc177653284"/>
      <w:bookmarkStart w:id="366" w:name="_Toc178167887"/>
      <w:bookmarkStart w:id="367" w:name="_Toc178229363"/>
      <w:bookmarkStart w:id="368" w:name="_Toc178230283"/>
      <w:r w:rsidRPr="00E45508">
        <w:t>Chain of custody approaches</w:t>
      </w:r>
      <w:bookmarkEnd w:id="362"/>
      <w:bookmarkEnd w:id="363"/>
      <w:bookmarkEnd w:id="364"/>
      <w:bookmarkEnd w:id="365"/>
      <w:bookmarkEnd w:id="366"/>
      <w:bookmarkEnd w:id="367"/>
      <w:bookmarkEnd w:id="368"/>
    </w:p>
    <w:p w14:paraId="588E0719" w14:textId="0F207349" w:rsidR="3AE52AD2" w:rsidRPr="00E45508" w:rsidRDefault="3AE52AD2" w:rsidP="007F77CB">
      <w:r w:rsidRPr="00E45508">
        <w:t xml:space="preserve">The chain of custody approaches outlined in the NFRCT </w:t>
      </w:r>
      <w:r w:rsidR="00716571" w:rsidRPr="00E45508">
        <w:t>(DCCEEW</w:t>
      </w:r>
      <w:r w:rsidR="00421651" w:rsidRPr="00E45508">
        <w:t> 2</w:t>
      </w:r>
      <w:r w:rsidR="00F9404F" w:rsidRPr="00E45508">
        <w:t>023)</w:t>
      </w:r>
      <w:r w:rsidRPr="00E45508">
        <w:t xml:space="preserve"> are:</w:t>
      </w:r>
    </w:p>
    <w:p w14:paraId="35CD9A89" w14:textId="1EA944A1" w:rsidR="3AE52AD2" w:rsidRPr="00E45508" w:rsidRDefault="3AE52AD2" w:rsidP="009C1F84">
      <w:pPr>
        <w:pStyle w:val="ListBullet"/>
      </w:pPr>
      <w:r w:rsidRPr="00E45508">
        <w:t>Identity preservation: Recycled materials from different sources (for example, different businesses) are kept separate and never mixed with non-recycled materials as they move through the supply chain. Each final packaging product will contain</w:t>
      </w:r>
      <w:r w:rsidR="00421651" w:rsidRPr="00E45508">
        <w:t> 1</w:t>
      </w:r>
      <w:r w:rsidRPr="00E45508">
        <w:t>00% recycled content from a known source. This approach provides the highest degree of physical traceability.</w:t>
      </w:r>
    </w:p>
    <w:p w14:paraId="5FBAE56A" w14:textId="36B3CCBF" w:rsidR="3AE52AD2" w:rsidRPr="00E45508" w:rsidRDefault="3AE52AD2" w:rsidP="009C1F84">
      <w:pPr>
        <w:pStyle w:val="ListBullet"/>
      </w:pPr>
      <w:r w:rsidRPr="00E45508">
        <w:t>Segregation: recycled materials from different sources, but with identical characteristics, are combined but are never mixed with non-recycled materials as they move through the supply chain. Each final packaging product will contain</w:t>
      </w:r>
      <w:r w:rsidR="00421651" w:rsidRPr="00E45508">
        <w:t> 1</w:t>
      </w:r>
      <w:r w:rsidRPr="00E45508">
        <w:t>00% recycled content from two or more known sources.</w:t>
      </w:r>
    </w:p>
    <w:p w14:paraId="4E46CA7C" w14:textId="77777777" w:rsidR="3AE52AD2" w:rsidRPr="00E45508" w:rsidRDefault="3AE52AD2" w:rsidP="009C1F84">
      <w:pPr>
        <w:pStyle w:val="ListBullet"/>
      </w:pPr>
      <w:r w:rsidRPr="00E45508">
        <w:t>Controlled blending: recycled materials and non-recycled materials are combined in specific ratios, resulting in a known percentage of recycled content in each output or packaging product.</w:t>
      </w:r>
    </w:p>
    <w:p w14:paraId="14A88569" w14:textId="169E65EB" w:rsidR="418DB322" w:rsidRPr="00E45508" w:rsidRDefault="3AE52AD2" w:rsidP="009C1F84">
      <w:pPr>
        <w:pStyle w:val="ListBullet"/>
      </w:pPr>
      <w:r w:rsidRPr="00E45508">
        <w:t>Mass balance: A method of tracking the use of recycled materials within a production process over a specific period. Instead of physically separating recycled and non-recycled materials, the total amount of recycled material input is calculated and attributed to the total output. The recycled content is calculated as an average across the entire production batch or period.</w:t>
      </w:r>
    </w:p>
    <w:p w14:paraId="22C2F449" w14:textId="537E46B1" w:rsidR="00F52E8D" w:rsidRPr="00E45508" w:rsidRDefault="640E8985" w:rsidP="002708CB">
      <w:pPr>
        <w:pStyle w:val="Heading4"/>
        <w:numPr>
          <w:ilvl w:val="0"/>
          <w:numId w:val="0"/>
        </w:numPr>
      </w:pPr>
      <w:r w:rsidRPr="00E45508">
        <w:t>Mass balance</w:t>
      </w:r>
      <w:r w:rsidR="30737683" w:rsidRPr="00E45508">
        <w:t xml:space="preserve"> parameters</w:t>
      </w:r>
    </w:p>
    <w:p w14:paraId="2C226691" w14:textId="77777777" w:rsidR="00F52E8D" w:rsidRPr="00E45508" w:rsidRDefault="00F52E8D" w:rsidP="009C1F84">
      <w:pPr>
        <w:pStyle w:val="ListBullet"/>
      </w:pPr>
      <w:r w:rsidRPr="00E45508">
        <w:t>Claims made using a mass balance approach must ensure that each mass balance is material specific and use consistent units of measurement. Mass balance claims should be kept site specific where possible.</w:t>
      </w:r>
    </w:p>
    <w:p w14:paraId="3EC59E8B" w14:textId="03EF7A40" w:rsidR="00F52E8D" w:rsidRPr="00E45508" w:rsidRDefault="00F52E8D" w:rsidP="009C1F84">
      <w:pPr>
        <w:pStyle w:val="ListBullet"/>
      </w:pPr>
      <w:r w:rsidRPr="00E45508">
        <w:t>The mass balance period shall not exceed</w:t>
      </w:r>
      <w:r w:rsidR="00421651" w:rsidRPr="00E45508">
        <w:t> 1</w:t>
      </w:r>
      <w:r w:rsidRPr="00E45508">
        <w:t>2 months.</w:t>
      </w:r>
    </w:p>
    <w:p w14:paraId="3E601A7B" w14:textId="77777777" w:rsidR="00F52E8D" w:rsidRPr="00E45508" w:rsidRDefault="00F52E8D" w:rsidP="009C1F84">
      <w:pPr>
        <w:pStyle w:val="ListBullet"/>
      </w:pPr>
      <w:r w:rsidRPr="00E45508">
        <w:t>Packaging made under a mass balance method may calculate their recycled content claim using credit accounting.</w:t>
      </w:r>
    </w:p>
    <w:p w14:paraId="07E4AE50" w14:textId="77777777" w:rsidR="00F52E8D" w:rsidRPr="00E45508" w:rsidRDefault="00F52E8D" w:rsidP="002708CB">
      <w:pPr>
        <w:pStyle w:val="Heading5"/>
        <w:numPr>
          <w:ilvl w:val="0"/>
          <w:numId w:val="0"/>
        </w:numPr>
        <w:rPr>
          <w:lang w:val="en-AU"/>
        </w:rPr>
      </w:pPr>
      <w:r w:rsidRPr="00E45508">
        <w:rPr>
          <w:lang w:val="en-AU"/>
        </w:rPr>
        <w:t xml:space="preserve">Credit accounting </w:t>
      </w:r>
    </w:p>
    <w:p w14:paraId="6AFFED6E" w14:textId="455B3590" w:rsidR="00F52E8D" w:rsidRPr="00E45508" w:rsidRDefault="00F52E8D" w:rsidP="009C1F84">
      <w:pPr>
        <w:pStyle w:val="ListBullet"/>
      </w:pPr>
      <w:r w:rsidRPr="00E45508">
        <w:t>Credit accounting is incorporated into the mass balance approach and involves converting each unit of recycled inputs into bookkeeping credits over a mass balance period and making deductions to cover the claims made on recycled content packaging dispatched over the same period.</w:t>
      </w:r>
    </w:p>
    <w:tbl>
      <w:tblPr>
        <w:tblStyle w:val="TableGrid"/>
        <w:tblW w:w="0" w:type="auto"/>
        <w:tblLook w:val="04A0" w:firstRow="1" w:lastRow="0" w:firstColumn="1" w:lastColumn="0" w:noHBand="0" w:noVBand="1"/>
      </w:tblPr>
      <w:tblGrid>
        <w:gridCol w:w="9060"/>
      </w:tblGrid>
      <w:tr w:rsidR="00F52E8D" w:rsidRPr="00E45508" w14:paraId="359E24F6" w14:textId="77777777" w:rsidTr="00077E29">
        <w:trPr>
          <w:cantSplit/>
        </w:trPr>
        <w:tc>
          <w:tcPr>
            <w:tcW w:w="9060" w:type="dxa"/>
          </w:tcPr>
          <w:p w14:paraId="774481E7" w14:textId="77777777" w:rsidR="00F52E8D" w:rsidRPr="00E45508" w:rsidRDefault="00F52E8D" w:rsidP="004F1962">
            <w:pPr>
              <w:pStyle w:val="BoxHeading"/>
            </w:pPr>
            <w:r w:rsidRPr="00E45508">
              <w:t>Example: Credit Accounting</w:t>
            </w:r>
          </w:p>
          <w:p w14:paraId="04791EC5" w14:textId="73C195B9" w:rsidR="00F52E8D" w:rsidRPr="00E45508" w:rsidRDefault="00F52E8D" w:rsidP="004F1962">
            <w:pPr>
              <w:pStyle w:val="BoxText"/>
              <w:rPr>
                <w:iCs/>
              </w:rPr>
            </w:pPr>
            <w:r w:rsidRPr="00E45508">
              <w:t>A company receives a total of</w:t>
            </w:r>
            <w:r w:rsidR="00421651" w:rsidRPr="00E45508">
              <w:t> 1</w:t>
            </w:r>
            <w:r w:rsidRPr="00E45508">
              <w:t>00 kg of recycled materials over their chosen mass balance period of</w:t>
            </w:r>
            <w:r w:rsidR="00421651" w:rsidRPr="00E45508">
              <w:t> 3</w:t>
            </w:r>
            <w:r w:rsidRPr="00E45508">
              <w:t xml:space="preserve"> months. Assuming a 90% conversion factor, this equates to 90 credits in bookkeeping. The company can deduct 90 credits to sell 90kg of recycled content products at</w:t>
            </w:r>
            <w:r w:rsidR="00421651" w:rsidRPr="00E45508">
              <w:t> 1</w:t>
            </w:r>
            <w:r w:rsidRPr="00E45508">
              <w:t>00% recycled content, or</w:t>
            </w:r>
            <w:r w:rsidR="00421651" w:rsidRPr="00E45508">
              <w:t> 1</w:t>
            </w:r>
            <w:r w:rsidRPr="00E45508">
              <w:t>80kg of products carrying a claim of 50% recycled content.</w:t>
            </w:r>
          </w:p>
        </w:tc>
      </w:tr>
    </w:tbl>
    <w:p w14:paraId="7B76C6EF" w14:textId="77777777" w:rsidR="00FB4BC5" w:rsidRDefault="00FB4BC5" w:rsidP="00FB4BC5"/>
    <w:p w14:paraId="13D5B8E0" w14:textId="7E28BA0F" w:rsidR="00F52E8D" w:rsidRPr="00E45508" w:rsidRDefault="00F52E8D" w:rsidP="009C1F84">
      <w:pPr>
        <w:pStyle w:val="ListBullet"/>
      </w:pPr>
      <w:r w:rsidRPr="00E45508">
        <w:t xml:space="preserve">At the end of each mass balance period, the credits balance must be zero and cannot be negative. This means recycled content claimed on packaging dispatched must not exceed the actual recycled inputs received. The total recycled content inputs must be determined using the following equation: </w:t>
      </w:r>
    </w:p>
    <w:p w14:paraId="09222ED6" w14:textId="77777777" w:rsidR="00F52E8D" w:rsidRPr="00E45508" w:rsidRDefault="00F52E8D" w:rsidP="009C1F84">
      <w:pPr>
        <w:pStyle w:val="ListBullet"/>
        <w:numPr>
          <w:ilvl w:val="0"/>
          <w:numId w:val="0"/>
        </w:numPr>
        <w:ind w:left="720"/>
        <w:rPr>
          <w:highlight w:val="green"/>
        </w:rPr>
      </w:pPr>
      <m:oMathPara>
        <m:oMath>
          <m:r>
            <m:rPr>
              <m:nor/>
            </m:rPr>
            <m:t>Balance at end of period</m:t>
          </m:r>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A+B</m:t>
                  </m:r>
                </m:e>
              </m:d>
              <m:r>
                <w:rPr>
                  <w:rFonts w:ascii="Cambria Math" w:hAnsi="Cambria Math"/>
                </w:rPr>
                <m:t>×CF+D</m:t>
              </m:r>
            </m:e>
          </m:d>
          <m:r>
            <w:rPr>
              <w:rFonts w:ascii="Cambria Math" w:hAnsi="Cambria Math"/>
            </w:rPr>
            <m:t>-</m:t>
          </m:r>
          <m:d>
            <m:dPr>
              <m:begChr m:val="{"/>
              <m:endChr m:val="}"/>
              <m:ctrlPr>
                <w:rPr>
                  <w:rFonts w:ascii="Cambria Math" w:hAnsi="Cambria Math"/>
                  <w:i/>
                </w:rPr>
              </m:ctrlPr>
            </m:dPr>
            <m:e>
              <m:r>
                <w:rPr>
                  <w:rFonts w:ascii="Cambria Math" w:hAnsi="Cambria Math"/>
                </w:rPr>
                <m:t>E×RC</m:t>
              </m:r>
            </m:e>
          </m:d>
        </m:oMath>
      </m:oMathPara>
    </w:p>
    <w:p w14:paraId="7F6B89D3" w14:textId="77777777" w:rsidR="00F52E8D" w:rsidRPr="00E45508" w:rsidRDefault="00F52E8D" w:rsidP="009C1F84">
      <w:pPr>
        <w:pStyle w:val="ListBullet"/>
        <w:numPr>
          <w:ilvl w:val="1"/>
          <w:numId w:val="8"/>
        </w:numPr>
      </w:pPr>
      <w:r w:rsidRPr="00E45508">
        <w:t xml:space="preserve">A = </w:t>
      </w:r>
      <w:r w:rsidRPr="00E45508">
        <w:tab/>
        <w:t>Quantity of recycled materials received over the mass balance period</w:t>
      </w:r>
    </w:p>
    <w:p w14:paraId="5B936BCC" w14:textId="77777777" w:rsidR="00F52E8D" w:rsidRPr="00E45508" w:rsidRDefault="00F52E8D" w:rsidP="009C1F84">
      <w:pPr>
        <w:pStyle w:val="ListBullet"/>
        <w:numPr>
          <w:ilvl w:val="1"/>
          <w:numId w:val="8"/>
        </w:numPr>
      </w:pPr>
      <w:r w:rsidRPr="00E45508">
        <w:t xml:space="preserve">B = </w:t>
      </w:r>
      <w:r w:rsidRPr="00E45508">
        <w:tab/>
        <w:t xml:space="preserve">Quantity of recycled materials in stock at the start of the mass balance period </w:t>
      </w:r>
    </w:p>
    <w:p w14:paraId="419B4C99" w14:textId="77777777" w:rsidR="00F52E8D" w:rsidRPr="00E45508" w:rsidRDefault="00F52E8D" w:rsidP="009C1F84">
      <w:pPr>
        <w:pStyle w:val="ListBullet"/>
        <w:numPr>
          <w:ilvl w:val="1"/>
          <w:numId w:val="8"/>
        </w:numPr>
      </w:pPr>
      <w:r w:rsidRPr="00E45508">
        <w:t xml:space="preserve">CF = </w:t>
      </w:r>
      <w:r w:rsidRPr="00E45508">
        <w:tab/>
        <w:t>Conversion factor – this is the yield in percent of a production process. It is calculated based on actual production data as the output production quantity divided by the input production quantity.</w:t>
      </w:r>
    </w:p>
    <w:p w14:paraId="7DD65B1A" w14:textId="77777777" w:rsidR="00F52E8D" w:rsidRPr="00E45508" w:rsidRDefault="00F52E8D" w:rsidP="009C1F84">
      <w:pPr>
        <w:pStyle w:val="ListBullet"/>
        <w:numPr>
          <w:ilvl w:val="1"/>
          <w:numId w:val="8"/>
        </w:numPr>
      </w:pPr>
      <w:r w:rsidRPr="00E45508">
        <w:t xml:space="preserve">D = </w:t>
      </w:r>
      <w:r w:rsidRPr="00E45508">
        <w:tab/>
        <w:t>Quantity of recycled content packaging in stock at the start of mass balance period</w:t>
      </w:r>
    </w:p>
    <w:p w14:paraId="2371E643" w14:textId="77777777" w:rsidR="00F52E8D" w:rsidRPr="00E45508" w:rsidRDefault="00F52E8D" w:rsidP="009C1F84">
      <w:pPr>
        <w:pStyle w:val="ListBullet"/>
        <w:numPr>
          <w:ilvl w:val="1"/>
          <w:numId w:val="8"/>
        </w:numPr>
      </w:pPr>
      <w:r w:rsidRPr="00E45508">
        <w:t xml:space="preserve">E = </w:t>
      </w:r>
      <w:r w:rsidRPr="00E45508">
        <w:tab/>
        <w:t>Mass of recycled content packaging physically dispatched over the mass balance period</w:t>
      </w:r>
    </w:p>
    <w:p w14:paraId="639B6EE1" w14:textId="77777777" w:rsidR="00F52E8D" w:rsidRPr="00E45508" w:rsidRDefault="00F52E8D" w:rsidP="009C1F84">
      <w:pPr>
        <w:pStyle w:val="ListBullet"/>
        <w:numPr>
          <w:ilvl w:val="1"/>
          <w:numId w:val="8"/>
        </w:numPr>
      </w:pPr>
      <w:r w:rsidRPr="00E45508">
        <w:t xml:space="preserve">RC = </w:t>
      </w:r>
      <w:r w:rsidRPr="00E45508">
        <w:tab/>
        <w:t>Recycled content percentage claimed on the packaging physically dispatched over the mass balance period</w:t>
      </w:r>
    </w:p>
    <w:p w14:paraId="5AED7895" w14:textId="45BD9339" w:rsidR="00F52E8D" w:rsidRPr="00E45508" w:rsidRDefault="32B6241E" w:rsidP="002708CB">
      <w:pPr>
        <w:pStyle w:val="Heading4"/>
        <w:numPr>
          <w:ilvl w:val="0"/>
          <w:numId w:val="0"/>
        </w:numPr>
        <w:rPr>
          <w:rFonts w:eastAsia="Calibri"/>
        </w:rPr>
      </w:pPr>
      <w:r w:rsidRPr="00E45508">
        <w:rPr>
          <w:rFonts w:eastAsia="Calibri"/>
        </w:rPr>
        <w:t>Allocation</w:t>
      </w:r>
    </w:p>
    <w:p w14:paraId="5EF6440E" w14:textId="16BA1593" w:rsidR="00F52E8D" w:rsidRPr="00E45508" w:rsidRDefault="32B6241E" w:rsidP="00B1187F">
      <w:r w:rsidRPr="00E45508">
        <w:t>Mass balance allocation determines how the recycled content percentage of input materials are assigned to specific outputs. This is most relevant to processes (most often polymer production) that produce multiple product or output streams. The NFRCT allows for the following mass balance allocation methods:</w:t>
      </w:r>
    </w:p>
    <w:p w14:paraId="7E244FFF" w14:textId="35154D9B" w:rsidR="00F52E8D" w:rsidRPr="00E45508" w:rsidRDefault="32B6241E" w:rsidP="009C1F84">
      <w:pPr>
        <w:pStyle w:val="ListBullet"/>
      </w:pPr>
      <w:r w:rsidRPr="00E45508">
        <w:rPr>
          <w:b/>
        </w:rPr>
        <w:t>Proportional allocation:</w:t>
      </w:r>
      <w:r w:rsidRPr="00E45508">
        <w:t xml:space="preserve"> Input credits can be split based on yield or distribution. For example, if</w:t>
      </w:r>
      <w:r w:rsidR="00421651" w:rsidRPr="00E45508">
        <w:t> 1</w:t>
      </w:r>
      <w:r w:rsidRPr="00E45508">
        <w:t>0% of the total inputs are recycled materials, each output stream is considered to have</w:t>
      </w:r>
      <w:r w:rsidR="00421651" w:rsidRPr="00E45508">
        <w:t> 1</w:t>
      </w:r>
      <w:r w:rsidRPr="00E45508">
        <w:t>0% recycled.</w:t>
      </w:r>
    </w:p>
    <w:p w14:paraId="6C0751EC" w14:textId="1C9F43E2" w:rsidR="00F52E8D" w:rsidRPr="00E45508" w:rsidRDefault="32B6241E" w:rsidP="009C1F84">
      <w:pPr>
        <w:pStyle w:val="ListBullet"/>
      </w:pPr>
      <w:r w:rsidRPr="00E45508">
        <w:rPr>
          <w:b/>
        </w:rPr>
        <w:t>Free (fuel exempt) allocation:</w:t>
      </w:r>
      <w:r w:rsidRPr="00E45508">
        <w:t xml:space="preserve"> In processes that produce fuel outputs, credits apportioned to fuel outputs are excluded and the remaining credits can be freely assigned to the other outputs to carry recycled content claims.</w:t>
      </w:r>
    </w:p>
    <w:p w14:paraId="6ECE0424" w14:textId="24FBF29F" w:rsidR="00F52E8D" w:rsidRPr="00E45508" w:rsidRDefault="32B6241E" w:rsidP="009C1F84">
      <w:pPr>
        <w:pStyle w:val="ListBullet"/>
      </w:pPr>
      <w:r w:rsidRPr="00E45508">
        <w:rPr>
          <w:b/>
        </w:rPr>
        <w:t>Free (polymers only) allocation:</w:t>
      </w:r>
      <w:r w:rsidRPr="00E45508">
        <w:t xml:space="preserve"> Credits can be freely allocated only to outputs directly linked to polymer production.</w:t>
      </w:r>
    </w:p>
    <w:p w14:paraId="230C7A27" w14:textId="7097761B" w:rsidR="00F52E8D" w:rsidRPr="00E45508" w:rsidRDefault="32B6241E" w:rsidP="009C1F84">
      <w:pPr>
        <w:pStyle w:val="ListBullet"/>
      </w:pPr>
      <w:r w:rsidRPr="00E45508">
        <w:rPr>
          <w:b/>
        </w:rPr>
        <w:t>Free allocation:</w:t>
      </w:r>
      <w:r w:rsidRPr="00E45508">
        <w:t xml:space="preserve"> All input credits can be freely allocated to the outputs.</w:t>
      </w:r>
    </w:p>
    <w:p w14:paraId="5CF9A612" w14:textId="2747A004" w:rsidR="00F52E8D" w:rsidRPr="00E45508" w:rsidRDefault="00F52E8D" w:rsidP="002708CB">
      <w:pPr>
        <w:pStyle w:val="Heading4"/>
        <w:numPr>
          <w:ilvl w:val="0"/>
          <w:numId w:val="0"/>
        </w:numPr>
      </w:pPr>
      <w:r w:rsidRPr="00E45508">
        <w:t>Identity preservation, segregation and controlled blending</w:t>
      </w:r>
    </w:p>
    <w:p w14:paraId="7064F5CD" w14:textId="77777777" w:rsidR="00F52E8D" w:rsidRPr="00E45508" w:rsidRDefault="00F52E8D" w:rsidP="009C1F84">
      <w:pPr>
        <w:pStyle w:val="ListBullet"/>
      </w:pPr>
      <w:r w:rsidRPr="00E45508">
        <w:t>Claims made using the identity preservation, segregation or controlled blending methods must be able to demonstrate that systems or processes are in place to ensure the physical separation of recycled and virgin materials (inputs).</w:t>
      </w:r>
    </w:p>
    <w:p w14:paraId="6C369D93" w14:textId="2A25FA18" w:rsidR="00F52E8D" w:rsidRPr="00E45508" w:rsidRDefault="00F52E8D" w:rsidP="009C1F84">
      <w:pPr>
        <w:pStyle w:val="ListBullet"/>
      </w:pPr>
      <w:r w:rsidRPr="00E45508">
        <w:t>Packaging made under identity preservation or segregation methods would involve full physical separation of recycled and virgin materials to allow up to a</w:t>
      </w:r>
      <w:r w:rsidR="00421651" w:rsidRPr="00E45508">
        <w:t> 1</w:t>
      </w:r>
      <w:r w:rsidRPr="00E45508">
        <w:t>00% recycled content claim.</w:t>
      </w:r>
    </w:p>
    <w:p w14:paraId="13CEF1C9" w14:textId="57579697" w:rsidR="00F52E8D" w:rsidRPr="00E45508" w:rsidRDefault="00F52E8D" w:rsidP="009C1F84">
      <w:pPr>
        <w:pStyle w:val="ListBullet"/>
      </w:pPr>
      <w:r w:rsidRPr="00E45508">
        <w:t>Packaging made with controlled blending would have a calculated recycled content percentage. This method ensures consistent amounts of recycled materials are included in all, using the following equation.</w:t>
      </w:r>
    </w:p>
    <w:p w14:paraId="7A816E73" w14:textId="05098B0C" w:rsidR="00F52E8D" w:rsidRPr="00E45508" w:rsidRDefault="00F52E8D" w:rsidP="00B1187F">
      <w:pPr>
        <w:rPr>
          <w:sz w:val="20"/>
          <w:szCs w:val="20"/>
        </w:rPr>
      </w:pPr>
      <m:oMathPara>
        <m:oMathParaPr>
          <m:jc m:val="center"/>
        </m:oMathParaPr>
        <m:oMath>
          <m:r>
            <m:rPr>
              <m:sty m:val="bi"/>
            </m:rPr>
            <w:rPr>
              <w:rFonts w:ascii="Cambria Math" w:hAnsi="Cambria Math"/>
              <w:sz w:val="20"/>
              <w:szCs w:val="20"/>
            </w:rPr>
            <m:t xml:space="preserve">RC%= </m:t>
          </m:r>
          <m:f>
            <m:fPr>
              <m:ctrlPr>
                <w:rPr>
                  <w:rFonts w:ascii="Cambria Math" w:hAnsi="Cambria Math"/>
                  <w:b/>
                  <w:i/>
                  <w:sz w:val="20"/>
                  <w:szCs w:val="20"/>
                </w:rPr>
              </m:ctrlPr>
            </m:fPr>
            <m:num>
              <m:r>
                <m:rPr>
                  <m:sty m:val="bi"/>
                </m:rPr>
                <w:rPr>
                  <w:rFonts w:ascii="Cambria Math" w:hAnsi="Cambria Math"/>
                  <w:sz w:val="20"/>
                  <w:szCs w:val="20"/>
                </w:rPr>
                <m:t>total mass of recycled input × CF</m:t>
              </m:r>
            </m:num>
            <m:den>
              <m:r>
                <m:rPr>
                  <m:sty m:val="bi"/>
                </m:rPr>
                <w:rPr>
                  <w:rFonts w:ascii="Cambria Math" w:hAnsi="Cambria Math"/>
                  <w:sz w:val="20"/>
                  <w:szCs w:val="20"/>
                </w:rPr>
                <m:t>total mass of recycled content packaging</m:t>
              </m:r>
            </m:den>
          </m:f>
          <m:r>
            <m:rPr>
              <m:sty m:val="bi"/>
            </m:rPr>
            <w:rPr>
              <w:rFonts w:ascii="Cambria Math" w:hAnsi="Cambria Math"/>
              <w:sz w:val="20"/>
              <w:szCs w:val="20"/>
            </w:rPr>
            <m:t>×100</m:t>
          </m:r>
        </m:oMath>
      </m:oMathPara>
    </w:p>
    <w:p w14:paraId="52773474" w14:textId="77777777" w:rsidR="00F52E8D" w:rsidRPr="00E45508" w:rsidRDefault="00F52E8D" w:rsidP="009C1F84">
      <w:pPr>
        <w:pStyle w:val="ListBullet"/>
        <w:numPr>
          <w:ilvl w:val="0"/>
          <w:numId w:val="0"/>
        </w:numPr>
        <w:ind w:left="720"/>
        <w:rPr>
          <w:rStyle w:val="IntenseReference"/>
          <w:b w:val="0"/>
          <w:bCs w:val="0"/>
          <w:smallCaps w:val="0"/>
          <w:color w:val="auto"/>
          <w:spacing w:val="0"/>
        </w:rPr>
      </w:pPr>
      <w:r w:rsidRPr="00E45508">
        <w:rPr>
          <w:rStyle w:val="IntenseReference"/>
          <w:b w:val="0"/>
          <w:bCs w:val="0"/>
          <w:smallCaps w:val="0"/>
          <w:color w:val="auto"/>
          <w:spacing w:val="0"/>
        </w:rPr>
        <w:t>[The Conversion Factor (CF) is the yield in percent of a production process. It is calculated based on actual production data as the output production quantity divided by the input production quantity.]</w:t>
      </w:r>
    </w:p>
    <w:p w14:paraId="2186D3CF" w14:textId="23006C53" w:rsidR="00C64A18" w:rsidRPr="00E45508" w:rsidRDefault="005A5648" w:rsidP="00C915A5">
      <w:pPr>
        <w:pStyle w:val="Caption"/>
      </w:pPr>
      <w:bookmarkStart w:id="369" w:name="_Toc177126688"/>
      <w:r w:rsidRPr="00E45508">
        <w:t>Table</w:t>
      </w:r>
      <w:r w:rsidR="00421651" w:rsidRPr="00E45508">
        <w:t> </w:t>
      </w:r>
      <w:r w:rsidR="008D239E" w:rsidRPr="00E45508">
        <w:t>D.1</w:t>
      </w:r>
      <w:r w:rsidR="7845127A" w:rsidRPr="00E45508">
        <w:t>: Traceability data to collect and share. Further information is available in the NFRCT.</w:t>
      </w:r>
      <w:bookmarkEnd w:id="369"/>
    </w:p>
    <w:tbl>
      <w:tblPr>
        <w:tblStyle w:val="PlainTable2"/>
        <w:tblW w:w="9498" w:type="dxa"/>
        <w:tblLook w:val="0420" w:firstRow="1" w:lastRow="0" w:firstColumn="0" w:lastColumn="0" w:noHBand="0" w:noVBand="1"/>
      </w:tblPr>
      <w:tblGrid>
        <w:gridCol w:w="1985"/>
        <w:gridCol w:w="2268"/>
        <w:gridCol w:w="2551"/>
        <w:gridCol w:w="2694"/>
      </w:tblGrid>
      <w:tr w:rsidR="00C64A18" w:rsidRPr="00E45508" w14:paraId="22812FCE" w14:textId="77777777" w:rsidTr="0066122E">
        <w:trPr>
          <w:cnfStyle w:val="100000000000" w:firstRow="1" w:lastRow="0" w:firstColumn="0" w:lastColumn="0" w:oddVBand="0" w:evenVBand="0" w:oddHBand="0" w:evenHBand="0" w:firstRowFirstColumn="0" w:firstRowLastColumn="0" w:lastRowFirstColumn="0" w:lastRowLastColumn="0"/>
        </w:trPr>
        <w:tc>
          <w:tcPr>
            <w:tcW w:w="1985" w:type="dxa"/>
          </w:tcPr>
          <w:p w14:paraId="4C787734" w14:textId="77777777" w:rsidR="00C64A18" w:rsidRPr="00E45508" w:rsidRDefault="00C64A18" w:rsidP="0066122E">
            <w:pPr>
              <w:pStyle w:val="Tabletext0"/>
            </w:pPr>
            <w:r w:rsidRPr="00E45508">
              <w:t>Basic traceability</w:t>
            </w:r>
          </w:p>
        </w:tc>
        <w:tc>
          <w:tcPr>
            <w:tcW w:w="2268" w:type="dxa"/>
          </w:tcPr>
          <w:p w14:paraId="4481D8E9" w14:textId="77777777" w:rsidR="00C64A18" w:rsidRPr="00E45508" w:rsidRDefault="00C64A18" w:rsidP="0066122E">
            <w:pPr>
              <w:pStyle w:val="Tabletext0"/>
            </w:pPr>
            <w:r w:rsidRPr="00E45508">
              <w:t>Provenance</w:t>
            </w:r>
          </w:p>
        </w:tc>
        <w:tc>
          <w:tcPr>
            <w:tcW w:w="2551" w:type="dxa"/>
          </w:tcPr>
          <w:p w14:paraId="446B4660" w14:textId="77777777" w:rsidR="00C64A18" w:rsidRPr="00E45508" w:rsidRDefault="00C64A18" w:rsidP="0066122E">
            <w:pPr>
              <w:pStyle w:val="Tabletext0"/>
            </w:pPr>
            <w:r w:rsidRPr="00E45508">
              <w:t>Composition</w:t>
            </w:r>
          </w:p>
        </w:tc>
        <w:tc>
          <w:tcPr>
            <w:tcW w:w="2694" w:type="dxa"/>
          </w:tcPr>
          <w:p w14:paraId="6277A1A5" w14:textId="77777777" w:rsidR="00C64A18" w:rsidRPr="00E45508" w:rsidRDefault="00C64A18" w:rsidP="0066122E">
            <w:pPr>
              <w:pStyle w:val="Tabletext0"/>
            </w:pPr>
            <w:r w:rsidRPr="00E45508">
              <w:t>Quality</w:t>
            </w:r>
          </w:p>
        </w:tc>
      </w:tr>
      <w:tr w:rsidR="00C64A18" w:rsidRPr="00E45508" w14:paraId="5C81512B" w14:textId="77777777" w:rsidTr="0066122E">
        <w:trPr>
          <w:cnfStyle w:val="000000100000" w:firstRow="0" w:lastRow="0" w:firstColumn="0" w:lastColumn="0" w:oddVBand="0" w:evenVBand="0" w:oddHBand="1" w:evenHBand="0" w:firstRowFirstColumn="0" w:firstRowLastColumn="0" w:lastRowFirstColumn="0" w:lastRowLastColumn="0"/>
        </w:trPr>
        <w:tc>
          <w:tcPr>
            <w:tcW w:w="1985" w:type="dxa"/>
          </w:tcPr>
          <w:p w14:paraId="5113A4C9" w14:textId="7E108571" w:rsidR="00C64A18" w:rsidRPr="00E45508" w:rsidRDefault="00C64A18" w:rsidP="0066122E">
            <w:pPr>
              <w:pStyle w:val="Tabletext0"/>
            </w:pPr>
            <w:r w:rsidRPr="00E45508">
              <w:t>Item identifier</w:t>
            </w:r>
          </w:p>
        </w:tc>
        <w:tc>
          <w:tcPr>
            <w:tcW w:w="2268" w:type="dxa"/>
          </w:tcPr>
          <w:p w14:paraId="79A5A0A3" w14:textId="77777777" w:rsidR="00C64A18" w:rsidRPr="00E45508" w:rsidRDefault="00C64A18" w:rsidP="0066122E">
            <w:pPr>
              <w:pStyle w:val="Tabletext0"/>
            </w:pPr>
            <w:r w:rsidRPr="00E45508">
              <w:t>Country of origin</w:t>
            </w:r>
          </w:p>
        </w:tc>
        <w:tc>
          <w:tcPr>
            <w:tcW w:w="2551" w:type="dxa"/>
          </w:tcPr>
          <w:p w14:paraId="62108373" w14:textId="42A85E31" w:rsidR="00C64A18" w:rsidRPr="00E45508" w:rsidRDefault="00C64A18" w:rsidP="0066122E">
            <w:pPr>
              <w:pStyle w:val="Tabletext0"/>
            </w:pPr>
            <w:r w:rsidRPr="00E45508">
              <w:t>Recycled content claim</w:t>
            </w:r>
          </w:p>
        </w:tc>
        <w:tc>
          <w:tcPr>
            <w:tcW w:w="2694" w:type="dxa"/>
          </w:tcPr>
          <w:p w14:paraId="2E8FC4E5" w14:textId="503260DB" w:rsidR="00C64A18" w:rsidRPr="00E45508" w:rsidRDefault="00C64A18" w:rsidP="0066122E">
            <w:pPr>
              <w:pStyle w:val="Tabletext0"/>
            </w:pPr>
            <w:r w:rsidRPr="00E45508">
              <w:t>Processing method</w:t>
            </w:r>
          </w:p>
        </w:tc>
      </w:tr>
      <w:tr w:rsidR="00C64A18" w:rsidRPr="00E45508" w14:paraId="507475B8" w14:textId="77777777" w:rsidTr="0066122E">
        <w:tc>
          <w:tcPr>
            <w:tcW w:w="1985" w:type="dxa"/>
          </w:tcPr>
          <w:p w14:paraId="6813BF80" w14:textId="253BB160" w:rsidR="00C64A18" w:rsidRPr="00E45508" w:rsidRDefault="00C64A18" w:rsidP="0066122E">
            <w:pPr>
              <w:pStyle w:val="Tabletext0"/>
            </w:pPr>
            <w:r w:rsidRPr="00E45508">
              <w:t>Item description</w:t>
            </w:r>
          </w:p>
        </w:tc>
        <w:tc>
          <w:tcPr>
            <w:tcW w:w="2268" w:type="dxa"/>
          </w:tcPr>
          <w:p w14:paraId="58A68C62" w14:textId="77777777" w:rsidR="00C64A18" w:rsidRPr="00E45508" w:rsidRDefault="00C64A18" w:rsidP="0066122E">
            <w:pPr>
              <w:pStyle w:val="Tabletext0"/>
            </w:pPr>
            <w:r w:rsidRPr="00E45508">
              <w:t>Jurisdiction of origin</w:t>
            </w:r>
          </w:p>
        </w:tc>
        <w:tc>
          <w:tcPr>
            <w:tcW w:w="2551" w:type="dxa"/>
          </w:tcPr>
          <w:p w14:paraId="08646140" w14:textId="77777777" w:rsidR="00C64A18" w:rsidRPr="00E45508" w:rsidRDefault="00C64A18" w:rsidP="0066122E">
            <w:pPr>
              <w:pStyle w:val="Tabletext0"/>
            </w:pPr>
            <w:r w:rsidRPr="00E45508">
              <w:t>Chain of custody approach</w:t>
            </w:r>
          </w:p>
        </w:tc>
        <w:tc>
          <w:tcPr>
            <w:tcW w:w="2694" w:type="dxa"/>
          </w:tcPr>
          <w:p w14:paraId="0DF378F8" w14:textId="37BA9058" w:rsidR="00C64A18" w:rsidRPr="00E45508" w:rsidRDefault="00C64A18" w:rsidP="0066122E">
            <w:pPr>
              <w:pStyle w:val="Tabletext0"/>
            </w:pPr>
            <w:r w:rsidRPr="00E45508">
              <w:t>Chemical content declaration</w:t>
            </w:r>
          </w:p>
        </w:tc>
      </w:tr>
      <w:tr w:rsidR="00C64A18" w:rsidRPr="00E45508" w14:paraId="6B8C8AFB" w14:textId="77777777" w:rsidTr="0066122E">
        <w:trPr>
          <w:cnfStyle w:val="000000100000" w:firstRow="0" w:lastRow="0" w:firstColumn="0" w:lastColumn="0" w:oddVBand="0" w:evenVBand="0" w:oddHBand="1" w:evenHBand="0" w:firstRowFirstColumn="0" w:firstRowLastColumn="0" w:lastRowFirstColumn="0" w:lastRowLastColumn="0"/>
          <w:trHeight w:val="77"/>
        </w:trPr>
        <w:tc>
          <w:tcPr>
            <w:tcW w:w="1985" w:type="dxa"/>
          </w:tcPr>
          <w:p w14:paraId="1ED4F374" w14:textId="2DD37BA8" w:rsidR="00C64A18" w:rsidRPr="00E45508" w:rsidRDefault="00C64A18" w:rsidP="0066122E">
            <w:pPr>
              <w:pStyle w:val="Tabletext0"/>
            </w:pPr>
            <w:r w:rsidRPr="00E45508">
              <w:t>Quantity</w:t>
            </w:r>
          </w:p>
        </w:tc>
        <w:tc>
          <w:tcPr>
            <w:tcW w:w="2268" w:type="dxa"/>
          </w:tcPr>
          <w:p w14:paraId="6A8C7A49" w14:textId="77777777" w:rsidR="00C64A18" w:rsidRPr="00E45508" w:rsidRDefault="00C64A18" w:rsidP="0066122E">
            <w:pPr>
              <w:pStyle w:val="Tabletext0"/>
            </w:pPr>
            <w:r w:rsidRPr="00E45508">
              <w:t>Remoteness of source</w:t>
            </w:r>
          </w:p>
        </w:tc>
        <w:tc>
          <w:tcPr>
            <w:tcW w:w="2551" w:type="dxa"/>
          </w:tcPr>
          <w:p w14:paraId="2A3C37DC" w14:textId="77777777" w:rsidR="00C64A18" w:rsidRPr="00E45508" w:rsidRDefault="00C64A18" w:rsidP="0066122E">
            <w:pPr>
              <w:pStyle w:val="Tabletext0"/>
            </w:pPr>
            <w:r w:rsidRPr="00E45508">
              <w:t>Mass balance period</w:t>
            </w:r>
          </w:p>
        </w:tc>
        <w:tc>
          <w:tcPr>
            <w:tcW w:w="2694" w:type="dxa"/>
          </w:tcPr>
          <w:p w14:paraId="6337B7A1" w14:textId="77777777" w:rsidR="00C64A18" w:rsidRPr="00E45508" w:rsidRDefault="00C64A18" w:rsidP="0066122E">
            <w:pPr>
              <w:pStyle w:val="Tabletext0"/>
            </w:pPr>
            <w:r w:rsidRPr="00E45508">
              <w:t>Recycled content risk assessment</w:t>
            </w:r>
          </w:p>
        </w:tc>
      </w:tr>
      <w:tr w:rsidR="00C64A18" w:rsidRPr="00E45508" w14:paraId="66641BEF" w14:textId="77777777" w:rsidTr="0066122E">
        <w:trPr>
          <w:trHeight w:val="251"/>
        </w:trPr>
        <w:tc>
          <w:tcPr>
            <w:tcW w:w="1985" w:type="dxa"/>
          </w:tcPr>
          <w:p w14:paraId="09BCA3D1" w14:textId="5ADC2A86" w:rsidR="00C64A18" w:rsidRPr="00E45508" w:rsidRDefault="00C64A18" w:rsidP="0066122E">
            <w:pPr>
              <w:pStyle w:val="Tabletext0"/>
            </w:pPr>
            <w:r w:rsidRPr="00E45508">
              <w:t>Unit of measure</w:t>
            </w:r>
          </w:p>
        </w:tc>
        <w:tc>
          <w:tcPr>
            <w:tcW w:w="2268" w:type="dxa"/>
          </w:tcPr>
          <w:p w14:paraId="24E53A4E" w14:textId="0833B4B6" w:rsidR="00C64A18" w:rsidRPr="00E45508" w:rsidRDefault="00C64A18" w:rsidP="0066122E">
            <w:pPr>
              <w:pStyle w:val="Tabletext0"/>
            </w:pPr>
            <w:r w:rsidRPr="00E45508">
              <w:t>Feedstock source stream</w:t>
            </w:r>
          </w:p>
        </w:tc>
        <w:tc>
          <w:tcPr>
            <w:tcW w:w="2551" w:type="dxa"/>
          </w:tcPr>
          <w:p w14:paraId="08FA90B7" w14:textId="77777777" w:rsidR="00C64A18" w:rsidRPr="00E45508" w:rsidRDefault="00C64A18" w:rsidP="0066122E">
            <w:pPr>
              <w:pStyle w:val="Tabletext0"/>
            </w:pPr>
            <w:r w:rsidRPr="00E45508">
              <w:t>Mass balance allocation method</w:t>
            </w:r>
          </w:p>
        </w:tc>
        <w:tc>
          <w:tcPr>
            <w:tcW w:w="2694" w:type="dxa"/>
          </w:tcPr>
          <w:p w14:paraId="0F8E6FCF" w14:textId="0B405132" w:rsidR="00C64A18" w:rsidRPr="00E45508" w:rsidRDefault="00C64A18" w:rsidP="0066122E">
            <w:pPr>
              <w:pStyle w:val="Tabletext0"/>
            </w:pPr>
            <w:r w:rsidRPr="00E45508">
              <w:t>Results of analysis</w:t>
            </w:r>
          </w:p>
        </w:tc>
      </w:tr>
      <w:tr w:rsidR="00C64A18" w:rsidRPr="00E45508" w14:paraId="5BD286DC" w14:textId="77777777" w:rsidTr="0066122E">
        <w:trPr>
          <w:cnfStyle w:val="000000100000" w:firstRow="0" w:lastRow="0" w:firstColumn="0" w:lastColumn="0" w:oddVBand="0" w:evenVBand="0" w:oddHBand="1" w:evenHBand="0" w:firstRowFirstColumn="0" w:firstRowLastColumn="0" w:lastRowFirstColumn="0" w:lastRowLastColumn="0"/>
        </w:trPr>
        <w:tc>
          <w:tcPr>
            <w:tcW w:w="1985" w:type="dxa"/>
          </w:tcPr>
          <w:p w14:paraId="29908175" w14:textId="4B5834DD" w:rsidR="00C64A18" w:rsidRPr="00E45508" w:rsidRDefault="00C64A18" w:rsidP="0066122E">
            <w:pPr>
              <w:pStyle w:val="Tabletext0"/>
            </w:pPr>
            <w:r w:rsidRPr="00E45508">
              <w:t>Receipt date</w:t>
            </w:r>
          </w:p>
        </w:tc>
        <w:tc>
          <w:tcPr>
            <w:tcW w:w="2268" w:type="dxa"/>
          </w:tcPr>
          <w:p w14:paraId="27C332FB" w14:textId="6A6A39AE" w:rsidR="00C64A18" w:rsidRPr="00E45508" w:rsidRDefault="00C64A18" w:rsidP="0066122E">
            <w:pPr>
              <w:pStyle w:val="Tabletext0"/>
            </w:pPr>
            <w:r w:rsidRPr="00E45508">
              <w:t>Feedstock type</w:t>
            </w:r>
          </w:p>
        </w:tc>
        <w:tc>
          <w:tcPr>
            <w:tcW w:w="2551" w:type="dxa"/>
          </w:tcPr>
          <w:p w14:paraId="068799FC" w14:textId="3699CD75" w:rsidR="00C64A18" w:rsidRPr="00E45508" w:rsidRDefault="0066122E" w:rsidP="0066122E">
            <w:pPr>
              <w:pStyle w:val="Tabletext0"/>
            </w:pPr>
            <w:r w:rsidRPr="00E45508">
              <w:t>-</w:t>
            </w:r>
          </w:p>
        </w:tc>
        <w:tc>
          <w:tcPr>
            <w:tcW w:w="2694" w:type="dxa"/>
          </w:tcPr>
          <w:p w14:paraId="1B2B0103" w14:textId="456BDDF7" w:rsidR="00C64A18" w:rsidRPr="00E45508" w:rsidRDefault="0066122E" w:rsidP="0066122E">
            <w:pPr>
              <w:pStyle w:val="Tabletext0"/>
            </w:pPr>
            <w:r w:rsidRPr="00E45508">
              <w:t>-</w:t>
            </w:r>
          </w:p>
        </w:tc>
      </w:tr>
      <w:tr w:rsidR="00C64A18" w:rsidRPr="00E45508" w14:paraId="26FFBE21" w14:textId="77777777" w:rsidTr="0066122E">
        <w:tc>
          <w:tcPr>
            <w:tcW w:w="1985" w:type="dxa"/>
          </w:tcPr>
          <w:p w14:paraId="368C9DA8" w14:textId="11F0E87E" w:rsidR="00C64A18" w:rsidRPr="00E45508" w:rsidRDefault="00C64A18" w:rsidP="0066122E">
            <w:pPr>
              <w:pStyle w:val="Tabletext0"/>
            </w:pPr>
            <w:r w:rsidRPr="00E45508">
              <w:t>Ship date</w:t>
            </w:r>
          </w:p>
        </w:tc>
        <w:tc>
          <w:tcPr>
            <w:tcW w:w="2268" w:type="dxa"/>
          </w:tcPr>
          <w:p w14:paraId="4B8919E9" w14:textId="77777777" w:rsidR="00C64A18" w:rsidRPr="00E45508" w:rsidRDefault="00C64A18" w:rsidP="0066122E">
            <w:pPr>
              <w:pStyle w:val="Tabletext0"/>
            </w:pPr>
            <w:r w:rsidRPr="00E45508">
              <w:t>Feedstock source type</w:t>
            </w:r>
          </w:p>
        </w:tc>
        <w:tc>
          <w:tcPr>
            <w:tcW w:w="2551" w:type="dxa"/>
          </w:tcPr>
          <w:p w14:paraId="65B3DE5A" w14:textId="5BA0D7CD" w:rsidR="00C64A18" w:rsidRPr="00E45508" w:rsidRDefault="0066122E" w:rsidP="0066122E">
            <w:pPr>
              <w:pStyle w:val="Tabletext0"/>
            </w:pPr>
            <w:r w:rsidRPr="00E45508">
              <w:t>-</w:t>
            </w:r>
          </w:p>
        </w:tc>
        <w:tc>
          <w:tcPr>
            <w:tcW w:w="2694" w:type="dxa"/>
          </w:tcPr>
          <w:p w14:paraId="40661350" w14:textId="562F2C1D" w:rsidR="00C64A18" w:rsidRPr="00E45508" w:rsidRDefault="0066122E" w:rsidP="0066122E">
            <w:pPr>
              <w:pStyle w:val="Tabletext0"/>
            </w:pPr>
            <w:r w:rsidRPr="00E45508">
              <w:t>-</w:t>
            </w:r>
          </w:p>
        </w:tc>
      </w:tr>
      <w:tr w:rsidR="00C64A18" w:rsidRPr="00E45508" w14:paraId="5AC93094" w14:textId="77777777" w:rsidTr="0066122E">
        <w:trPr>
          <w:cnfStyle w:val="000000100000" w:firstRow="0" w:lastRow="0" w:firstColumn="0" w:lastColumn="0" w:oddVBand="0" w:evenVBand="0" w:oddHBand="1" w:evenHBand="0" w:firstRowFirstColumn="0" w:firstRowLastColumn="0" w:lastRowFirstColumn="0" w:lastRowLastColumn="0"/>
        </w:trPr>
        <w:tc>
          <w:tcPr>
            <w:tcW w:w="1985" w:type="dxa"/>
          </w:tcPr>
          <w:p w14:paraId="3C2DB834" w14:textId="288267C3" w:rsidR="00C64A18" w:rsidRPr="00E45508" w:rsidRDefault="00C64A18" w:rsidP="0066122E">
            <w:pPr>
              <w:pStyle w:val="Tabletext0"/>
            </w:pPr>
            <w:r w:rsidRPr="00E45508">
              <w:t>Sender identifier</w:t>
            </w:r>
          </w:p>
        </w:tc>
        <w:tc>
          <w:tcPr>
            <w:tcW w:w="2268" w:type="dxa"/>
          </w:tcPr>
          <w:p w14:paraId="41006FEB" w14:textId="5C4BBE45" w:rsidR="00C64A18" w:rsidRPr="00E45508" w:rsidRDefault="0066122E" w:rsidP="0066122E">
            <w:pPr>
              <w:pStyle w:val="Tabletext0"/>
            </w:pPr>
            <w:r w:rsidRPr="00E45508">
              <w:t>-</w:t>
            </w:r>
          </w:p>
        </w:tc>
        <w:tc>
          <w:tcPr>
            <w:tcW w:w="2551" w:type="dxa"/>
          </w:tcPr>
          <w:p w14:paraId="48D259B8" w14:textId="4483CB95" w:rsidR="00C64A18" w:rsidRPr="00E45508" w:rsidRDefault="0066122E" w:rsidP="0066122E">
            <w:pPr>
              <w:pStyle w:val="Tabletext0"/>
            </w:pPr>
            <w:r w:rsidRPr="00E45508">
              <w:t>-</w:t>
            </w:r>
          </w:p>
        </w:tc>
        <w:tc>
          <w:tcPr>
            <w:tcW w:w="2694" w:type="dxa"/>
          </w:tcPr>
          <w:p w14:paraId="48C8CF65" w14:textId="6ABC3723" w:rsidR="00C64A18" w:rsidRPr="00E45508" w:rsidRDefault="0066122E" w:rsidP="0066122E">
            <w:pPr>
              <w:pStyle w:val="Tabletext0"/>
            </w:pPr>
            <w:r w:rsidRPr="00E45508">
              <w:t>-</w:t>
            </w:r>
          </w:p>
        </w:tc>
      </w:tr>
      <w:tr w:rsidR="00C64A18" w:rsidRPr="00E45508" w14:paraId="62D2E87D" w14:textId="77777777" w:rsidTr="0066122E">
        <w:tc>
          <w:tcPr>
            <w:tcW w:w="1985" w:type="dxa"/>
          </w:tcPr>
          <w:p w14:paraId="73598444" w14:textId="6213D3F5" w:rsidR="00C64A18" w:rsidRPr="00E45508" w:rsidRDefault="00C64A18" w:rsidP="0066122E">
            <w:pPr>
              <w:pStyle w:val="Tabletext0"/>
            </w:pPr>
            <w:r w:rsidRPr="00E45508">
              <w:t>Shipment identifier</w:t>
            </w:r>
          </w:p>
        </w:tc>
        <w:tc>
          <w:tcPr>
            <w:tcW w:w="2268" w:type="dxa"/>
          </w:tcPr>
          <w:p w14:paraId="4C341120" w14:textId="60CF3375" w:rsidR="00C64A18" w:rsidRPr="00E45508" w:rsidRDefault="0066122E" w:rsidP="0066122E">
            <w:pPr>
              <w:pStyle w:val="Tabletext0"/>
            </w:pPr>
            <w:r w:rsidRPr="00E45508">
              <w:t>-</w:t>
            </w:r>
          </w:p>
        </w:tc>
        <w:tc>
          <w:tcPr>
            <w:tcW w:w="2551" w:type="dxa"/>
          </w:tcPr>
          <w:p w14:paraId="0481CC2D" w14:textId="0F25F37D" w:rsidR="00C64A18" w:rsidRPr="00E45508" w:rsidRDefault="0066122E" w:rsidP="0066122E">
            <w:pPr>
              <w:pStyle w:val="Tabletext0"/>
            </w:pPr>
            <w:r w:rsidRPr="00E45508">
              <w:t>-</w:t>
            </w:r>
          </w:p>
        </w:tc>
        <w:tc>
          <w:tcPr>
            <w:tcW w:w="2694" w:type="dxa"/>
          </w:tcPr>
          <w:p w14:paraId="02827BC5" w14:textId="519C3B6A" w:rsidR="00C64A18" w:rsidRPr="00E45508" w:rsidRDefault="0066122E" w:rsidP="0066122E">
            <w:pPr>
              <w:pStyle w:val="Tabletext0"/>
            </w:pPr>
            <w:r w:rsidRPr="00E45508">
              <w:t>-</w:t>
            </w:r>
          </w:p>
        </w:tc>
      </w:tr>
      <w:tr w:rsidR="00C64A18" w:rsidRPr="00E45508" w14:paraId="66689AE0" w14:textId="77777777" w:rsidTr="0066122E">
        <w:trPr>
          <w:cnfStyle w:val="000000100000" w:firstRow="0" w:lastRow="0" w:firstColumn="0" w:lastColumn="0" w:oddVBand="0" w:evenVBand="0" w:oddHBand="1" w:evenHBand="0" w:firstRowFirstColumn="0" w:firstRowLastColumn="0" w:lastRowFirstColumn="0" w:lastRowLastColumn="0"/>
        </w:trPr>
        <w:tc>
          <w:tcPr>
            <w:tcW w:w="1985" w:type="dxa"/>
          </w:tcPr>
          <w:p w14:paraId="502DFEE5" w14:textId="77777777" w:rsidR="00C64A18" w:rsidRPr="00E45508" w:rsidRDefault="00C64A18" w:rsidP="0066122E">
            <w:pPr>
              <w:pStyle w:val="Tabletext0"/>
            </w:pPr>
            <w:r w:rsidRPr="00E45508">
              <w:t>Receiver identifier</w:t>
            </w:r>
          </w:p>
        </w:tc>
        <w:tc>
          <w:tcPr>
            <w:tcW w:w="2268" w:type="dxa"/>
          </w:tcPr>
          <w:p w14:paraId="0F986EDC" w14:textId="07F5F9E8" w:rsidR="00C64A18" w:rsidRPr="00E45508" w:rsidRDefault="0066122E" w:rsidP="0066122E">
            <w:pPr>
              <w:pStyle w:val="Tabletext0"/>
            </w:pPr>
            <w:r w:rsidRPr="00E45508">
              <w:t>-</w:t>
            </w:r>
          </w:p>
        </w:tc>
        <w:tc>
          <w:tcPr>
            <w:tcW w:w="2551" w:type="dxa"/>
          </w:tcPr>
          <w:p w14:paraId="65E1B554" w14:textId="3DFACC84" w:rsidR="00C64A18" w:rsidRPr="00E45508" w:rsidRDefault="0066122E" w:rsidP="0066122E">
            <w:pPr>
              <w:pStyle w:val="Tabletext0"/>
            </w:pPr>
            <w:r w:rsidRPr="00E45508">
              <w:t>-</w:t>
            </w:r>
          </w:p>
        </w:tc>
        <w:tc>
          <w:tcPr>
            <w:tcW w:w="2694" w:type="dxa"/>
          </w:tcPr>
          <w:p w14:paraId="1EF63554" w14:textId="71A03B74" w:rsidR="00C64A18" w:rsidRPr="00E45508" w:rsidRDefault="0066122E" w:rsidP="0066122E">
            <w:pPr>
              <w:pStyle w:val="Tabletext0"/>
            </w:pPr>
            <w:r w:rsidRPr="00E45508">
              <w:t>-</w:t>
            </w:r>
          </w:p>
        </w:tc>
      </w:tr>
      <w:tr w:rsidR="00C64A18" w:rsidRPr="00E45508" w14:paraId="5D8A9251" w14:textId="77777777" w:rsidTr="0066122E">
        <w:tc>
          <w:tcPr>
            <w:tcW w:w="1985" w:type="dxa"/>
          </w:tcPr>
          <w:p w14:paraId="560A6887" w14:textId="2DB741F6" w:rsidR="00C64A18" w:rsidRPr="00E45508" w:rsidRDefault="00C64A18" w:rsidP="0066122E">
            <w:pPr>
              <w:pStyle w:val="Tabletext0"/>
            </w:pPr>
            <w:r w:rsidRPr="00E45508">
              <w:t>Ship from location</w:t>
            </w:r>
          </w:p>
        </w:tc>
        <w:tc>
          <w:tcPr>
            <w:tcW w:w="2268" w:type="dxa"/>
          </w:tcPr>
          <w:p w14:paraId="6858E51F" w14:textId="0280EA10" w:rsidR="00C64A18" w:rsidRPr="00E45508" w:rsidRDefault="0066122E" w:rsidP="0066122E">
            <w:pPr>
              <w:pStyle w:val="Tabletext0"/>
            </w:pPr>
            <w:r w:rsidRPr="00E45508">
              <w:t>-</w:t>
            </w:r>
          </w:p>
        </w:tc>
        <w:tc>
          <w:tcPr>
            <w:tcW w:w="2551" w:type="dxa"/>
          </w:tcPr>
          <w:p w14:paraId="355ACD8C" w14:textId="5984B014" w:rsidR="00C64A18" w:rsidRPr="00E45508" w:rsidRDefault="0066122E" w:rsidP="0066122E">
            <w:pPr>
              <w:pStyle w:val="Tabletext0"/>
            </w:pPr>
            <w:r w:rsidRPr="00E45508">
              <w:t>-</w:t>
            </w:r>
          </w:p>
        </w:tc>
        <w:tc>
          <w:tcPr>
            <w:tcW w:w="2694" w:type="dxa"/>
          </w:tcPr>
          <w:p w14:paraId="778C544A" w14:textId="2B15CB33" w:rsidR="00C64A18" w:rsidRPr="00E45508" w:rsidRDefault="0066122E" w:rsidP="0066122E">
            <w:pPr>
              <w:pStyle w:val="Tabletext0"/>
            </w:pPr>
            <w:r w:rsidRPr="00E45508">
              <w:t>-</w:t>
            </w:r>
          </w:p>
        </w:tc>
      </w:tr>
      <w:tr w:rsidR="00C64A18" w:rsidRPr="00E45508" w14:paraId="360ACB0F" w14:textId="77777777" w:rsidTr="0066122E">
        <w:trPr>
          <w:cnfStyle w:val="000000100000" w:firstRow="0" w:lastRow="0" w:firstColumn="0" w:lastColumn="0" w:oddVBand="0" w:evenVBand="0" w:oddHBand="1" w:evenHBand="0" w:firstRowFirstColumn="0" w:firstRowLastColumn="0" w:lastRowFirstColumn="0" w:lastRowLastColumn="0"/>
        </w:trPr>
        <w:tc>
          <w:tcPr>
            <w:tcW w:w="1985" w:type="dxa"/>
          </w:tcPr>
          <w:p w14:paraId="281C1BF2" w14:textId="77777777" w:rsidR="00C64A18" w:rsidRPr="00E45508" w:rsidRDefault="00C64A18" w:rsidP="0066122E">
            <w:pPr>
              <w:pStyle w:val="Tabletext0"/>
            </w:pPr>
            <w:r w:rsidRPr="00E45508">
              <w:t>Ship to location</w:t>
            </w:r>
          </w:p>
        </w:tc>
        <w:tc>
          <w:tcPr>
            <w:tcW w:w="2268" w:type="dxa"/>
          </w:tcPr>
          <w:p w14:paraId="5968E9AE" w14:textId="26A024CE" w:rsidR="00C64A18" w:rsidRPr="00E45508" w:rsidRDefault="0066122E" w:rsidP="0066122E">
            <w:pPr>
              <w:pStyle w:val="Tabletext0"/>
            </w:pPr>
            <w:r w:rsidRPr="00E45508">
              <w:t>-</w:t>
            </w:r>
          </w:p>
        </w:tc>
        <w:tc>
          <w:tcPr>
            <w:tcW w:w="2551" w:type="dxa"/>
          </w:tcPr>
          <w:p w14:paraId="28D99F17" w14:textId="5263DE15" w:rsidR="00C64A18" w:rsidRPr="00E45508" w:rsidRDefault="0066122E" w:rsidP="0066122E">
            <w:pPr>
              <w:pStyle w:val="Tabletext0"/>
            </w:pPr>
            <w:r w:rsidRPr="00E45508">
              <w:t>-</w:t>
            </w:r>
          </w:p>
        </w:tc>
        <w:tc>
          <w:tcPr>
            <w:tcW w:w="2694" w:type="dxa"/>
          </w:tcPr>
          <w:p w14:paraId="3FB8F7E4" w14:textId="7E213951" w:rsidR="00C64A18" w:rsidRPr="00E45508" w:rsidRDefault="0066122E" w:rsidP="0066122E">
            <w:pPr>
              <w:pStyle w:val="Tabletext0"/>
            </w:pPr>
            <w:r w:rsidRPr="00E45508">
              <w:t>-</w:t>
            </w:r>
          </w:p>
        </w:tc>
      </w:tr>
    </w:tbl>
    <w:p w14:paraId="7023AF5C" w14:textId="796FC57E" w:rsidR="00A64925" w:rsidRPr="00E45508" w:rsidRDefault="00A64925">
      <w:pPr>
        <w:spacing w:after="0" w:line="240" w:lineRule="auto"/>
      </w:pPr>
    </w:p>
    <w:sectPr w:rsidR="00A64925" w:rsidRPr="00E45508" w:rsidSect="00C374DC">
      <w:headerReference w:type="even" r:id="rId111"/>
      <w:headerReference w:type="default" r:id="rId112"/>
      <w:headerReference w:type="first" r:id="rId113"/>
      <w:type w:val="continuous"/>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660DF" w14:textId="77777777" w:rsidR="00E36230" w:rsidRDefault="00E36230">
      <w:r>
        <w:separator/>
      </w:r>
    </w:p>
    <w:p w14:paraId="37BF20A8" w14:textId="77777777" w:rsidR="00E36230" w:rsidRDefault="00E36230"/>
    <w:p w14:paraId="3A54AF1D" w14:textId="77777777" w:rsidR="00E36230" w:rsidRDefault="00E36230"/>
  </w:endnote>
  <w:endnote w:type="continuationSeparator" w:id="0">
    <w:p w14:paraId="5F20B4EF" w14:textId="77777777" w:rsidR="00E36230" w:rsidRDefault="00E36230">
      <w:r>
        <w:continuationSeparator/>
      </w:r>
    </w:p>
    <w:p w14:paraId="04CA2C44" w14:textId="77777777" w:rsidR="00E36230" w:rsidRDefault="00E36230"/>
    <w:p w14:paraId="5B10CE58" w14:textId="77777777" w:rsidR="00E36230" w:rsidRDefault="00E36230"/>
  </w:endnote>
  <w:endnote w:type="continuationNotice" w:id="1">
    <w:p w14:paraId="6E721503" w14:textId="77777777" w:rsidR="00E36230" w:rsidRDefault="00E36230">
      <w:pPr>
        <w:pStyle w:val="Footer"/>
      </w:pPr>
    </w:p>
    <w:p w14:paraId="299CFC3E" w14:textId="77777777" w:rsidR="00E36230" w:rsidRDefault="00E36230"/>
    <w:p w14:paraId="06859C96" w14:textId="77777777" w:rsidR="00E36230" w:rsidRDefault="00E36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E02E2" w14:textId="2FD31CB8" w:rsidR="00D30795" w:rsidRDefault="00EE6B4B">
    <w:pPr>
      <w:pStyle w:val="Footer"/>
    </w:pPr>
    <w:r>
      <w:rPr>
        <w:noProof/>
      </w:rPr>
      <mc:AlternateContent>
        <mc:Choice Requires="wps">
          <w:drawing>
            <wp:anchor distT="0" distB="0" distL="0" distR="0" simplePos="0" relativeHeight="251658242" behindDoc="0" locked="0" layoutInCell="1" allowOverlap="1" wp14:anchorId="51019D07" wp14:editId="6F8C7AE1">
              <wp:simplePos x="635" y="635"/>
              <wp:positionH relativeFrom="page">
                <wp:align>center</wp:align>
              </wp:positionH>
              <wp:positionV relativeFrom="page">
                <wp:align>bottom</wp:align>
              </wp:positionV>
              <wp:extent cx="551815" cy="404495"/>
              <wp:effectExtent l="0" t="0" r="635" b="0"/>
              <wp:wrapNone/>
              <wp:docPr id="139237508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539EEF" w14:textId="76051AC7" w:rsidR="00EE6B4B" w:rsidRPr="00EE6B4B" w:rsidRDefault="00EE6B4B" w:rsidP="00EE6B4B">
                          <w:pPr>
                            <w:spacing w:after="0"/>
                            <w:rPr>
                              <w:rFonts w:ascii="Calibri" w:eastAsia="Calibri" w:hAnsi="Calibri" w:cs="Calibri"/>
                              <w:noProof/>
                              <w:color w:val="FF0000"/>
                              <w:sz w:val="24"/>
                              <w:szCs w:val="24"/>
                            </w:rPr>
                          </w:pPr>
                          <w:r w:rsidRPr="00EE6B4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019D07"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6F539EEF" w14:textId="76051AC7" w:rsidR="00EE6B4B" w:rsidRPr="00EE6B4B" w:rsidRDefault="00EE6B4B" w:rsidP="00EE6B4B">
                    <w:pPr>
                      <w:spacing w:after="0"/>
                      <w:rPr>
                        <w:rFonts w:ascii="Calibri" w:eastAsia="Calibri" w:hAnsi="Calibri" w:cs="Calibri"/>
                        <w:noProof/>
                        <w:color w:val="FF0000"/>
                        <w:sz w:val="24"/>
                        <w:szCs w:val="24"/>
                      </w:rPr>
                    </w:pPr>
                    <w:r w:rsidRPr="00EE6B4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C951B" w14:textId="7BD2F383" w:rsidR="00616B11" w:rsidRDefault="008A1624" w:rsidP="0041230B">
    <w:pPr>
      <w:pStyle w:val="Footer"/>
      <w:jc w:val="right"/>
    </w:pPr>
    <w:sdt>
      <w:sdtPr>
        <w:id w:val="1249009319"/>
        <w:docPartObj>
          <w:docPartGallery w:val="Page Numbers (Bottom of Page)"/>
          <w:docPartUnique/>
        </w:docPartObj>
      </w:sdtPr>
      <w:sdtEndPr>
        <w:rPr>
          <w:noProof/>
        </w:rPr>
      </w:sdtEndPr>
      <w:sdtContent>
        <w:r w:rsidR="00AE3E6B">
          <w:fldChar w:fldCharType="begin"/>
        </w:r>
        <w:r w:rsidR="00AE3E6B">
          <w:instrText xml:space="preserve"> PAGE   \* MERGEFORMAT </w:instrText>
        </w:r>
        <w:r w:rsidR="00AE3E6B">
          <w:fldChar w:fldCharType="separate"/>
        </w:r>
        <w:r w:rsidR="00AE3E6B">
          <w:rPr>
            <w:noProof/>
          </w:rPr>
          <w:t>2</w:t>
        </w:r>
        <w:r w:rsidR="00AE3E6B">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1D9B8" w14:textId="77777777" w:rsidR="00E36230" w:rsidRDefault="00E36230">
      <w:r>
        <w:separator/>
      </w:r>
    </w:p>
    <w:p w14:paraId="671A2C07" w14:textId="77777777" w:rsidR="00E36230" w:rsidRDefault="00E36230"/>
    <w:p w14:paraId="7217ED9E" w14:textId="77777777" w:rsidR="00E36230" w:rsidRDefault="00E36230"/>
  </w:footnote>
  <w:footnote w:type="continuationSeparator" w:id="0">
    <w:p w14:paraId="7B17B16A" w14:textId="77777777" w:rsidR="00E36230" w:rsidRDefault="00E36230">
      <w:r>
        <w:continuationSeparator/>
      </w:r>
    </w:p>
    <w:p w14:paraId="56FE35EE" w14:textId="77777777" w:rsidR="00E36230" w:rsidRDefault="00E36230"/>
    <w:p w14:paraId="7167C034" w14:textId="77777777" w:rsidR="00E36230" w:rsidRDefault="00E36230"/>
  </w:footnote>
  <w:footnote w:type="continuationNotice" w:id="1">
    <w:p w14:paraId="67B72EEA" w14:textId="77777777" w:rsidR="00E36230" w:rsidRDefault="00E36230">
      <w:pPr>
        <w:pStyle w:val="Footer"/>
      </w:pPr>
    </w:p>
    <w:p w14:paraId="798FB00E" w14:textId="77777777" w:rsidR="00E36230" w:rsidRDefault="00E36230"/>
    <w:p w14:paraId="1861FC41" w14:textId="77777777" w:rsidR="00E36230" w:rsidRDefault="00E362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84B01" w14:textId="3FAA97CC" w:rsidR="00B861B4" w:rsidRDefault="00EE6B4B">
    <w:pPr>
      <w:pStyle w:val="Header"/>
    </w:pPr>
    <w:r>
      <w:rPr>
        <w:noProof/>
      </w:rPr>
      <mc:AlternateContent>
        <mc:Choice Requires="wps">
          <w:drawing>
            <wp:anchor distT="0" distB="0" distL="0" distR="0" simplePos="0" relativeHeight="251658241" behindDoc="0" locked="0" layoutInCell="1" allowOverlap="1" wp14:anchorId="60871D9F" wp14:editId="6A4D909A">
              <wp:simplePos x="635" y="635"/>
              <wp:positionH relativeFrom="page">
                <wp:align>center</wp:align>
              </wp:positionH>
              <wp:positionV relativeFrom="page">
                <wp:align>top</wp:align>
              </wp:positionV>
              <wp:extent cx="551815" cy="404495"/>
              <wp:effectExtent l="0" t="0" r="635" b="14605"/>
              <wp:wrapNone/>
              <wp:docPr id="1654438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F65D57" w14:textId="1B678D6D" w:rsidR="00EE6B4B" w:rsidRPr="00EE6B4B" w:rsidRDefault="00EE6B4B" w:rsidP="00EE6B4B">
                          <w:pPr>
                            <w:spacing w:after="0"/>
                            <w:rPr>
                              <w:rFonts w:ascii="Calibri" w:eastAsia="Calibri" w:hAnsi="Calibri" w:cs="Calibri"/>
                              <w:noProof/>
                              <w:color w:val="FF0000"/>
                              <w:sz w:val="24"/>
                              <w:szCs w:val="24"/>
                            </w:rPr>
                          </w:pPr>
                          <w:r w:rsidRPr="00EE6B4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871D9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9F65D57" w14:textId="1B678D6D" w:rsidR="00EE6B4B" w:rsidRPr="00EE6B4B" w:rsidRDefault="00EE6B4B" w:rsidP="00EE6B4B">
                    <w:pPr>
                      <w:spacing w:after="0"/>
                      <w:rPr>
                        <w:rFonts w:ascii="Calibri" w:eastAsia="Calibri" w:hAnsi="Calibri" w:cs="Calibri"/>
                        <w:noProof/>
                        <w:color w:val="FF0000"/>
                        <w:sz w:val="24"/>
                        <w:szCs w:val="24"/>
                      </w:rPr>
                    </w:pPr>
                    <w:r w:rsidRPr="00EE6B4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9CA5" w14:textId="0E8E42FB" w:rsidR="00B861B4" w:rsidRDefault="008A1624">
    <w:pPr>
      <w:pStyle w:val="Header"/>
    </w:pPr>
    <w:sdt>
      <w:sdtPr>
        <w:id w:val="891544556"/>
        <w:docPartObj>
          <w:docPartGallery w:val="Watermarks"/>
          <w:docPartUnique/>
        </w:docPartObj>
      </w:sdtPr>
      <w:sdtContent>
        <w:r w:rsidR="5E9D548E">
          <w:t xml:space="preserve">Reform of </w:t>
        </w:r>
        <w:r w:rsidR="007459A5">
          <w:t>p</w:t>
        </w:r>
        <w:r w:rsidR="5E9D548E">
          <w:t xml:space="preserve">ackaging </w:t>
        </w:r>
        <w:r w:rsidR="007459A5">
          <w:t>r</w:t>
        </w:r>
        <w:r w:rsidR="5E9D548E">
          <w:t>egulation</w:t>
        </w:r>
        <w:r w:rsidR="00A97AAA">
          <w:t>:</w:t>
        </w:r>
        <w:r w:rsidR="5E9D548E">
          <w:t xml:space="preserve"> </w:t>
        </w:r>
        <w:r w:rsidR="00A97AAA" w:rsidRPr="7E96A87F">
          <w:rPr>
            <w:rFonts w:asciiTheme="minorHAnsi" w:hAnsiTheme="minorHAnsi"/>
          </w:rPr>
          <w:t xml:space="preserve">Consultation </w:t>
        </w:r>
        <w:r w:rsidR="007459A5">
          <w:rPr>
            <w:rFonts w:asciiTheme="minorHAnsi" w:hAnsiTheme="minorHAnsi"/>
          </w:rPr>
          <w:t>p</w:t>
        </w:r>
        <w:r w:rsidR="00A97AAA" w:rsidRPr="7E96A87F">
          <w:rPr>
            <w:rFonts w:asciiTheme="minorHAnsi" w:hAnsiTheme="minorHAnsi"/>
          </w:rPr>
          <w:t>aper</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C1E07" w14:textId="4C7500C0" w:rsidR="00B861B4" w:rsidRDefault="00A4349F">
    <w:pPr>
      <w:pStyle w:val="Header"/>
      <w:jc w:val="left"/>
    </w:pPr>
    <w:r>
      <w:rPr>
        <w:noProof/>
        <w:lang w:val="en-US"/>
      </w:rPr>
      <w:drawing>
        <wp:anchor distT="0" distB="0" distL="114300" distR="114300" simplePos="0" relativeHeight="251658240" behindDoc="1" locked="0" layoutInCell="1" allowOverlap="1" wp14:anchorId="38F2D59B" wp14:editId="57AAB93E">
          <wp:simplePos x="0" y="0"/>
          <wp:positionH relativeFrom="page">
            <wp:align>left</wp:align>
          </wp:positionH>
          <wp:positionV relativeFrom="paragraph">
            <wp:posOffset>-359636</wp:posOffset>
          </wp:positionV>
          <wp:extent cx="7559610" cy="10693190"/>
          <wp:effectExtent l="0" t="0" r="3810" b="0"/>
          <wp:wrapNone/>
          <wp:docPr id="446525942" name="Picture 446525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FD4E3" w14:textId="27A4BC77" w:rsidR="0058091B" w:rsidRDefault="005809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8110C" w14:textId="74C47A18" w:rsidR="005F1AC6" w:rsidRDefault="005F1A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7320" w14:textId="02AC50CF" w:rsidR="001169C1" w:rsidRDefault="001169C1">
    <w:pPr>
      <w:pStyle w:val="Header"/>
      <w:jc w:val="left"/>
    </w:pPr>
    <w:r>
      <w:rPr>
        <w:noProof/>
        <w:lang w:val="en-US"/>
      </w:rPr>
      <mc:AlternateContent>
        <mc:Choice Requires="wps">
          <w:drawing>
            <wp:anchor distT="0" distB="0" distL="0" distR="0" simplePos="0" relativeHeight="251658243" behindDoc="0" locked="0" layoutInCell="1" allowOverlap="1" wp14:anchorId="2E385CF5" wp14:editId="4352DDAC">
              <wp:simplePos x="901065" y="360680"/>
              <wp:positionH relativeFrom="page">
                <wp:align>center</wp:align>
              </wp:positionH>
              <wp:positionV relativeFrom="page">
                <wp:align>top</wp:align>
              </wp:positionV>
              <wp:extent cx="551815" cy="404495"/>
              <wp:effectExtent l="0" t="0" r="635" b="14605"/>
              <wp:wrapNone/>
              <wp:docPr id="2635771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79183C" w14:textId="77777777" w:rsidR="001169C1" w:rsidRPr="00EE6B4B" w:rsidRDefault="001169C1" w:rsidP="00EE6B4B">
                          <w:pPr>
                            <w:spacing w:after="0"/>
                            <w:rPr>
                              <w:rFonts w:ascii="Calibri" w:eastAsia="Calibri" w:hAnsi="Calibri" w:cs="Calibri"/>
                              <w:noProof/>
                              <w:color w:val="FF0000"/>
                              <w:sz w:val="24"/>
                              <w:szCs w:val="24"/>
                            </w:rPr>
                          </w:pPr>
                          <w:r w:rsidRPr="00EE6B4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385CF5"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0A79183C" w14:textId="77777777" w:rsidR="001169C1" w:rsidRPr="00EE6B4B" w:rsidRDefault="001169C1" w:rsidP="00EE6B4B">
                    <w:pPr>
                      <w:spacing w:after="0"/>
                      <w:rPr>
                        <w:rFonts w:ascii="Calibri" w:eastAsia="Calibri" w:hAnsi="Calibri" w:cs="Calibri"/>
                        <w:noProof/>
                        <w:color w:val="FF0000"/>
                        <w:sz w:val="24"/>
                        <w:szCs w:val="24"/>
                      </w:rPr>
                    </w:pPr>
                    <w:r w:rsidRPr="00EE6B4B">
                      <w:rPr>
                        <w:rFonts w:ascii="Calibri" w:eastAsia="Calibri" w:hAnsi="Calibri" w:cs="Calibri"/>
                        <w:noProof/>
                        <w:color w:val="FF0000"/>
                        <w:sz w:val="24"/>
                        <w:szCs w:val="24"/>
                      </w:rPr>
                      <w:t>OFFICIAL</w:t>
                    </w:r>
                  </w:p>
                </w:txbxContent>
              </v:textbox>
              <w10:wrap anchorx="page" anchory="page"/>
            </v:shape>
          </w:pict>
        </mc:Fallback>
      </mc:AlternateContent>
    </w:r>
    <w:r>
      <w:rPr>
        <w:noProof/>
        <w:lang w:val="en-US"/>
      </w:rPr>
      <w:drawing>
        <wp:anchor distT="0" distB="0" distL="114300" distR="114300" simplePos="0" relativeHeight="251658244" behindDoc="1" locked="0" layoutInCell="1" allowOverlap="1" wp14:anchorId="5D0EF1F0" wp14:editId="216477F4">
          <wp:simplePos x="0" y="0"/>
          <wp:positionH relativeFrom="page">
            <wp:align>left</wp:align>
          </wp:positionH>
          <wp:positionV relativeFrom="paragraph">
            <wp:posOffset>-359636</wp:posOffset>
          </wp:positionV>
          <wp:extent cx="7559610" cy="10693190"/>
          <wp:effectExtent l="0" t="0" r="3810" b="0"/>
          <wp:wrapNone/>
          <wp:docPr id="1140876852" name="Picture 1140876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D1B7D" w14:textId="77777777" w:rsidR="007F0D98" w:rsidRDefault="007F0D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4060" w14:textId="77777777" w:rsidR="007F0D98" w:rsidRDefault="007F0D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844ED" w14:textId="77777777" w:rsidR="007F0D98" w:rsidRDefault="007F0D98">
    <w:pPr>
      <w:pStyle w:val="Header"/>
      <w:jc w:val="left"/>
    </w:pPr>
    <w:r>
      <w:rPr>
        <w:noProof/>
        <w:lang w:val="en-US"/>
      </w:rPr>
      <mc:AlternateContent>
        <mc:Choice Requires="wps">
          <w:drawing>
            <wp:anchor distT="0" distB="0" distL="0" distR="0" simplePos="0" relativeHeight="251658245" behindDoc="0" locked="0" layoutInCell="1" allowOverlap="1" wp14:anchorId="7D1CC933" wp14:editId="545F9BCB">
              <wp:simplePos x="901065" y="360680"/>
              <wp:positionH relativeFrom="page">
                <wp:align>center</wp:align>
              </wp:positionH>
              <wp:positionV relativeFrom="page">
                <wp:align>top</wp:align>
              </wp:positionV>
              <wp:extent cx="551815" cy="404495"/>
              <wp:effectExtent l="0" t="0" r="635" b="14605"/>
              <wp:wrapNone/>
              <wp:docPr id="66491626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6CF8C1" w14:textId="77777777" w:rsidR="007F0D98" w:rsidRPr="00EE6B4B" w:rsidRDefault="007F0D98" w:rsidP="00EE6B4B">
                          <w:pPr>
                            <w:spacing w:after="0"/>
                            <w:rPr>
                              <w:rFonts w:ascii="Calibri" w:eastAsia="Calibri" w:hAnsi="Calibri" w:cs="Calibri"/>
                              <w:noProof/>
                              <w:color w:val="FF0000"/>
                              <w:sz w:val="24"/>
                              <w:szCs w:val="24"/>
                            </w:rPr>
                          </w:pPr>
                          <w:r w:rsidRPr="00EE6B4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1CC933" id="_x0000_t202" coordsize="21600,21600" o:spt="202" path="m,l,21600r21600,l21600,xe">
              <v:stroke joinstyle="miter"/>
              <v:path gradientshapeok="t" o:connecttype="rect"/>
            </v:shapetype>
            <v:shape id="_x0000_s1029" type="#_x0000_t202" alt="OFFICIAL" style="position:absolute;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6B6CF8C1" w14:textId="77777777" w:rsidR="007F0D98" w:rsidRPr="00EE6B4B" w:rsidRDefault="007F0D98" w:rsidP="00EE6B4B">
                    <w:pPr>
                      <w:spacing w:after="0"/>
                      <w:rPr>
                        <w:rFonts w:ascii="Calibri" w:eastAsia="Calibri" w:hAnsi="Calibri" w:cs="Calibri"/>
                        <w:noProof/>
                        <w:color w:val="FF0000"/>
                        <w:sz w:val="24"/>
                        <w:szCs w:val="24"/>
                      </w:rPr>
                    </w:pPr>
                    <w:r w:rsidRPr="00EE6B4B">
                      <w:rPr>
                        <w:rFonts w:ascii="Calibri" w:eastAsia="Calibri" w:hAnsi="Calibri" w:cs="Calibri"/>
                        <w:noProof/>
                        <w:color w:val="FF0000"/>
                        <w:sz w:val="24"/>
                        <w:szCs w:val="24"/>
                      </w:rPr>
                      <w:t>OFFICIAL</w:t>
                    </w:r>
                  </w:p>
                </w:txbxContent>
              </v:textbox>
              <w10:wrap anchorx="page" anchory="page"/>
            </v:shape>
          </w:pict>
        </mc:Fallback>
      </mc:AlternateContent>
    </w:r>
    <w:r>
      <w:rPr>
        <w:noProof/>
        <w:lang w:val="en-US"/>
      </w:rPr>
      <w:drawing>
        <wp:anchor distT="0" distB="0" distL="114300" distR="114300" simplePos="0" relativeHeight="251658246" behindDoc="1" locked="0" layoutInCell="1" allowOverlap="1" wp14:anchorId="72E894BB" wp14:editId="5F9ECFE7">
          <wp:simplePos x="0" y="0"/>
          <wp:positionH relativeFrom="page">
            <wp:align>left</wp:align>
          </wp:positionH>
          <wp:positionV relativeFrom="paragraph">
            <wp:posOffset>-359636</wp:posOffset>
          </wp:positionV>
          <wp:extent cx="7559610" cy="10693190"/>
          <wp:effectExtent l="0" t="0" r="3810" b="0"/>
          <wp:wrapNone/>
          <wp:docPr id="132883512" name="Picture 132883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0DC7D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84511"/>
    <w:multiLevelType w:val="multilevel"/>
    <w:tmpl w:val="475632E4"/>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isLgl/>
      <w:suff w:val="space"/>
      <w:lvlText w:val="%1.%2.%3"/>
      <w:lvlJc w:val="left"/>
      <w:pPr>
        <w:ind w:left="0" w:firstLine="0"/>
      </w:pPr>
      <w:rPr>
        <w:rFonts w:hint="default"/>
      </w:rPr>
    </w:lvl>
    <w:lvl w:ilvl="3">
      <w:start w:val="1"/>
      <w:numFmt w:val="decimal"/>
      <w:pStyle w:val="Heading5"/>
      <w:isLgl/>
      <w:suff w:val="space"/>
      <w:lvlText w:val="%1.%2.%3.%4"/>
      <w:lvlJc w:val="left"/>
      <w:pPr>
        <w:ind w:left="0" w:firstLine="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1722F4D"/>
    <w:multiLevelType w:val="multilevel"/>
    <w:tmpl w:val="B06E12B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85E2A4F"/>
    <w:multiLevelType w:val="hybridMultilevel"/>
    <w:tmpl w:val="A1C0E1B8"/>
    <w:lvl w:ilvl="0" w:tplc="EA9E2D7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8833CF3"/>
    <w:multiLevelType w:val="hybridMultilevel"/>
    <w:tmpl w:val="CEA0664E"/>
    <w:lvl w:ilvl="0" w:tplc="FFFFFFFF">
      <w:start w:val="1"/>
      <w:numFmt w:val="decimal"/>
      <w:lvlText w:val="%1."/>
      <w:lvlJc w:val="left"/>
      <w:pPr>
        <w:ind w:left="720" w:hanging="360"/>
      </w:pPr>
      <w:rPr>
        <w:rFonts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D553F3"/>
    <w:multiLevelType w:val="hybridMultilevel"/>
    <w:tmpl w:val="8A6E1406"/>
    <w:lvl w:ilvl="0" w:tplc="66C28606">
      <w:start w:val="1"/>
      <w:numFmt w:val="bullet"/>
      <w:pStyle w:val="BoxText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D580194"/>
    <w:multiLevelType w:val="multilevel"/>
    <w:tmpl w:val="832EDE56"/>
    <w:lvl w:ilvl="0">
      <w:start w:val="1"/>
      <w:numFmt w:val="upperLetter"/>
      <w:suff w:val="space"/>
      <w:lvlText w:val="Appendix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F507AC4"/>
    <w:multiLevelType w:val="hybridMultilevel"/>
    <w:tmpl w:val="6FFA548C"/>
    <w:lvl w:ilvl="0" w:tplc="E7066796">
      <w:start w:val="1"/>
      <w:numFmt w:val="bullet"/>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F5C56AA"/>
    <w:multiLevelType w:val="multilevel"/>
    <w:tmpl w:val="0010BBF0"/>
    <w:lvl w:ilvl="0">
      <w:start w:val="1"/>
      <w:numFmt w:val="lowerRoman"/>
      <w:lvlText w:val="%1."/>
      <w:lvlJc w:val="righ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11" w15:restartNumberingAfterBreak="0">
    <w:nsid w:val="1FF93DAD"/>
    <w:multiLevelType w:val="multilevel"/>
    <w:tmpl w:val="C39E408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1E20078"/>
    <w:multiLevelType w:val="multilevel"/>
    <w:tmpl w:val="F36C17E8"/>
    <w:styleLink w:val="TableBullet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5841C1"/>
    <w:multiLevelType w:val="multilevel"/>
    <w:tmpl w:val="9994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3D004E"/>
    <w:multiLevelType w:val="hybridMultilevel"/>
    <w:tmpl w:val="ABEAAE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E12F45"/>
    <w:multiLevelType w:val="hybridMultilevel"/>
    <w:tmpl w:val="2E82A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B3826A"/>
    <w:multiLevelType w:val="hybridMultilevel"/>
    <w:tmpl w:val="FFFFFFFF"/>
    <w:lvl w:ilvl="0" w:tplc="66BEFAB8">
      <w:start w:val="1"/>
      <w:numFmt w:val="decimal"/>
      <w:lvlText w:val="%1."/>
      <w:lvlJc w:val="left"/>
      <w:pPr>
        <w:ind w:left="1287" w:hanging="360"/>
      </w:pPr>
    </w:lvl>
    <w:lvl w:ilvl="1" w:tplc="19DC5706">
      <w:start w:val="1"/>
      <w:numFmt w:val="lowerLetter"/>
      <w:lvlText w:val="%2."/>
      <w:lvlJc w:val="left"/>
      <w:pPr>
        <w:ind w:left="1647" w:hanging="360"/>
      </w:pPr>
    </w:lvl>
    <w:lvl w:ilvl="2" w:tplc="16B6C0A4">
      <w:start w:val="1"/>
      <w:numFmt w:val="lowerRoman"/>
      <w:lvlText w:val="%3."/>
      <w:lvlJc w:val="right"/>
      <w:pPr>
        <w:ind w:left="2367" w:hanging="180"/>
      </w:pPr>
    </w:lvl>
    <w:lvl w:ilvl="3" w:tplc="06066C54">
      <w:start w:val="1"/>
      <w:numFmt w:val="decimal"/>
      <w:lvlText w:val="%4."/>
      <w:lvlJc w:val="left"/>
      <w:pPr>
        <w:ind w:left="3087" w:hanging="360"/>
      </w:pPr>
    </w:lvl>
    <w:lvl w:ilvl="4" w:tplc="6AD8647A">
      <w:start w:val="1"/>
      <w:numFmt w:val="lowerLetter"/>
      <w:lvlText w:val="%5."/>
      <w:lvlJc w:val="left"/>
      <w:pPr>
        <w:ind w:left="3807" w:hanging="360"/>
      </w:pPr>
    </w:lvl>
    <w:lvl w:ilvl="5" w:tplc="29924158">
      <w:start w:val="1"/>
      <w:numFmt w:val="lowerRoman"/>
      <w:lvlText w:val="%6."/>
      <w:lvlJc w:val="right"/>
      <w:pPr>
        <w:ind w:left="4527" w:hanging="180"/>
      </w:pPr>
    </w:lvl>
    <w:lvl w:ilvl="6" w:tplc="2F702E6C">
      <w:start w:val="1"/>
      <w:numFmt w:val="decimal"/>
      <w:lvlText w:val="%7."/>
      <w:lvlJc w:val="left"/>
      <w:pPr>
        <w:ind w:left="5247" w:hanging="360"/>
      </w:pPr>
    </w:lvl>
    <w:lvl w:ilvl="7" w:tplc="580AEEE4">
      <w:start w:val="1"/>
      <w:numFmt w:val="lowerLetter"/>
      <w:lvlText w:val="%8."/>
      <w:lvlJc w:val="left"/>
      <w:pPr>
        <w:ind w:left="5967" w:hanging="360"/>
      </w:pPr>
    </w:lvl>
    <w:lvl w:ilvl="8" w:tplc="568A7408">
      <w:start w:val="1"/>
      <w:numFmt w:val="lowerRoman"/>
      <w:lvlText w:val="%9."/>
      <w:lvlJc w:val="right"/>
      <w:pPr>
        <w:ind w:left="6687" w:hanging="180"/>
      </w:pPr>
    </w:lvl>
  </w:abstractNum>
  <w:abstractNum w:abstractNumId="17" w15:restartNumberingAfterBreak="0">
    <w:nsid w:val="44E07AFE"/>
    <w:multiLevelType w:val="hybridMultilevel"/>
    <w:tmpl w:val="B9769334"/>
    <w:lvl w:ilvl="0" w:tplc="0C09000D">
      <w:start w:val="1"/>
      <w:numFmt w:val="bullet"/>
      <w:lvlText w:val=""/>
      <w:lvlJc w:val="left"/>
      <w:pPr>
        <w:ind w:left="765" w:hanging="360"/>
      </w:pPr>
      <w:rPr>
        <w:rFonts w:ascii="Wingdings" w:hAnsi="Wingdings" w:hint="default"/>
      </w:rPr>
    </w:lvl>
    <w:lvl w:ilvl="1" w:tplc="FFFFFFFF">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8" w15:restartNumberingAfterBreak="0">
    <w:nsid w:val="451F6647"/>
    <w:multiLevelType w:val="multilevel"/>
    <w:tmpl w:val="15BA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924467"/>
    <w:multiLevelType w:val="multilevel"/>
    <w:tmpl w:val="60120B82"/>
    <w:lvl w:ilvl="0">
      <w:start w:val="1"/>
      <w:numFmt w:val="decimal"/>
      <w:lvlText w:val="%1."/>
      <w:lvlJc w:val="left"/>
      <w:pPr>
        <w:ind w:left="1287" w:hanging="720"/>
      </w:pPr>
      <w:rPr>
        <w:rFonts w:hint="default"/>
      </w:rPr>
    </w:lvl>
    <w:lvl w:ilvl="1">
      <w:start w:val="1"/>
      <w:numFmt w:val="decimal"/>
      <w:lvlText w:val="%2.%1"/>
      <w:lvlJc w:val="left"/>
      <w:pPr>
        <w:ind w:left="771" w:hanging="771"/>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0" w15:restartNumberingAfterBreak="0">
    <w:nsid w:val="48DE2E4A"/>
    <w:multiLevelType w:val="hybridMultilevel"/>
    <w:tmpl w:val="B7086130"/>
    <w:lvl w:ilvl="0" w:tplc="50623E58">
      <w:start w:val="1"/>
      <w:numFmt w:val="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2" w15:restartNumberingAfterBreak="0">
    <w:nsid w:val="51C106AD"/>
    <w:multiLevelType w:val="hybridMultilevel"/>
    <w:tmpl w:val="FFFFFFFF"/>
    <w:lvl w:ilvl="0" w:tplc="DB26F856">
      <w:start w:val="1"/>
      <w:numFmt w:val="decimal"/>
      <w:lvlText w:val="%1."/>
      <w:lvlJc w:val="left"/>
      <w:pPr>
        <w:ind w:left="720" w:hanging="360"/>
      </w:pPr>
    </w:lvl>
    <w:lvl w:ilvl="1" w:tplc="9754FE3E">
      <w:start w:val="1"/>
      <w:numFmt w:val="lowerLetter"/>
      <w:lvlText w:val="%2."/>
      <w:lvlJc w:val="left"/>
      <w:pPr>
        <w:ind w:left="1440" w:hanging="360"/>
      </w:pPr>
    </w:lvl>
    <w:lvl w:ilvl="2" w:tplc="14FED826">
      <w:start w:val="1"/>
      <w:numFmt w:val="lowerRoman"/>
      <w:lvlText w:val="%3."/>
      <w:lvlJc w:val="right"/>
      <w:pPr>
        <w:ind w:left="2160" w:hanging="180"/>
      </w:pPr>
    </w:lvl>
    <w:lvl w:ilvl="3" w:tplc="AEE8811C">
      <w:start w:val="1"/>
      <w:numFmt w:val="decimal"/>
      <w:lvlText w:val="%4."/>
      <w:lvlJc w:val="left"/>
      <w:pPr>
        <w:ind w:left="2880" w:hanging="360"/>
      </w:pPr>
    </w:lvl>
    <w:lvl w:ilvl="4" w:tplc="77BCD850">
      <w:start w:val="1"/>
      <w:numFmt w:val="lowerLetter"/>
      <w:lvlText w:val="%5."/>
      <w:lvlJc w:val="left"/>
      <w:pPr>
        <w:ind w:left="3600" w:hanging="360"/>
      </w:pPr>
    </w:lvl>
    <w:lvl w:ilvl="5" w:tplc="2E40B7C4">
      <w:start w:val="1"/>
      <w:numFmt w:val="lowerRoman"/>
      <w:lvlText w:val="%6."/>
      <w:lvlJc w:val="right"/>
      <w:pPr>
        <w:ind w:left="4320" w:hanging="180"/>
      </w:pPr>
    </w:lvl>
    <w:lvl w:ilvl="6" w:tplc="7696E3B2">
      <w:start w:val="1"/>
      <w:numFmt w:val="decimal"/>
      <w:lvlText w:val="%7."/>
      <w:lvlJc w:val="left"/>
      <w:pPr>
        <w:ind w:left="5040" w:hanging="360"/>
      </w:pPr>
    </w:lvl>
    <w:lvl w:ilvl="7" w:tplc="AD980CCC">
      <w:start w:val="1"/>
      <w:numFmt w:val="lowerLetter"/>
      <w:lvlText w:val="%8."/>
      <w:lvlJc w:val="left"/>
      <w:pPr>
        <w:ind w:left="5760" w:hanging="360"/>
      </w:pPr>
    </w:lvl>
    <w:lvl w:ilvl="8" w:tplc="3DBA7256">
      <w:start w:val="1"/>
      <w:numFmt w:val="lowerRoman"/>
      <w:lvlText w:val="%9."/>
      <w:lvlJc w:val="right"/>
      <w:pPr>
        <w:ind w:left="6480" w:hanging="180"/>
      </w:pPr>
    </w:lvl>
  </w:abstractNum>
  <w:abstractNum w:abstractNumId="23" w15:restartNumberingAfterBreak="0">
    <w:nsid w:val="53B4A3CB"/>
    <w:multiLevelType w:val="hybridMultilevel"/>
    <w:tmpl w:val="FFFFFFFF"/>
    <w:lvl w:ilvl="0" w:tplc="A336EA70">
      <w:start w:val="1"/>
      <w:numFmt w:val="decimal"/>
      <w:lvlText w:val="%1."/>
      <w:lvlJc w:val="left"/>
      <w:pPr>
        <w:ind w:left="720" w:hanging="360"/>
      </w:pPr>
    </w:lvl>
    <w:lvl w:ilvl="1" w:tplc="56D8F676">
      <w:start w:val="1"/>
      <w:numFmt w:val="lowerLetter"/>
      <w:lvlText w:val="%2."/>
      <w:lvlJc w:val="left"/>
      <w:pPr>
        <w:ind w:left="1440" w:hanging="360"/>
      </w:pPr>
    </w:lvl>
    <w:lvl w:ilvl="2" w:tplc="D046A07A">
      <w:start w:val="1"/>
      <w:numFmt w:val="lowerRoman"/>
      <w:lvlText w:val="%3."/>
      <w:lvlJc w:val="right"/>
      <w:pPr>
        <w:ind w:left="2160" w:hanging="180"/>
      </w:pPr>
    </w:lvl>
    <w:lvl w:ilvl="3" w:tplc="F086CF22">
      <w:start w:val="1"/>
      <w:numFmt w:val="decimal"/>
      <w:lvlText w:val="%4."/>
      <w:lvlJc w:val="left"/>
      <w:pPr>
        <w:ind w:left="2880" w:hanging="360"/>
      </w:pPr>
    </w:lvl>
    <w:lvl w:ilvl="4" w:tplc="E970ECDA">
      <w:start w:val="1"/>
      <w:numFmt w:val="lowerLetter"/>
      <w:lvlText w:val="%5."/>
      <w:lvlJc w:val="left"/>
      <w:pPr>
        <w:ind w:left="3600" w:hanging="360"/>
      </w:pPr>
    </w:lvl>
    <w:lvl w:ilvl="5" w:tplc="215E7044">
      <w:start w:val="1"/>
      <w:numFmt w:val="lowerRoman"/>
      <w:lvlText w:val="%6."/>
      <w:lvlJc w:val="right"/>
      <w:pPr>
        <w:ind w:left="4320" w:hanging="180"/>
      </w:pPr>
    </w:lvl>
    <w:lvl w:ilvl="6" w:tplc="795AE346">
      <w:start w:val="1"/>
      <w:numFmt w:val="decimal"/>
      <w:lvlText w:val="%7."/>
      <w:lvlJc w:val="left"/>
      <w:pPr>
        <w:ind w:left="5040" w:hanging="360"/>
      </w:pPr>
    </w:lvl>
    <w:lvl w:ilvl="7" w:tplc="8632C5DE">
      <w:start w:val="1"/>
      <w:numFmt w:val="lowerLetter"/>
      <w:lvlText w:val="%8."/>
      <w:lvlJc w:val="left"/>
      <w:pPr>
        <w:ind w:left="5760" w:hanging="360"/>
      </w:pPr>
    </w:lvl>
    <w:lvl w:ilvl="8" w:tplc="89E20440">
      <w:start w:val="1"/>
      <w:numFmt w:val="lowerRoman"/>
      <w:lvlText w:val="%9."/>
      <w:lvlJc w:val="right"/>
      <w:pPr>
        <w:ind w:left="6480" w:hanging="180"/>
      </w:pPr>
    </w:lvl>
  </w:abstractNum>
  <w:abstractNum w:abstractNumId="24" w15:restartNumberingAfterBreak="0">
    <w:nsid w:val="569E2B35"/>
    <w:multiLevelType w:val="hybridMultilevel"/>
    <w:tmpl w:val="6DDACE62"/>
    <w:lvl w:ilvl="0" w:tplc="17BABFB2">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77E565B"/>
    <w:multiLevelType w:val="hybridMultilevel"/>
    <w:tmpl w:val="E2128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BDAC1268">
      <w:start w:val="2"/>
      <w:numFmt w:val="bullet"/>
      <w:lvlText w:val=""/>
      <w:lvlJc w:val="left"/>
      <w:pPr>
        <w:ind w:left="2160" w:hanging="360"/>
      </w:pPr>
      <w:rPr>
        <w:rFonts w:ascii="Wingdings" w:eastAsiaTheme="minorHAnsi" w:hAnsi="Wingdings"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370321"/>
    <w:multiLevelType w:val="hybridMultilevel"/>
    <w:tmpl w:val="83CA5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9BB2999"/>
    <w:multiLevelType w:val="hybridMultilevel"/>
    <w:tmpl w:val="2B26A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524F55"/>
    <w:multiLevelType w:val="hybridMultilevel"/>
    <w:tmpl w:val="7EA4B898"/>
    <w:lvl w:ilvl="0" w:tplc="56AEA59A">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A12966"/>
    <w:multiLevelType w:val="multilevel"/>
    <w:tmpl w:val="A0241B28"/>
    <w:styleLink w:val="Headinglist"/>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5EA11866"/>
    <w:multiLevelType w:val="multilevel"/>
    <w:tmpl w:val="79F885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63865DBB"/>
    <w:multiLevelType w:val="hybridMultilevel"/>
    <w:tmpl w:val="8634162C"/>
    <w:lvl w:ilvl="0" w:tplc="0C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651D5B29"/>
    <w:multiLevelType w:val="hybridMultilevel"/>
    <w:tmpl w:val="E8521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245CC3"/>
    <w:multiLevelType w:val="hybridMultilevel"/>
    <w:tmpl w:val="65CE03DC"/>
    <w:lvl w:ilvl="0" w:tplc="4482A284">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7B9F1F6"/>
    <w:multiLevelType w:val="hybridMultilevel"/>
    <w:tmpl w:val="FFFFFFFF"/>
    <w:lvl w:ilvl="0" w:tplc="3BC69898">
      <w:start w:val="1"/>
      <w:numFmt w:val="decimal"/>
      <w:lvlText w:val="%1."/>
      <w:lvlJc w:val="left"/>
      <w:pPr>
        <w:ind w:left="720" w:hanging="360"/>
      </w:pPr>
    </w:lvl>
    <w:lvl w:ilvl="1" w:tplc="8DF0BCC2">
      <w:start w:val="1"/>
      <w:numFmt w:val="lowerLetter"/>
      <w:lvlText w:val="%2."/>
      <w:lvlJc w:val="left"/>
      <w:pPr>
        <w:ind w:left="1440" w:hanging="360"/>
      </w:pPr>
    </w:lvl>
    <w:lvl w:ilvl="2" w:tplc="0408E99E">
      <w:start w:val="1"/>
      <w:numFmt w:val="lowerRoman"/>
      <w:lvlText w:val="%3."/>
      <w:lvlJc w:val="right"/>
      <w:pPr>
        <w:ind w:left="2160" w:hanging="180"/>
      </w:pPr>
    </w:lvl>
    <w:lvl w:ilvl="3" w:tplc="110C753E">
      <w:start w:val="1"/>
      <w:numFmt w:val="decimal"/>
      <w:lvlText w:val="%4."/>
      <w:lvlJc w:val="left"/>
      <w:pPr>
        <w:ind w:left="2880" w:hanging="360"/>
      </w:pPr>
    </w:lvl>
    <w:lvl w:ilvl="4" w:tplc="6FD8379A">
      <w:start w:val="1"/>
      <w:numFmt w:val="lowerLetter"/>
      <w:lvlText w:val="%5."/>
      <w:lvlJc w:val="left"/>
      <w:pPr>
        <w:ind w:left="3600" w:hanging="360"/>
      </w:pPr>
    </w:lvl>
    <w:lvl w:ilvl="5" w:tplc="72BC0518">
      <w:start w:val="1"/>
      <w:numFmt w:val="lowerRoman"/>
      <w:lvlText w:val="%6."/>
      <w:lvlJc w:val="right"/>
      <w:pPr>
        <w:ind w:left="4320" w:hanging="180"/>
      </w:pPr>
    </w:lvl>
    <w:lvl w:ilvl="6" w:tplc="CD386380">
      <w:start w:val="1"/>
      <w:numFmt w:val="decimal"/>
      <w:lvlText w:val="%7."/>
      <w:lvlJc w:val="left"/>
      <w:pPr>
        <w:ind w:left="5040" w:hanging="360"/>
      </w:pPr>
    </w:lvl>
    <w:lvl w:ilvl="7" w:tplc="8FA07096">
      <w:start w:val="1"/>
      <w:numFmt w:val="lowerLetter"/>
      <w:lvlText w:val="%8."/>
      <w:lvlJc w:val="left"/>
      <w:pPr>
        <w:ind w:left="5760" w:hanging="360"/>
      </w:pPr>
    </w:lvl>
    <w:lvl w:ilvl="8" w:tplc="84A2A0A0">
      <w:start w:val="1"/>
      <w:numFmt w:val="lowerRoman"/>
      <w:lvlText w:val="%9."/>
      <w:lvlJc w:val="right"/>
      <w:pPr>
        <w:ind w:left="6480" w:hanging="180"/>
      </w:pPr>
    </w:lvl>
  </w:abstractNum>
  <w:abstractNum w:abstractNumId="37" w15:restartNumberingAfterBreak="0">
    <w:nsid w:val="68A304A7"/>
    <w:multiLevelType w:val="hybridMultilevel"/>
    <w:tmpl w:val="6486F580"/>
    <w:lvl w:ilvl="0" w:tplc="B73E5042">
      <w:start w:val="1"/>
      <w:numFmt w:val="bullet"/>
      <w:lvlText w:val=""/>
      <w:lvlJc w:val="left"/>
      <w:pPr>
        <w:ind w:left="1440" w:hanging="360"/>
      </w:pPr>
      <w:rPr>
        <w:rFonts w:ascii="Symbol" w:hAnsi="Symbol"/>
      </w:rPr>
    </w:lvl>
    <w:lvl w:ilvl="1" w:tplc="7B42F584">
      <w:start w:val="1"/>
      <w:numFmt w:val="bullet"/>
      <w:lvlText w:val=""/>
      <w:lvlJc w:val="left"/>
      <w:pPr>
        <w:ind w:left="1440" w:hanging="360"/>
      </w:pPr>
      <w:rPr>
        <w:rFonts w:ascii="Symbol" w:hAnsi="Symbol"/>
      </w:rPr>
    </w:lvl>
    <w:lvl w:ilvl="2" w:tplc="92682940">
      <w:start w:val="1"/>
      <w:numFmt w:val="bullet"/>
      <w:lvlText w:val=""/>
      <w:lvlJc w:val="left"/>
      <w:pPr>
        <w:ind w:left="1440" w:hanging="360"/>
      </w:pPr>
      <w:rPr>
        <w:rFonts w:ascii="Symbol" w:hAnsi="Symbol"/>
      </w:rPr>
    </w:lvl>
    <w:lvl w:ilvl="3" w:tplc="E182DE04">
      <w:start w:val="1"/>
      <w:numFmt w:val="bullet"/>
      <w:lvlText w:val=""/>
      <w:lvlJc w:val="left"/>
      <w:pPr>
        <w:ind w:left="1440" w:hanging="360"/>
      </w:pPr>
      <w:rPr>
        <w:rFonts w:ascii="Symbol" w:hAnsi="Symbol"/>
      </w:rPr>
    </w:lvl>
    <w:lvl w:ilvl="4" w:tplc="F1A4DC5E">
      <w:start w:val="1"/>
      <w:numFmt w:val="bullet"/>
      <w:lvlText w:val=""/>
      <w:lvlJc w:val="left"/>
      <w:pPr>
        <w:ind w:left="1440" w:hanging="360"/>
      </w:pPr>
      <w:rPr>
        <w:rFonts w:ascii="Symbol" w:hAnsi="Symbol"/>
      </w:rPr>
    </w:lvl>
    <w:lvl w:ilvl="5" w:tplc="7B2813AC">
      <w:start w:val="1"/>
      <w:numFmt w:val="bullet"/>
      <w:lvlText w:val=""/>
      <w:lvlJc w:val="left"/>
      <w:pPr>
        <w:ind w:left="1440" w:hanging="360"/>
      </w:pPr>
      <w:rPr>
        <w:rFonts w:ascii="Symbol" w:hAnsi="Symbol"/>
      </w:rPr>
    </w:lvl>
    <w:lvl w:ilvl="6" w:tplc="FF169FC2">
      <w:start w:val="1"/>
      <w:numFmt w:val="bullet"/>
      <w:lvlText w:val=""/>
      <w:lvlJc w:val="left"/>
      <w:pPr>
        <w:ind w:left="1440" w:hanging="360"/>
      </w:pPr>
      <w:rPr>
        <w:rFonts w:ascii="Symbol" w:hAnsi="Symbol"/>
      </w:rPr>
    </w:lvl>
    <w:lvl w:ilvl="7" w:tplc="43300C00">
      <w:start w:val="1"/>
      <w:numFmt w:val="bullet"/>
      <w:lvlText w:val=""/>
      <w:lvlJc w:val="left"/>
      <w:pPr>
        <w:ind w:left="1440" w:hanging="360"/>
      </w:pPr>
      <w:rPr>
        <w:rFonts w:ascii="Symbol" w:hAnsi="Symbol"/>
      </w:rPr>
    </w:lvl>
    <w:lvl w:ilvl="8" w:tplc="A42CDBE2">
      <w:start w:val="1"/>
      <w:numFmt w:val="bullet"/>
      <w:lvlText w:val=""/>
      <w:lvlJc w:val="left"/>
      <w:pPr>
        <w:ind w:left="1440" w:hanging="360"/>
      </w:pPr>
      <w:rPr>
        <w:rFonts w:ascii="Symbol" w:hAnsi="Symbol"/>
      </w:rPr>
    </w:lvl>
  </w:abstractNum>
  <w:abstractNum w:abstractNumId="38" w15:restartNumberingAfterBreak="0">
    <w:nsid w:val="68EE5077"/>
    <w:multiLevelType w:val="hybridMultilevel"/>
    <w:tmpl w:val="A02EB3F0"/>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B12D58"/>
    <w:multiLevelType w:val="hybridMultilevel"/>
    <w:tmpl w:val="7690D2C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40" w15:restartNumberingAfterBreak="0">
    <w:nsid w:val="6E4F0A8A"/>
    <w:multiLevelType w:val="hybridMultilevel"/>
    <w:tmpl w:val="1BEE02B8"/>
    <w:lvl w:ilvl="0" w:tplc="71704D86">
      <w:start w:val="1"/>
      <w:numFmt w:val="decimal"/>
      <w:lvlText w:val="%1."/>
      <w:lvlJc w:val="left"/>
      <w:pPr>
        <w:ind w:left="1070" w:hanging="360"/>
      </w:pPr>
    </w:lvl>
    <w:lvl w:ilvl="1" w:tplc="0C090019">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41" w15:restartNumberingAfterBreak="0">
    <w:nsid w:val="6FDB2DE4"/>
    <w:multiLevelType w:val="hybridMultilevel"/>
    <w:tmpl w:val="6EE85820"/>
    <w:lvl w:ilvl="0" w:tplc="FFFFFFFF">
      <w:start w:val="1"/>
      <w:numFmt w:val="bullet"/>
      <w:lvlText w:val=""/>
      <w:lvlJc w:val="left"/>
      <w:pPr>
        <w:ind w:left="720" w:hanging="360"/>
      </w:pPr>
      <w:rPr>
        <w:rFonts w:ascii="Symbol" w:hAnsi="Symbol" w:hint="default"/>
      </w:rPr>
    </w:lvl>
    <w:lvl w:ilvl="1" w:tplc="BBE28426">
      <w:start w:val="1"/>
      <w:numFmt w:val="bullet"/>
      <w:lvlText w:val="o"/>
      <w:lvlJc w:val="left"/>
      <w:pPr>
        <w:ind w:left="1440" w:hanging="360"/>
      </w:pPr>
      <w:rPr>
        <w:rFonts w:ascii="Courier New" w:hAnsi="Courier New" w:hint="default"/>
      </w:rPr>
    </w:lvl>
    <w:lvl w:ilvl="2" w:tplc="213A0100">
      <w:start w:val="1"/>
      <w:numFmt w:val="bullet"/>
      <w:lvlText w:val=""/>
      <w:lvlJc w:val="left"/>
      <w:pPr>
        <w:ind w:left="2160" w:hanging="360"/>
      </w:pPr>
      <w:rPr>
        <w:rFonts w:ascii="Wingdings" w:hAnsi="Wingdings" w:hint="default"/>
      </w:rPr>
    </w:lvl>
    <w:lvl w:ilvl="3" w:tplc="A30C82D4">
      <w:start w:val="1"/>
      <w:numFmt w:val="bullet"/>
      <w:lvlText w:val=""/>
      <w:lvlJc w:val="left"/>
      <w:pPr>
        <w:ind w:left="2880" w:hanging="360"/>
      </w:pPr>
      <w:rPr>
        <w:rFonts w:ascii="Symbol" w:hAnsi="Symbol" w:hint="default"/>
      </w:rPr>
    </w:lvl>
    <w:lvl w:ilvl="4" w:tplc="7E748944">
      <w:start w:val="1"/>
      <w:numFmt w:val="bullet"/>
      <w:lvlText w:val="o"/>
      <w:lvlJc w:val="left"/>
      <w:pPr>
        <w:ind w:left="3600" w:hanging="360"/>
      </w:pPr>
      <w:rPr>
        <w:rFonts w:ascii="Courier New" w:hAnsi="Courier New" w:hint="default"/>
      </w:rPr>
    </w:lvl>
    <w:lvl w:ilvl="5" w:tplc="8056F1F2">
      <w:start w:val="1"/>
      <w:numFmt w:val="bullet"/>
      <w:lvlText w:val=""/>
      <w:lvlJc w:val="left"/>
      <w:pPr>
        <w:ind w:left="4320" w:hanging="360"/>
      </w:pPr>
      <w:rPr>
        <w:rFonts w:ascii="Wingdings" w:hAnsi="Wingdings" w:hint="default"/>
      </w:rPr>
    </w:lvl>
    <w:lvl w:ilvl="6" w:tplc="783289F0">
      <w:start w:val="1"/>
      <w:numFmt w:val="bullet"/>
      <w:lvlText w:val=""/>
      <w:lvlJc w:val="left"/>
      <w:pPr>
        <w:ind w:left="5040" w:hanging="360"/>
      </w:pPr>
      <w:rPr>
        <w:rFonts w:ascii="Symbol" w:hAnsi="Symbol" w:hint="default"/>
      </w:rPr>
    </w:lvl>
    <w:lvl w:ilvl="7" w:tplc="20CEDFD8">
      <w:start w:val="1"/>
      <w:numFmt w:val="bullet"/>
      <w:lvlText w:val="o"/>
      <w:lvlJc w:val="left"/>
      <w:pPr>
        <w:ind w:left="5760" w:hanging="360"/>
      </w:pPr>
      <w:rPr>
        <w:rFonts w:ascii="Courier New" w:hAnsi="Courier New" w:hint="default"/>
      </w:rPr>
    </w:lvl>
    <w:lvl w:ilvl="8" w:tplc="19B8F290">
      <w:start w:val="1"/>
      <w:numFmt w:val="bullet"/>
      <w:lvlText w:val=""/>
      <w:lvlJc w:val="left"/>
      <w:pPr>
        <w:ind w:left="6480" w:hanging="360"/>
      </w:pPr>
      <w:rPr>
        <w:rFonts w:ascii="Wingdings" w:hAnsi="Wingdings" w:hint="default"/>
      </w:rPr>
    </w:lvl>
  </w:abstractNum>
  <w:abstractNum w:abstractNumId="42" w15:restartNumberingAfterBreak="0">
    <w:nsid w:val="76C070E1"/>
    <w:multiLevelType w:val="multilevel"/>
    <w:tmpl w:val="4E6C1F88"/>
    <w:lvl w:ilvl="0">
      <w:start w:val="1"/>
      <w:numFmt w:val="decimal"/>
      <w:lvlText w:val="%1."/>
      <w:lvlJc w:val="left"/>
      <w:pPr>
        <w:ind w:left="771" w:hanging="771"/>
      </w:pPr>
      <w:rPr>
        <w:rFonts w:hint="default"/>
      </w:rPr>
    </w:lvl>
    <w:lvl w:ilvl="1">
      <w:start w:val="1"/>
      <w:numFmt w:val="decimal"/>
      <w:lvlText w:val="%1.%2"/>
      <w:lvlJc w:val="left"/>
      <w:pPr>
        <w:ind w:left="771" w:hanging="771"/>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43" w15:restartNumberingAfterBreak="0">
    <w:nsid w:val="784E289C"/>
    <w:multiLevelType w:val="hybridMultilevel"/>
    <w:tmpl w:val="439635E0"/>
    <w:lvl w:ilvl="0" w:tplc="2B3E3574">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A7C390C"/>
    <w:multiLevelType w:val="hybridMultilevel"/>
    <w:tmpl w:val="966C5AC0"/>
    <w:lvl w:ilvl="0" w:tplc="0FCA23E6">
      <w:start w:val="1"/>
      <w:numFmt w:val="bullet"/>
      <w:lvlText w:val=""/>
      <w:lvlJc w:val="left"/>
      <w:pPr>
        <w:tabs>
          <w:tab w:val="num" w:pos="360"/>
        </w:tabs>
        <w:ind w:left="360" w:hanging="360"/>
      </w:pPr>
      <w:rPr>
        <w:rFonts w:ascii="Symbol" w:hAnsi="Symbol" w:hint="default"/>
      </w:rPr>
    </w:lvl>
    <w:lvl w:ilvl="1" w:tplc="91748674">
      <w:numFmt w:val="bullet"/>
      <w:lvlText w:val="o"/>
      <w:lvlJc w:val="left"/>
      <w:pPr>
        <w:tabs>
          <w:tab w:val="num" w:pos="1080"/>
        </w:tabs>
        <w:ind w:left="1080" w:hanging="360"/>
      </w:pPr>
      <w:rPr>
        <w:rFonts w:ascii="Courier New" w:hAnsi="Courier New" w:hint="default"/>
      </w:rPr>
    </w:lvl>
    <w:lvl w:ilvl="2" w:tplc="A91AD74E">
      <w:start w:val="1"/>
      <w:numFmt w:val="bullet"/>
      <w:lvlText w:val=""/>
      <w:lvlJc w:val="left"/>
      <w:pPr>
        <w:tabs>
          <w:tab w:val="num" w:pos="1800"/>
        </w:tabs>
        <w:ind w:left="1800" w:hanging="360"/>
      </w:pPr>
      <w:rPr>
        <w:rFonts w:ascii="Symbol" w:hAnsi="Symbol" w:hint="default"/>
      </w:rPr>
    </w:lvl>
    <w:lvl w:ilvl="3" w:tplc="8146D830" w:tentative="1">
      <w:start w:val="1"/>
      <w:numFmt w:val="bullet"/>
      <w:lvlText w:val=""/>
      <w:lvlJc w:val="left"/>
      <w:pPr>
        <w:tabs>
          <w:tab w:val="num" w:pos="2520"/>
        </w:tabs>
        <w:ind w:left="2520" w:hanging="360"/>
      </w:pPr>
      <w:rPr>
        <w:rFonts w:ascii="Symbol" w:hAnsi="Symbol" w:hint="default"/>
      </w:rPr>
    </w:lvl>
    <w:lvl w:ilvl="4" w:tplc="2F4E4556" w:tentative="1">
      <w:start w:val="1"/>
      <w:numFmt w:val="bullet"/>
      <w:lvlText w:val=""/>
      <w:lvlJc w:val="left"/>
      <w:pPr>
        <w:tabs>
          <w:tab w:val="num" w:pos="3240"/>
        </w:tabs>
        <w:ind w:left="3240" w:hanging="360"/>
      </w:pPr>
      <w:rPr>
        <w:rFonts w:ascii="Symbol" w:hAnsi="Symbol" w:hint="default"/>
      </w:rPr>
    </w:lvl>
    <w:lvl w:ilvl="5" w:tplc="802CA55A" w:tentative="1">
      <w:start w:val="1"/>
      <w:numFmt w:val="bullet"/>
      <w:lvlText w:val=""/>
      <w:lvlJc w:val="left"/>
      <w:pPr>
        <w:tabs>
          <w:tab w:val="num" w:pos="3960"/>
        </w:tabs>
        <w:ind w:left="3960" w:hanging="360"/>
      </w:pPr>
      <w:rPr>
        <w:rFonts w:ascii="Symbol" w:hAnsi="Symbol" w:hint="default"/>
      </w:rPr>
    </w:lvl>
    <w:lvl w:ilvl="6" w:tplc="EFC057E6" w:tentative="1">
      <w:start w:val="1"/>
      <w:numFmt w:val="bullet"/>
      <w:lvlText w:val=""/>
      <w:lvlJc w:val="left"/>
      <w:pPr>
        <w:tabs>
          <w:tab w:val="num" w:pos="4680"/>
        </w:tabs>
        <w:ind w:left="4680" w:hanging="360"/>
      </w:pPr>
      <w:rPr>
        <w:rFonts w:ascii="Symbol" w:hAnsi="Symbol" w:hint="default"/>
      </w:rPr>
    </w:lvl>
    <w:lvl w:ilvl="7" w:tplc="AABA242A" w:tentative="1">
      <w:start w:val="1"/>
      <w:numFmt w:val="bullet"/>
      <w:lvlText w:val=""/>
      <w:lvlJc w:val="left"/>
      <w:pPr>
        <w:tabs>
          <w:tab w:val="num" w:pos="5400"/>
        </w:tabs>
        <w:ind w:left="5400" w:hanging="360"/>
      </w:pPr>
      <w:rPr>
        <w:rFonts w:ascii="Symbol" w:hAnsi="Symbol" w:hint="default"/>
      </w:rPr>
    </w:lvl>
    <w:lvl w:ilvl="8" w:tplc="DFFC89B8" w:tentative="1">
      <w:start w:val="1"/>
      <w:numFmt w:val="bullet"/>
      <w:lvlText w:val=""/>
      <w:lvlJc w:val="left"/>
      <w:pPr>
        <w:tabs>
          <w:tab w:val="num" w:pos="6120"/>
        </w:tabs>
        <w:ind w:left="6120" w:hanging="360"/>
      </w:pPr>
      <w:rPr>
        <w:rFonts w:ascii="Symbol" w:hAnsi="Symbol" w:hint="default"/>
      </w:rPr>
    </w:lvl>
  </w:abstractNum>
  <w:abstractNum w:abstractNumId="45" w15:restartNumberingAfterBreak="0">
    <w:nsid w:val="7BBE6A4C"/>
    <w:multiLevelType w:val="hybridMultilevel"/>
    <w:tmpl w:val="489CD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13323A"/>
    <w:multiLevelType w:val="multilevel"/>
    <w:tmpl w:val="2EA6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A1522F"/>
    <w:multiLevelType w:val="hybridMultilevel"/>
    <w:tmpl w:val="5462A2E2"/>
    <w:lvl w:ilvl="0" w:tplc="8604CA20">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3C8FF4"/>
    <w:multiLevelType w:val="hybridMultilevel"/>
    <w:tmpl w:val="FFFFFFFF"/>
    <w:lvl w:ilvl="0" w:tplc="B0147A0E">
      <w:start w:val="1"/>
      <w:numFmt w:val="decimal"/>
      <w:lvlText w:val="%1."/>
      <w:lvlJc w:val="left"/>
      <w:pPr>
        <w:ind w:left="1080" w:hanging="360"/>
      </w:pPr>
    </w:lvl>
    <w:lvl w:ilvl="1" w:tplc="CB760D44">
      <w:start w:val="1"/>
      <w:numFmt w:val="lowerLetter"/>
      <w:lvlText w:val="%2."/>
      <w:lvlJc w:val="left"/>
      <w:pPr>
        <w:ind w:left="1800" w:hanging="360"/>
      </w:pPr>
    </w:lvl>
    <w:lvl w:ilvl="2" w:tplc="6D2A732C">
      <w:start w:val="1"/>
      <w:numFmt w:val="lowerRoman"/>
      <w:lvlText w:val="%3."/>
      <w:lvlJc w:val="right"/>
      <w:pPr>
        <w:ind w:left="2520" w:hanging="180"/>
      </w:pPr>
    </w:lvl>
    <w:lvl w:ilvl="3" w:tplc="C994CDEA">
      <w:start w:val="1"/>
      <w:numFmt w:val="decimal"/>
      <w:lvlText w:val="%4."/>
      <w:lvlJc w:val="left"/>
      <w:pPr>
        <w:ind w:left="3240" w:hanging="360"/>
      </w:pPr>
    </w:lvl>
    <w:lvl w:ilvl="4" w:tplc="0CFED128">
      <w:start w:val="1"/>
      <w:numFmt w:val="lowerLetter"/>
      <w:lvlText w:val="%5."/>
      <w:lvlJc w:val="left"/>
      <w:pPr>
        <w:ind w:left="3960" w:hanging="360"/>
      </w:pPr>
    </w:lvl>
    <w:lvl w:ilvl="5" w:tplc="8E389CA0">
      <w:start w:val="1"/>
      <w:numFmt w:val="lowerRoman"/>
      <w:lvlText w:val="%6."/>
      <w:lvlJc w:val="right"/>
      <w:pPr>
        <w:ind w:left="4680" w:hanging="180"/>
      </w:pPr>
    </w:lvl>
    <w:lvl w:ilvl="6" w:tplc="119281F2">
      <w:start w:val="1"/>
      <w:numFmt w:val="decimal"/>
      <w:lvlText w:val="%7."/>
      <w:lvlJc w:val="left"/>
      <w:pPr>
        <w:ind w:left="5400" w:hanging="360"/>
      </w:pPr>
    </w:lvl>
    <w:lvl w:ilvl="7" w:tplc="A3D6F4A6">
      <w:start w:val="1"/>
      <w:numFmt w:val="lowerLetter"/>
      <w:lvlText w:val="%8."/>
      <w:lvlJc w:val="left"/>
      <w:pPr>
        <w:ind w:left="6120" w:hanging="360"/>
      </w:pPr>
    </w:lvl>
    <w:lvl w:ilvl="8" w:tplc="4A4E0910">
      <w:start w:val="1"/>
      <w:numFmt w:val="lowerRoman"/>
      <w:lvlText w:val="%9."/>
      <w:lvlJc w:val="right"/>
      <w:pPr>
        <w:ind w:left="6840" w:hanging="180"/>
      </w:pPr>
    </w:lvl>
  </w:abstractNum>
  <w:num w:numId="1" w16cid:durableId="1666787524">
    <w:abstractNumId w:val="7"/>
  </w:num>
  <w:num w:numId="2" w16cid:durableId="381057155">
    <w:abstractNumId w:val="30"/>
  </w:num>
  <w:num w:numId="3" w16cid:durableId="1639215797">
    <w:abstractNumId w:val="31"/>
  </w:num>
  <w:num w:numId="4" w16cid:durableId="1643265712">
    <w:abstractNumId w:val="12"/>
  </w:num>
  <w:num w:numId="5" w16cid:durableId="1314063411">
    <w:abstractNumId w:val="25"/>
  </w:num>
  <w:num w:numId="6" w16cid:durableId="1672636256">
    <w:abstractNumId w:val="21"/>
  </w:num>
  <w:num w:numId="7" w16cid:durableId="1719090159">
    <w:abstractNumId w:val="5"/>
  </w:num>
  <w:num w:numId="8" w16cid:durableId="64188127">
    <w:abstractNumId w:val="41"/>
  </w:num>
  <w:num w:numId="9" w16cid:durableId="1539662684">
    <w:abstractNumId w:val="6"/>
  </w:num>
  <w:num w:numId="10" w16cid:durableId="206643113">
    <w:abstractNumId w:val="26"/>
  </w:num>
  <w:num w:numId="11" w16cid:durableId="1517427955">
    <w:abstractNumId w:val="24"/>
  </w:num>
  <w:num w:numId="12" w16cid:durableId="1806002702">
    <w:abstractNumId w:val="42"/>
  </w:num>
  <w:num w:numId="13" w16cid:durableId="1162351415">
    <w:abstractNumId w:val="17"/>
  </w:num>
  <w:num w:numId="14" w16cid:durableId="663515488">
    <w:abstractNumId w:val="43"/>
  </w:num>
  <w:num w:numId="15" w16cid:durableId="1418405060">
    <w:abstractNumId w:val="8"/>
  </w:num>
  <w:num w:numId="16" w16cid:durableId="1566840659">
    <w:abstractNumId w:val="0"/>
  </w:num>
  <w:num w:numId="17" w16cid:durableId="1404451164">
    <w:abstractNumId w:val="20"/>
  </w:num>
  <w:num w:numId="18" w16cid:durableId="1805274816">
    <w:abstractNumId w:val="9"/>
  </w:num>
  <w:num w:numId="19" w16cid:durableId="26874446">
    <w:abstractNumId w:val="34"/>
  </w:num>
  <w:num w:numId="20" w16cid:durableId="1864705131">
    <w:abstractNumId w:val="35"/>
  </w:num>
  <w:num w:numId="21" w16cid:durableId="1937666731">
    <w:abstractNumId w:val="27"/>
  </w:num>
  <w:num w:numId="22" w16cid:durableId="1967471174">
    <w:abstractNumId w:val="1"/>
  </w:num>
  <w:num w:numId="23" w16cid:durableId="965621570">
    <w:abstractNumId w:val="36"/>
  </w:num>
  <w:num w:numId="24" w16cid:durableId="185606694">
    <w:abstractNumId w:val="48"/>
  </w:num>
  <w:num w:numId="25" w16cid:durableId="1934391573">
    <w:abstractNumId w:val="4"/>
  </w:num>
  <w:num w:numId="26" w16cid:durableId="1118185263">
    <w:abstractNumId w:val="38"/>
  </w:num>
  <w:num w:numId="27" w16cid:durableId="738985224">
    <w:abstractNumId w:val="33"/>
  </w:num>
  <w:num w:numId="28" w16cid:durableId="1223515863">
    <w:abstractNumId w:val="38"/>
    <w:lvlOverride w:ilvl="0">
      <w:startOverride w:val="1"/>
    </w:lvlOverride>
  </w:num>
  <w:num w:numId="29" w16cid:durableId="1310553773">
    <w:abstractNumId w:val="38"/>
    <w:lvlOverride w:ilvl="0">
      <w:startOverride w:val="1"/>
    </w:lvlOverride>
  </w:num>
  <w:num w:numId="30" w16cid:durableId="1890873845">
    <w:abstractNumId w:val="38"/>
    <w:lvlOverride w:ilvl="0">
      <w:startOverride w:val="1"/>
    </w:lvlOverride>
  </w:num>
  <w:num w:numId="31" w16cid:durableId="1598751911">
    <w:abstractNumId w:val="22"/>
  </w:num>
  <w:num w:numId="32" w16cid:durableId="1197962430">
    <w:abstractNumId w:val="23"/>
  </w:num>
  <w:num w:numId="33" w16cid:durableId="1748989291">
    <w:abstractNumId w:val="39"/>
  </w:num>
  <w:num w:numId="34" w16cid:durableId="1569152564">
    <w:abstractNumId w:val="29"/>
  </w:num>
  <w:num w:numId="35" w16cid:durableId="1160538090">
    <w:abstractNumId w:val="14"/>
  </w:num>
  <w:num w:numId="36" w16cid:durableId="1387342409">
    <w:abstractNumId w:val="47"/>
  </w:num>
  <w:num w:numId="37" w16cid:durableId="1451044992">
    <w:abstractNumId w:val="28"/>
  </w:num>
  <w:num w:numId="38" w16cid:durableId="1941254794">
    <w:abstractNumId w:val="32"/>
  </w:num>
  <w:num w:numId="39" w16cid:durableId="29233229">
    <w:abstractNumId w:val="11"/>
  </w:num>
  <w:num w:numId="40" w16cid:durableId="1545096112">
    <w:abstractNumId w:val="16"/>
  </w:num>
  <w:num w:numId="41" w16cid:durableId="1901091725">
    <w:abstractNumId w:val="10"/>
  </w:num>
  <w:num w:numId="42" w16cid:durableId="395469091">
    <w:abstractNumId w:val="2"/>
  </w:num>
  <w:num w:numId="43" w16cid:durableId="329144103">
    <w:abstractNumId w:val="46"/>
  </w:num>
  <w:num w:numId="44" w16cid:durableId="1899970489">
    <w:abstractNumId w:val="13"/>
  </w:num>
  <w:num w:numId="45" w16cid:durableId="10112185">
    <w:abstractNumId w:val="18"/>
  </w:num>
  <w:num w:numId="46" w16cid:durableId="1880587475">
    <w:abstractNumId w:val="45"/>
  </w:num>
  <w:num w:numId="47" w16cid:durableId="119805721">
    <w:abstractNumId w:val="37"/>
  </w:num>
  <w:num w:numId="48" w16cid:durableId="813646363">
    <w:abstractNumId w:val="15"/>
  </w:num>
  <w:num w:numId="49" w16cid:durableId="812020529">
    <w:abstractNumId w:val="40"/>
  </w:num>
  <w:num w:numId="50" w16cid:durableId="1157378953">
    <w:abstractNumId w:val="19"/>
  </w:num>
  <w:num w:numId="51" w16cid:durableId="2011711465">
    <w:abstractNumId w:val="43"/>
    <w:lvlOverride w:ilvl="0">
      <w:startOverride w:val="1"/>
    </w:lvlOverride>
  </w:num>
  <w:num w:numId="52" w16cid:durableId="1293249035">
    <w:abstractNumId w:val="3"/>
  </w:num>
  <w:num w:numId="53" w16cid:durableId="1634714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22696447">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A2B"/>
    <w:rsid w:val="000001A8"/>
    <w:rsid w:val="00000363"/>
    <w:rsid w:val="0000041F"/>
    <w:rsid w:val="00000692"/>
    <w:rsid w:val="00000777"/>
    <w:rsid w:val="0000084C"/>
    <w:rsid w:val="00000879"/>
    <w:rsid w:val="000008A7"/>
    <w:rsid w:val="00000986"/>
    <w:rsid w:val="00000A7A"/>
    <w:rsid w:val="00000B86"/>
    <w:rsid w:val="00000BB1"/>
    <w:rsid w:val="00000C65"/>
    <w:rsid w:val="00000CB7"/>
    <w:rsid w:val="00000D37"/>
    <w:rsid w:val="00000EA7"/>
    <w:rsid w:val="000010AE"/>
    <w:rsid w:val="000010CD"/>
    <w:rsid w:val="00001209"/>
    <w:rsid w:val="00001244"/>
    <w:rsid w:val="00001281"/>
    <w:rsid w:val="0000151E"/>
    <w:rsid w:val="0000160B"/>
    <w:rsid w:val="0000163C"/>
    <w:rsid w:val="000016AC"/>
    <w:rsid w:val="00001B04"/>
    <w:rsid w:val="00001B07"/>
    <w:rsid w:val="00001BE7"/>
    <w:rsid w:val="00001C8A"/>
    <w:rsid w:val="00001D19"/>
    <w:rsid w:val="00001DC0"/>
    <w:rsid w:val="00001E44"/>
    <w:rsid w:val="00001E5E"/>
    <w:rsid w:val="00001E81"/>
    <w:rsid w:val="00001ECE"/>
    <w:rsid w:val="00001F73"/>
    <w:rsid w:val="00001FFC"/>
    <w:rsid w:val="00002118"/>
    <w:rsid w:val="00002257"/>
    <w:rsid w:val="000023DF"/>
    <w:rsid w:val="00002454"/>
    <w:rsid w:val="000024D5"/>
    <w:rsid w:val="000024D7"/>
    <w:rsid w:val="000024F7"/>
    <w:rsid w:val="00002557"/>
    <w:rsid w:val="00002624"/>
    <w:rsid w:val="000026C9"/>
    <w:rsid w:val="00002753"/>
    <w:rsid w:val="0000277D"/>
    <w:rsid w:val="00002781"/>
    <w:rsid w:val="000027BF"/>
    <w:rsid w:val="000027D8"/>
    <w:rsid w:val="0000299F"/>
    <w:rsid w:val="00002A4B"/>
    <w:rsid w:val="00002A8F"/>
    <w:rsid w:val="00002C6B"/>
    <w:rsid w:val="00002C6C"/>
    <w:rsid w:val="00002D01"/>
    <w:rsid w:val="00002E28"/>
    <w:rsid w:val="00002EF1"/>
    <w:rsid w:val="00002FBF"/>
    <w:rsid w:val="00003001"/>
    <w:rsid w:val="00003017"/>
    <w:rsid w:val="00003065"/>
    <w:rsid w:val="00003128"/>
    <w:rsid w:val="0000317D"/>
    <w:rsid w:val="000031DC"/>
    <w:rsid w:val="00003223"/>
    <w:rsid w:val="00003296"/>
    <w:rsid w:val="000032D4"/>
    <w:rsid w:val="000032F4"/>
    <w:rsid w:val="00003391"/>
    <w:rsid w:val="000033AC"/>
    <w:rsid w:val="000033F6"/>
    <w:rsid w:val="00003489"/>
    <w:rsid w:val="0000354C"/>
    <w:rsid w:val="0000356B"/>
    <w:rsid w:val="000035D1"/>
    <w:rsid w:val="00003703"/>
    <w:rsid w:val="00003746"/>
    <w:rsid w:val="0000375D"/>
    <w:rsid w:val="000037E5"/>
    <w:rsid w:val="000037F1"/>
    <w:rsid w:val="00003979"/>
    <w:rsid w:val="000039DA"/>
    <w:rsid w:val="000039EC"/>
    <w:rsid w:val="000039F5"/>
    <w:rsid w:val="000039FF"/>
    <w:rsid w:val="00003A1A"/>
    <w:rsid w:val="00003A25"/>
    <w:rsid w:val="00003B25"/>
    <w:rsid w:val="00003B5D"/>
    <w:rsid w:val="00003B70"/>
    <w:rsid w:val="00003BE5"/>
    <w:rsid w:val="00003CC8"/>
    <w:rsid w:val="00003DDA"/>
    <w:rsid w:val="00003F88"/>
    <w:rsid w:val="00003FF0"/>
    <w:rsid w:val="00004000"/>
    <w:rsid w:val="000040DE"/>
    <w:rsid w:val="000040F6"/>
    <w:rsid w:val="00004118"/>
    <w:rsid w:val="00004139"/>
    <w:rsid w:val="0000426F"/>
    <w:rsid w:val="0000428E"/>
    <w:rsid w:val="00004402"/>
    <w:rsid w:val="000044A8"/>
    <w:rsid w:val="00004517"/>
    <w:rsid w:val="000045B2"/>
    <w:rsid w:val="000045F3"/>
    <w:rsid w:val="0000463A"/>
    <w:rsid w:val="0000485E"/>
    <w:rsid w:val="00004931"/>
    <w:rsid w:val="00004993"/>
    <w:rsid w:val="00004ABC"/>
    <w:rsid w:val="00004B2B"/>
    <w:rsid w:val="00004B80"/>
    <w:rsid w:val="00004BAC"/>
    <w:rsid w:val="00004BAE"/>
    <w:rsid w:val="00004C12"/>
    <w:rsid w:val="00004C8E"/>
    <w:rsid w:val="00004D0F"/>
    <w:rsid w:val="00004D6F"/>
    <w:rsid w:val="00004DBF"/>
    <w:rsid w:val="00004DC7"/>
    <w:rsid w:val="00004FAC"/>
    <w:rsid w:val="00005026"/>
    <w:rsid w:val="00005212"/>
    <w:rsid w:val="000052E5"/>
    <w:rsid w:val="0000537C"/>
    <w:rsid w:val="000053CC"/>
    <w:rsid w:val="0000555F"/>
    <w:rsid w:val="0000561F"/>
    <w:rsid w:val="000057AF"/>
    <w:rsid w:val="0000593A"/>
    <w:rsid w:val="00005949"/>
    <w:rsid w:val="0000599D"/>
    <w:rsid w:val="00005A2A"/>
    <w:rsid w:val="00005ABF"/>
    <w:rsid w:val="00005B8C"/>
    <w:rsid w:val="00005BC3"/>
    <w:rsid w:val="00005C17"/>
    <w:rsid w:val="00005DB0"/>
    <w:rsid w:val="00005E2D"/>
    <w:rsid w:val="00005EEC"/>
    <w:rsid w:val="00005F34"/>
    <w:rsid w:val="00005F74"/>
    <w:rsid w:val="00005FC5"/>
    <w:rsid w:val="000060B7"/>
    <w:rsid w:val="000060F9"/>
    <w:rsid w:val="0000618A"/>
    <w:rsid w:val="00006252"/>
    <w:rsid w:val="00006280"/>
    <w:rsid w:val="0000642A"/>
    <w:rsid w:val="00006501"/>
    <w:rsid w:val="0000666F"/>
    <w:rsid w:val="000066DC"/>
    <w:rsid w:val="00006748"/>
    <w:rsid w:val="0000676C"/>
    <w:rsid w:val="000067C2"/>
    <w:rsid w:val="000067DF"/>
    <w:rsid w:val="00006A58"/>
    <w:rsid w:val="00006AF5"/>
    <w:rsid w:val="00006B84"/>
    <w:rsid w:val="00006B96"/>
    <w:rsid w:val="00006B98"/>
    <w:rsid w:val="00006BB0"/>
    <w:rsid w:val="00006C2D"/>
    <w:rsid w:val="00006CBA"/>
    <w:rsid w:val="00006D76"/>
    <w:rsid w:val="00006DF9"/>
    <w:rsid w:val="00006E7C"/>
    <w:rsid w:val="00007042"/>
    <w:rsid w:val="000070BD"/>
    <w:rsid w:val="0000719A"/>
    <w:rsid w:val="000071E6"/>
    <w:rsid w:val="00007208"/>
    <w:rsid w:val="00007481"/>
    <w:rsid w:val="000074EB"/>
    <w:rsid w:val="0000755D"/>
    <w:rsid w:val="0000760E"/>
    <w:rsid w:val="00007616"/>
    <w:rsid w:val="0000768C"/>
    <w:rsid w:val="000076CA"/>
    <w:rsid w:val="000076CC"/>
    <w:rsid w:val="000076F3"/>
    <w:rsid w:val="0000770B"/>
    <w:rsid w:val="000077C9"/>
    <w:rsid w:val="00007848"/>
    <w:rsid w:val="00007885"/>
    <w:rsid w:val="0000793F"/>
    <w:rsid w:val="000079DC"/>
    <w:rsid w:val="00007A81"/>
    <w:rsid w:val="00007ACD"/>
    <w:rsid w:val="00007C78"/>
    <w:rsid w:val="00007CA7"/>
    <w:rsid w:val="00007CF1"/>
    <w:rsid w:val="00007D75"/>
    <w:rsid w:val="00007D94"/>
    <w:rsid w:val="00007E48"/>
    <w:rsid w:val="00007E6B"/>
    <w:rsid w:val="00007E7F"/>
    <w:rsid w:val="00007E95"/>
    <w:rsid w:val="00007EA4"/>
    <w:rsid w:val="00007F9D"/>
    <w:rsid w:val="00010033"/>
    <w:rsid w:val="000101AE"/>
    <w:rsid w:val="000103D6"/>
    <w:rsid w:val="00010556"/>
    <w:rsid w:val="000105A8"/>
    <w:rsid w:val="000105BD"/>
    <w:rsid w:val="000106A2"/>
    <w:rsid w:val="0001071A"/>
    <w:rsid w:val="000107A2"/>
    <w:rsid w:val="000107B5"/>
    <w:rsid w:val="00010905"/>
    <w:rsid w:val="00010A7E"/>
    <w:rsid w:val="00010AA2"/>
    <w:rsid w:val="00010AFE"/>
    <w:rsid w:val="00010BAE"/>
    <w:rsid w:val="00010BC3"/>
    <w:rsid w:val="00010C43"/>
    <w:rsid w:val="00010C4C"/>
    <w:rsid w:val="00010CC4"/>
    <w:rsid w:val="00010CE1"/>
    <w:rsid w:val="00010D4B"/>
    <w:rsid w:val="00010F72"/>
    <w:rsid w:val="00011061"/>
    <w:rsid w:val="000110AB"/>
    <w:rsid w:val="000110C4"/>
    <w:rsid w:val="000110CA"/>
    <w:rsid w:val="0001114B"/>
    <w:rsid w:val="00011255"/>
    <w:rsid w:val="000112A1"/>
    <w:rsid w:val="00011342"/>
    <w:rsid w:val="000113FD"/>
    <w:rsid w:val="00011549"/>
    <w:rsid w:val="00011613"/>
    <w:rsid w:val="00011650"/>
    <w:rsid w:val="00011827"/>
    <w:rsid w:val="00011828"/>
    <w:rsid w:val="0001182A"/>
    <w:rsid w:val="00011851"/>
    <w:rsid w:val="0001193A"/>
    <w:rsid w:val="000119F2"/>
    <w:rsid w:val="00011A29"/>
    <w:rsid w:val="00011ACF"/>
    <w:rsid w:val="00011B80"/>
    <w:rsid w:val="00011B9F"/>
    <w:rsid w:val="00011BF2"/>
    <w:rsid w:val="00011D8F"/>
    <w:rsid w:val="00011E63"/>
    <w:rsid w:val="00011E68"/>
    <w:rsid w:val="00011F8E"/>
    <w:rsid w:val="00011FBC"/>
    <w:rsid w:val="00012061"/>
    <w:rsid w:val="00012065"/>
    <w:rsid w:val="000120CA"/>
    <w:rsid w:val="0001213D"/>
    <w:rsid w:val="00012165"/>
    <w:rsid w:val="00012178"/>
    <w:rsid w:val="00012285"/>
    <w:rsid w:val="00012290"/>
    <w:rsid w:val="00012338"/>
    <w:rsid w:val="00012353"/>
    <w:rsid w:val="0001238E"/>
    <w:rsid w:val="00012492"/>
    <w:rsid w:val="0001258D"/>
    <w:rsid w:val="00012594"/>
    <w:rsid w:val="0001259F"/>
    <w:rsid w:val="000125BE"/>
    <w:rsid w:val="000127FC"/>
    <w:rsid w:val="0001288F"/>
    <w:rsid w:val="00012982"/>
    <w:rsid w:val="000129CE"/>
    <w:rsid w:val="00012AE9"/>
    <w:rsid w:val="00012B4D"/>
    <w:rsid w:val="00012BBC"/>
    <w:rsid w:val="00012C20"/>
    <w:rsid w:val="00012C33"/>
    <w:rsid w:val="00012D7A"/>
    <w:rsid w:val="00012DBB"/>
    <w:rsid w:val="00012DFE"/>
    <w:rsid w:val="00012EC8"/>
    <w:rsid w:val="00012F31"/>
    <w:rsid w:val="00012F3C"/>
    <w:rsid w:val="0001309F"/>
    <w:rsid w:val="00013234"/>
    <w:rsid w:val="00013253"/>
    <w:rsid w:val="00013378"/>
    <w:rsid w:val="00013457"/>
    <w:rsid w:val="000135F9"/>
    <w:rsid w:val="00013695"/>
    <w:rsid w:val="0001372D"/>
    <w:rsid w:val="000137E1"/>
    <w:rsid w:val="0001389D"/>
    <w:rsid w:val="00013905"/>
    <w:rsid w:val="000139AF"/>
    <w:rsid w:val="00013A9B"/>
    <w:rsid w:val="00013BF4"/>
    <w:rsid w:val="00013C6B"/>
    <w:rsid w:val="00013D1F"/>
    <w:rsid w:val="00013D45"/>
    <w:rsid w:val="00013FC5"/>
    <w:rsid w:val="0001402D"/>
    <w:rsid w:val="0001407D"/>
    <w:rsid w:val="000140D8"/>
    <w:rsid w:val="00014204"/>
    <w:rsid w:val="00014279"/>
    <w:rsid w:val="00014341"/>
    <w:rsid w:val="00014372"/>
    <w:rsid w:val="0001441B"/>
    <w:rsid w:val="0001444F"/>
    <w:rsid w:val="0001452B"/>
    <w:rsid w:val="00014669"/>
    <w:rsid w:val="000146B3"/>
    <w:rsid w:val="000146BB"/>
    <w:rsid w:val="000146D1"/>
    <w:rsid w:val="00014749"/>
    <w:rsid w:val="00014768"/>
    <w:rsid w:val="000148FF"/>
    <w:rsid w:val="00014970"/>
    <w:rsid w:val="00014A36"/>
    <w:rsid w:val="00014BE0"/>
    <w:rsid w:val="00014CDC"/>
    <w:rsid w:val="00014D51"/>
    <w:rsid w:val="00014DF0"/>
    <w:rsid w:val="00014EEF"/>
    <w:rsid w:val="00014F2B"/>
    <w:rsid w:val="00014FC2"/>
    <w:rsid w:val="0001510A"/>
    <w:rsid w:val="0001526E"/>
    <w:rsid w:val="0001528E"/>
    <w:rsid w:val="000152F8"/>
    <w:rsid w:val="00015385"/>
    <w:rsid w:val="000153C3"/>
    <w:rsid w:val="0001554C"/>
    <w:rsid w:val="000155C5"/>
    <w:rsid w:val="000155D1"/>
    <w:rsid w:val="00015618"/>
    <w:rsid w:val="00015654"/>
    <w:rsid w:val="000156DA"/>
    <w:rsid w:val="0001572B"/>
    <w:rsid w:val="000157E5"/>
    <w:rsid w:val="00015800"/>
    <w:rsid w:val="00015863"/>
    <w:rsid w:val="00015874"/>
    <w:rsid w:val="000159EF"/>
    <w:rsid w:val="00015A04"/>
    <w:rsid w:val="00015A16"/>
    <w:rsid w:val="00015A7A"/>
    <w:rsid w:val="00015BC8"/>
    <w:rsid w:val="00015BF1"/>
    <w:rsid w:val="00015CB2"/>
    <w:rsid w:val="00015F8D"/>
    <w:rsid w:val="00015FCC"/>
    <w:rsid w:val="00015FD3"/>
    <w:rsid w:val="000160F5"/>
    <w:rsid w:val="00016144"/>
    <w:rsid w:val="0001620F"/>
    <w:rsid w:val="00016268"/>
    <w:rsid w:val="000163D5"/>
    <w:rsid w:val="0001644B"/>
    <w:rsid w:val="000164B8"/>
    <w:rsid w:val="000164C4"/>
    <w:rsid w:val="00016541"/>
    <w:rsid w:val="000165B6"/>
    <w:rsid w:val="00016630"/>
    <w:rsid w:val="000166A2"/>
    <w:rsid w:val="000166D6"/>
    <w:rsid w:val="000166EE"/>
    <w:rsid w:val="0001679B"/>
    <w:rsid w:val="0001684B"/>
    <w:rsid w:val="000168D3"/>
    <w:rsid w:val="000168E4"/>
    <w:rsid w:val="000168F5"/>
    <w:rsid w:val="0001697B"/>
    <w:rsid w:val="00016A79"/>
    <w:rsid w:val="00016ADA"/>
    <w:rsid w:val="00016AF6"/>
    <w:rsid w:val="00016B10"/>
    <w:rsid w:val="00016B13"/>
    <w:rsid w:val="00016D33"/>
    <w:rsid w:val="00016DAE"/>
    <w:rsid w:val="00016ECA"/>
    <w:rsid w:val="00016F29"/>
    <w:rsid w:val="00016F84"/>
    <w:rsid w:val="00016FE0"/>
    <w:rsid w:val="0001703F"/>
    <w:rsid w:val="0001708C"/>
    <w:rsid w:val="00017137"/>
    <w:rsid w:val="00017352"/>
    <w:rsid w:val="00017458"/>
    <w:rsid w:val="00017596"/>
    <w:rsid w:val="00017602"/>
    <w:rsid w:val="00017725"/>
    <w:rsid w:val="00017728"/>
    <w:rsid w:val="0001778D"/>
    <w:rsid w:val="000177A8"/>
    <w:rsid w:val="000177D8"/>
    <w:rsid w:val="00017896"/>
    <w:rsid w:val="000178F6"/>
    <w:rsid w:val="0001796B"/>
    <w:rsid w:val="00017A55"/>
    <w:rsid w:val="00017AB5"/>
    <w:rsid w:val="00017B96"/>
    <w:rsid w:val="00017BB9"/>
    <w:rsid w:val="00017C8F"/>
    <w:rsid w:val="00017DE4"/>
    <w:rsid w:val="00017E3F"/>
    <w:rsid w:val="00017E8A"/>
    <w:rsid w:val="00017F28"/>
    <w:rsid w:val="00017F36"/>
    <w:rsid w:val="00017F46"/>
    <w:rsid w:val="00019126"/>
    <w:rsid w:val="00020038"/>
    <w:rsid w:val="000200A5"/>
    <w:rsid w:val="0002010D"/>
    <w:rsid w:val="000201F6"/>
    <w:rsid w:val="0002026B"/>
    <w:rsid w:val="000202C7"/>
    <w:rsid w:val="000202E5"/>
    <w:rsid w:val="00020318"/>
    <w:rsid w:val="0002036E"/>
    <w:rsid w:val="00020393"/>
    <w:rsid w:val="00020499"/>
    <w:rsid w:val="000204B2"/>
    <w:rsid w:val="000204D1"/>
    <w:rsid w:val="00020599"/>
    <w:rsid w:val="0002067C"/>
    <w:rsid w:val="00020785"/>
    <w:rsid w:val="000207B8"/>
    <w:rsid w:val="000207BF"/>
    <w:rsid w:val="000207CB"/>
    <w:rsid w:val="0002084B"/>
    <w:rsid w:val="0002084D"/>
    <w:rsid w:val="0002091D"/>
    <w:rsid w:val="000209F5"/>
    <w:rsid w:val="00020AAB"/>
    <w:rsid w:val="00020AC7"/>
    <w:rsid w:val="00020AEF"/>
    <w:rsid w:val="00020B21"/>
    <w:rsid w:val="00020C46"/>
    <w:rsid w:val="00020D24"/>
    <w:rsid w:val="00020D2C"/>
    <w:rsid w:val="00020DE0"/>
    <w:rsid w:val="00020E13"/>
    <w:rsid w:val="00021000"/>
    <w:rsid w:val="000210D1"/>
    <w:rsid w:val="0002112C"/>
    <w:rsid w:val="0002129A"/>
    <w:rsid w:val="000212D0"/>
    <w:rsid w:val="00021321"/>
    <w:rsid w:val="0002134F"/>
    <w:rsid w:val="000213B5"/>
    <w:rsid w:val="00021424"/>
    <w:rsid w:val="0002150D"/>
    <w:rsid w:val="00021632"/>
    <w:rsid w:val="00021698"/>
    <w:rsid w:val="000216F7"/>
    <w:rsid w:val="00021797"/>
    <w:rsid w:val="0002179A"/>
    <w:rsid w:val="00021925"/>
    <w:rsid w:val="0002192B"/>
    <w:rsid w:val="00021A0A"/>
    <w:rsid w:val="00021A99"/>
    <w:rsid w:val="00021AC0"/>
    <w:rsid w:val="00021BCA"/>
    <w:rsid w:val="00021CB2"/>
    <w:rsid w:val="00021DE8"/>
    <w:rsid w:val="00021F6C"/>
    <w:rsid w:val="00022018"/>
    <w:rsid w:val="000220E7"/>
    <w:rsid w:val="00022252"/>
    <w:rsid w:val="00022286"/>
    <w:rsid w:val="000222C7"/>
    <w:rsid w:val="000222EF"/>
    <w:rsid w:val="00022306"/>
    <w:rsid w:val="00022433"/>
    <w:rsid w:val="000224B1"/>
    <w:rsid w:val="000224F1"/>
    <w:rsid w:val="000224F2"/>
    <w:rsid w:val="00022547"/>
    <w:rsid w:val="000225B3"/>
    <w:rsid w:val="00022639"/>
    <w:rsid w:val="00022687"/>
    <w:rsid w:val="0002273B"/>
    <w:rsid w:val="00022746"/>
    <w:rsid w:val="0002292D"/>
    <w:rsid w:val="00022997"/>
    <w:rsid w:val="000229AB"/>
    <w:rsid w:val="000229F7"/>
    <w:rsid w:val="00022A6C"/>
    <w:rsid w:val="00022A6D"/>
    <w:rsid w:val="00022B68"/>
    <w:rsid w:val="00022B70"/>
    <w:rsid w:val="00022BC3"/>
    <w:rsid w:val="00022D44"/>
    <w:rsid w:val="00022DCB"/>
    <w:rsid w:val="00022DCD"/>
    <w:rsid w:val="00022F0E"/>
    <w:rsid w:val="00022F54"/>
    <w:rsid w:val="00022F8B"/>
    <w:rsid w:val="00022F96"/>
    <w:rsid w:val="00022F9C"/>
    <w:rsid w:val="0002308D"/>
    <w:rsid w:val="000230F2"/>
    <w:rsid w:val="000231EA"/>
    <w:rsid w:val="000231F7"/>
    <w:rsid w:val="0002327F"/>
    <w:rsid w:val="00023323"/>
    <w:rsid w:val="0002332B"/>
    <w:rsid w:val="0002334F"/>
    <w:rsid w:val="0002340F"/>
    <w:rsid w:val="000234B7"/>
    <w:rsid w:val="000235BD"/>
    <w:rsid w:val="000236CB"/>
    <w:rsid w:val="0002379B"/>
    <w:rsid w:val="0002379E"/>
    <w:rsid w:val="000237FA"/>
    <w:rsid w:val="00023896"/>
    <w:rsid w:val="000238B8"/>
    <w:rsid w:val="00023998"/>
    <w:rsid w:val="000239BE"/>
    <w:rsid w:val="000239DA"/>
    <w:rsid w:val="00023A12"/>
    <w:rsid w:val="00023B0C"/>
    <w:rsid w:val="00023B68"/>
    <w:rsid w:val="00023C07"/>
    <w:rsid w:val="00023C91"/>
    <w:rsid w:val="00023CC5"/>
    <w:rsid w:val="00023D14"/>
    <w:rsid w:val="00023D9B"/>
    <w:rsid w:val="00023EF6"/>
    <w:rsid w:val="00023FAC"/>
    <w:rsid w:val="000240A5"/>
    <w:rsid w:val="000240C8"/>
    <w:rsid w:val="00024340"/>
    <w:rsid w:val="00024373"/>
    <w:rsid w:val="00024445"/>
    <w:rsid w:val="00024455"/>
    <w:rsid w:val="0002465C"/>
    <w:rsid w:val="0002468A"/>
    <w:rsid w:val="000247C7"/>
    <w:rsid w:val="00024906"/>
    <w:rsid w:val="00024916"/>
    <w:rsid w:val="00024987"/>
    <w:rsid w:val="00024A1D"/>
    <w:rsid w:val="00024AE1"/>
    <w:rsid w:val="00024B4C"/>
    <w:rsid w:val="00024B75"/>
    <w:rsid w:val="00024DD2"/>
    <w:rsid w:val="00024DF0"/>
    <w:rsid w:val="00024E2D"/>
    <w:rsid w:val="00024E5C"/>
    <w:rsid w:val="00024E8B"/>
    <w:rsid w:val="00024EBE"/>
    <w:rsid w:val="00024F60"/>
    <w:rsid w:val="00025038"/>
    <w:rsid w:val="0002510E"/>
    <w:rsid w:val="000251C6"/>
    <w:rsid w:val="000252CD"/>
    <w:rsid w:val="000252ED"/>
    <w:rsid w:val="00025354"/>
    <w:rsid w:val="00025372"/>
    <w:rsid w:val="000253A2"/>
    <w:rsid w:val="00025417"/>
    <w:rsid w:val="00025469"/>
    <w:rsid w:val="000254C7"/>
    <w:rsid w:val="00025611"/>
    <w:rsid w:val="000256DA"/>
    <w:rsid w:val="00025777"/>
    <w:rsid w:val="000258D7"/>
    <w:rsid w:val="000258EB"/>
    <w:rsid w:val="000259DC"/>
    <w:rsid w:val="00025A0C"/>
    <w:rsid w:val="00025B3A"/>
    <w:rsid w:val="00025B5C"/>
    <w:rsid w:val="00025CA9"/>
    <w:rsid w:val="00025D92"/>
    <w:rsid w:val="00025E55"/>
    <w:rsid w:val="00025F14"/>
    <w:rsid w:val="00025FE3"/>
    <w:rsid w:val="00025FF6"/>
    <w:rsid w:val="0002602E"/>
    <w:rsid w:val="0002608D"/>
    <w:rsid w:val="000260C2"/>
    <w:rsid w:val="000261D8"/>
    <w:rsid w:val="000261E6"/>
    <w:rsid w:val="000261EF"/>
    <w:rsid w:val="00026234"/>
    <w:rsid w:val="00026251"/>
    <w:rsid w:val="000262A5"/>
    <w:rsid w:val="000262A7"/>
    <w:rsid w:val="000262BB"/>
    <w:rsid w:val="00026406"/>
    <w:rsid w:val="0002644A"/>
    <w:rsid w:val="0002649C"/>
    <w:rsid w:val="000264D3"/>
    <w:rsid w:val="00026502"/>
    <w:rsid w:val="000265A1"/>
    <w:rsid w:val="000265DD"/>
    <w:rsid w:val="00026691"/>
    <w:rsid w:val="000266DB"/>
    <w:rsid w:val="00026700"/>
    <w:rsid w:val="00026780"/>
    <w:rsid w:val="00026859"/>
    <w:rsid w:val="00026874"/>
    <w:rsid w:val="00026A06"/>
    <w:rsid w:val="00026A3C"/>
    <w:rsid w:val="00026AEE"/>
    <w:rsid w:val="00026AF2"/>
    <w:rsid w:val="00026B17"/>
    <w:rsid w:val="00026BFB"/>
    <w:rsid w:val="00026C54"/>
    <w:rsid w:val="00026C75"/>
    <w:rsid w:val="00026D3C"/>
    <w:rsid w:val="00026DC8"/>
    <w:rsid w:val="00026F4D"/>
    <w:rsid w:val="00026FEB"/>
    <w:rsid w:val="00027006"/>
    <w:rsid w:val="0002702D"/>
    <w:rsid w:val="0002706C"/>
    <w:rsid w:val="00027130"/>
    <w:rsid w:val="000271DD"/>
    <w:rsid w:val="0002723B"/>
    <w:rsid w:val="0002728A"/>
    <w:rsid w:val="00027466"/>
    <w:rsid w:val="000274B5"/>
    <w:rsid w:val="000274C5"/>
    <w:rsid w:val="0002757A"/>
    <w:rsid w:val="000276F1"/>
    <w:rsid w:val="0002785A"/>
    <w:rsid w:val="00027876"/>
    <w:rsid w:val="000278F8"/>
    <w:rsid w:val="000279BF"/>
    <w:rsid w:val="000279DC"/>
    <w:rsid w:val="000279ED"/>
    <w:rsid w:val="00027B25"/>
    <w:rsid w:val="00027B56"/>
    <w:rsid w:val="00027C58"/>
    <w:rsid w:val="00027CE5"/>
    <w:rsid w:val="00027CE7"/>
    <w:rsid w:val="00027D14"/>
    <w:rsid w:val="00027D58"/>
    <w:rsid w:val="00027DAE"/>
    <w:rsid w:val="0002E629"/>
    <w:rsid w:val="00030039"/>
    <w:rsid w:val="00030067"/>
    <w:rsid w:val="00030087"/>
    <w:rsid w:val="000300CB"/>
    <w:rsid w:val="000300D5"/>
    <w:rsid w:val="000300F1"/>
    <w:rsid w:val="0003013B"/>
    <w:rsid w:val="00030146"/>
    <w:rsid w:val="0003016C"/>
    <w:rsid w:val="00030223"/>
    <w:rsid w:val="00030230"/>
    <w:rsid w:val="0003030E"/>
    <w:rsid w:val="00030490"/>
    <w:rsid w:val="000304D7"/>
    <w:rsid w:val="0003065E"/>
    <w:rsid w:val="000306C1"/>
    <w:rsid w:val="00030758"/>
    <w:rsid w:val="000307BD"/>
    <w:rsid w:val="0003085B"/>
    <w:rsid w:val="000309E2"/>
    <w:rsid w:val="00030A7D"/>
    <w:rsid w:val="00030B41"/>
    <w:rsid w:val="00030B78"/>
    <w:rsid w:val="00030C1D"/>
    <w:rsid w:val="00030D15"/>
    <w:rsid w:val="00030D4A"/>
    <w:rsid w:val="00030D66"/>
    <w:rsid w:val="00030E54"/>
    <w:rsid w:val="00030ED7"/>
    <w:rsid w:val="00030F07"/>
    <w:rsid w:val="0003106D"/>
    <w:rsid w:val="00031110"/>
    <w:rsid w:val="00031115"/>
    <w:rsid w:val="00031177"/>
    <w:rsid w:val="000311A8"/>
    <w:rsid w:val="000311AB"/>
    <w:rsid w:val="000312B6"/>
    <w:rsid w:val="00031341"/>
    <w:rsid w:val="00031489"/>
    <w:rsid w:val="0003148D"/>
    <w:rsid w:val="0003152B"/>
    <w:rsid w:val="0003154B"/>
    <w:rsid w:val="00031612"/>
    <w:rsid w:val="00031674"/>
    <w:rsid w:val="00031964"/>
    <w:rsid w:val="0003197C"/>
    <w:rsid w:val="00031BC5"/>
    <w:rsid w:val="00031C33"/>
    <w:rsid w:val="00031CD9"/>
    <w:rsid w:val="00031CE0"/>
    <w:rsid w:val="00031DA1"/>
    <w:rsid w:val="00031DE0"/>
    <w:rsid w:val="00031F50"/>
    <w:rsid w:val="00031F84"/>
    <w:rsid w:val="00031FA5"/>
    <w:rsid w:val="00031FEB"/>
    <w:rsid w:val="00032061"/>
    <w:rsid w:val="00032071"/>
    <w:rsid w:val="00032115"/>
    <w:rsid w:val="0003212D"/>
    <w:rsid w:val="00032162"/>
    <w:rsid w:val="0003218F"/>
    <w:rsid w:val="0003224F"/>
    <w:rsid w:val="0003226E"/>
    <w:rsid w:val="000322D5"/>
    <w:rsid w:val="00032306"/>
    <w:rsid w:val="000323C4"/>
    <w:rsid w:val="000323C8"/>
    <w:rsid w:val="00032651"/>
    <w:rsid w:val="00032767"/>
    <w:rsid w:val="000327BB"/>
    <w:rsid w:val="0003283E"/>
    <w:rsid w:val="000328C6"/>
    <w:rsid w:val="000328D0"/>
    <w:rsid w:val="0003293D"/>
    <w:rsid w:val="000329A6"/>
    <w:rsid w:val="000329DB"/>
    <w:rsid w:val="00032AC8"/>
    <w:rsid w:val="00032AD2"/>
    <w:rsid w:val="00032AF2"/>
    <w:rsid w:val="00032B16"/>
    <w:rsid w:val="00032B67"/>
    <w:rsid w:val="00032B79"/>
    <w:rsid w:val="00032BC6"/>
    <w:rsid w:val="00032C83"/>
    <w:rsid w:val="00032CDC"/>
    <w:rsid w:val="00032DA0"/>
    <w:rsid w:val="00032E70"/>
    <w:rsid w:val="00032F34"/>
    <w:rsid w:val="0003303E"/>
    <w:rsid w:val="00033049"/>
    <w:rsid w:val="00033086"/>
    <w:rsid w:val="0003308E"/>
    <w:rsid w:val="0003314B"/>
    <w:rsid w:val="000331E4"/>
    <w:rsid w:val="0003324F"/>
    <w:rsid w:val="00033270"/>
    <w:rsid w:val="00033288"/>
    <w:rsid w:val="0003329F"/>
    <w:rsid w:val="00033332"/>
    <w:rsid w:val="0003335E"/>
    <w:rsid w:val="00033381"/>
    <w:rsid w:val="0003338F"/>
    <w:rsid w:val="000333E7"/>
    <w:rsid w:val="0003349D"/>
    <w:rsid w:val="000334B4"/>
    <w:rsid w:val="000335AF"/>
    <w:rsid w:val="00033612"/>
    <w:rsid w:val="0003365D"/>
    <w:rsid w:val="0003368A"/>
    <w:rsid w:val="0003368C"/>
    <w:rsid w:val="000337F1"/>
    <w:rsid w:val="00033828"/>
    <w:rsid w:val="00033868"/>
    <w:rsid w:val="0003397C"/>
    <w:rsid w:val="00033A18"/>
    <w:rsid w:val="00033A8E"/>
    <w:rsid w:val="00033BCE"/>
    <w:rsid w:val="00033BED"/>
    <w:rsid w:val="00033C62"/>
    <w:rsid w:val="00033CA9"/>
    <w:rsid w:val="00033D86"/>
    <w:rsid w:val="00033DB0"/>
    <w:rsid w:val="00033E14"/>
    <w:rsid w:val="00033E7E"/>
    <w:rsid w:val="00033F8B"/>
    <w:rsid w:val="00033FB5"/>
    <w:rsid w:val="0003404F"/>
    <w:rsid w:val="0003422F"/>
    <w:rsid w:val="0003427B"/>
    <w:rsid w:val="000342AE"/>
    <w:rsid w:val="00034367"/>
    <w:rsid w:val="000343E0"/>
    <w:rsid w:val="0003444F"/>
    <w:rsid w:val="000344AF"/>
    <w:rsid w:val="000345F8"/>
    <w:rsid w:val="000347A4"/>
    <w:rsid w:val="000348BC"/>
    <w:rsid w:val="000348F6"/>
    <w:rsid w:val="00034A20"/>
    <w:rsid w:val="00034B19"/>
    <w:rsid w:val="00034B65"/>
    <w:rsid w:val="00034BBC"/>
    <w:rsid w:val="00034C24"/>
    <w:rsid w:val="00034CA4"/>
    <w:rsid w:val="00034D3A"/>
    <w:rsid w:val="00034DC4"/>
    <w:rsid w:val="00034DD2"/>
    <w:rsid w:val="00034DE8"/>
    <w:rsid w:val="00034EEE"/>
    <w:rsid w:val="00034EF8"/>
    <w:rsid w:val="00034F91"/>
    <w:rsid w:val="00034FFF"/>
    <w:rsid w:val="0003505C"/>
    <w:rsid w:val="000350E7"/>
    <w:rsid w:val="000350F2"/>
    <w:rsid w:val="0003510B"/>
    <w:rsid w:val="00035126"/>
    <w:rsid w:val="0003512B"/>
    <w:rsid w:val="000352A8"/>
    <w:rsid w:val="000353B8"/>
    <w:rsid w:val="00035417"/>
    <w:rsid w:val="000354A7"/>
    <w:rsid w:val="0003560F"/>
    <w:rsid w:val="000356AB"/>
    <w:rsid w:val="0003570D"/>
    <w:rsid w:val="00035721"/>
    <w:rsid w:val="00035759"/>
    <w:rsid w:val="00035899"/>
    <w:rsid w:val="000358B7"/>
    <w:rsid w:val="00035AF1"/>
    <w:rsid w:val="00035D36"/>
    <w:rsid w:val="00035D4A"/>
    <w:rsid w:val="00035E7C"/>
    <w:rsid w:val="00035ECC"/>
    <w:rsid w:val="00035F3E"/>
    <w:rsid w:val="00035FAF"/>
    <w:rsid w:val="00035FEA"/>
    <w:rsid w:val="0003604B"/>
    <w:rsid w:val="0003606F"/>
    <w:rsid w:val="00036147"/>
    <w:rsid w:val="00036208"/>
    <w:rsid w:val="00036286"/>
    <w:rsid w:val="000362DE"/>
    <w:rsid w:val="00036408"/>
    <w:rsid w:val="00036439"/>
    <w:rsid w:val="000364AA"/>
    <w:rsid w:val="000364B4"/>
    <w:rsid w:val="00036511"/>
    <w:rsid w:val="0003653C"/>
    <w:rsid w:val="00036548"/>
    <w:rsid w:val="0003657A"/>
    <w:rsid w:val="0003657D"/>
    <w:rsid w:val="00036586"/>
    <w:rsid w:val="0003658B"/>
    <w:rsid w:val="00036627"/>
    <w:rsid w:val="0003665A"/>
    <w:rsid w:val="000366C0"/>
    <w:rsid w:val="000366E9"/>
    <w:rsid w:val="0003673A"/>
    <w:rsid w:val="000368F4"/>
    <w:rsid w:val="0003697C"/>
    <w:rsid w:val="00036A7B"/>
    <w:rsid w:val="00036B3D"/>
    <w:rsid w:val="00036B42"/>
    <w:rsid w:val="00036C4A"/>
    <w:rsid w:val="00036C61"/>
    <w:rsid w:val="00036CD9"/>
    <w:rsid w:val="00036D7C"/>
    <w:rsid w:val="00036EF0"/>
    <w:rsid w:val="00036F66"/>
    <w:rsid w:val="00037012"/>
    <w:rsid w:val="0003716A"/>
    <w:rsid w:val="000371F3"/>
    <w:rsid w:val="00037283"/>
    <w:rsid w:val="00037284"/>
    <w:rsid w:val="0003728F"/>
    <w:rsid w:val="000373A6"/>
    <w:rsid w:val="0003746A"/>
    <w:rsid w:val="000374EE"/>
    <w:rsid w:val="00037502"/>
    <w:rsid w:val="00037544"/>
    <w:rsid w:val="00037582"/>
    <w:rsid w:val="00037722"/>
    <w:rsid w:val="0003774E"/>
    <w:rsid w:val="00037758"/>
    <w:rsid w:val="00037773"/>
    <w:rsid w:val="00037976"/>
    <w:rsid w:val="000379DF"/>
    <w:rsid w:val="00037A29"/>
    <w:rsid w:val="00037ABA"/>
    <w:rsid w:val="00037B77"/>
    <w:rsid w:val="00037C29"/>
    <w:rsid w:val="00037C7D"/>
    <w:rsid w:val="00037C92"/>
    <w:rsid w:val="00037DE5"/>
    <w:rsid w:val="00037DE7"/>
    <w:rsid w:val="00037E10"/>
    <w:rsid w:val="00037EDA"/>
    <w:rsid w:val="00037F02"/>
    <w:rsid w:val="00037F62"/>
    <w:rsid w:val="00037FC1"/>
    <w:rsid w:val="00037FEF"/>
    <w:rsid w:val="0003B119"/>
    <w:rsid w:val="00040225"/>
    <w:rsid w:val="000402A1"/>
    <w:rsid w:val="000403B9"/>
    <w:rsid w:val="000403DD"/>
    <w:rsid w:val="000404E8"/>
    <w:rsid w:val="00040508"/>
    <w:rsid w:val="0004052E"/>
    <w:rsid w:val="000405C0"/>
    <w:rsid w:val="000406F5"/>
    <w:rsid w:val="00040735"/>
    <w:rsid w:val="0004073E"/>
    <w:rsid w:val="000407C5"/>
    <w:rsid w:val="000408A1"/>
    <w:rsid w:val="000409A9"/>
    <w:rsid w:val="000409EC"/>
    <w:rsid w:val="00040AD8"/>
    <w:rsid w:val="00040B20"/>
    <w:rsid w:val="00040BCF"/>
    <w:rsid w:val="00040BF9"/>
    <w:rsid w:val="00040C3E"/>
    <w:rsid w:val="00040C64"/>
    <w:rsid w:val="00040CA8"/>
    <w:rsid w:val="00040CD6"/>
    <w:rsid w:val="00040CF8"/>
    <w:rsid w:val="00040D3A"/>
    <w:rsid w:val="00040D62"/>
    <w:rsid w:val="00040DE9"/>
    <w:rsid w:val="00040DFB"/>
    <w:rsid w:val="000410DA"/>
    <w:rsid w:val="0004114C"/>
    <w:rsid w:val="000411BA"/>
    <w:rsid w:val="00041209"/>
    <w:rsid w:val="00041254"/>
    <w:rsid w:val="000412D3"/>
    <w:rsid w:val="00041443"/>
    <w:rsid w:val="00041498"/>
    <w:rsid w:val="0004152C"/>
    <w:rsid w:val="00041552"/>
    <w:rsid w:val="00041568"/>
    <w:rsid w:val="00041639"/>
    <w:rsid w:val="0004168B"/>
    <w:rsid w:val="0004168C"/>
    <w:rsid w:val="000416AC"/>
    <w:rsid w:val="000416E0"/>
    <w:rsid w:val="00041769"/>
    <w:rsid w:val="0004181A"/>
    <w:rsid w:val="0004199A"/>
    <w:rsid w:val="00041A0C"/>
    <w:rsid w:val="00041BAE"/>
    <w:rsid w:val="00041BD2"/>
    <w:rsid w:val="00041CEE"/>
    <w:rsid w:val="00041D1E"/>
    <w:rsid w:val="00041D60"/>
    <w:rsid w:val="00041DF9"/>
    <w:rsid w:val="00041EC6"/>
    <w:rsid w:val="00041F03"/>
    <w:rsid w:val="0004200C"/>
    <w:rsid w:val="000420ED"/>
    <w:rsid w:val="0004216A"/>
    <w:rsid w:val="000422FF"/>
    <w:rsid w:val="000424A8"/>
    <w:rsid w:val="000424E6"/>
    <w:rsid w:val="000424F1"/>
    <w:rsid w:val="00042547"/>
    <w:rsid w:val="00042564"/>
    <w:rsid w:val="00042611"/>
    <w:rsid w:val="0004265B"/>
    <w:rsid w:val="0004268A"/>
    <w:rsid w:val="000427BC"/>
    <w:rsid w:val="000427C0"/>
    <w:rsid w:val="000427F2"/>
    <w:rsid w:val="00042818"/>
    <w:rsid w:val="0004282D"/>
    <w:rsid w:val="000428F6"/>
    <w:rsid w:val="000429CF"/>
    <w:rsid w:val="00042A44"/>
    <w:rsid w:val="00042BBF"/>
    <w:rsid w:val="00042C10"/>
    <w:rsid w:val="00042C50"/>
    <w:rsid w:val="00042E5E"/>
    <w:rsid w:val="00042F77"/>
    <w:rsid w:val="00042F9E"/>
    <w:rsid w:val="00042FB2"/>
    <w:rsid w:val="00042FB7"/>
    <w:rsid w:val="00042FE3"/>
    <w:rsid w:val="00043114"/>
    <w:rsid w:val="0004312E"/>
    <w:rsid w:val="00043175"/>
    <w:rsid w:val="0004335B"/>
    <w:rsid w:val="00043418"/>
    <w:rsid w:val="00043443"/>
    <w:rsid w:val="000434BD"/>
    <w:rsid w:val="0004353A"/>
    <w:rsid w:val="00043595"/>
    <w:rsid w:val="000436BA"/>
    <w:rsid w:val="000436BB"/>
    <w:rsid w:val="000436CC"/>
    <w:rsid w:val="00043777"/>
    <w:rsid w:val="00043889"/>
    <w:rsid w:val="000438AF"/>
    <w:rsid w:val="00043913"/>
    <w:rsid w:val="0004391A"/>
    <w:rsid w:val="0004396D"/>
    <w:rsid w:val="00043A0B"/>
    <w:rsid w:val="00043A33"/>
    <w:rsid w:val="00043ABC"/>
    <w:rsid w:val="00043B18"/>
    <w:rsid w:val="00043B54"/>
    <w:rsid w:val="00043C15"/>
    <w:rsid w:val="00043C28"/>
    <w:rsid w:val="00043C70"/>
    <w:rsid w:val="00043DAE"/>
    <w:rsid w:val="00043E45"/>
    <w:rsid w:val="00043EE4"/>
    <w:rsid w:val="00043F1C"/>
    <w:rsid w:val="00044050"/>
    <w:rsid w:val="00044106"/>
    <w:rsid w:val="00044159"/>
    <w:rsid w:val="00044170"/>
    <w:rsid w:val="00044241"/>
    <w:rsid w:val="00044246"/>
    <w:rsid w:val="000443C4"/>
    <w:rsid w:val="000445DB"/>
    <w:rsid w:val="000445F3"/>
    <w:rsid w:val="0004462B"/>
    <w:rsid w:val="0004463D"/>
    <w:rsid w:val="000447B8"/>
    <w:rsid w:val="000448D2"/>
    <w:rsid w:val="000448E9"/>
    <w:rsid w:val="0004496A"/>
    <w:rsid w:val="000449C0"/>
    <w:rsid w:val="000449E7"/>
    <w:rsid w:val="00044A14"/>
    <w:rsid w:val="00044A6D"/>
    <w:rsid w:val="00044D9E"/>
    <w:rsid w:val="00044DAC"/>
    <w:rsid w:val="00044E58"/>
    <w:rsid w:val="00044EC8"/>
    <w:rsid w:val="00044F18"/>
    <w:rsid w:val="00044FB3"/>
    <w:rsid w:val="00044FE3"/>
    <w:rsid w:val="00045036"/>
    <w:rsid w:val="0004504D"/>
    <w:rsid w:val="00045292"/>
    <w:rsid w:val="000452B1"/>
    <w:rsid w:val="000452DE"/>
    <w:rsid w:val="000452E8"/>
    <w:rsid w:val="00045377"/>
    <w:rsid w:val="00045390"/>
    <w:rsid w:val="000453E3"/>
    <w:rsid w:val="00045597"/>
    <w:rsid w:val="000455AD"/>
    <w:rsid w:val="0004560A"/>
    <w:rsid w:val="00045636"/>
    <w:rsid w:val="000457AF"/>
    <w:rsid w:val="00045829"/>
    <w:rsid w:val="000458B3"/>
    <w:rsid w:val="000458EF"/>
    <w:rsid w:val="00045A82"/>
    <w:rsid w:val="00045A88"/>
    <w:rsid w:val="00045BEA"/>
    <w:rsid w:val="00045CEB"/>
    <w:rsid w:val="00045E6D"/>
    <w:rsid w:val="00045E78"/>
    <w:rsid w:val="00045E95"/>
    <w:rsid w:val="00045F29"/>
    <w:rsid w:val="0004600A"/>
    <w:rsid w:val="00046028"/>
    <w:rsid w:val="000460EE"/>
    <w:rsid w:val="00046143"/>
    <w:rsid w:val="000461C4"/>
    <w:rsid w:val="000461C8"/>
    <w:rsid w:val="00046201"/>
    <w:rsid w:val="0004622E"/>
    <w:rsid w:val="000462A0"/>
    <w:rsid w:val="000462C1"/>
    <w:rsid w:val="00046465"/>
    <w:rsid w:val="00046475"/>
    <w:rsid w:val="000464B8"/>
    <w:rsid w:val="00046513"/>
    <w:rsid w:val="00046516"/>
    <w:rsid w:val="00046666"/>
    <w:rsid w:val="00046717"/>
    <w:rsid w:val="00046747"/>
    <w:rsid w:val="0004674E"/>
    <w:rsid w:val="00046770"/>
    <w:rsid w:val="0004694C"/>
    <w:rsid w:val="0004697F"/>
    <w:rsid w:val="00046AAE"/>
    <w:rsid w:val="00046BD9"/>
    <w:rsid w:val="00046C97"/>
    <w:rsid w:val="00046D33"/>
    <w:rsid w:val="00046DB2"/>
    <w:rsid w:val="00046E09"/>
    <w:rsid w:val="00046F79"/>
    <w:rsid w:val="0004704F"/>
    <w:rsid w:val="0004705E"/>
    <w:rsid w:val="00047109"/>
    <w:rsid w:val="00047112"/>
    <w:rsid w:val="0004715F"/>
    <w:rsid w:val="000471F8"/>
    <w:rsid w:val="00047240"/>
    <w:rsid w:val="000472BC"/>
    <w:rsid w:val="000473F4"/>
    <w:rsid w:val="00047564"/>
    <w:rsid w:val="0004757C"/>
    <w:rsid w:val="000475F7"/>
    <w:rsid w:val="000476E4"/>
    <w:rsid w:val="0004772F"/>
    <w:rsid w:val="00047885"/>
    <w:rsid w:val="000478A4"/>
    <w:rsid w:val="000479CF"/>
    <w:rsid w:val="00047A99"/>
    <w:rsid w:val="00047A9E"/>
    <w:rsid w:val="00047AF8"/>
    <w:rsid w:val="00047B12"/>
    <w:rsid w:val="00047B2A"/>
    <w:rsid w:val="00047B3E"/>
    <w:rsid w:val="00047B4A"/>
    <w:rsid w:val="00047B93"/>
    <w:rsid w:val="00047C1A"/>
    <w:rsid w:val="00047CA3"/>
    <w:rsid w:val="00047D8A"/>
    <w:rsid w:val="00047E86"/>
    <w:rsid w:val="00047EDD"/>
    <w:rsid w:val="00050057"/>
    <w:rsid w:val="000501E4"/>
    <w:rsid w:val="00050283"/>
    <w:rsid w:val="0005039C"/>
    <w:rsid w:val="0005041C"/>
    <w:rsid w:val="000504F2"/>
    <w:rsid w:val="00050643"/>
    <w:rsid w:val="0005064A"/>
    <w:rsid w:val="0005079C"/>
    <w:rsid w:val="000507AD"/>
    <w:rsid w:val="00050824"/>
    <w:rsid w:val="000508B4"/>
    <w:rsid w:val="000508C7"/>
    <w:rsid w:val="000508ED"/>
    <w:rsid w:val="00050995"/>
    <w:rsid w:val="000509DB"/>
    <w:rsid w:val="00050A08"/>
    <w:rsid w:val="00050AAC"/>
    <w:rsid w:val="00050BD5"/>
    <w:rsid w:val="00050C6E"/>
    <w:rsid w:val="00050CC9"/>
    <w:rsid w:val="00050D56"/>
    <w:rsid w:val="00050DE8"/>
    <w:rsid w:val="00050E33"/>
    <w:rsid w:val="00050E39"/>
    <w:rsid w:val="00050E5B"/>
    <w:rsid w:val="00050E65"/>
    <w:rsid w:val="00050F03"/>
    <w:rsid w:val="00051001"/>
    <w:rsid w:val="00051047"/>
    <w:rsid w:val="0005105A"/>
    <w:rsid w:val="000510A6"/>
    <w:rsid w:val="00051192"/>
    <w:rsid w:val="000511A2"/>
    <w:rsid w:val="0005143D"/>
    <w:rsid w:val="000515DF"/>
    <w:rsid w:val="00051608"/>
    <w:rsid w:val="000516A1"/>
    <w:rsid w:val="00051710"/>
    <w:rsid w:val="0005171F"/>
    <w:rsid w:val="00051744"/>
    <w:rsid w:val="000517D9"/>
    <w:rsid w:val="00051806"/>
    <w:rsid w:val="0005181D"/>
    <w:rsid w:val="000518B2"/>
    <w:rsid w:val="000518C1"/>
    <w:rsid w:val="0005199D"/>
    <w:rsid w:val="00051AC7"/>
    <w:rsid w:val="00051B28"/>
    <w:rsid w:val="00051B35"/>
    <w:rsid w:val="00051B49"/>
    <w:rsid w:val="00051CF9"/>
    <w:rsid w:val="00051D34"/>
    <w:rsid w:val="00051DA8"/>
    <w:rsid w:val="00051E1F"/>
    <w:rsid w:val="00051EBE"/>
    <w:rsid w:val="00051EDC"/>
    <w:rsid w:val="00051F56"/>
    <w:rsid w:val="000520B2"/>
    <w:rsid w:val="0005211E"/>
    <w:rsid w:val="00052133"/>
    <w:rsid w:val="00052196"/>
    <w:rsid w:val="000522A4"/>
    <w:rsid w:val="000522BD"/>
    <w:rsid w:val="000523A5"/>
    <w:rsid w:val="000523F2"/>
    <w:rsid w:val="000523FE"/>
    <w:rsid w:val="000524D4"/>
    <w:rsid w:val="0005251A"/>
    <w:rsid w:val="0005251F"/>
    <w:rsid w:val="0005255F"/>
    <w:rsid w:val="00052637"/>
    <w:rsid w:val="0005265B"/>
    <w:rsid w:val="00052700"/>
    <w:rsid w:val="00052701"/>
    <w:rsid w:val="0005276D"/>
    <w:rsid w:val="000527B8"/>
    <w:rsid w:val="0005282E"/>
    <w:rsid w:val="0005292A"/>
    <w:rsid w:val="000529CD"/>
    <w:rsid w:val="00052A67"/>
    <w:rsid w:val="00052A91"/>
    <w:rsid w:val="00052AC2"/>
    <w:rsid w:val="00052AC7"/>
    <w:rsid w:val="00052B40"/>
    <w:rsid w:val="00052D78"/>
    <w:rsid w:val="00052D9D"/>
    <w:rsid w:val="00052E6F"/>
    <w:rsid w:val="00052EA4"/>
    <w:rsid w:val="00052ECD"/>
    <w:rsid w:val="00052F04"/>
    <w:rsid w:val="00052F36"/>
    <w:rsid w:val="0005301D"/>
    <w:rsid w:val="00053193"/>
    <w:rsid w:val="000531D3"/>
    <w:rsid w:val="0005325C"/>
    <w:rsid w:val="0005344A"/>
    <w:rsid w:val="00053550"/>
    <w:rsid w:val="0005361C"/>
    <w:rsid w:val="000536C2"/>
    <w:rsid w:val="0005379C"/>
    <w:rsid w:val="000537C8"/>
    <w:rsid w:val="000538E9"/>
    <w:rsid w:val="00053A3C"/>
    <w:rsid w:val="00053CDA"/>
    <w:rsid w:val="00053D3D"/>
    <w:rsid w:val="00053DBB"/>
    <w:rsid w:val="00053F23"/>
    <w:rsid w:val="00053FB2"/>
    <w:rsid w:val="00053FC7"/>
    <w:rsid w:val="00054005"/>
    <w:rsid w:val="00054060"/>
    <w:rsid w:val="00054136"/>
    <w:rsid w:val="000541D6"/>
    <w:rsid w:val="000543AA"/>
    <w:rsid w:val="00054426"/>
    <w:rsid w:val="0005454B"/>
    <w:rsid w:val="00054633"/>
    <w:rsid w:val="0005467B"/>
    <w:rsid w:val="000546C1"/>
    <w:rsid w:val="000546E0"/>
    <w:rsid w:val="00054AD1"/>
    <w:rsid w:val="00054B14"/>
    <w:rsid w:val="00054B7C"/>
    <w:rsid w:val="00054C11"/>
    <w:rsid w:val="00054C68"/>
    <w:rsid w:val="00054CE1"/>
    <w:rsid w:val="00054D3A"/>
    <w:rsid w:val="00054D9C"/>
    <w:rsid w:val="00054E68"/>
    <w:rsid w:val="00054EB8"/>
    <w:rsid w:val="00054F4E"/>
    <w:rsid w:val="00054FAE"/>
    <w:rsid w:val="00055032"/>
    <w:rsid w:val="0005503B"/>
    <w:rsid w:val="000550AF"/>
    <w:rsid w:val="0005519C"/>
    <w:rsid w:val="00055283"/>
    <w:rsid w:val="00055299"/>
    <w:rsid w:val="0005539D"/>
    <w:rsid w:val="00055419"/>
    <w:rsid w:val="000554B3"/>
    <w:rsid w:val="000554E0"/>
    <w:rsid w:val="000557E5"/>
    <w:rsid w:val="00055835"/>
    <w:rsid w:val="000558DE"/>
    <w:rsid w:val="00055A18"/>
    <w:rsid w:val="00055A62"/>
    <w:rsid w:val="00055AF5"/>
    <w:rsid w:val="00055B23"/>
    <w:rsid w:val="00055B85"/>
    <w:rsid w:val="00055E59"/>
    <w:rsid w:val="00055ED8"/>
    <w:rsid w:val="00055F3A"/>
    <w:rsid w:val="00055F45"/>
    <w:rsid w:val="000564B1"/>
    <w:rsid w:val="00056669"/>
    <w:rsid w:val="000566DA"/>
    <w:rsid w:val="000567E2"/>
    <w:rsid w:val="000567E7"/>
    <w:rsid w:val="000568A4"/>
    <w:rsid w:val="000568D2"/>
    <w:rsid w:val="000568FE"/>
    <w:rsid w:val="00056933"/>
    <w:rsid w:val="000569D7"/>
    <w:rsid w:val="00056B34"/>
    <w:rsid w:val="00056B54"/>
    <w:rsid w:val="00056C1B"/>
    <w:rsid w:val="00056C65"/>
    <w:rsid w:val="00056CDB"/>
    <w:rsid w:val="00056D28"/>
    <w:rsid w:val="00056D90"/>
    <w:rsid w:val="00056DFC"/>
    <w:rsid w:val="00056E6A"/>
    <w:rsid w:val="00056F34"/>
    <w:rsid w:val="00056F3D"/>
    <w:rsid w:val="00057004"/>
    <w:rsid w:val="00057041"/>
    <w:rsid w:val="0005705D"/>
    <w:rsid w:val="00057143"/>
    <w:rsid w:val="0005719F"/>
    <w:rsid w:val="000571A4"/>
    <w:rsid w:val="000571F3"/>
    <w:rsid w:val="0005735C"/>
    <w:rsid w:val="0005744B"/>
    <w:rsid w:val="0005744D"/>
    <w:rsid w:val="00057729"/>
    <w:rsid w:val="00057760"/>
    <w:rsid w:val="000577E0"/>
    <w:rsid w:val="00057854"/>
    <w:rsid w:val="0005785F"/>
    <w:rsid w:val="000578CE"/>
    <w:rsid w:val="00057A46"/>
    <w:rsid w:val="00057A63"/>
    <w:rsid w:val="00057B84"/>
    <w:rsid w:val="00057C53"/>
    <w:rsid w:val="00057C65"/>
    <w:rsid w:val="00057DCB"/>
    <w:rsid w:val="00057E7C"/>
    <w:rsid w:val="00057FD8"/>
    <w:rsid w:val="000601A7"/>
    <w:rsid w:val="000601BB"/>
    <w:rsid w:val="00060221"/>
    <w:rsid w:val="0006026A"/>
    <w:rsid w:val="000602BB"/>
    <w:rsid w:val="000602FD"/>
    <w:rsid w:val="00060481"/>
    <w:rsid w:val="000604B5"/>
    <w:rsid w:val="0006052F"/>
    <w:rsid w:val="0006062B"/>
    <w:rsid w:val="00060656"/>
    <w:rsid w:val="000606EC"/>
    <w:rsid w:val="0006071D"/>
    <w:rsid w:val="00060831"/>
    <w:rsid w:val="000608BE"/>
    <w:rsid w:val="00060920"/>
    <w:rsid w:val="00060936"/>
    <w:rsid w:val="00060A31"/>
    <w:rsid w:val="00060A49"/>
    <w:rsid w:val="00060A84"/>
    <w:rsid w:val="00060AAE"/>
    <w:rsid w:val="00060AD3"/>
    <w:rsid w:val="00060DA4"/>
    <w:rsid w:val="00060E58"/>
    <w:rsid w:val="00060EAB"/>
    <w:rsid w:val="00060EE1"/>
    <w:rsid w:val="00060F50"/>
    <w:rsid w:val="00060F7E"/>
    <w:rsid w:val="00061027"/>
    <w:rsid w:val="0006112A"/>
    <w:rsid w:val="0006118F"/>
    <w:rsid w:val="000611C4"/>
    <w:rsid w:val="00061247"/>
    <w:rsid w:val="00061304"/>
    <w:rsid w:val="000613BE"/>
    <w:rsid w:val="00061436"/>
    <w:rsid w:val="00061454"/>
    <w:rsid w:val="000614B0"/>
    <w:rsid w:val="0006155F"/>
    <w:rsid w:val="000615B1"/>
    <w:rsid w:val="000615CB"/>
    <w:rsid w:val="000616F2"/>
    <w:rsid w:val="0006178D"/>
    <w:rsid w:val="000618E1"/>
    <w:rsid w:val="000618F3"/>
    <w:rsid w:val="000619F9"/>
    <w:rsid w:val="00061A51"/>
    <w:rsid w:val="00061A73"/>
    <w:rsid w:val="00061BD2"/>
    <w:rsid w:val="00061C3F"/>
    <w:rsid w:val="00061C6B"/>
    <w:rsid w:val="00061D51"/>
    <w:rsid w:val="00061FC1"/>
    <w:rsid w:val="00061FE7"/>
    <w:rsid w:val="00062057"/>
    <w:rsid w:val="00062096"/>
    <w:rsid w:val="00062174"/>
    <w:rsid w:val="00062225"/>
    <w:rsid w:val="00062286"/>
    <w:rsid w:val="00062414"/>
    <w:rsid w:val="0006248D"/>
    <w:rsid w:val="000624EA"/>
    <w:rsid w:val="000626E8"/>
    <w:rsid w:val="00062715"/>
    <w:rsid w:val="000627D8"/>
    <w:rsid w:val="000627F7"/>
    <w:rsid w:val="000629C1"/>
    <w:rsid w:val="00062A50"/>
    <w:rsid w:val="00062B72"/>
    <w:rsid w:val="00062CCE"/>
    <w:rsid w:val="00062EB2"/>
    <w:rsid w:val="00062F0C"/>
    <w:rsid w:val="00063000"/>
    <w:rsid w:val="0006309F"/>
    <w:rsid w:val="000630B9"/>
    <w:rsid w:val="000630FA"/>
    <w:rsid w:val="00063158"/>
    <w:rsid w:val="000631D0"/>
    <w:rsid w:val="00063201"/>
    <w:rsid w:val="00063213"/>
    <w:rsid w:val="00063229"/>
    <w:rsid w:val="00063261"/>
    <w:rsid w:val="000634B3"/>
    <w:rsid w:val="00063541"/>
    <w:rsid w:val="00063554"/>
    <w:rsid w:val="00063682"/>
    <w:rsid w:val="00063780"/>
    <w:rsid w:val="000637F5"/>
    <w:rsid w:val="00063812"/>
    <w:rsid w:val="0006393C"/>
    <w:rsid w:val="00063A31"/>
    <w:rsid w:val="00063A91"/>
    <w:rsid w:val="00063C3D"/>
    <w:rsid w:val="00063CFE"/>
    <w:rsid w:val="00063D3A"/>
    <w:rsid w:val="00063E1C"/>
    <w:rsid w:val="00063E5D"/>
    <w:rsid w:val="00063EA1"/>
    <w:rsid w:val="00063F34"/>
    <w:rsid w:val="00063F3C"/>
    <w:rsid w:val="00063F3F"/>
    <w:rsid w:val="00063F44"/>
    <w:rsid w:val="0006401F"/>
    <w:rsid w:val="000641BE"/>
    <w:rsid w:val="0006424C"/>
    <w:rsid w:val="000642C7"/>
    <w:rsid w:val="000642CB"/>
    <w:rsid w:val="00064407"/>
    <w:rsid w:val="00064627"/>
    <w:rsid w:val="000646A8"/>
    <w:rsid w:val="00064712"/>
    <w:rsid w:val="00064941"/>
    <w:rsid w:val="0006496C"/>
    <w:rsid w:val="000649E4"/>
    <w:rsid w:val="00064A2F"/>
    <w:rsid w:val="00064A85"/>
    <w:rsid w:val="00064B09"/>
    <w:rsid w:val="00064B37"/>
    <w:rsid w:val="00064C1F"/>
    <w:rsid w:val="00064C68"/>
    <w:rsid w:val="00064C7D"/>
    <w:rsid w:val="00064D19"/>
    <w:rsid w:val="00064DA5"/>
    <w:rsid w:val="00064F76"/>
    <w:rsid w:val="00064F84"/>
    <w:rsid w:val="00065020"/>
    <w:rsid w:val="00065084"/>
    <w:rsid w:val="00065122"/>
    <w:rsid w:val="000651DA"/>
    <w:rsid w:val="0006520C"/>
    <w:rsid w:val="00065319"/>
    <w:rsid w:val="0006534D"/>
    <w:rsid w:val="000653E1"/>
    <w:rsid w:val="00065425"/>
    <w:rsid w:val="00065466"/>
    <w:rsid w:val="00065469"/>
    <w:rsid w:val="000654BA"/>
    <w:rsid w:val="000655E9"/>
    <w:rsid w:val="00065649"/>
    <w:rsid w:val="000656D4"/>
    <w:rsid w:val="00065738"/>
    <w:rsid w:val="00065A09"/>
    <w:rsid w:val="00065A43"/>
    <w:rsid w:val="00065A86"/>
    <w:rsid w:val="00065AD0"/>
    <w:rsid w:val="00065BB0"/>
    <w:rsid w:val="00065BB3"/>
    <w:rsid w:val="00065BD7"/>
    <w:rsid w:val="00065C1B"/>
    <w:rsid w:val="00065C96"/>
    <w:rsid w:val="00065D39"/>
    <w:rsid w:val="00065D3C"/>
    <w:rsid w:val="00065DC0"/>
    <w:rsid w:val="00065DCF"/>
    <w:rsid w:val="00065EFD"/>
    <w:rsid w:val="00065FED"/>
    <w:rsid w:val="00066005"/>
    <w:rsid w:val="00066024"/>
    <w:rsid w:val="0006604D"/>
    <w:rsid w:val="000660F9"/>
    <w:rsid w:val="00066110"/>
    <w:rsid w:val="0006631C"/>
    <w:rsid w:val="00066509"/>
    <w:rsid w:val="000665D2"/>
    <w:rsid w:val="000666C5"/>
    <w:rsid w:val="00066802"/>
    <w:rsid w:val="0006688A"/>
    <w:rsid w:val="000668EE"/>
    <w:rsid w:val="0006691A"/>
    <w:rsid w:val="00066942"/>
    <w:rsid w:val="0006695A"/>
    <w:rsid w:val="000669B2"/>
    <w:rsid w:val="00066B60"/>
    <w:rsid w:val="00066BF8"/>
    <w:rsid w:val="00066D5A"/>
    <w:rsid w:val="00066E82"/>
    <w:rsid w:val="00066F01"/>
    <w:rsid w:val="00066FBB"/>
    <w:rsid w:val="00067001"/>
    <w:rsid w:val="0006718B"/>
    <w:rsid w:val="000671A3"/>
    <w:rsid w:val="000671DA"/>
    <w:rsid w:val="00067212"/>
    <w:rsid w:val="00067330"/>
    <w:rsid w:val="0006737C"/>
    <w:rsid w:val="00067390"/>
    <w:rsid w:val="00067454"/>
    <w:rsid w:val="00067477"/>
    <w:rsid w:val="000674A4"/>
    <w:rsid w:val="00067530"/>
    <w:rsid w:val="00067581"/>
    <w:rsid w:val="000675AD"/>
    <w:rsid w:val="000675E3"/>
    <w:rsid w:val="0006765A"/>
    <w:rsid w:val="00067720"/>
    <w:rsid w:val="000677CD"/>
    <w:rsid w:val="000677E1"/>
    <w:rsid w:val="000677F3"/>
    <w:rsid w:val="00067886"/>
    <w:rsid w:val="000678A9"/>
    <w:rsid w:val="00067960"/>
    <w:rsid w:val="00067A08"/>
    <w:rsid w:val="00067A6E"/>
    <w:rsid w:val="00067B0C"/>
    <w:rsid w:val="00067B53"/>
    <w:rsid w:val="00067B90"/>
    <w:rsid w:val="00067D38"/>
    <w:rsid w:val="00067D49"/>
    <w:rsid w:val="00067DF8"/>
    <w:rsid w:val="00067FA8"/>
    <w:rsid w:val="00069A76"/>
    <w:rsid w:val="00070197"/>
    <w:rsid w:val="0007021C"/>
    <w:rsid w:val="0007029E"/>
    <w:rsid w:val="0007034F"/>
    <w:rsid w:val="00070358"/>
    <w:rsid w:val="00070425"/>
    <w:rsid w:val="00070440"/>
    <w:rsid w:val="000704AC"/>
    <w:rsid w:val="00070665"/>
    <w:rsid w:val="00070669"/>
    <w:rsid w:val="00070722"/>
    <w:rsid w:val="00070734"/>
    <w:rsid w:val="00070786"/>
    <w:rsid w:val="00070884"/>
    <w:rsid w:val="000708E8"/>
    <w:rsid w:val="00070AD9"/>
    <w:rsid w:val="00070AE8"/>
    <w:rsid w:val="00070B49"/>
    <w:rsid w:val="00070BE1"/>
    <w:rsid w:val="00070CA1"/>
    <w:rsid w:val="00070CA2"/>
    <w:rsid w:val="00070CF1"/>
    <w:rsid w:val="00070D37"/>
    <w:rsid w:val="00070D75"/>
    <w:rsid w:val="00070D8A"/>
    <w:rsid w:val="00070DAC"/>
    <w:rsid w:val="00070DD5"/>
    <w:rsid w:val="00070E26"/>
    <w:rsid w:val="00070EE0"/>
    <w:rsid w:val="00070FB7"/>
    <w:rsid w:val="0007130A"/>
    <w:rsid w:val="000713C8"/>
    <w:rsid w:val="000713EC"/>
    <w:rsid w:val="000715FC"/>
    <w:rsid w:val="00071703"/>
    <w:rsid w:val="00071769"/>
    <w:rsid w:val="0007176D"/>
    <w:rsid w:val="000717A4"/>
    <w:rsid w:val="000717F0"/>
    <w:rsid w:val="00071A4F"/>
    <w:rsid w:val="00071ACB"/>
    <w:rsid w:val="00071CB0"/>
    <w:rsid w:val="00071CFB"/>
    <w:rsid w:val="00071D1A"/>
    <w:rsid w:val="00071D34"/>
    <w:rsid w:val="00071EFF"/>
    <w:rsid w:val="00071FA3"/>
    <w:rsid w:val="000720DD"/>
    <w:rsid w:val="000721FE"/>
    <w:rsid w:val="000722A6"/>
    <w:rsid w:val="000723FD"/>
    <w:rsid w:val="0007242A"/>
    <w:rsid w:val="000724C7"/>
    <w:rsid w:val="000724E2"/>
    <w:rsid w:val="0007251A"/>
    <w:rsid w:val="0007251B"/>
    <w:rsid w:val="00072534"/>
    <w:rsid w:val="000725E4"/>
    <w:rsid w:val="00072614"/>
    <w:rsid w:val="0007266B"/>
    <w:rsid w:val="000726F9"/>
    <w:rsid w:val="0007273D"/>
    <w:rsid w:val="00072789"/>
    <w:rsid w:val="0007281D"/>
    <w:rsid w:val="00072895"/>
    <w:rsid w:val="0007289E"/>
    <w:rsid w:val="00072903"/>
    <w:rsid w:val="0007290E"/>
    <w:rsid w:val="00072982"/>
    <w:rsid w:val="00072A81"/>
    <w:rsid w:val="00072ABD"/>
    <w:rsid w:val="00072AD4"/>
    <w:rsid w:val="00072AFA"/>
    <w:rsid w:val="00072B28"/>
    <w:rsid w:val="00072C7C"/>
    <w:rsid w:val="00072CD6"/>
    <w:rsid w:val="00072D69"/>
    <w:rsid w:val="00072E07"/>
    <w:rsid w:val="0007300A"/>
    <w:rsid w:val="000730F9"/>
    <w:rsid w:val="00073155"/>
    <w:rsid w:val="000731C5"/>
    <w:rsid w:val="00073416"/>
    <w:rsid w:val="000734D2"/>
    <w:rsid w:val="000734F5"/>
    <w:rsid w:val="0007354C"/>
    <w:rsid w:val="0007354F"/>
    <w:rsid w:val="000737EF"/>
    <w:rsid w:val="00073859"/>
    <w:rsid w:val="00073864"/>
    <w:rsid w:val="00073938"/>
    <w:rsid w:val="0007395E"/>
    <w:rsid w:val="00073971"/>
    <w:rsid w:val="000739AD"/>
    <w:rsid w:val="00073AC6"/>
    <w:rsid w:val="00073B45"/>
    <w:rsid w:val="00073E24"/>
    <w:rsid w:val="00073E85"/>
    <w:rsid w:val="00073EAA"/>
    <w:rsid w:val="00073F26"/>
    <w:rsid w:val="00074017"/>
    <w:rsid w:val="000740AE"/>
    <w:rsid w:val="00074198"/>
    <w:rsid w:val="000741BC"/>
    <w:rsid w:val="00074236"/>
    <w:rsid w:val="0007423D"/>
    <w:rsid w:val="00074293"/>
    <w:rsid w:val="000743D0"/>
    <w:rsid w:val="000743F6"/>
    <w:rsid w:val="0007444D"/>
    <w:rsid w:val="00074478"/>
    <w:rsid w:val="00074571"/>
    <w:rsid w:val="00074766"/>
    <w:rsid w:val="000747CF"/>
    <w:rsid w:val="0007481A"/>
    <w:rsid w:val="00074848"/>
    <w:rsid w:val="0007491C"/>
    <w:rsid w:val="0007495C"/>
    <w:rsid w:val="00074984"/>
    <w:rsid w:val="00074994"/>
    <w:rsid w:val="00074B1F"/>
    <w:rsid w:val="00074B34"/>
    <w:rsid w:val="00074B67"/>
    <w:rsid w:val="00074D7A"/>
    <w:rsid w:val="00074DA3"/>
    <w:rsid w:val="00074E1D"/>
    <w:rsid w:val="00074E2D"/>
    <w:rsid w:val="00074FB3"/>
    <w:rsid w:val="00074FF3"/>
    <w:rsid w:val="000750DF"/>
    <w:rsid w:val="000750F5"/>
    <w:rsid w:val="00075163"/>
    <w:rsid w:val="00075181"/>
    <w:rsid w:val="000751A9"/>
    <w:rsid w:val="00075331"/>
    <w:rsid w:val="00075386"/>
    <w:rsid w:val="000753EA"/>
    <w:rsid w:val="00075490"/>
    <w:rsid w:val="00075529"/>
    <w:rsid w:val="00075646"/>
    <w:rsid w:val="000756A2"/>
    <w:rsid w:val="000756F3"/>
    <w:rsid w:val="000756F4"/>
    <w:rsid w:val="00075703"/>
    <w:rsid w:val="00075710"/>
    <w:rsid w:val="0007575C"/>
    <w:rsid w:val="00075895"/>
    <w:rsid w:val="0007593A"/>
    <w:rsid w:val="00075965"/>
    <w:rsid w:val="00075979"/>
    <w:rsid w:val="000759C3"/>
    <w:rsid w:val="00075A2E"/>
    <w:rsid w:val="00075A6C"/>
    <w:rsid w:val="00075A91"/>
    <w:rsid w:val="00075C8C"/>
    <w:rsid w:val="00075D3F"/>
    <w:rsid w:val="00075E1E"/>
    <w:rsid w:val="00075FED"/>
    <w:rsid w:val="00076022"/>
    <w:rsid w:val="00076050"/>
    <w:rsid w:val="0007617D"/>
    <w:rsid w:val="000762E6"/>
    <w:rsid w:val="000763B3"/>
    <w:rsid w:val="000763F4"/>
    <w:rsid w:val="00076591"/>
    <w:rsid w:val="00076617"/>
    <w:rsid w:val="000767DF"/>
    <w:rsid w:val="000767E8"/>
    <w:rsid w:val="00076836"/>
    <w:rsid w:val="00076839"/>
    <w:rsid w:val="000768DF"/>
    <w:rsid w:val="00076A21"/>
    <w:rsid w:val="00076A69"/>
    <w:rsid w:val="00076B07"/>
    <w:rsid w:val="00076B22"/>
    <w:rsid w:val="00076B9A"/>
    <w:rsid w:val="00076C96"/>
    <w:rsid w:val="00076D6B"/>
    <w:rsid w:val="00076E94"/>
    <w:rsid w:val="00076E9A"/>
    <w:rsid w:val="00076EC0"/>
    <w:rsid w:val="00076EFE"/>
    <w:rsid w:val="00077075"/>
    <w:rsid w:val="00077292"/>
    <w:rsid w:val="00077295"/>
    <w:rsid w:val="000772A7"/>
    <w:rsid w:val="000772B7"/>
    <w:rsid w:val="000772DA"/>
    <w:rsid w:val="00077393"/>
    <w:rsid w:val="000773C2"/>
    <w:rsid w:val="00077436"/>
    <w:rsid w:val="00077511"/>
    <w:rsid w:val="00077672"/>
    <w:rsid w:val="00077685"/>
    <w:rsid w:val="000776E5"/>
    <w:rsid w:val="00077757"/>
    <w:rsid w:val="000777C0"/>
    <w:rsid w:val="000777E2"/>
    <w:rsid w:val="0007790A"/>
    <w:rsid w:val="00077925"/>
    <w:rsid w:val="00077A3C"/>
    <w:rsid w:val="00077A90"/>
    <w:rsid w:val="00077AAD"/>
    <w:rsid w:val="00077B40"/>
    <w:rsid w:val="00077B5C"/>
    <w:rsid w:val="00077C3A"/>
    <w:rsid w:val="00077C4B"/>
    <w:rsid w:val="00077CB2"/>
    <w:rsid w:val="00077E29"/>
    <w:rsid w:val="00077EAE"/>
    <w:rsid w:val="00077F60"/>
    <w:rsid w:val="0008002E"/>
    <w:rsid w:val="0008004B"/>
    <w:rsid w:val="0008007F"/>
    <w:rsid w:val="00080111"/>
    <w:rsid w:val="0008015D"/>
    <w:rsid w:val="0008020B"/>
    <w:rsid w:val="0008023A"/>
    <w:rsid w:val="000802DF"/>
    <w:rsid w:val="00080318"/>
    <w:rsid w:val="00080334"/>
    <w:rsid w:val="0008033C"/>
    <w:rsid w:val="000803A0"/>
    <w:rsid w:val="000804F5"/>
    <w:rsid w:val="000805A7"/>
    <w:rsid w:val="00080769"/>
    <w:rsid w:val="00080786"/>
    <w:rsid w:val="0008079D"/>
    <w:rsid w:val="0008079E"/>
    <w:rsid w:val="000807E6"/>
    <w:rsid w:val="000808BC"/>
    <w:rsid w:val="0008093A"/>
    <w:rsid w:val="0008097D"/>
    <w:rsid w:val="00080AAC"/>
    <w:rsid w:val="00080AD8"/>
    <w:rsid w:val="00080C61"/>
    <w:rsid w:val="00080CC1"/>
    <w:rsid w:val="00080DEA"/>
    <w:rsid w:val="00080E5F"/>
    <w:rsid w:val="00080E69"/>
    <w:rsid w:val="0008103A"/>
    <w:rsid w:val="00081187"/>
    <w:rsid w:val="000812A2"/>
    <w:rsid w:val="000813B9"/>
    <w:rsid w:val="00081442"/>
    <w:rsid w:val="0008152B"/>
    <w:rsid w:val="00081840"/>
    <w:rsid w:val="00081AE3"/>
    <w:rsid w:val="00081AFC"/>
    <w:rsid w:val="00081AFF"/>
    <w:rsid w:val="00081B17"/>
    <w:rsid w:val="00081BC4"/>
    <w:rsid w:val="00081C92"/>
    <w:rsid w:val="00081CA7"/>
    <w:rsid w:val="00081D7C"/>
    <w:rsid w:val="00081DB6"/>
    <w:rsid w:val="00081DCE"/>
    <w:rsid w:val="00081DF7"/>
    <w:rsid w:val="00082066"/>
    <w:rsid w:val="0008220B"/>
    <w:rsid w:val="0008221C"/>
    <w:rsid w:val="0008227B"/>
    <w:rsid w:val="00082316"/>
    <w:rsid w:val="0008236F"/>
    <w:rsid w:val="000823CC"/>
    <w:rsid w:val="000823D1"/>
    <w:rsid w:val="000824A1"/>
    <w:rsid w:val="00082543"/>
    <w:rsid w:val="00082609"/>
    <w:rsid w:val="000826B8"/>
    <w:rsid w:val="0008272A"/>
    <w:rsid w:val="000827CC"/>
    <w:rsid w:val="000829B1"/>
    <w:rsid w:val="000829D5"/>
    <w:rsid w:val="000829DA"/>
    <w:rsid w:val="00082A0C"/>
    <w:rsid w:val="00082A81"/>
    <w:rsid w:val="00082AC5"/>
    <w:rsid w:val="00082BB9"/>
    <w:rsid w:val="00082CEE"/>
    <w:rsid w:val="00082E05"/>
    <w:rsid w:val="00082E0A"/>
    <w:rsid w:val="00082FBB"/>
    <w:rsid w:val="0008316B"/>
    <w:rsid w:val="000831EB"/>
    <w:rsid w:val="00083234"/>
    <w:rsid w:val="000832E6"/>
    <w:rsid w:val="0008333E"/>
    <w:rsid w:val="000833EF"/>
    <w:rsid w:val="00083402"/>
    <w:rsid w:val="000834B5"/>
    <w:rsid w:val="000834BB"/>
    <w:rsid w:val="0008356F"/>
    <w:rsid w:val="0008359A"/>
    <w:rsid w:val="00083676"/>
    <w:rsid w:val="000837A0"/>
    <w:rsid w:val="000837E0"/>
    <w:rsid w:val="00083B00"/>
    <w:rsid w:val="00083CE2"/>
    <w:rsid w:val="00083EFC"/>
    <w:rsid w:val="000840E4"/>
    <w:rsid w:val="000841AF"/>
    <w:rsid w:val="000841F4"/>
    <w:rsid w:val="000843BD"/>
    <w:rsid w:val="00084416"/>
    <w:rsid w:val="000844CC"/>
    <w:rsid w:val="0008451C"/>
    <w:rsid w:val="0008455F"/>
    <w:rsid w:val="000845FE"/>
    <w:rsid w:val="0008466D"/>
    <w:rsid w:val="000846C5"/>
    <w:rsid w:val="000847A0"/>
    <w:rsid w:val="00084818"/>
    <w:rsid w:val="0008493D"/>
    <w:rsid w:val="0008493E"/>
    <w:rsid w:val="00084A5E"/>
    <w:rsid w:val="00084B36"/>
    <w:rsid w:val="00084BE4"/>
    <w:rsid w:val="00084C17"/>
    <w:rsid w:val="00084C6C"/>
    <w:rsid w:val="00084CF4"/>
    <w:rsid w:val="00084D17"/>
    <w:rsid w:val="00084E06"/>
    <w:rsid w:val="00084E4B"/>
    <w:rsid w:val="00084E76"/>
    <w:rsid w:val="00084EC9"/>
    <w:rsid w:val="00084EE2"/>
    <w:rsid w:val="00084F24"/>
    <w:rsid w:val="00084FAF"/>
    <w:rsid w:val="00084FB2"/>
    <w:rsid w:val="00085086"/>
    <w:rsid w:val="000850A6"/>
    <w:rsid w:val="00085147"/>
    <w:rsid w:val="0008516A"/>
    <w:rsid w:val="000851BD"/>
    <w:rsid w:val="000853EE"/>
    <w:rsid w:val="000853FA"/>
    <w:rsid w:val="0008549C"/>
    <w:rsid w:val="000854EF"/>
    <w:rsid w:val="0008557A"/>
    <w:rsid w:val="000855B1"/>
    <w:rsid w:val="000855C3"/>
    <w:rsid w:val="000856A6"/>
    <w:rsid w:val="000856A9"/>
    <w:rsid w:val="000856B6"/>
    <w:rsid w:val="000857D1"/>
    <w:rsid w:val="00085960"/>
    <w:rsid w:val="00085996"/>
    <w:rsid w:val="00085999"/>
    <w:rsid w:val="000859DF"/>
    <w:rsid w:val="00085B0F"/>
    <w:rsid w:val="00085C29"/>
    <w:rsid w:val="00085C60"/>
    <w:rsid w:val="00085DD9"/>
    <w:rsid w:val="00085E9A"/>
    <w:rsid w:val="00085EAC"/>
    <w:rsid w:val="00085EE3"/>
    <w:rsid w:val="00085F11"/>
    <w:rsid w:val="0008602B"/>
    <w:rsid w:val="00086086"/>
    <w:rsid w:val="000861D6"/>
    <w:rsid w:val="00086343"/>
    <w:rsid w:val="0008634B"/>
    <w:rsid w:val="00086384"/>
    <w:rsid w:val="00086400"/>
    <w:rsid w:val="00086438"/>
    <w:rsid w:val="0008649E"/>
    <w:rsid w:val="00086539"/>
    <w:rsid w:val="0008657D"/>
    <w:rsid w:val="000865B7"/>
    <w:rsid w:val="000865E8"/>
    <w:rsid w:val="00086626"/>
    <w:rsid w:val="0008663E"/>
    <w:rsid w:val="0008678D"/>
    <w:rsid w:val="0008681D"/>
    <w:rsid w:val="00086975"/>
    <w:rsid w:val="000869AB"/>
    <w:rsid w:val="000869F7"/>
    <w:rsid w:val="00086A1E"/>
    <w:rsid w:val="00086B03"/>
    <w:rsid w:val="00086B1A"/>
    <w:rsid w:val="00086BB3"/>
    <w:rsid w:val="00086CFD"/>
    <w:rsid w:val="00086D0A"/>
    <w:rsid w:val="00086DBF"/>
    <w:rsid w:val="00086DC9"/>
    <w:rsid w:val="00086E34"/>
    <w:rsid w:val="00086E57"/>
    <w:rsid w:val="00086EEE"/>
    <w:rsid w:val="00086F20"/>
    <w:rsid w:val="0008734E"/>
    <w:rsid w:val="0008739B"/>
    <w:rsid w:val="000875B6"/>
    <w:rsid w:val="000875D0"/>
    <w:rsid w:val="00087629"/>
    <w:rsid w:val="0008766E"/>
    <w:rsid w:val="00087699"/>
    <w:rsid w:val="0008772E"/>
    <w:rsid w:val="00087753"/>
    <w:rsid w:val="0008776D"/>
    <w:rsid w:val="00087860"/>
    <w:rsid w:val="00087889"/>
    <w:rsid w:val="000878A4"/>
    <w:rsid w:val="00087904"/>
    <w:rsid w:val="000879BA"/>
    <w:rsid w:val="00087B18"/>
    <w:rsid w:val="00087C67"/>
    <w:rsid w:val="00087E3F"/>
    <w:rsid w:val="00087EF4"/>
    <w:rsid w:val="0009002B"/>
    <w:rsid w:val="000900D5"/>
    <w:rsid w:val="00090154"/>
    <w:rsid w:val="00090216"/>
    <w:rsid w:val="0009028C"/>
    <w:rsid w:val="00090371"/>
    <w:rsid w:val="0009044D"/>
    <w:rsid w:val="000904C5"/>
    <w:rsid w:val="000905FA"/>
    <w:rsid w:val="00090639"/>
    <w:rsid w:val="000906A5"/>
    <w:rsid w:val="00090741"/>
    <w:rsid w:val="00090778"/>
    <w:rsid w:val="00090787"/>
    <w:rsid w:val="000907FB"/>
    <w:rsid w:val="000908B6"/>
    <w:rsid w:val="000908DA"/>
    <w:rsid w:val="00090968"/>
    <w:rsid w:val="00090A70"/>
    <w:rsid w:val="00090B50"/>
    <w:rsid w:val="00090B58"/>
    <w:rsid w:val="00090B5F"/>
    <w:rsid w:val="00090C54"/>
    <w:rsid w:val="00090E27"/>
    <w:rsid w:val="00090EC5"/>
    <w:rsid w:val="00090FE0"/>
    <w:rsid w:val="00091054"/>
    <w:rsid w:val="00091056"/>
    <w:rsid w:val="00091080"/>
    <w:rsid w:val="000910FA"/>
    <w:rsid w:val="000911A5"/>
    <w:rsid w:val="000911BD"/>
    <w:rsid w:val="000912F3"/>
    <w:rsid w:val="000913F0"/>
    <w:rsid w:val="0009150C"/>
    <w:rsid w:val="00091556"/>
    <w:rsid w:val="00091584"/>
    <w:rsid w:val="000916BC"/>
    <w:rsid w:val="00091839"/>
    <w:rsid w:val="0009188A"/>
    <w:rsid w:val="000918AB"/>
    <w:rsid w:val="000918B6"/>
    <w:rsid w:val="0009190D"/>
    <w:rsid w:val="00091976"/>
    <w:rsid w:val="000919C0"/>
    <w:rsid w:val="00091A32"/>
    <w:rsid w:val="00091B48"/>
    <w:rsid w:val="00091B56"/>
    <w:rsid w:val="00091D1B"/>
    <w:rsid w:val="00091E3D"/>
    <w:rsid w:val="00091E98"/>
    <w:rsid w:val="00091EE9"/>
    <w:rsid w:val="00091F56"/>
    <w:rsid w:val="0009219C"/>
    <w:rsid w:val="000921BE"/>
    <w:rsid w:val="000921E9"/>
    <w:rsid w:val="0009234C"/>
    <w:rsid w:val="000924DE"/>
    <w:rsid w:val="00092593"/>
    <w:rsid w:val="0009271D"/>
    <w:rsid w:val="00092720"/>
    <w:rsid w:val="00092751"/>
    <w:rsid w:val="000927AA"/>
    <w:rsid w:val="000928A7"/>
    <w:rsid w:val="000928FD"/>
    <w:rsid w:val="00092923"/>
    <w:rsid w:val="00092A19"/>
    <w:rsid w:val="00092AE2"/>
    <w:rsid w:val="00092B4D"/>
    <w:rsid w:val="00092B5E"/>
    <w:rsid w:val="00092C01"/>
    <w:rsid w:val="00092C04"/>
    <w:rsid w:val="00092CFF"/>
    <w:rsid w:val="00092D32"/>
    <w:rsid w:val="00092E7A"/>
    <w:rsid w:val="00092EF0"/>
    <w:rsid w:val="00092F12"/>
    <w:rsid w:val="00092FB7"/>
    <w:rsid w:val="0009318E"/>
    <w:rsid w:val="000931E5"/>
    <w:rsid w:val="000931EE"/>
    <w:rsid w:val="00093212"/>
    <w:rsid w:val="000932CD"/>
    <w:rsid w:val="0009338F"/>
    <w:rsid w:val="00093390"/>
    <w:rsid w:val="000933A4"/>
    <w:rsid w:val="0009340F"/>
    <w:rsid w:val="00093563"/>
    <w:rsid w:val="0009362A"/>
    <w:rsid w:val="00093723"/>
    <w:rsid w:val="000937E6"/>
    <w:rsid w:val="000938D3"/>
    <w:rsid w:val="000938E5"/>
    <w:rsid w:val="00093A13"/>
    <w:rsid w:val="00093A2D"/>
    <w:rsid w:val="00093A39"/>
    <w:rsid w:val="00093A5C"/>
    <w:rsid w:val="00093A6A"/>
    <w:rsid w:val="00093ACD"/>
    <w:rsid w:val="00093B66"/>
    <w:rsid w:val="00093C86"/>
    <w:rsid w:val="00093C89"/>
    <w:rsid w:val="00093D4F"/>
    <w:rsid w:val="00093DAD"/>
    <w:rsid w:val="00093DFB"/>
    <w:rsid w:val="00093E1D"/>
    <w:rsid w:val="00093ECE"/>
    <w:rsid w:val="00093ED0"/>
    <w:rsid w:val="00093F21"/>
    <w:rsid w:val="00093F2F"/>
    <w:rsid w:val="00094095"/>
    <w:rsid w:val="0009410A"/>
    <w:rsid w:val="00094279"/>
    <w:rsid w:val="00094284"/>
    <w:rsid w:val="0009430A"/>
    <w:rsid w:val="00094317"/>
    <w:rsid w:val="000943BE"/>
    <w:rsid w:val="00094561"/>
    <w:rsid w:val="00094637"/>
    <w:rsid w:val="00094674"/>
    <w:rsid w:val="00094693"/>
    <w:rsid w:val="0009482B"/>
    <w:rsid w:val="000948BC"/>
    <w:rsid w:val="0009490A"/>
    <w:rsid w:val="00094979"/>
    <w:rsid w:val="000949EA"/>
    <w:rsid w:val="00094A5B"/>
    <w:rsid w:val="00094B5F"/>
    <w:rsid w:val="00094D1E"/>
    <w:rsid w:val="00094DF5"/>
    <w:rsid w:val="00094EB4"/>
    <w:rsid w:val="00095069"/>
    <w:rsid w:val="0009516D"/>
    <w:rsid w:val="000951E6"/>
    <w:rsid w:val="000951F2"/>
    <w:rsid w:val="00095295"/>
    <w:rsid w:val="00095317"/>
    <w:rsid w:val="00095441"/>
    <w:rsid w:val="00095451"/>
    <w:rsid w:val="000954E6"/>
    <w:rsid w:val="00095503"/>
    <w:rsid w:val="000955D6"/>
    <w:rsid w:val="00095629"/>
    <w:rsid w:val="00095657"/>
    <w:rsid w:val="0009567C"/>
    <w:rsid w:val="00095691"/>
    <w:rsid w:val="000956B1"/>
    <w:rsid w:val="0009574E"/>
    <w:rsid w:val="000957E6"/>
    <w:rsid w:val="000957FC"/>
    <w:rsid w:val="000958D6"/>
    <w:rsid w:val="00095973"/>
    <w:rsid w:val="000959AC"/>
    <w:rsid w:val="00095BB1"/>
    <w:rsid w:val="00095BC4"/>
    <w:rsid w:val="00095D30"/>
    <w:rsid w:val="00095D88"/>
    <w:rsid w:val="00095D93"/>
    <w:rsid w:val="00095E47"/>
    <w:rsid w:val="00095E8D"/>
    <w:rsid w:val="00095FA8"/>
    <w:rsid w:val="00096078"/>
    <w:rsid w:val="0009613E"/>
    <w:rsid w:val="000961CD"/>
    <w:rsid w:val="000961FB"/>
    <w:rsid w:val="00096294"/>
    <w:rsid w:val="000962D4"/>
    <w:rsid w:val="00096327"/>
    <w:rsid w:val="0009633D"/>
    <w:rsid w:val="00096353"/>
    <w:rsid w:val="00096392"/>
    <w:rsid w:val="000963ED"/>
    <w:rsid w:val="00096437"/>
    <w:rsid w:val="000964E3"/>
    <w:rsid w:val="000964F6"/>
    <w:rsid w:val="0009651E"/>
    <w:rsid w:val="00096546"/>
    <w:rsid w:val="00096547"/>
    <w:rsid w:val="0009663B"/>
    <w:rsid w:val="000967A6"/>
    <w:rsid w:val="00096822"/>
    <w:rsid w:val="00096849"/>
    <w:rsid w:val="00096890"/>
    <w:rsid w:val="000968C3"/>
    <w:rsid w:val="00096A6F"/>
    <w:rsid w:val="00096AEC"/>
    <w:rsid w:val="00096B50"/>
    <w:rsid w:val="00096BC6"/>
    <w:rsid w:val="00096CDE"/>
    <w:rsid w:val="00096DD8"/>
    <w:rsid w:val="00096EAC"/>
    <w:rsid w:val="00096EDF"/>
    <w:rsid w:val="00096F02"/>
    <w:rsid w:val="00097029"/>
    <w:rsid w:val="0009707D"/>
    <w:rsid w:val="0009708A"/>
    <w:rsid w:val="0009715C"/>
    <w:rsid w:val="000971CE"/>
    <w:rsid w:val="000972A2"/>
    <w:rsid w:val="000973BF"/>
    <w:rsid w:val="000973D5"/>
    <w:rsid w:val="000974B4"/>
    <w:rsid w:val="000975B6"/>
    <w:rsid w:val="000975FE"/>
    <w:rsid w:val="00097606"/>
    <w:rsid w:val="00097729"/>
    <w:rsid w:val="000977C9"/>
    <w:rsid w:val="000977D7"/>
    <w:rsid w:val="000978FE"/>
    <w:rsid w:val="0009797E"/>
    <w:rsid w:val="0009799F"/>
    <w:rsid w:val="00097A0C"/>
    <w:rsid w:val="00097A20"/>
    <w:rsid w:val="00097A87"/>
    <w:rsid w:val="00097AC6"/>
    <w:rsid w:val="00097C43"/>
    <w:rsid w:val="00097DBB"/>
    <w:rsid w:val="00097E26"/>
    <w:rsid w:val="00097F50"/>
    <w:rsid w:val="00097F97"/>
    <w:rsid w:val="00097FA8"/>
    <w:rsid w:val="000A0021"/>
    <w:rsid w:val="000A0234"/>
    <w:rsid w:val="000A029A"/>
    <w:rsid w:val="000A02E5"/>
    <w:rsid w:val="000A0455"/>
    <w:rsid w:val="000A04F2"/>
    <w:rsid w:val="000A0533"/>
    <w:rsid w:val="000A060B"/>
    <w:rsid w:val="000A068D"/>
    <w:rsid w:val="000A07BD"/>
    <w:rsid w:val="000A08D5"/>
    <w:rsid w:val="000A094E"/>
    <w:rsid w:val="000A099D"/>
    <w:rsid w:val="000A0A0B"/>
    <w:rsid w:val="000A0A2A"/>
    <w:rsid w:val="000A0A52"/>
    <w:rsid w:val="000A0B74"/>
    <w:rsid w:val="000A0C83"/>
    <w:rsid w:val="000A0C97"/>
    <w:rsid w:val="000A0CFA"/>
    <w:rsid w:val="000A0F5E"/>
    <w:rsid w:val="000A10A6"/>
    <w:rsid w:val="000A10E5"/>
    <w:rsid w:val="000A10EA"/>
    <w:rsid w:val="000A1125"/>
    <w:rsid w:val="000A112B"/>
    <w:rsid w:val="000A1138"/>
    <w:rsid w:val="000A1252"/>
    <w:rsid w:val="000A1257"/>
    <w:rsid w:val="000A1400"/>
    <w:rsid w:val="000A1479"/>
    <w:rsid w:val="000A14F3"/>
    <w:rsid w:val="000A1552"/>
    <w:rsid w:val="000A15A2"/>
    <w:rsid w:val="000A161C"/>
    <w:rsid w:val="000A189C"/>
    <w:rsid w:val="000A19F8"/>
    <w:rsid w:val="000A1A62"/>
    <w:rsid w:val="000A1A88"/>
    <w:rsid w:val="000A1B4C"/>
    <w:rsid w:val="000A1C84"/>
    <w:rsid w:val="000A1CA8"/>
    <w:rsid w:val="000A1EB8"/>
    <w:rsid w:val="000A1F01"/>
    <w:rsid w:val="000A1F52"/>
    <w:rsid w:val="000A2174"/>
    <w:rsid w:val="000A21AC"/>
    <w:rsid w:val="000A222A"/>
    <w:rsid w:val="000A2286"/>
    <w:rsid w:val="000A2311"/>
    <w:rsid w:val="000A2372"/>
    <w:rsid w:val="000A238B"/>
    <w:rsid w:val="000A257A"/>
    <w:rsid w:val="000A2699"/>
    <w:rsid w:val="000A26AE"/>
    <w:rsid w:val="000A2789"/>
    <w:rsid w:val="000A278E"/>
    <w:rsid w:val="000A27C2"/>
    <w:rsid w:val="000A280E"/>
    <w:rsid w:val="000A2839"/>
    <w:rsid w:val="000A28CC"/>
    <w:rsid w:val="000A28E7"/>
    <w:rsid w:val="000A2A42"/>
    <w:rsid w:val="000A2BDA"/>
    <w:rsid w:val="000A2D15"/>
    <w:rsid w:val="000A2E0A"/>
    <w:rsid w:val="000A2E30"/>
    <w:rsid w:val="000A2F01"/>
    <w:rsid w:val="000A2FDD"/>
    <w:rsid w:val="000A305D"/>
    <w:rsid w:val="000A307A"/>
    <w:rsid w:val="000A3095"/>
    <w:rsid w:val="000A312E"/>
    <w:rsid w:val="000A31DD"/>
    <w:rsid w:val="000A3239"/>
    <w:rsid w:val="000A32F2"/>
    <w:rsid w:val="000A3473"/>
    <w:rsid w:val="000A34EE"/>
    <w:rsid w:val="000A352D"/>
    <w:rsid w:val="000A3669"/>
    <w:rsid w:val="000A368E"/>
    <w:rsid w:val="000A37BA"/>
    <w:rsid w:val="000A37C6"/>
    <w:rsid w:val="000A37E7"/>
    <w:rsid w:val="000A3887"/>
    <w:rsid w:val="000A3948"/>
    <w:rsid w:val="000A3A3A"/>
    <w:rsid w:val="000A3AD3"/>
    <w:rsid w:val="000A3BA2"/>
    <w:rsid w:val="000A3BAF"/>
    <w:rsid w:val="000A3BEF"/>
    <w:rsid w:val="000A3C9A"/>
    <w:rsid w:val="000A3CAA"/>
    <w:rsid w:val="000A3D1E"/>
    <w:rsid w:val="000A3D5D"/>
    <w:rsid w:val="000A3D69"/>
    <w:rsid w:val="000A3FAC"/>
    <w:rsid w:val="000A3FFC"/>
    <w:rsid w:val="000A4061"/>
    <w:rsid w:val="000A40EC"/>
    <w:rsid w:val="000A4183"/>
    <w:rsid w:val="000A41B1"/>
    <w:rsid w:val="000A4240"/>
    <w:rsid w:val="000A4347"/>
    <w:rsid w:val="000A4369"/>
    <w:rsid w:val="000A4479"/>
    <w:rsid w:val="000A44CD"/>
    <w:rsid w:val="000A45BE"/>
    <w:rsid w:val="000A465F"/>
    <w:rsid w:val="000A4661"/>
    <w:rsid w:val="000A487D"/>
    <w:rsid w:val="000A48FF"/>
    <w:rsid w:val="000A4903"/>
    <w:rsid w:val="000A49BB"/>
    <w:rsid w:val="000A4C47"/>
    <w:rsid w:val="000A4C52"/>
    <w:rsid w:val="000A4D21"/>
    <w:rsid w:val="000A4DB2"/>
    <w:rsid w:val="000A4E11"/>
    <w:rsid w:val="000A4E2B"/>
    <w:rsid w:val="000A4F09"/>
    <w:rsid w:val="000A500B"/>
    <w:rsid w:val="000A5089"/>
    <w:rsid w:val="000A51DD"/>
    <w:rsid w:val="000A525B"/>
    <w:rsid w:val="000A5328"/>
    <w:rsid w:val="000A5465"/>
    <w:rsid w:val="000A5566"/>
    <w:rsid w:val="000A56D4"/>
    <w:rsid w:val="000A576E"/>
    <w:rsid w:val="000A5776"/>
    <w:rsid w:val="000A57E4"/>
    <w:rsid w:val="000A5856"/>
    <w:rsid w:val="000A58A9"/>
    <w:rsid w:val="000A58D3"/>
    <w:rsid w:val="000A58E0"/>
    <w:rsid w:val="000A59AE"/>
    <w:rsid w:val="000A5A7E"/>
    <w:rsid w:val="000A5B2D"/>
    <w:rsid w:val="000A5B4D"/>
    <w:rsid w:val="000A5C5F"/>
    <w:rsid w:val="000A5DA3"/>
    <w:rsid w:val="000A5DC0"/>
    <w:rsid w:val="000A5E0D"/>
    <w:rsid w:val="000A5E2A"/>
    <w:rsid w:val="000A5E62"/>
    <w:rsid w:val="000A5F2E"/>
    <w:rsid w:val="000A605F"/>
    <w:rsid w:val="000A613D"/>
    <w:rsid w:val="000A616F"/>
    <w:rsid w:val="000A6178"/>
    <w:rsid w:val="000A61A5"/>
    <w:rsid w:val="000A61B3"/>
    <w:rsid w:val="000A624E"/>
    <w:rsid w:val="000A6253"/>
    <w:rsid w:val="000A62E8"/>
    <w:rsid w:val="000A6301"/>
    <w:rsid w:val="000A6348"/>
    <w:rsid w:val="000A63AE"/>
    <w:rsid w:val="000A640B"/>
    <w:rsid w:val="000A6446"/>
    <w:rsid w:val="000A6480"/>
    <w:rsid w:val="000A65B0"/>
    <w:rsid w:val="000A6652"/>
    <w:rsid w:val="000A67BE"/>
    <w:rsid w:val="000A67F5"/>
    <w:rsid w:val="000A6824"/>
    <w:rsid w:val="000A6946"/>
    <w:rsid w:val="000A69BB"/>
    <w:rsid w:val="000A69BF"/>
    <w:rsid w:val="000A69D4"/>
    <w:rsid w:val="000A6A92"/>
    <w:rsid w:val="000A6BA3"/>
    <w:rsid w:val="000A6EEF"/>
    <w:rsid w:val="000A6FD2"/>
    <w:rsid w:val="000A70F0"/>
    <w:rsid w:val="000A718A"/>
    <w:rsid w:val="000A71FD"/>
    <w:rsid w:val="000A7216"/>
    <w:rsid w:val="000A728E"/>
    <w:rsid w:val="000A7360"/>
    <w:rsid w:val="000A73DF"/>
    <w:rsid w:val="000A749A"/>
    <w:rsid w:val="000A74BE"/>
    <w:rsid w:val="000A7544"/>
    <w:rsid w:val="000A75A1"/>
    <w:rsid w:val="000A7617"/>
    <w:rsid w:val="000A7734"/>
    <w:rsid w:val="000A7848"/>
    <w:rsid w:val="000A7916"/>
    <w:rsid w:val="000A793F"/>
    <w:rsid w:val="000A796A"/>
    <w:rsid w:val="000A796D"/>
    <w:rsid w:val="000A7A71"/>
    <w:rsid w:val="000A7A87"/>
    <w:rsid w:val="000A7AA0"/>
    <w:rsid w:val="000A7AAF"/>
    <w:rsid w:val="000A7B29"/>
    <w:rsid w:val="000A7B4D"/>
    <w:rsid w:val="000A7C94"/>
    <w:rsid w:val="000A7E8C"/>
    <w:rsid w:val="000A7E97"/>
    <w:rsid w:val="000A7EB5"/>
    <w:rsid w:val="000A7EE4"/>
    <w:rsid w:val="000A7EF5"/>
    <w:rsid w:val="000A7F34"/>
    <w:rsid w:val="000B0131"/>
    <w:rsid w:val="000B014C"/>
    <w:rsid w:val="000B0162"/>
    <w:rsid w:val="000B029F"/>
    <w:rsid w:val="000B0336"/>
    <w:rsid w:val="000B0380"/>
    <w:rsid w:val="000B0511"/>
    <w:rsid w:val="000B06A5"/>
    <w:rsid w:val="000B06D0"/>
    <w:rsid w:val="000B0765"/>
    <w:rsid w:val="000B0803"/>
    <w:rsid w:val="000B0876"/>
    <w:rsid w:val="000B0886"/>
    <w:rsid w:val="000B0895"/>
    <w:rsid w:val="000B08A8"/>
    <w:rsid w:val="000B09DC"/>
    <w:rsid w:val="000B0AA9"/>
    <w:rsid w:val="000B0B44"/>
    <w:rsid w:val="000B0C9C"/>
    <w:rsid w:val="000B0D79"/>
    <w:rsid w:val="000B0D85"/>
    <w:rsid w:val="000B0DCC"/>
    <w:rsid w:val="000B0E31"/>
    <w:rsid w:val="000B0E68"/>
    <w:rsid w:val="000B0F4B"/>
    <w:rsid w:val="000B100F"/>
    <w:rsid w:val="000B1087"/>
    <w:rsid w:val="000B1107"/>
    <w:rsid w:val="000B110E"/>
    <w:rsid w:val="000B1112"/>
    <w:rsid w:val="000B1150"/>
    <w:rsid w:val="000B11DA"/>
    <w:rsid w:val="000B1298"/>
    <w:rsid w:val="000B1324"/>
    <w:rsid w:val="000B133A"/>
    <w:rsid w:val="000B13C1"/>
    <w:rsid w:val="000B13E2"/>
    <w:rsid w:val="000B13E9"/>
    <w:rsid w:val="000B1434"/>
    <w:rsid w:val="000B152A"/>
    <w:rsid w:val="000B159E"/>
    <w:rsid w:val="000B1693"/>
    <w:rsid w:val="000B1763"/>
    <w:rsid w:val="000B179E"/>
    <w:rsid w:val="000B17AE"/>
    <w:rsid w:val="000B1AE9"/>
    <w:rsid w:val="000B1C2C"/>
    <w:rsid w:val="000B1D0D"/>
    <w:rsid w:val="000B1DC9"/>
    <w:rsid w:val="000B1E18"/>
    <w:rsid w:val="000B1EE0"/>
    <w:rsid w:val="000B1F9D"/>
    <w:rsid w:val="000B1FC4"/>
    <w:rsid w:val="000B2030"/>
    <w:rsid w:val="000B205F"/>
    <w:rsid w:val="000B2127"/>
    <w:rsid w:val="000B22C5"/>
    <w:rsid w:val="000B22D5"/>
    <w:rsid w:val="000B22F7"/>
    <w:rsid w:val="000B2305"/>
    <w:rsid w:val="000B2324"/>
    <w:rsid w:val="000B238A"/>
    <w:rsid w:val="000B23A2"/>
    <w:rsid w:val="000B23A7"/>
    <w:rsid w:val="000B2537"/>
    <w:rsid w:val="000B2589"/>
    <w:rsid w:val="000B2653"/>
    <w:rsid w:val="000B26A7"/>
    <w:rsid w:val="000B2843"/>
    <w:rsid w:val="000B288D"/>
    <w:rsid w:val="000B297E"/>
    <w:rsid w:val="000B29E1"/>
    <w:rsid w:val="000B2AAC"/>
    <w:rsid w:val="000B2AD9"/>
    <w:rsid w:val="000B2AEC"/>
    <w:rsid w:val="000B2B10"/>
    <w:rsid w:val="000B2B9D"/>
    <w:rsid w:val="000B2C30"/>
    <w:rsid w:val="000B2C9F"/>
    <w:rsid w:val="000B2DC8"/>
    <w:rsid w:val="000B2E48"/>
    <w:rsid w:val="000B2F18"/>
    <w:rsid w:val="000B2FB3"/>
    <w:rsid w:val="000B30A7"/>
    <w:rsid w:val="000B31F6"/>
    <w:rsid w:val="000B325B"/>
    <w:rsid w:val="000B328E"/>
    <w:rsid w:val="000B3445"/>
    <w:rsid w:val="000B3460"/>
    <w:rsid w:val="000B3467"/>
    <w:rsid w:val="000B34A8"/>
    <w:rsid w:val="000B34DD"/>
    <w:rsid w:val="000B34FA"/>
    <w:rsid w:val="000B354C"/>
    <w:rsid w:val="000B3575"/>
    <w:rsid w:val="000B37B4"/>
    <w:rsid w:val="000B3824"/>
    <w:rsid w:val="000B3867"/>
    <w:rsid w:val="000B38A1"/>
    <w:rsid w:val="000B38BA"/>
    <w:rsid w:val="000B3917"/>
    <w:rsid w:val="000B393A"/>
    <w:rsid w:val="000B3991"/>
    <w:rsid w:val="000B3999"/>
    <w:rsid w:val="000B3A41"/>
    <w:rsid w:val="000B3B69"/>
    <w:rsid w:val="000B3B70"/>
    <w:rsid w:val="000B3BEB"/>
    <w:rsid w:val="000B3D4B"/>
    <w:rsid w:val="000B3DCA"/>
    <w:rsid w:val="000B4379"/>
    <w:rsid w:val="000B43EC"/>
    <w:rsid w:val="000B4436"/>
    <w:rsid w:val="000B44D9"/>
    <w:rsid w:val="000B4733"/>
    <w:rsid w:val="000B47E3"/>
    <w:rsid w:val="000B48D7"/>
    <w:rsid w:val="000B4A11"/>
    <w:rsid w:val="000B4A59"/>
    <w:rsid w:val="000B4B5E"/>
    <w:rsid w:val="000B4B71"/>
    <w:rsid w:val="000B4B80"/>
    <w:rsid w:val="000B4BEE"/>
    <w:rsid w:val="000B4CB5"/>
    <w:rsid w:val="000B4E34"/>
    <w:rsid w:val="000B4FC1"/>
    <w:rsid w:val="000B500F"/>
    <w:rsid w:val="000B50C9"/>
    <w:rsid w:val="000B5124"/>
    <w:rsid w:val="000B5140"/>
    <w:rsid w:val="000B516D"/>
    <w:rsid w:val="000B51D6"/>
    <w:rsid w:val="000B51F0"/>
    <w:rsid w:val="000B5200"/>
    <w:rsid w:val="000B52AD"/>
    <w:rsid w:val="000B5310"/>
    <w:rsid w:val="000B532C"/>
    <w:rsid w:val="000B5334"/>
    <w:rsid w:val="000B5456"/>
    <w:rsid w:val="000B54E8"/>
    <w:rsid w:val="000B5538"/>
    <w:rsid w:val="000B55BE"/>
    <w:rsid w:val="000B5628"/>
    <w:rsid w:val="000B56A2"/>
    <w:rsid w:val="000B5871"/>
    <w:rsid w:val="000B587C"/>
    <w:rsid w:val="000B5926"/>
    <w:rsid w:val="000B5AB1"/>
    <w:rsid w:val="000B5B15"/>
    <w:rsid w:val="000B5B5A"/>
    <w:rsid w:val="000B5D4A"/>
    <w:rsid w:val="000B5D99"/>
    <w:rsid w:val="000B5E83"/>
    <w:rsid w:val="000B5EAF"/>
    <w:rsid w:val="000B5FF3"/>
    <w:rsid w:val="000B6049"/>
    <w:rsid w:val="000B60A3"/>
    <w:rsid w:val="000B638C"/>
    <w:rsid w:val="000B644D"/>
    <w:rsid w:val="000B64CE"/>
    <w:rsid w:val="000B64E0"/>
    <w:rsid w:val="000B659E"/>
    <w:rsid w:val="000B6613"/>
    <w:rsid w:val="000B6846"/>
    <w:rsid w:val="000B685B"/>
    <w:rsid w:val="000B68F7"/>
    <w:rsid w:val="000B6AD1"/>
    <w:rsid w:val="000B6B43"/>
    <w:rsid w:val="000B6BE7"/>
    <w:rsid w:val="000B6D6A"/>
    <w:rsid w:val="000B6E71"/>
    <w:rsid w:val="000B6EE8"/>
    <w:rsid w:val="000B70CE"/>
    <w:rsid w:val="000B70E5"/>
    <w:rsid w:val="000B71AE"/>
    <w:rsid w:val="000B71E8"/>
    <w:rsid w:val="000B7230"/>
    <w:rsid w:val="000B7274"/>
    <w:rsid w:val="000B730A"/>
    <w:rsid w:val="000B7362"/>
    <w:rsid w:val="000B73CD"/>
    <w:rsid w:val="000B740E"/>
    <w:rsid w:val="000B741E"/>
    <w:rsid w:val="000B7437"/>
    <w:rsid w:val="000B7448"/>
    <w:rsid w:val="000B7449"/>
    <w:rsid w:val="000B74B5"/>
    <w:rsid w:val="000B753A"/>
    <w:rsid w:val="000B75F8"/>
    <w:rsid w:val="000B7681"/>
    <w:rsid w:val="000B76EF"/>
    <w:rsid w:val="000B774F"/>
    <w:rsid w:val="000B7759"/>
    <w:rsid w:val="000B77C9"/>
    <w:rsid w:val="000B7959"/>
    <w:rsid w:val="000B79FC"/>
    <w:rsid w:val="000B7A56"/>
    <w:rsid w:val="000B7BE7"/>
    <w:rsid w:val="000B7C7A"/>
    <w:rsid w:val="000B7C8B"/>
    <w:rsid w:val="000B7C98"/>
    <w:rsid w:val="000B7D22"/>
    <w:rsid w:val="000B7D2E"/>
    <w:rsid w:val="000B7D43"/>
    <w:rsid w:val="000B7D82"/>
    <w:rsid w:val="000B7E1C"/>
    <w:rsid w:val="000B7E7B"/>
    <w:rsid w:val="000B7F29"/>
    <w:rsid w:val="000C003E"/>
    <w:rsid w:val="000C00A1"/>
    <w:rsid w:val="000C00D1"/>
    <w:rsid w:val="000C0138"/>
    <w:rsid w:val="000C023D"/>
    <w:rsid w:val="000C0304"/>
    <w:rsid w:val="000C031D"/>
    <w:rsid w:val="000C042F"/>
    <w:rsid w:val="000C0536"/>
    <w:rsid w:val="000C060B"/>
    <w:rsid w:val="000C073E"/>
    <w:rsid w:val="000C0759"/>
    <w:rsid w:val="000C07E9"/>
    <w:rsid w:val="000C0840"/>
    <w:rsid w:val="000C08FE"/>
    <w:rsid w:val="000C0972"/>
    <w:rsid w:val="000C0986"/>
    <w:rsid w:val="000C0A2C"/>
    <w:rsid w:val="000C0AEA"/>
    <w:rsid w:val="000C0AEC"/>
    <w:rsid w:val="000C0B1F"/>
    <w:rsid w:val="000C0B9A"/>
    <w:rsid w:val="000C0CF0"/>
    <w:rsid w:val="000C0D92"/>
    <w:rsid w:val="000C0EF2"/>
    <w:rsid w:val="000C0F0C"/>
    <w:rsid w:val="000C0F2C"/>
    <w:rsid w:val="000C0F77"/>
    <w:rsid w:val="000C0FE7"/>
    <w:rsid w:val="000C1027"/>
    <w:rsid w:val="000C1056"/>
    <w:rsid w:val="000C10ED"/>
    <w:rsid w:val="000C1121"/>
    <w:rsid w:val="000C11C2"/>
    <w:rsid w:val="000C1211"/>
    <w:rsid w:val="000C122A"/>
    <w:rsid w:val="000C139C"/>
    <w:rsid w:val="000C1433"/>
    <w:rsid w:val="000C14EC"/>
    <w:rsid w:val="000C157D"/>
    <w:rsid w:val="000C16B6"/>
    <w:rsid w:val="000C17B2"/>
    <w:rsid w:val="000C184E"/>
    <w:rsid w:val="000C18EE"/>
    <w:rsid w:val="000C1989"/>
    <w:rsid w:val="000C1A06"/>
    <w:rsid w:val="000C1A3E"/>
    <w:rsid w:val="000C1B52"/>
    <w:rsid w:val="000C1BD3"/>
    <w:rsid w:val="000C1BD4"/>
    <w:rsid w:val="000C1C6B"/>
    <w:rsid w:val="000C1D07"/>
    <w:rsid w:val="000C1DDE"/>
    <w:rsid w:val="000C1E8A"/>
    <w:rsid w:val="000C1F57"/>
    <w:rsid w:val="000C205B"/>
    <w:rsid w:val="000C20B1"/>
    <w:rsid w:val="000C218D"/>
    <w:rsid w:val="000C229C"/>
    <w:rsid w:val="000C22CD"/>
    <w:rsid w:val="000C2377"/>
    <w:rsid w:val="000C2405"/>
    <w:rsid w:val="000C25D3"/>
    <w:rsid w:val="000C2660"/>
    <w:rsid w:val="000C2722"/>
    <w:rsid w:val="000C272A"/>
    <w:rsid w:val="000C27C5"/>
    <w:rsid w:val="000C2854"/>
    <w:rsid w:val="000C2898"/>
    <w:rsid w:val="000C28AE"/>
    <w:rsid w:val="000C295C"/>
    <w:rsid w:val="000C2981"/>
    <w:rsid w:val="000C2A17"/>
    <w:rsid w:val="000C2AA3"/>
    <w:rsid w:val="000C2AEE"/>
    <w:rsid w:val="000C2C1A"/>
    <w:rsid w:val="000C2C6B"/>
    <w:rsid w:val="000C2C8E"/>
    <w:rsid w:val="000C2CE8"/>
    <w:rsid w:val="000C2D22"/>
    <w:rsid w:val="000C2EB4"/>
    <w:rsid w:val="000C2EC6"/>
    <w:rsid w:val="000C2FAC"/>
    <w:rsid w:val="000C3126"/>
    <w:rsid w:val="000C3157"/>
    <w:rsid w:val="000C315C"/>
    <w:rsid w:val="000C3206"/>
    <w:rsid w:val="000C320A"/>
    <w:rsid w:val="000C326C"/>
    <w:rsid w:val="000C32C7"/>
    <w:rsid w:val="000C331F"/>
    <w:rsid w:val="000C344F"/>
    <w:rsid w:val="000C353B"/>
    <w:rsid w:val="000C3551"/>
    <w:rsid w:val="000C3566"/>
    <w:rsid w:val="000C35C8"/>
    <w:rsid w:val="000C3618"/>
    <w:rsid w:val="000C377E"/>
    <w:rsid w:val="000C3808"/>
    <w:rsid w:val="000C394C"/>
    <w:rsid w:val="000C39C2"/>
    <w:rsid w:val="000C39CC"/>
    <w:rsid w:val="000C3A15"/>
    <w:rsid w:val="000C3A6A"/>
    <w:rsid w:val="000C3ACA"/>
    <w:rsid w:val="000C3BEE"/>
    <w:rsid w:val="000C3C5D"/>
    <w:rsid w:val="000C3CBA"/>
    <w:rsid w:val="000C3DE0"/>
    <w:rsid w:val="000C3EB1"/>
    <w:rsid w:val="000C3EE5"/>
    <w:rsid w:val="000C3EF3"/>
    <w:rsid w:val="000C3FFA"/>
    <w:rsid w:val="000C409A"/>
    <w:rsid w:val="000C40EB"/>
    <w:rsid w:val="000C4117"/>
    <w:rsid w:val="000C41F0"/>
    <w:rsid w:val="000C42C8"/>
    <w:rsid w:val="000C4646"/>
    <w:rsid w:val="000C47C8"/>
    <w:rsid w:val="000C4B7F"/>
    <w:rsid w:val="000C4B93"/>
    <w:rsid w:val="000C4D7B"/>
    <w:rsid w:val="000C4DA6"/>
    <w:rsid w:val="000C4ED0"/>
    <w:rsid w:val="000C5094"/>
    <w:rsid w:val="000C5181"/>
    <w:rsid w:val="000C5199"/>
    <w:rsid w:val="000C530D"/>
    <w:rsid w:val="000C531F"/>
    <w:rsid w:val="000C5335"/>
    <w:rsid w:val="000C53BD"/>
    <w:rsid w:val="000C55A9"/>
    <w:rsid w:val="000C55D7"/>
    <w:rsid w:val="000C566D"/>
    <w:rsid w:val="000C5675"/>
    <w:rsid w:val="000C567D"/>
    <w:rsid w:val="000C570E"/>
    <w:rsid w:val="000C57E7"/>
    <w:rsid w:val="000C5842"/>
    <w:rsid w:val="000C58E0"/>
    <w:rsid w:val="000C593E"/>
    <w:rsid w:val="000C5A14"/>
    <w:rsid w:val="000C5A26"/>
    <w:rsid w:val="000C5AB6"/>
    <w:rsid w:val="000C5AE9"/>
    <w:rsid w:val="000C5D18"/>
    <w:rsid w:val="000C5D40"/>
    <w:rsid w:val="000C5ECE"/>
    <w:rsid w:val="000C5F7B"/>
    <w:rsid w:val="000C5F9B"/>
    <w:rsid w:val="000C5FE7"/>
    <w:rsid w:val="000C60A9"/>
    <w:rsid w:val="000C60C9"/>
    <w:rsid w:val="000C610F"/>
    <w:rsid w:val="000C613C"/>
    <w:rsid w:val="000C6155"/>
    <w:rsid w:val="000C61A9"/>
    <w:rsid w:val="000C6233"/>
    <w:rsid w:val="000C62FC"/>
    <w:rsid w:val="000C631D"/>
    <w:rsid w:val="000C6409"/>
    <w:rsid w:val="000C6468"/>
    <w:rsid w:val="000C646F"/>
    <w:rsid w:val="000C64F3"/>
    <w:rsid w:val="000C65E0"/>
    <w:rsid w:val="000C6686"/>
    <w:rsid w:val="000C6A28"/>
    <w:rsid w:val="000C6A9F"/>
    <w:rsid w:val="000C6AD0"/>
    <w:rsid w:val="000C6AE1"/>
    <w:rsid w:val="000C6AEA"/>
    <w:rsid w:val="000C6B1F"/>
    <w:rsid w:val="000C6C29"/>
    <w:rsid w:val="000C6CE4"/>
    <w:rsid w:val="000C6CE9"/>
    <w:rsid w:val="000C6DCF"/>
    <w:rsid w:val="000C6ED5"/>
    <w:rsid w:val="000C6FE1"/>
    <w:rsid w:val="000C7043"/>
    <w:rsid w:val="000C7153"/>
    <w:rsid w:val="000C7219"/>
    <w:rsid w:val="000C7285"/>
    <w:rsid w:val="000C730C"/>
    <w:rsid w:val="000C738C"/>
    <w:rsid w:val="000C738F"/>
    <w:rsid w:val="000C73FE"/>
    <w:rsid w:val="000C743A"/>
    <w:rsid w:val="000C74F7"/>
    <w:rsid w:val="000C7560"/>
    <w:rsid w:val="000C7627"/>
    <w:rsid w:val="000C780C"/>
    <w:rsid w:val="000C7825"/>
    <w:rsid w:val="000C7935"/>
    <w:rsid w:val="000C79DC"/>
    <w:rsid w:val="000C7AB1"/>
    <w:rsid w:val="000C7B56"/>
    <w:rsid w:val="000C7C2F"/>
    <w:rsid w:val="000C7EBD"/>
    <w:rsid w:val="000C7EE4"/>
    <w:rsid w:val="000C7FEF"/>
    <w:rsid w:val="000D018F"/>
    <w:rsid w:val="000D0200"/>
    <w:rsid w:val="000D0288"/>
    <w:rsid w:val="000D0357"/>
    <w:rsid w:val="000D037D"/>
    <w:rsid w:val="000D0478"/>
    <w:rsid w:val="000D04D0"/>
    <w:rsid w:val="000D04D5"/>
    <w:rsid w:val="000D0501"/>
    <w:rsid w:val="000D05AD"/>
    <w:rsid w:val="000D0617"/>
    <w:rsid w:val="000D070F"/>
    <w:rsid w:val="000D080B"/>
    <w:rsid w:val="000D08CF"/>
    <w:rsid w:val="000D0946"/>
    <w:rsid w:val="000D096D"/>
    <w:rsid w:val="000D0A17"/>
    <w:rsid w:val="000D0B46"/>
    <w:rsid w:val="000D0B5A"/>
    <w:rsid w:val="000D0B79"/>
    <w:rsid w:val="000D0C2D"/>
    <w:rsid w:val="000D0E13"/>
    <w:rsid w:val="000D0E23"/>
    <w:rsid w:val="000D0EB3"/>
    <w:rsid w:val="000D0F00"/>
    <w:rsid w:val="000D0F6F"/>
    <w:rsid w:val="000D1029"/>
    <w:rsid w:val="000D103B"/>
    <w:rsid w:val="000D1054"/>
    <w:rsid w:val="000D108C"/>
    <w:rsid w:val="000D1185"/>
    <w:rsid w:val="000D11B5"/>
    <w:rsid w:val="000D1236"/>
    <w:rsid w:val="000D1245"/>
    <w:rsid w:val="000D1285"/>
    <w:rsid w:val="000D1333"/>
    <w:rsid w:val="000D145B"/>
    <w:rsid w:val="000D1573"/>
    <w:rsid w:val="000D15CC"/>
    <w:rsid w:val="000D169B"/>
    <w:rsid w:val="000D174E"/>
    <w:rsid w:val="000D1762"/>
    <w:rsid w:val="000D17E3"/>
    <w:rsid w:val="000D1844"/>
    <w:rsid w:val="000D18BA"/>
    <w:rsid w:val="000D18DB"/>
    <w:rsid w:val="000D18FA"/>
    <w:rsid w:val="000D1A39"/>
    <w:rsid w:val="000D1A52"/>
    <w:rsid w:val="000D1A5F"/>
    <w:rsid w:val="000D1A9D"/>
    <w:rsid w:val="000D1B8F"/>
    <w:rsid w:val="000D1C01"/>
    <w:rsid w:val="000D1CD6"/>
    <w:rsid w:val="000D1CDD"/>
    <w:rsid w:val="000D1D6F"/>
    <w:rsid w:val="000D1E07"/>
    <w:rsid w:val="000D1E2F"/>
    <w:rsid w:val="000D1E38"/>
    <w:rsid w:val="000D1E66"/>
    <w:rsid w:val="000D1EC7"/>
    <w:rsid w:val="000D1F65"/>
    <w:rsid w:val="000D2012"/>
    <w:rsid w:val="000D212C"/>
    <w:rsid w:val="000D2254"/>
    <w:rsid w:val="000D225B"/>
    <w:rsid w:val="000D22F0"/>
    <w:rsid w:val="000D232C"/>
    <w:rsid w:val="000D23A5"/>
    <w:rsid w:val="000D23AF"/>
    <w:rsid w:val="000D23F9"/>
    <w:rsid w:val="000D2448"/>
    <w:rsid w:val="000D261E"/>
    <w:rsid w:val="000D2623"/>
    <w:rsid w:val="000D2627"/>
    <w:rsid w:val="000D268A"/>
    <w:rsid w:val="000D277A"/>
    <w:rsid w:val="000D279A"/>
    <w:rsid w:val="000D27F8"/>
    <w:rsid w:val="000D2859"/>
    <w:rsid w:val="000D28FF"/>
    <w:rsid w:val="000D2A01"/>
    <w:rsid w:val="000D2ADB"/>
    <w:rsid w:val="000D2B86"/>
    <w:rsid w:val="000D2BCD"/>
    <w:rsid w:val="000D2C96"/>
    <w:rsid w:val="000D2D1C"/>
    <w:rsid w:val="000D2D3D"/>
    <w:rsid w:val="000D2D49"/>
    <w:rsid w:val="000D2D55"/>
    <w:rsid w:val="000D2DA3"/>
    <w:rsid w:val="000D2EB3"/>
    <w:rsid w:val="000D2EC0"/>
    <w:rsid w:val="000D2EE7"/>
    <w:rsid w:val="000D2F43"/>
    <w:rsid w:val="000D2F84"/>
    <w:rsid w:val="000D2F8F"/>
    <w:rsid w:val="000D3029"/>
    <w:rsid w:val="000D3072"/>
    <w:rsid w:val="000D30DC"/>
    <w:rsid w:val="000D31A0"/>
    <w:rsid w:val="000D31C1"/>
    <w:rsid w:val="000D32C1"/>
    <w:rsid w:val="000D3366"/>
    <w:rsid w:val="000D33C9"/>
    <w:rsid w:val="000D3492"/>
    <w:rsid w:val="000D34E7"/>
    <w:rsid w:val="000D3518"/>
    <w:rsid w:val="000D352A"/>
    <w:rsid w:val="000D3577"/>
    <w:rsid w:val="000D3658"/>
    <w:rsid w:val="000D3677"/>
    <w:rsid w:val="000D36EC"/>
    <w:rsid w:val="000D3837"/>
    <w:rsid w:val="000D383D"/>
    <w:rsid w:val="000D38E5"/>
    <w:rsid w:val="000D391F"/>
    <w:rsid w:val="000D3A8A"/>
    <w:rsid w:val="000D3AD6"/>
    <w:rsid w:val="000D3B37"/>
    <w:rsid w:val="000D3B9A"/>
    <w:rsid w:val="000D3BAB"/>
    <w:rsid w:val="000D3BDF"/>
    <w:rsid w:val="000D3C06"/>
    <w:rsid w:val="000D3D59"/>
    <w:rsid w:val="000D3DB5"/>
    <w:rsid w:val="000D3F0E"/>
    <w:rsid w:val="000D3FBA"/>
    <w:rsid w:val="000D3FC2"/>
    <w:rsid w:val="000D406C"/>
    <w:rsid w:val="000D408B"/>
    <w:rsid w:val="000D40E5"/>
    <w:rsid w:val="000D41E5"/>
    <w:rsid w:val="000D4239"/>
    <w:rsid w:val="000D42EC"/>
    <w:rsid w:val="000D435D"/>
    <w:rsid w:val="000D438B"/>
    <w:rsid w:val="000D4446"/>
    <w:rsid w:val="000D449B"/>
    <w:rsid w:val="000D44B6"/>
    <w:rsid w:val="000D450D"/>
    <w:rsid w:val="000D4574"/>
    <w:rsid w:val="000D464C"/>
    <w:rsid w:val="000D46AE"/>
    <w:rsid w:val="000D470D"/>
    <w:rsid w:val="000D4767"/>
    <w:rsid w:val="000D47B8"/>
    <w:rsid w:val="000D47CE"/>
    <w:rsid w:val="000D47EA"/>
    <w:rsid w:val="000D484A"/>
    <w:rsid w:val="000D4853"/>
    <w:rsid w:val="000D493D"/>
    <w:rsid w:val="000D495F"/>
    <w:rsid w:val="000D497B"/>
    <w:rsid w:val="000D49E3"/>
    <w:rsid w:val="000D4A1B"/>
    <w:rsid w:val="000D4AB3"/>
    <w:rsid w:val="000D4B02"/>
    <w:rsid w:val="000D4BD1"/>
    <w:rsid w:val="000D4C88"/>
    <w:rsid w:val="000D4CC7"/>
    <w:rsid w:val="000D4D20"/>
    <w:rsid w:val="000D4D30"/>
    <w:rsid w:val="000D4D42"/>
    <w:rsid w:val="000D4E83"/>
    <w:rsid w:val="000D4EAB"/>
    <w:rsid w:val="000D4EC2"/>
    <w:rsid w:val="000D4F6F"/>
    <w:rsid w:val="000D5007"/>
    <w:rsid w:val="000D505A"/>
    <w:rsid w:val="000D532F"/>
    <w:rsid w:val="000D5364"/>
    <w:rsid w:val="000D537E"/>
    <w:rsid w:val="000D53B5"/>
    <w:rsid w:val="000D5528"/>
    <w:rsid w:val="000D5540"/>
    <w:rsid w:val="000D572D"/>
    <w:rsid w:val="000D57AE"/>
    <w:rsid w:val="000D5824"/>
    <w:rsid w:val="000D5929"/>
    <w:rsid w:val="000D594F"/>
    <w:rsid w:val="000D595A"/>
    <w:rsid w:val="000D5A31"/>
    <w:rsid w:val="000D5A4D"/>
    <w:rsid w:val="000D5C05"/>
    <w:rsid w:val="000D5D1C"/>
    <w:rsid w:val="000D5D23"/>
    <w:rsid w:val="000D5D8F"/>
    <w:rsid w:val="000D5DBB"/>
    <w:rsid w:val="000D5E38"/>
    <w:rsid w:val="000D5EB8"/>
    <w:rsid w:val="000D5EE6"/>
    <w:rsid w:val="000D5FD5"/>
    <w:rsid w:val="000D60C0"/>
    <w:rsid w:val="000D60FA"/>
    <w:rsid w:val="000D6178"/>
    <w:rsid w:val="000D6329"/>
    <w:rsid w:val="000D6609"/>
    <w:rsid w:val="000D66C7"/>
    <w:rsid w:val="000D6741"/>
    <w:rsid w:val="000D67B9"/>
    <w:rsid w:val="000D67D9"/>
    <w:rsid w:val="000D6856"/>
    <w:rsid w:val="000D6A1F"/>
    <w:rsid w:val="000D6A88"/>
    <w:rsid w:val="000D6AC1"/>
    <w:rsid w:val="000D6C26"/>
    <w:rsid w:val="000D6CC4"/>
    <w:rsid w:val="000D6D7D"/>
    <w:rsid w:val="000D6E6F"/>
    <w:rsid w:val="000D6F7B"/>
    <w:rsid w:val="000D6FDC"/>
    <w:rsid w:val="000D7041"/>
    <w:rsid w:val="000D70C9"/>
    <w:rsid w:val="000D72D6"/>
    <w:rsid w:val="000D743C"/>
    <w:rsid w:val="000D753F"/>
    <w:rsid w:val="000D75BE"/>
    <w:rsid w:val="000D75D8"/>
    <w:rsid w:val="000D7680"/>
    <w:rsid w:val="000D769D"/>
    <w:rsid w:val="000D76C9"/>
    <w:rsid w:val="000D7710"/>
    <w:rsid w:val="000D777B"/>
    <w:rsid w:val="000D78DC"/>
    <w:rsid w:val="000D7924"/>
    <w:rsid w:val="000D7991"/>
    <w:rsid w:val="000D79B7"/>
    <w:rsid w:val="000D79E3"/>
    <w:rsid w:val="000D7ACB"/>
    <w:rsid w:val="000D7B85"/>
    <w:rsid w:val="000D7B9E"/>
    <w:rsid w:val="000D7BDE"/>
    <w:rsid w:val="000D7C30"/>
    <w:rsid w:val="000D7CF0"/>
    <w:rsid w:val="000D7D19"/>
    <w:rsid w:val="000D7E36"/>
    <w:rsid w:val="000D7E98"/>
    <w:rsid w:val="000D7F18"/>
    <w:rsid w:val="000E0004"/>
    <w:rsid w:val="000E0036"/>
    <w:rsid w:val="000E0056"/>
    <w:rsid w:val="000E01AE"/>
    <w:rsid w:val="000E01CF"/>
    <w:rsid w:val="000E02B6"/>
    <w:rsid w:val="000E0318"/>
    <w:rsid w:val="000E0344"/>
    <w:rsid w:val="000E0355"/>
    <w:rsid w:val="000E039F"/>
    <w:rsid w:val="000E03B1"/>
    <w:rsid w:val="000E050B"/>
    <w:rsid w:val="000E0649"/>
    <w:rsid w:val="000E071D"/>
    <w:rsid w:val="000E0747"/>
    <w:rsid w:val="000E080A"/>
    <w:rsid w:val="000E0845"/>
    <w:rsid w:val="000E085C"/>
    <w:rsid w:val="000E0953"/>
    <w:rsid w:val="000E0963"/>
    <w:rsid w:val="000E0988"/>
    <w:rsid w:val="000E09E2"/>
    <w:rsid w:val="000E0A20"/>
    <w:rsid w:val="000E0CAC"/>
    <w:rsid w:val="000E0CF3"/>
    <w:rsid w:val="000E0DCE"/>
    <w:rsid w:val="000E0DF7"/>
    <w:rsid w:val="000E0E11"/>
    <w:rsid w:val="000E0E18"/>
    <w:rsid w:val="000E0E21"/>
    <w:rsid w:val="000E0E23"/>
    <w:rsid w:val="000E0F10"/>
    <w:rsid w:val="000E0F4B"/>
    <w:rsid w:val="000E1008"/>
    <w:rsid w:val="000E100B"/>
    <w:rsid w:val="000E10D8"/>
    <w:rsid w:val="000E119F"/>
    <w:rsid w:val="000E12EF"/>
    <w:rsid w:val="000E1409"/>
    <w:rsid w:val="000E1493"/>
    <w:rsid w:val="000E15A5"/>
    <w:rsid w:val="000E15DB"/>
    <w:rsid w:val="000E15E5"/>
    <w:rsid w:val="000E1619"/>
    <w:rsid w:val="000E1658"/>
    <w:rsid w:val="000E178A"/>
    <w:rsid w:val="000E19B8"/>
    <w:rsid w:val="000E1BDD"/>
    <w:rsid w:val="000E1BEC"/>
    <w:rsid w:val="000E1D31"/>
    <w:rsid w:val="000E1D71"/>
    <w:rsid w:val="000E1D96"/>
    <w:rsid w:val="000E1DB7"/>
    <w:rsid w:val="000E1E8E"/>
    <w:rsid w:val="000E1F41"/>
    <w:rsid w:val="000E1F75"/>
    <w:rsid w:val="000E1FC3"/>
    <w:rsid w:val="000E209A"/>
    <w:rsid w:val="000E20E6"/>
    <w:rsid w:val="000E2207"/>
    <w:rsid w:val="000E2243"/>
    <w:rsid w:val="000E2330"/>
    <w:rsid w:val="000E24B2"/>
    <w:rsid w:val="000E2603"/>
    <w:rsid w:val="000E2683"/>
    <w:rsid w:val="000E27E6"/>
    <w:rsid w:val="000E28E8"/>
    <w:rsid w:val="000E28E9"/>
    <w:rsid w:val="000E291D"/>
    <w:rsid w:val="000E29B6"/>
    <w:rsid w:val="000E2A75"/>
    <w:rsid w:val="000E2AAC"/>
    <w:rsid w:val="000E2CA5"/>
    <w:rsid w:val="000E2CAE"/>
    <w:rsid w:val="000E2CD9"/>
    <w:rsid w:val="000E2CF1"/>
    <w:rsid w:val="000E2D11"/>
    <w:rsid w:val="000E2D9D"/>
    <w:rsid w:val="000E2DA5"/>
    <w:rsid w:val="000E3019"/>
    <w:rsid w:val="000E309D"/>
    <w:rsid w:val="000E30B0"/>
    <w:rsid w:val="000E3179"/>
    <w:rsid w:val="000E318E"/>
    <w:rsid w:val="000E31FF"/>
    <w:rsid w:val="000E32A4"/>
    <w:rsid w:val="000E32CC"/>
    <w:rsid w:val="000E3485"/>
    <w:rsid w:val="000E350D"/>
    <w:rsid w:val="000E3575"/>
    <w:rsid w:val="000E35BC"/>
    <w:rsid w:val="000E36BB"/>
    <w:rsid w:val="000E36D9"/>
    <w:rsid w:val="000E37CE"/>
    <w:rsid w:val="000E387F"/>
    <w:rsid w:val="000E3976"/>
    <w:rsid w:val="000E3B96"/>
    <w:rsid w:val="000E3C88"/>
    <w:rsid w:val="000E3C8E"/>
    <w:rsid w:val="000E3D91"/>
    <w:rsid w:val="000E3DA6"/>
    <w:rsid w:val="000E3DDD"/>
    <w:rsid w:val="000E3EC3"/>
    <w:rsid w:val="000E3FBC"/>
    <w:rsid w:val="000E3FC0"/>
    <w:rsid w:val="000E4035"/>
    <w:rsid w:val="000E4121"/>
    <w:rsid w:val="000E432C"/>
    <w:rsid w:val="000E442B"/>
    <w:rsid w:val="000E4447"/>
    <w:rsid w:val="000E44C4"/>
    <w:rsid w:val="000E45E9"/>
    <w:rsid w:val="000E466E"/>
    <w:rsid w:val="000E46DF"/>
    <w:rsid w:val="000E46FE"/>
    <w:rsid w:val="000E488E"/>
    <w:rsid w:val="000E490A"/>
    <w:rsid w:val="000E491C"/>
    <w:rsid w:val="000E49CF"/>
    <w:rsid w:val="000E49D7"/>
    <w:rsid w:val="000E4A0A"/>
    <w:rsid w:val="000E4B33"/>
    <w:rsid w:val="000E4B9F"/>
    <w:rsid w:val="000E4BDE"/>
    <w:rsid w:val="000E4C0C"/>
    <w:rsid w:val="000E4CF2"/>
    <w:rsid w:val="000E4D94"/>
    <w:rsid w:val="000E4DF6"/>
    <w:rsid w:val="000E4EA2"/>
    <w:rsid w:val="000E4F74"/>
    <w:rsid w:val="000E4F79"/>
    <w:rsid w:val="000E4FE2"/>
    <w:rsid w:val="000E4FFC"/>
    <w:rsid w:val="000E5034"/>
    <w:rsid w:val="000E50CF"/>
    <w:rsid w:val="000E5104"/>
    <w:rsid w:val="000E510C"/>
    <w:rsid w:val="000E5134"/>
    <w:rsid w:val="000E52EB"/>
    <w:rsid w:val="000E5385"/>
    <w:rsid w:val="000E539E"/>
    <w:rsid w:val="000E5448"/>
    <w:rsid w:val="000E5469"/>
    <w:rsid w:val="000E54E6"/>
    <w:rsid w:val="000E55DA"/>
    <w:rsid w:val="000E561C"/>
    <w:rsid w:val="000E562A"/>
    <w:rsid w:val="000E5665"/>
    <w:rsid w:val="000E56BD"/>
    <w:rsid w:val="000E56DA"/>
    <w:rsid w:val="000E570A"/>
    <w:rsid w:val="000E59AF"/>
    <w:rsid w:val="000E5B0A"/>
    <w:rsid w:val="000E5B41"/>
    <w:rsid w:val="000E5B98"/>
    <w:rsid w:val="000E5CA8"/>
    <w:rsid w:val="000E5D4E"/>
    <w:rsid w:val="000E5DE9"/>
    <w:rsid w:val="000E5DFA"/>
    <w:rsid w:val="000E5EFE"/>
    <w:rsid w:val="000E5F5D"/>
    <w:rsid w:val="000E610B"/>
    <w:rsid w:val="000E6118"/>
    <w:rsid w:val="000E62C6"/>
    <w:rsid w:val="000E62D7"/>
    <w:rsid w:val="000E645B"/>
    <w:rsid w:val="000E649A"/>
    <w:rsid w:val="000E64E2"/>
    <w:rsid w:val="000E6530"/>
    <w:rsid w:val="000E654C"/>
    <w:rsid w:val="000E6590"/>
    <w:rsid w:val="000E66AA"/>
    <w:rsid w:val="000E66CC"/>
    <w:rsid w:val="000E6710"/>
    <w:rsid w:val="000E671F"/>
    <w:rsid w:val="000E6932"/>
    <w:rsid w:val="000E693D"/>
    <w:rsid w:val="000E6996"/>
    <w:rsid w:val="000E69A5"/>
    <w:rsid w:val="000E6CC5"/>
    <w:rsid w:val="000E6E00"/>
    <w:rsid w:val="000E6F8A"/>
    <w:rsid w:val="000E6FB6"/>
    <w:rsid w:val="000E6FC9"/>
    <w:rsid w:val="000E6FDC"/>
    <w:rsid w:val="000E6FE0"/>
    <w:rsid w:val="000E701C"/>
    <w:rsid w:val="000E7081"/>
    <w:rsid w:val="000E70A9"/>
    <w:rsid w:val="000E71D1"/>
    <w:rsid w:val="000E7262"/>
    <w:rsid w:val="000E744C"/>
    <w:rsid w:val="000E74A4"/>
    <w:rsid w:val="000E74F0"/>
    <w:rsid w:val="000E7524"/>
    <w:rsid w:val="000E7632"/>
    <w:rsid w:val="000E7740"/>
    <w:rsid w:val="000E7A26"/>
    <w:rsid w:val="000E7A6B"/>
    <w:rsid w:val="000E7A99"/>
    <w:rsid w:val="000E7AA2"/>
    <w:rsid w:val="000E7CE8"/>
    <w:rsid w:val="000E7E13"/>
    <w:rsid w:val="000E7E26"/>
    <w:rsid w:val="000E7E3E"/>
    <w:rsid w:val="000E7EE9"/>
    <w:rsid w:val="000E7F2F"/>
    <w:rsid w:val="000E7F6F"/>
    <w:rsid w:val="000E7FD7"/>
    <w:rsid w:val="000EA855"/>
    <w:rsid w:val="000F0082"/>
    <w:rsid w:val="000F0088"/>
    <w:rsid w:val="000F01A6"/>
    <w:rsid w:val="000F02EA"/>
    <w:rsid w:val="000F0383"/>
    <w:rsid w:val="000F0398"/>
    <w:rsid w:val="000F03FA"/>
    <w:rsid w:val="000F0410"/>
    <w:rsid w:val="000F0468"/>
    <w:rsid w:val="000F04F9"/>
    <w:rsid w:val="000F0593"/>
    <w:rsid w:val="000F08DC"/>
    <w:rsid w:val="000F08EC"/>
    <w:rsid w:val="000F0957"/>
    <w:rsid w:val="000F0A0E"/>
    <w:rsid w:val="000F0A5B"/>
    <w:rsid w:val="000F0A5E"/>
    <w:rsid w:val="000F0AC1"/>
    <w:rsid w:val="000F0B1E"/>
    <w:rsid w:val="000F0B37"/>
    <w:rsid w:val="000F0B54"/>
    <w:rsid w:val="000F0BE0"/>
    <w:rsid w:val="000F0BEE"/>
    <w:rsid w:val="000F0CE5"/>
    <w:rsid w:val="000F0D87"/>
    <w:rsid w:val="000F0DE4"/>
    <w:rsid w:val="000F0E00"/>
    <w:rsid w:val="000F0EB4"/>
    <w:rsid w:val="000F0F1E"/>
    <w:rsid w:val="000F0F57"/>
    <w:rsid w:val="000F0FCB"/>
    <w:rsid w:val="000F1116"/>
    <w:rsid w:val="000F116A"/>
    <w:rsid w:val="000F1193"/>
    <w:rsid w:val="000F123E"/>
    <w:rsid w:val="000F12EB"/>
    <w:rsid w:val="000F12FD"/>
    <w:rsid w:val="000F14D5"/>
    <w:rsid w:val="000F167A"/>
    <w:rsid w:val="000F16B6"/>
    <w:rsid w:val="000F1801"/>
    <w:rsid w:val="000F1838"/>
    <w:rsid w:val="000F199A"/>
    <w:rsid w:val="000F19E2"/>
    <w:rsid w:val="000F1A11"/>
    <w:rsid w:val="000F1A53"/>
    <w:rsid w:val="000F1C6F"/>
    <w:rsid w:val="000F1CDE"/>
    <w:rsid w:val="000F1CEA"/>
    <w:rsid w:val="000F1D1E"/>
    <w:rsid w:val="000F1DBD"/>
    <w:rsid w:val="000F1E13"/>
    <w:rsid w:val="000F1E6F"/>
    <w:rsid w:val="000F1EBD"/>
    <w:rsid w:val="000F1FE2"/>
    <w:rsid w:val="000F20E5"/>
    <w:rsid w:val="000F20ED"/>
    <w:rsid w:val="000F2194"/>
    <w:rsid w:val="000F2399"/>
    <w:rsid w:val="000F23B4"/>
    <w:rsid w:val="000F25C1"/>
    <w:rsid w:val="000F26A1"/>
    <w:rsid w:val="000F2704"/>
    <w:rsid w:val="000F2738"/>
    <w:rsid w:val="000F2747"/>
    <w:rsid w:val="000F2754"/>
    <w:rsid w:val="000F2849"/>
    <w:rsid w:val="000F2894"/>
    <w:rsid w:val="000F28EF"/>
    <w:rsid w:val="000F29B7"/>
    <w:rsid w:val="000F2AC4"/>
    <w:rsid w:val="000F2B31"/>
    <w:rsid w:val="000F2BCC"/>
    <w:rsid w:val="000F2BCE"/>
    <w:rsid w:val="000F2C93"/>
    <w:rsid w:val="000F2D90"/>
    <w:rsid w:val="000F2DD8"/>
    <w:rsid w:val="000F2EA4"/>
    <w:rsid w:val="000F2ECB"/>
    <w:rsid w:val="000F2ED9"/>
    <w:rsid w:val="000F2EFA"/>
    <w:rsid w:val="000F2FCA"/>
    <w:rsid w:val="000F3004"/>
    <w:rsid w:val="000F307E"/>
    <w:rsid w:val="000F3219"/>
    <w:rsid w:val="000F330C"/>
    <w:rsid w:val="000F334D"/>
    <w:rsid w:val="000F3379"/>
    <w:rsid w:val="000F33C4"/>
    <w:rsid w:val="000F34FA"/>
    <w:rsid w:val="000F3559"/>
    <w:rsid w:val="000F356C"/>
    <w:rsid w:val="000F35BB"/>
    <w:rsid w:val="000F3678"/>
    <w:rsid w:val="000F36CC"/>
    <w:rsid w:val="000F381D"/>
    <w:rsid w:val="000F38DF"/>
    <w:rsid w:val="000F390C"/>
    <w:rsid w:val="000F3ACB"/>
    <w:rsid w:val="000F3B50"/>
    <w:rsid w:val="000F3B65"/>
    <w:rsid w:val="000F3BDF"/>
    <w:rsid w:val="000F3C3A"/>
    <w:rsid w:val="000F3C4B"/>
    <w:rsid w:val="000F3D39"/>
    <w:rsid w:val="000F3EBF"/>
    <w:rsid w:val="000F3F4F"/>
    <w:rsid w:val="000F401A"/>
    <w:rsid w:val="000F4065"/>
    <w:rsid w:val="000F40A7"/>
    <w:rsid w:val="000F40A9"/>
    <w:rsid w:val="000F40DA"/>
    <w:rsid w:val="000F4227"/>
    <w:rsid w:val="000F4229"/>
    <w:rsid w:val="000F4272"/>
    <w:rsid w:val="000F433C"/>
    <w:rsid w:val="000F4375"/>
    <w:rsid w:val="000F4412"/>
    <w:rsid w:val="000F4451"/>
    <w:rsid w:val="000F446C"/>
    <w:rsid w:val="000F4529"/>
    <w:rsid w:val="000F4655"/>
    <w:rsid w:val="000F465F"/>
    <w:rsid w:val="000F468C"/>
    <w:rsid w:val="000F46B7"/>
    <w:rsid w:val="000F46E4"/>
    <w:rsid w:val="000F4854"/>
    <w:rsid w:val="000F4923"/>
    <w:rsid w:val="000F4929"/>
    <w:rsid w:val="000F499E"/>
    <w:rsid w:val="000F49EC"/>
    <w:rsid w:val="000F4A33"/>
    <w:rsid w:val="000F4B6A"/>
    <w:rsid w:val="000F4BC7"/>
    <w:rsid w:val="000F4BD2"/>
    <w:rsid w:val="000F4BED"/>
    <w:rsid w:val="000F4CBC"/>
    <w:rsid w:val="000F4D11"/>
    <w:rsid w:val="000F4DC5"/>
    <w:rsid w:val="000F4F2C"/>
    <w:rsid w:val="000F4F82"/>
    <w:rsid w:val="000F502E"/>
    <w:rsid w:val="000F5054"/>
    <w:rsid w:val="000F50F5"/>
    <w:rsid w:val="000F5199"/>
    <w:rsid w:val="000F52F3"/>
    <w:rsid w:val="000F5388"/>
    <w:rsid w:val="000F53B1"/>
    <w:rsid w:val="000F53C3"/>
    <w:rsid w:val="000F54A1"/>
    <w:rsid w:val="000F556D"/>
    <w:rsid w:val="000F5593"/>
    <w:rsid w:val="000F55BE"/>
    <w:rsid w:val="000F5793"/>
    <w:rsid w:val="000F58CE"/>
    <w:rsid w:val="000F58FC"/>
    <w:rsid w:val="000F5918"/>
    <w:rsid w:val="000F5926"/>
    <w:rsid w:val="000F5951"/>
    <w:rsid w:val="000F5998"/>
    <w:rsid w:val="000F5A5C"/>
    <w:rsid w:val="000F5AC8"/>
    <w:rsid w:val="000F5AD4"/>
    <w:rsid w:val="000F5BF9"/>
    <w:rsid w:val="000F5CC0"/>
    <w:rsid w:val="000F5DAA"/>
    <w:rsid w:val="000F5DFE"/>
    <w:rsid w:val="000F5E79"/>
    <w:rsid w:val="000F5EEF"/>
    <w:rsid w:val="000F5F79"/>
    <w:rsid w:val="000F5FE9"/>
    <w:rsid w:val="000F61D3"/>
    <w:rsid w:val="000F6207"/>
    <w:rsid w:val="000F629F"/>
    <w:rsid w:val="000F6320"/>
    <w:rsid w:val="000F634B"/>
    <w:rsid w:val="000F63D7"/>
    <w:rsid w:val="000F643A"/>
    <w:rsid w:val="000F64D7"/>
    <w:rsid w:val="000F64F5"/>
    <w:rsid w:val="000F6648"/>
    <w:rsid w:val="000F664B"/>
    <w:rsid w:val="000F6705"/>
    <w:rsid w:val="000F67A9"/>
    <w:rsid w:val="000F6815"/>
    <w:rsid w:val="000F68BE"/>
    <w:rsid w:val="000F693C"/>
    <w:rsid w:val="000F6986"/>
    <w:rsid w:val="000F6AB5"/>
    <w:rsid w:val="000F6ACA"/>
    <w:rsid w:val="000F6B8F"/>
    <w:rsid w:val="000F6BF4"/>
    <w:rsid w:val="000F6C00"/>
    <w:rsid w:val="000F6C7A"/>
    <w:rsid w:val="000F6D32"/>
    <w:rsid w:val="000F6DE5"/>
    <w:rsid w:val="000F6FF7"/>
    <w:rsid w:val="000F707D"/>
    <w:rsid w:val="000F708D"/>
    <w:rsid w:val="000F7147"/>
    <w:rsid w:val="000F71D5"/>
    <w:rsid w:val="000F7308"/>
    <w:rsid w:val="000F73F5"/>
    <w:rsid w:val="000F76AF"/>
    <w:rsid w:val="000F7734"/>
    <w:rsid w:val="000F77EE"/>
    <w:rsid w:val="000F7898"/>
    <w:rsid w:val="000F793A"/>
    <w:rsid w:val="000F7A49"/>
    <w:rsid w:val="000F7B1C"/>
    <w:rsid w:val="000F7B29"/>
    <w:rsid w:val="000F7B53"/>
    <w:rsid w:val="000F7CA8"/>
    <w:rsid w:val="000F7D3D"/>
    <w:rsid w:val="000F7D6C"/>
    <w:rsid w:val="000F7D91"/>
    <w:rsid w:val="000F7E35"/>
    <w:rsid w:val="000F7E4F"/>
    <w:rsid w:val="000F7E61"/>
    <w:rsid w:val="000F7E82"/>
    <w:rsid w:val="000F7F18"/>
    <w:rsid w:val="000F7F4B"/>
    <w:rsid w:val="000F7F59"/>
    <w:rsid w:val="000F7FD9"/>
    <w:rsid w:val="000F9924"/>
    <w:rsid w:val="00100027"/>
    <w:rsid w:val="00100138"/>
    <w:rsid w:val="00100142"/>
    <w:rsid w:val="00100147"/>
    <w:rsid w:val="0010016B"/>
    <w:rsid w:val="001001D6"/>
    <w:rsid w:val="001003DC"/>
    <w:rsid w:val="00100405"/>
    <w:rsid w:val="00100446"/>
    <w:rsid w:val="001004D3"/>
    <w:rsid w:val="00100563"/>
    <w:rsid w:val="001005F4"/>
    <w:rsid w:val="00100659"/>
    <w:rsid w:val="00100673"/>
    <w:rsid w:val="001007A9"/>
    <w:rsid w:val="001007E3"/>
    <w:rsid w:val="00100821"/>
    <w:rsid w:val="00100871"/>
    <w:rsid w:val="00100873"/>
    <w:rsid w:val="00100929"/>
    <w:rsid w:val="001009C6"/>
    <w:rsid w:val="00100A08"/>
    <w:rsid w:val="00100A5F"/>
    <w:rsid w:val="00100AA5"/>
    <w:rsid w:val="00100ACE"/>
    <w:rsid w:val="00100BD0"/>
    <w:rsid w:val="00100D73"/>
    <w:rsid w:val="00100DA7"/>
    <w:rsid w:val="00100DFA"/>
    <w:rsid w:val="00100E9A"/>
    <w:rsid w:val="00100EF2"/>
    <w:rsid w:val="00100F18"/>
    <w:rsid w:val="00100F73"/>
    <w:rsid w:val="00100F96"/>
    <w:rsid w:val="00100FAF"/>
    <w:rsid w:val="00100FB7"/>
    <w:rsid w:val="0010100F"/>
    <w:rsid w:val="00101099"/>
    <w:rsid w:val="00101110"/>
    <w:rsid w:val="001011F6"/>
    <w:rsid w:val="0010122F"/>
    <w:rsid w:val="00101659"/>
    <w:rsid w:val="001016BD"/>
    <w:rsid w:val="001016DA"/>
    <w:rsid w:val="001017F8"/>
    <w:rsid w:val="00101814"/>
    <w:rsid w:val="00101841"/>
    <w:rsid w:val="001018EC"/>
    <w:rsid w:val="0010193A"/>
    <w:rsid w:val="001019CD"/>
    <w:rsid w:val="00101A47"/>
    <w:rsid w:val="00101A6D"/>
    <w:rsid w:val="00101ABD"/>
    <w:rsid w:val="00101B78"/>
    <w:rsid w:val="00101C1B"/>
    <w:rsid w:val="00101C50"/>
    <w:rsid w:val="00101CE7"/>
    <w:rsid w:val="00101D20"/>
    <w:rsid w:val="00101DBB"/>
    <w:rsid w:val="00101DC2"/>
    <w:rsid w:val="00101E05"/>
    <w:rsid w:val="00101E3D"/>
    <w:rsid w:val="00101E69"/>
    <w:rsid w:val="00101E6B"/>
    <w:rsid w:val="00101E8C"/>
    <w:rsid w:val="00101E91"/>
    <w:rsid w:val="00101F04"/>
    <w:rsid w:val="00102087"/>
    <w:rsid w:val="00102112"/>
    <w:rsid w:val="0010216D"/>
    <w:rsid w:val="0010223B"/>
    <w:rsid w:val="001022F5"/>
    <w:rsid w:val="00102331"/>
    <w:rsid w:val="001024D3"/>
    <w:rsid w:val="001024F9"/>
    <w:rsid w:val="001025D5"/>
    <w:rsid w:val="0010269B"/>
    <w:rsid w:val="00102701"/>
    <w:rsid w:val="00102787"/>
    <w:rsid w:val="001027BC"/>
    <w:rsid w:val="001028DB"/>
    <w:rsid w:val="0010290F"/>
    <w:rsid w:val="0010297B"/>
    <w:rsid w:val="00102AA0"/>
    <w:rsid w:val="00102AA3"/>
    <w:rsid w:val="00102ADF"/>
    <w:rsid w:val="00102B3A"/>
    <w:rsid w:val="00102B99"/>
    <w:rsid w:val="00102DFC"/>
    <w:rsid w:val="00102EC7"/>
    <w:rsid w:val="00103097"/>
    <w:rsid w:val="0010310A"/>
    <w:rsid w:val="0010315A"/>
    <w:rsid w:val="0010319E"/>
    <w:rsid w:val="001031CA"/>
    <w:rsid w:val="00103234"/>
    <w:rsid w:val="001032A5"/>
    <w:rsid w:val="001032B8"/>
    <w:rsid w:val="001032F2"/>
    <w:rsid w:val="001033A9"/>
    <w:rsid w:val="001033F8"/>
    <w:rsid w:val="001034C8"/>
    <w:rsid w:val="001036BE"/>
    <w:rsid w:val="001036CD"/>
    <w:rsid w:val="00103803"/>
    <w:rsid w:val="00103807"/>
    <w:rsid w:val="0010383D"/>
    <w:rsid w:val="00103955"/>
    <w:rsid w:val="001039A6"/>
    <w:rsid w:val="00103A53"/>
    <w:rsid w:val="00103B90"/>
    <w:rsid w:val="00103C6D"/>
    <w:rsid w:val="00103CE3"/>
    <w:rsid w:val="00103E17"/>
    <w:rsid w:val="00103E66"/>
    <w:rsid w:val="00103EEF"/>
    <w:rsid w:val="00103F34"/>
    <w:rsid w:val="00103F91"/>
    <w:rsid w:val="00104094"/>
    <w:rsid w:val="001040FC"/>
    <w:rsid w:val="001041A7"/>
    <w:rsid w:val="00104297"/>
    <w:rsid w:val="001042D3"/>
    <w:rsid w:val="00104303"/>
    <w:rsid w:val="0010433A"/>
    <w:rsid w:val="00104515"/>
    <w:rsid w:val="00104698"/>
    <w:rsid w:val="0010484A"/>
    <w:rsid w:val="00104895"/>
    <w:rsid w:val="001048C3"/>
    <w:rsid w:val="001049AF"/>
    <w:rsid w:val="00104A3F"/>
    <w:rsid w:val="00104AA6"/>
    <w:rsid w:val="00104ADC"/>
    <w:rsid w:val="00104AED"/>
    <w:rsid w:val="00104B03"/>
    <w:rsid w:val="00104BAA"/>
    <w:rsid w:val="00104BC7"/>
    <w:rsid w:val="00104C26"/>
    <w:rsid w:val="00104F72"/>
    <w:rsid w:val="00104FC1"/>
    <w:rsid w:val="0010502C"/>
    <w:rsid w:val="00105054"/>
    <w:rsid w:val="001050A5"/>
    <w:rsid w:val="00105220"/>
    <w:rsid w:val="00105235"/>
    <w:rsid w:val="001052B2"/>
    <w:rsid w:val="00105321"/>
    <w:rsid w:val="00105397"/>
    <w:rsid w:val="001053BD"/>
    <w:rsid w:val="00105495"/>
    <w:rsid w:val="00105519"/>
    <w:rsid w:val="0010551E"/>
    <w:rsid w:val="0010556D"/>
    <w:rsid w:val="001055E8"/>
    <w:rsid w:val="001055F5"/>
    <w:rsid w:val="0010560C"/>
    <w:rsid w:val="00105670"/>
    <w:rsid w:val="001056C7"/>
    <w:rsid w:val="001057D9"/>
    <w:rsid w:val="00105876"/>
    <w:rsid w:val="0010594D"/>
    <w:rsid w:val="00105B01"/>
    <w:rsid w:val="00105B4A"/>
    <w:rsid w:val="00105B4B"/>
    <w:rsid w:val="00105B92"/>
    <w:rsid w:val="00105BB4"/>
    <w:rsid w:val="00105CC6"/>
    <w:rsid w:val="00105E56"/>
    <w:rsid w:val="00105F41"/>
    <w:rsid w:val="00106279"/>
    <w:rsid w:val="001062BF"/>
    <w:rsid w:val="00106365"/>
    <w:rsid w:val="00106379"/>
    <w:rsid w:val="00106439"/>
    <w:rsid w:val="0010652A"/>
    <w:rsid w:val="001065B7"/>
    <w:rsid w:val="001065DF"/>
    <w:rsid w:val="00106605"/>
    <w:rsid w:val="001066BB"/>
    <w:rsid w:val="00106719"/>
    <w:rsid w:val="00106761"/>
    <w:rsid w:val="0010676A"/>
    <w:rsid w:val="0010676D"/>
    <w:rsid w:val="001068C0"/>
    <w:rsid w:val="001068F5"/>
    <w:rsid w:val="0010693A"/>
    <w:rsid w:val="00106A3C"/>
    <w:rsid w:val="00106B0E"/>
    <w:rsid w:val="00106B5F"/>
    <w:rsid w:val="00106B68"/>
    <w:rsid w:val="00106C0E"/>
    <w:rsid w:val="00106C2B"/>
    <w:rsid w:val="00106D41"/>
    <w:rsid w:val="00106D4E"/>
    <w:rsid w:val="00106D9D"/>
    <w:rsid w:val="00106DB4"/>
    <w:rsid w:val="00106EA7"/>
    <w:rsid w:val="00106F0B"/>
    <w:rsid w:val="0010709B"/>
    <w:rsid w:val="0010733C"/>
    <w:rsid w:val="00107345"/>
    <w:rsid w:val="001073AC"/>
    <w:rsid w:val="00107522"/>
    <w:rsid w:val="001075A3"/>
    <w:rsid w:val="00107753"/>
    <w:rsid w:val="00107901"/>
    <w:rsid w:val="001079F8"/>
    <w:rsid w:val="00107A2C"/>
    <w:rsid w:val="00107AD4"/>
    <w:rsid w:val="00107AEC"/>
    <w:rsid w:val="00107BBD"/>
    <w:rsid w:val="00107BD2"/>
    <w:rsid w:val="00107CCA"/>
    <w:rsid w:val="00107D19"/>
    <w:rsid w:val="00107D59"/>
    <w:rsid w:val="00107D64"/>
    <w:rsid w:val="00107D74"/>
    <w:rsid w:val="0011014A"/>
    <w:rsid w:val="0011016A"/>
    <w:rsid w:val="001101DD"/>
    <w:rsid w:val="00110230"/>
    <w:rsid w:val="0011031E"/>
    <w:rsid w:val="0011041B"/>
    <w:rsid w:val="00110569"/>
    <w:rsid w:val="001105DD"/>
    <w:rsid w:val="00110752"/>
    <w:rsid w:val="00110872"/>
    <w:rsid w:val="0011089B"/>
    <w:rsid w:val="001108D4"/>
    <w:rsid w:val="00110A27"/>
    <w:rsid w:val="00110AB3"/>
    <w:rsid w:val="00110B4F"/>
    <w:rsid w:val="00110BD6"/>
    <w:rsid w:val="00110C6F"/>
    <w:rsid w:val="00110CB1"/>
    <w:rsid w:val="00110CCC"/>
    <w:rsid w:val="00110D4C"/>
    <w:rsid w:val="00110ED4"/>
    <w:rsid w:val="00110F69"/>
    <w:rsid w:val="0011102B"/>
    <w:rsid w:val="00111173"/>
    <w:rsid w:val="001111A4"/>
    <w:rsid w:val="00111227"/>
    <w:rsid w:val="00111277"/>
    <w:rsid w:val="001112E0"/>
    <w:rsid w:val="0011130D"/>
    <w:rsid w:val="00111352"/>
    <w:rsid w:val="001113ED"/>
    <w:rsid w:val="00111549"/>
    <w:rsid w:val="001115FA"/>
    <w:rsid w:val="00111643"/>
    <w:rsid w:val="001116E0"/>
    <w:rsid w:val="0011171C"/>
    <w:rsid w:val="00111729"/>
    <w:rsid w:val="0011179A"/>
    <w:rsid w:val="001117F3"/>
    <w:rsid w:val="001117F4"/>
    <w:rsid w:val="00111803"/>
    <w:rsid w:val="0011185B"/>
    <w:rsid w:val="00111A08"/>
    <w:rsid w:val="00111A44"/>
    <w:rsid w:val="00111CC1"/>
    <w:rsid w:val="00111D3B"/>
    <w:rsid w:val="00111D8C"/>
    <w:rsid w:val="00111D9B"/>
    <w:rsid w:val="00111E61"/>
    <w:rsid w:val="00111EEA"/>
    <w:rsid w:val="0011203C"/>
    <w:rsid w:val="00112132"/>
    <w:rsid w:val="0011213E"/>
    <w:rsid w:val="001122FA"/>
    <w:rsid w:val="00112496"/>
    <w:rsid w:val="00112499"/>
    <w:rsid w:val="0011251C"/>
    <w:rsid w:val="00112535"/>
    <w:rsid w:val="001125EB"/>
    <w:rsid w:val="001125EC"/>
    <w:rsid w:val="00112681"/>
    <w:rsid w:val="001126D3"/>
    <w:rsid w:val="001126DA"/>
    <w:rsid w:val="00112747"/>
    <w:rsid w:val="001127BF"/>
    <w:rsid w:val="00112833"/>
    <w:rsid w:val="00112888"/>
    <w:rsid w:val="001128D8"/>
    <w:rsid w:val="00112938"/>
    <w:rsid w:val="00112954"/>
    <w:rsid w:val="001129BB"/>
    <w:rsid w:val="00112AB4"/>
    <w:rsid w:val="00112AD3"/>
    <w:rsid w:val="00112AF0"/>
    <w:rsid w:val="00112B98"/>
    <w:rsid w:val="00112C00"/>
    <w:rsid w:val="00112D0E"/>
    <w:rsid w:val="00112D10"/>
    <w:rsid w:val="00112D4F"/>
    <w:rsid w:val="00112D6C"/>
    <w:rsid w:val="00112DEB"/>
    <w:rsid w:val="00112EEB"/>
    <w:rsid w:val="001130AA"/>
    <w:rsid w:val="001130E7"/>
    <w:rsid w:val="0011320D"/>
    <w:rsid w:val="0011336C"/>
    <w:rsid w:val="00113435"/>
    <w:rsid w:val="0011348E"/>
    <w:rsid w:val="001135D4"/>
    <w:rsid w:val="001135D7"/>
    <w:rsid w:val="00113673"/>
    <w:rsid w:val="0011377A"/>
    <w:rsid w:val="00113909"/>
    <w:rsid w:val="00113ACF"/>
    <w:rsid w:val="00113B22"/>
    <w:rsid w:val="00113B7A"/>
    <w:rsid w:val="00113BC5"/>
    <w:rsid w:val="00113C12"/>
    <w:rsid w:val="00113C16"/>
    <w:rsid w:val="00113C31"/>
    <w:rsid w:val="00113C35"/>
    <w:rsid w:val="00113D2C"/>
    <w:rsid w:val="00113DB3"/>
    <w:rsid w:val="00113F2F"/>
    <w:rsid w:val="00113FB9"/>
    <w:rsid w:val="00113FF4"/>
    <w:rsid w:val="00114007"/>
    <w:rsid w:val="0011404C"/>
    <w:rsid w:val="0011418F"/>
    <w:rsid w:val="001141E0"/>
    <w:rsid w:val="00114293"/>
    <w:rsid w:val="001142D5"/>
    <w:rsid w:val="001142F2"/>
    <w:rsid w:val="001142F3"/>
    <w:rsid w:val="001142FD"/>
    <w:rsid w:val="001144A4"/>
    <w:rsid w:val="0011453F"/>
    <w:rsid w:val="0011469A"/>
    <w:rsid w:val="001146E1"/>
    <w:rsid w:val="00114717"/>
    <w:rsid w:val="001147AE"/>
    <w:rsid w:val="00114844"/>
    <w:rsid w:val="001148C0"/>
    <w:rsid w:val="001148F7"/>
    <w:rsid w:val="00114900"/>
    <w:rsid w:val="001149BF"/>
    <w:rsid w:val="00114BCC"/>
    <w:rsid w:val="00114BE2"/>
    <w:rsid w:val="00114C12"/>
    <w:rsid w:val="00114C8C"/>
    <w:rsid w:val="00114C97"/>
    <w:rsid w:val="00114D34"/>
    <w:rsid w:val="00114D8E"/>
    <w:rsid w:val="00114D98"/>
    <w:rsid w:val="00114DB6"/>
    <w:rsid w:val="00114E95"/>
    <w:rsid w:val="00114ED1"/>
    <w:rsid w:val="00114EEA"/>
    <w:rsid w:val="00114FCA"/>
    <w:rsid w:val="0011503F"/>
    <w:rsid w:val="001150FA"/>
    <w:rsid w:val="00115130"/>
    <w:rsid w:val="001151A5"/>
    <w:rsid w:val="00115342"/>
    <w:rsid w:val="001153A2"/>
    <w:rsid w:val="001153A6"/>
    <w:rsid w:val="00115575"/>
    <w:rsid w:val="001155D9"/>
    <w:rsid w:val="00115635"/>
    <w:rsid w:val="0011565A"/>
    <w:rsid w:val="001157B6"/>
    <w:rsid w:val="001157BB"/>
    <w:rsid w:val="001157D0"/>
    <w:rsid w:val="001157DE"/>
    <w:rsid w:val="0011581E"/>
    <w:rsid w:val="00115822"/>
    <w:rsid w:val="00115826"/>
    <w:rsid w:val="001158C5"/>
    <w:rsid w:val="00115903"/>
    <w:rsid w:val="00115BF6"/>
    <w:rsid w:val="00115BFB"/>
    <w:rsid w:val="00115C17"/>
    <w:rsid w:val="00115C54"/>
    <w:rsid w:val="00115E0C"/>
    <w:rsid w:val="00115E24"/>
    <w:rsid w:val="00115EA1"/>
    <w:rsid w:val="00115F3A"/>
    <w:rsid w:val="00115F45"/>
    <w:rsid w:val="00115FA9"/>
    <w:rsid w:val="0011600B"/>
    <w:rsid w:val="00116093"/>
    <w:rsid w:val="001160E4"/>
    <w:rsid w:val="00116107"/>
    <w:rsid w:val="00116114"/>
    <w:rsid w:val="0011611D"/>
    <w:rsid w:val="001161D2"/>
    <w:rsid w:val="00116214"/>
    <w:rsid w:val="00116229"/>
    <w:rsid w:val="001162A7"/>
    <w:rsid w:val="001164F4"/>
    <w:rsid w:val="00116518"/>
    <w:rsid w:val="00116521"/>
    <w:rsid w:val="00116555"/>
    <w:rsid w:val="0011656E"/>
    <w:rsid w:val="001165DD"/>
    <w:rsid w:val="00116631"/>
    <w:rsid w:val="00116694"/>
    <w:rsid w:val="001169C1"/>
    <w:rsid w:val="00116AAE"/>
    <w:rsid w:val="00116BA5"/>
    <w:rsid w:val="00116BC8"/>
    <w:rsid w:val="00116C17"/>
    <w:rsid w:val="00116C5A"/>
    <w:rsid w:val="00116C5D"/>
    <w:rsid w:val="00116CBB"/>
    <w:rsid w:val="00116CF5"/>
    <w:rsid w:val="00116D34"/>
    <w:rsid w:val="00116E30"/>
    <w:rsid w:val="00116E84"/>
    <w:rsid w:val="00116E92"/>
    <w:rsid w:val="00116ED5"/>
    <w:rsid w:val="00116F58"/>
    <w:rsid w:val="00116F97"/>
    <w:rsid w:val="00117078"/>
    <w:rsid w:val="001170CD"/>
    <w:rsid w:val="001173B5"/>
    <w:rsid w:val="00117494"/>
    <w:rsid w:val="001174C9"/>
    <w:rsid w:val="001174D4"/>
    <w:rsid w:val="001174FA"/>
    <w:rsid w:val="00117500"/>
    <w:rsid w:val="00117571"/>
    <w:rsid w:val="0011758E"/>
    <w:rsid w:val="001175BC"/>
    <w:rsid w:val="0011760D"/>
    <w:rsid w:val="00117653"/>
    <w:rsid w:val="001177E7"/>
    <w:rsid w:val="0011781A"/>
    <w:rsid w:val="001179A3"/>
    <w:rsid w:val="00117AB6"/>
    <w:rsid w:val="00117B0F"/>
    <w:rsid w:val="00117B24"/>
    <w:rsid w:val="00117B7B"/>
    <w:rsid w:val="00117CAB"/>
    <w:rsid w:val="00117D4C"/>
    <w:rsid w:val="00117D50"/>
    <w:rsid w:val="00117D5C"/>
    <w:rsid w:val="00117DBA"/>
    <w:rsid w:val="00117DCC"/>
    <w:rsid w:val="00117DD4"/>
    <w:rsid w:val="00117E18"/>
    <w:rsid w:val="00117E58"/>
    <w:rsid w:val="00117E6D"/>
    <w:rsid w:val="00117E93"/>
    <w:rsid w:val="0012007D"/>
    <w:rsid w:val="001200F1"/>
    <w:rsid w:val="00120127"/>
    <w:rsid w:val="00120128"/>
    <w:rsid w:val="00120286"/>
    <w:rsid w:val="001202A3"/>
    <w:rsid w:val="0012039D"/>
    <w:rsid w:val="00120455"/>
    <w:rsid w:val="00120535"/>
    <w:rsid w:val="00120558"/>
    <w:rsid w:val="00120612"/>
    <w:rsid w:val="00120615"/>
    <w:rsid w:val="0012061D"/>
    <w:rsid w:val="00120708"/>
    <w:rsid w:val="00120710"/>
    <w:rsid w:val="00120834"/>
    <w:rsid w:val="0012089D"/>
    <w:rsid w:val="001208A9"/>
    <w:rsid w:val="0012096C"/>
    <w:rsid w:val="001209C1"/>
    <w:rsid w:val="00120C33"/>
    <w:rsid w:val="00120C78"/>
    <w:rsid w:val="00120DFA"/>
    <w:rsid w:val="00120DFF"/>
    <w:rsid w:val="00120E13"/>
    <w:rsid w:val="00120E47"/>
    <w:rsid w:val="00120EE6"/>
    <w:rsid w:val="00120FAA"/>
    <w:rsid w:val="0012102D"/>
    <w:rsid w:val="00121127"/>
    <w:rsid w:val="00121130"/>
    <w:rsid w:val="0012116A"/>
    <w:rsid w:val="00121192"/>
    <w:rsid w:val="00121257"/>
    <w:rsid w:val="00121340"/>
    <w:rsid w:val="001213D1"/>
    <w:rsid w:val="001214B5"/>
    <w:rsid w:val="0012151E"/>
    <w:rsid w:val="0012160D"/>
    <w:rsid w:val="0012164D"/>
    <w:rsid w:val="001216D0"/>
    <w:rsid w:val="0012170E"/>
    <w:rsid w:val="00121733"/>
    <w:rsid w:val="0012173A"/>
    <w:rsid w:val="001218AB"/>
    <w:rsid w:val="001218C7"/>
    <w:rsid w:val="00121A3E"/>
    <w:rsid w:val="00121AFE"/>
    <w:rsid w:val="00121B07"/>
    <w:rsid w:val="00121B6A"/>
    <w:rsid w:val="00121BCB"/>
    <w:rsid w:val="00121C39"/>
    <w:rsid w:val="00121CB6"/>
    <w:rsid w:val="00121CDE"/>
    <w:rsid w:val="00121DE9"/>
    <w:rsid w:val="00121E47"/>
    <w:rsid w:val="00121E95"/>
    <w:rsid w:val="00121F2F"/>
    <w:rsid w:val="00121F6D"/>
    <w:rsid w:val="0012201D"/>
    <w:rsid w:val="0012202F"/>
    <w:rsid w:val="00122040"/>
    <w:rsid w:val="001220F1"/>
    <w:rsid w:val="001221D3"/>
    <w:rsid w:val="0012220C"/>
    <w:rsid w:val="001222E5"/>
    <w:rsid w:val="00122370"/>
    <w:rsid w:val="0012237E"/>
    <w:rsid w:val="00122397"/>
    <w:rsid w:val="001223BC"/>
    <w:rsid w:val="001223DB"/>
    <w:rsid w:val="00122497"/>
    <w:rsid w:val="00122535"/>
    <w:rsid w:val="001225EB"/>
    <w:rsid w:val="001226A5"/>
    <w:rsid w:val="001226B1"/>
    <w:rsid w:val="001226D8"/>
    <w:rsid w:val="00122884"/>
    <w:rsid w:val="0012297F"/>
    <w:rsid w:val="001229EA"/>
    <w:rsid w:val="00122AC7"/>
    <w:rsid w:val="00122B0A"/>
    <w:rsid w:val="00122D40"/>
    <w:rsid w:val="00122D4A"/>
    <w:rsid w:val="00122D80"/>
    <w:rsid w:val="00122F50"/>
    <w:rsid w:val="00122F6D"/>
    <w:rsid w:val="00122F70"/>
    <w:rsid w:val="00122FF8"/>
    <w:rsid w:val="00123033"/>
    <w:rsid w:val="0012308C"/>
    <w:rsid w:val="00123143"/>
    <w:rsid w:val="0012315A"/>
    <w:rsid w:val="001233CD"/>
    <w:rsid w:val="001233CE"/>
    <w:rsid w:val="0012341F"/>
    <w:rsid w:val="0012343D"/>
    <w:rsid w:val="00123465"/>
    <w:rsid w:val="00123515"/>
    <w:rsid w:val="00123553"/>
    <w:rsid w:val="0012356B"/>
    <w:rsid w:val="001235B0"/>
    <w:rsid w:val="001235CE"/>
    <w:rsid w:val="001235D7"/>
    <w:rsid w:val="00123657"/>
    <w:rsid w:val="00123681"/>
    <w:rsid w:val="001236CA"/>
    <w:rsid w:val="001236FF"/>
    <w:rsid w:val="0012370C"/>
    <w:rsid w:val="0012372B"/>
    <w:rsid w:val="00123768"/>
    <w:rsid w:val="001237C9"/>
    <w:rsid w:val="00123833"/>
    <w:rsid w:val="00123982"/>
    <w:rsid w:val="001239E9"/>
    <w:rsid w:val="00123A2A"/>
    <w:rsid w:val="00123A47"/>
    <w:rsid w:val="00123A80"/>
    <w:rsid w:val="00123BEB"/>
    <w:rsid w:val="00123C66"/>
    <w:rsid w:val="00123DE3"/>
    <w:rsid w:val="00123E10"/>
    <w:rsid w:val="00123E17"/>
    <w:rsid w:val="00123E27"/>
    <w:rsid w:val="00123EAE"/>
    <w:rsid w:val="00123F86"/>
    <w:rsid w:val="00124027"/>
    <w:rsid w:val="001240AE"/>
    <w:rsid w:val="001240EE"/>
    <w:rsid w:val="0012411E"/>
    <w:rsid w:val="001241FA"/>
    <w:rsid w:val="0012421F"/>
    <w:rsid w:val="00124220"/>
    <w:rsid w:val="0012425D"/>
    <w:rsid w:val="0012428A"/>
    <w:rsid w:val="0012432A"/>
    <w:rsid w:val="00124392"/>
    <w:rsid w:val="001243F9"/>
    <w:rsid w:val="00124454"/>
    <w:rsid w:val="001244D7"/>
    <w:rsid w:val="001244D8"/>
    <w:rsid w:val="00124664"/>
    <w:rsid w:val="001246EC"/>
    <w:rsid w:val="0012476E"/>
    <w:rsid w:val="001248D4"/>
    <w:rsid w:val="00124909"/>
    <w:rsid w:val="0012497D"/>
    <w:rsid w:val="00124A2C"/>
    <w:rsid w:val="00124C05"/>
    <w:rsid w:val="00124C42"/>
    <w:rsid w:val="00124C98"/>
    <w:rsid w:val="00124CAF"/>
    <w:rsid w:val="00124CD5"/>
    <w:rsid w:val="00124D1E"/>
    <w:rsid w:val="00124E46"/>
    <w:rsid w:val="00124EA2"/>
    <w:rsid w:val="00124F1D"/>
    <w:rsid w:val="00124F78"/>
    <w:rsid w:val="00124FA4"/>
    <w:rsid w:val="0012503D"/>
    <w:rsid w:val="001250A8"/>
    <w:rsid w:val="00125171"/>
    <w:rsid w:val="001251D0"/>
    <w:rsid w:val="001251F8"/>
    <w:rsid w:val="00125314"/>
    <w:rsid w:val="001253A0"/>
    <w:rsid w:val="00125444"/>
    <w:rsid w:val="001254D9"/>
    <w:rsid w:val="001254E0"/>
    <w:rsid w:val="0012551B"/>
    <w:rsid w:val="0012553D"/>
    <w:rsid w:val="00125683"/>
    <w:rsid w:val="00125686"/>
    <w:rsid w:val="0012584A"/>
    <w:rsid w:val="0012588F"/>
    <w:rsid w:val="001258A2"/>
    <w:rsid w:val="001258C6"/>
    <w:rsid w:val="001258E6"/>
    <w:rsid w:val="001258E9"/>
    <w:rsid w:val="0012591F"/>
    <w:rsid w:val="00125960"/>
    <w:rsid w:val="00125AE2"/>
    <w:rsid w:val="00125B8F"/>
    <w:rsid w:val="00125B9E"/>
    <w:rsid w:val="00125CDF"/>
    <w:rsid w:val="00125D08"/>
    <w:rsid w:val="00125D0B"/>
    <w:rsid w:val="00125D6A"/>
    <w:rsid w:val="00125DEF"/>
    <w:rsid w:val="00125EA7"/>
    <w:rsid w:val="00125F41"/>
    <w:rsid w:val="001260F1"/>
    <w:rsid w:val="0012613B"/>
    <w:rsid w:val="00126143"/>
    <w:rsid w:val="001262A6"/>
    <w:rsid w:val="0012638C"/>
    <w:rsid w:val="001263B4"/>
    <w:rsid w:val="00126665"/>
    <w:rsid w:val="00126746"/>
    <w:rsid w:val="001267D0"/>
    <w:rsid w:val="001267E6"/>
    <w:rsid w:val="00126864"/>
    <w:rsid w:val="0012686B"/>
    <w:rsid w:val="0012691E"/>
    <w:rsid w:val="00126945"/>
    <w:rsid w:val="001269D6"/>
    <w:rsid w:val="00126A0F"/>
    <w:rsid w:val="00126B80"/>
    <w:rsid w:val="00126BF4"/>
    <w:rsid w:val="00126C65"/>
    <w:rsid w:val="00126C7A"/>
    <w:rsid w:val="00126CA9"/>
    <w:rsid w:val="00126CFE"/>
    <w:rsid w:val="00126D15"/>
    <w:rsid w:val="00126D73"/>
    <w:rsid w:val="00126D92"/>
    <w:rsid w:val="00126DC0"/>
    <w:rsid w:val="00126F9D"/>
    <w:rsid w:val="00126FD0"/>
    <w:rsid w:val="001270A3"/>
    <w:rsid w:val="001270E6"/>
    <w:rsid w:val="00127175"/>
    <w:rsid w:val="001272A5"/>
    <w:rsid w:val="00127380"/>
    <w:rsid w:val="00127491"/>
    <w:rsid w:val="00127498"/>
    <w:rsid w:val="00127499"/>
    <w:rsid w:val="001274D7"/>
    <w:rsid w:val="0012753B"/>
    <w:rsid w:val="001275C3"/>
    <w:rsid w:val="00127699"/>
    <w:rsid w:val="001276A4"/>
    <w:rsid w:val="001276AB"/>
    <w:rsid w:val="001276BD"/>
    <w:rsid w:val="001276EE"/>
    <w:rsid w:val="001276F2"/>
    <w:rsid w:val="001277B3"/>
    <w:rsid w:val="001277BE"/>
    <w:rsid w:val="001277EE"/>
    <w:rsid w:val="00127839"/>
    <w:rsid w:val="0012784F"/>
    <w:rsid w:val="00127863"/>
    <w:rsid w:val="00127942"/>
    <w:rsid w:val="001279CD"/>
    <w:rsid w:val="00127A27"/>
    <w:rsid w:val="00127B33"/>
    <w:rsid w:val="00127BBD"/>
    <w:rsid w:val="00127CBF"/>
    <w:rsid w:val="00127E87"/>
    <w:rsid w:val="00127ECA"/>
    <w:rsid w:val="00130007"/>
    <w:rsid w:val="001300C4"/>
    <w:rsid w:val="001301D7"/>
    <w:rsid w:val="00130384"/>
    <w:rsid w:val="001303CC"/>
    <w:rsid w:val="0013040B"/>
    <w:rsid w:val="0013041A"/>
    <w:rsid w:val="0013042A"/>
    <w:rsid w:val="0013043C"/>
    <w:rsid w:val="001304F2"/>
    <w:rsid w:val="00130561"/>
    <w:rsid w:val="0013064F"/>
    <w:rsid w:val="0013070A"/>
    <w:rsid w:val="0013072C"/>
    <w:rsid w:val="001307A1"/>
    <w:rsid w:val="001307E7"/>
    <w:rsid w:val="0013085F"/>
    <w:rsid w:val="00130865"/>
    <w:rsid w:val="00130969"/>
    <w:rsid w:val="001309A1"/>
    <w:rsid w:val="00130A0B"/>
    <w:rsid w:val="00130AAE"/>
    <w:rsid w:val="00130B7A"/>
    <w:rsid w:val="00130B90"/>
    <w:rsid w:val="00130C20"/>
    <w:rsid w:val="00130CD3"/>
    <w:rsid w:val="00130D10"/>
    <w:rsid w:val="00130ECE"/>
    <w:rsid w:val="00130EF2"/>
    <w:rsid w:val="00130FB4"/>
    <w:rsid w:val="00131026"/>
    <w:rsid w:val="001311B2"/>
    <w:rsid w:val="001311EC"/>
    <w:rsid w:val="001311FB"/>
    <w:rsid w:val="00131206"/>
    <w:rsid w:val="00131233"/>
    <w:rsid w:val="001312EB"/>
    <w:rsid w:val="00131323"/>
    <w:rsid w:val="001313AE"/>
    <w:rsid w:val="00131418"/>
    <w:rsid w:val="0013146A"/>
    <w:rsid w:val="0013152F"/>
    <w:rsid w:val="00131589"/>
    <w:rsid w:val="00131605"/>
    <w:rsid w:val="00131690"/>
    <w:rsid w:val="001316F3"/>
    <w:rsid w:val="001316FA"/>
    <w:rsid w:val="0013186B"/>
    <w:rsid w:val="001318B0"/>
    <w:rsid w:val="0013195F"/>
    <w:rsid w:val="00131A57"/>
    <w:rsid w:val="00131A74"/>
    <w:rsid w:val="00131B4C"/>
    <w:rsid w:val="00131B9C"/>
    <w:rsid w:val="00131C2D"/>
    <w:rsid w:val="00131CEA"/>
    <w:rsid w:val="00131E1E"/>
    <w:rsid w:val="00131E54"/>
    <w:rsid w:val="00131E81"/>
    <w:rsid w:val="00131EB7"/>
    <w:rsid w:val="00131F71"/>
    <w:rsid w:val="00131F8E"/>
    <w:rsid w:val="00131FC9"/>
    <w:rsid w:val="00132059"/>
    <w:rsid w:val="00132064"/>
    <w:rsid w:val="001320A1"/>
    <w:rsid w:val="001320FA"/>
    <w:rsid w:val="00132175"/>
    <w:rsid w:val="00132273"/>
    <w:rsid w:val="001322D2"/>
    <w:rsid w:val="001322D4"/>
    <w:rsid w:val="0013233A"/>
    <w:rsid w:val="0013238D"/>
    <w:rsid w:val="0013243D"/>
    <w:rsid w:val="00132473"/>
    <w:rsid w:val="00132504"/>
    <w:rsid w:val="0013253A"/>
    <w:rsid w:val="0013256E"/>
    <w:rsid w:val="001325B2"/>
    <w:rsid w:val="001326AE"/>
    <w:rsid w:val="0013277D"/>
    <w:rsid w:val="0013282C"/>
    <w:rsid w:val="0013284B"/>
    <w:rsid w:val="0013288C"/>
    <w:rsid w:val="001329E4"/>
    <w:rsid w:val="00132A5F"/>
    <w:rsid w:val="00132BB5"/>
    <w:rsid w:val="00132BD6"/>
    <w:rsid w:val="00132C1C"/>
    <w:rsid w:val="00132D09"/>
    <w:rsid w:val="00132DC1"/>
    <w:rsid w:val="00132E41"/>
    <w:rsid w:val="00132E63"/>
    <w:rsid w:val="00132F02"/>
    <w:rsid w:val="00132F20"/>
    <w:rsid w:val="00133099"/>
    <w:rsid w:val="001330D6"/>
    <w:rsid w:val="001330D9"/>
    <w:rsid w:val="001330EE"/>
    <w:rsid w:val="00133234"/>
    <w:rsid w:val="00133269"/>
    <w:rsid w:val="0013332D"/>
    <w:rsid w:val="0013334F"/>
    <w:rsid w:val="001333A6"/>
    <w:rsid w:val="0013348E"/>
    <w:rsid w:val="0013385D"/>
    <w:rsid w:val="00133970"/>
    <w:rsid w:val="00133A57"/>
    <w:rsid w:val="00133B0A"/>
    <w:rsid w:val="00133BC4"/>
    <w:rsid w:val="00133C9C"/>
    <w:rsid w:val="00133D18"/>
    <w:rsid w:val="00133D62"/>
    <w:rsid w:val="00133ED2"/>
    <w:rsid w:val="00133F4C"/>
    <w:rsid w:val="00134078"/>
    <w:rsid w:val="001341BE"/>
    <w:rsid w:val="001341D2"/>
    <w:rsid w:val="00134225"/>
    <w:rsid w:val="00134336"/>
    <w:rsid w:val="0013436A"/>
    <w:rsid w:val="001343EF"/>
    <w:rsid w:val="0013451A"/>
    <w:rsid w:val="0013455E"/>
    <w:rsid w:val="0013460A"/>
    <w:rsid w:val="001348FF"/>
    <w:rsid w:val="00134922"/>
    <w:rsid w:val="0013494D"/>
    <w:rsid w:val="001349CE"/>
    <w:rsid w:val="00134A20"/>
    <w:rsid w:val="00134A4F"/>
    <w:rsid w:val="00134AA9"/>
    <w:rsid w:val="00134AC9"/>
    <w:rsid w:val="00134B1A"/>
    <w:rsid w:val="00134BB9"/>
    <w:rsid w:val="00134BFC"/>
    <w:rsid w:val="00134C07"/>
    <w:rsid w:val="00134C9A"/>
    <w:rsid w:val="00134EC3"/>
    <w:rsid w:val="00134EC9"/>
    <w:rsid w:val="00134F83"/>
    <w:rsid w:val="00134F9D"/>
    <w:rsid w:val="00135117"/>
    <w:rsid w:val="00135133"/>
    <w:rsid w:val="00135150"/>
    <w:rsid w:val="00135190"/>
    <w:rsid w:val="00135353"/>
    <w:rsid w:val="00135430"/>
    <w:rsid w:val="001354F9"/>
    <w:rsid w:val="0013568F"/>
    <w:rsid w:val="001356DF"/>
    <w:rsid w:val="001358BE"/>
    <w:rsid w:val="00135A3D"/>
    <w:rsid w:val="00135B6F"/>
    <w:rsid w:val="00135BA4"/>
    <w:rsid w:val="00135D08"/>
    <w:rsid w:val="00135E26"/>
    <w:rsid w:val="00135E65"/>
    <w:rsid w:val="00135F08"/>
    <w:rsid w:val="00135F1E"/>
    <w:rsid w:val="00135FB6"/>
    <w:rsid w:val="00135FFD"/>
    <w:rsid w:val="00136044"/>
    <w:rsid w:val="00136121"/>
    <w:rsid w:val="001363C2"/>
    <w:rsid w:val="001364CB"/>
    <w:rsid w:val="0013651D"/>
    <w:rsid w:val="001366EF"/>
    <w:rsid w:val="00136718"/>
    <w:rsid w:val="001367D6"/>
    <w:rsid w:val="001368A0"/>
    <w:rsid w:val="001368FF"/>
    <w:rsid w:val="0013698C"/>
    <w:rsid w:val="001369F1"/>
    <w:rsid w:val="00136A09"/>
    <w:rsid w:val="00136A48"/>
    <w:rsid w:val="00136AB9"/>
    <w:rsid w:val="00136AD4"/>
    <w:rsid w:val="00136BAA"/>
    <w:rsid w:val="00136D7E"/>
    <w:rsid w:val="00136D7F"/>
    <w:rsid w:val="00136DD8"/>
    <w:rsid w:val="00136E53"/>
    <w:rsid w:val="00136E5F"/>
    <w:rsid w:val="00136E8E"/>
    <w:rsid w:val="00137106"/>
    <w:rsid w:val="0013717A"/>
    <w:rsid w:val="001371BB"/>
    <w:rsid w:val="0013724B"/>
    <w:rsid w:val="00137313"/>
    <w:rsid w:val="001373ED"/>
    <w:rsid w:val="00137428"/>
    <w:rsid w:val="00137478"/>
    <w:rsid w:val="001374E9"/>
    <w:rsid w:val="0013755D"/>
    <w:rsid w:val="00137607"/>
    <w:rsid w:val="00137617"/>
    <w:rsid w:val="00137638"/>
    <w:rsid w:val="00137692"/>
    <w:rsid w:val="001377AB"/>
    <w:rsid w:val="00137830"/>
    <w:rsid w:val="00137834"/>
    <w:rsid w:val="00137987"/>
    <w:rsid w:val="001379B3"/>
    <w:rsid w:val="00137AC3"/>
    <w:rsid w:val="00137ADF"/>
    <w:rsid w:val="00137B57"/>
    <w:rsid w:val="00137C2C"/>
    <w:rsid w:val="00137CF0"/>
    <w:rsid w:val="00137ED4"/>
    <w:rsid w:val="00137F1C"/>
    <w:rsid w:val="00137F6A"/>
    <w:rsid w:val="00137F8C"/>
    <w:rsid w:val="00137FEE"/>
    <w:rsid w:val="00140039"/>
    <w:rsid w:val="0014013A"/>
    <w:rsid w:val="0014028B"/>
    <w:rsid w:val="001402C3"/>
    <w:rsid w:val="001402C6"/>
    <w:rsid w:val="00140303"/>
    <w:rsid w:val="0014035E"/>
    <w:rsid w:val="00140450"/>
    <w:rsid w:val="0014052D"/>
    <w:rsid w:val="00140601"/>
    <w:rsid w:val="00140653"/>
    <w:rsid w:val="001406FE"/>
    <w:rsid w:val="0014071E"/>
    <w:rsid w:val="001407BD"/>
    <w:rsid w:val="001407CE"/>
    <w:rsid w:val="001407FE"/>
    <w:rsid w:val="0014080E"/>
    <w:rsid w:val="00140815"/>
    <w:rsid w:val="00140856"/>
    <w:rsid w:val="001408DF"/>
    <w:rsid w:val="00140952"/>
    <w:rsid w:val="00140954"/>
    <w:rsid w:val="00140A33"/>
    <w:rsid w:val="00140CB0"/>
    <w:rsid w:val="00140CE5"/>
    <w:rsid w:val="00140F8A"/>
    <w:rsid w:val="00140F99"/>
    <w:rsid w:val="00141056"/>
    <w:rsid w:val="0014107A"/>
    <w:rsid w:val="00141124"/>
    <w:rsid w:val="0014117A"/>
    <w:rsid w:val="00141189"/>
    <w:rsid w:val="00141195"/>
    <w:rsid w:val="001411D2"/>
    <w:rsid w:val="001411DA"/>
    <w:rsid w:val="001412B1"/>
    <w:rsid w:val="001412D3"/>
    <w:rsid w:val="001412E2"/>
    <w:rsid w:val="0014135D"/>
    <w:rsid w:val="00141447"/>
    <w:rsid w:val="001414A5"/>
    <w:rsid w:val="001414DE"/>
    <w:rsid w:val="0014156C"/>
    <w:rsid w:val="001416BA"/>
    <w:rsid w:val="001416E0"/>
    <w:rsid w:val="0014176A"/>
    <w:rsid w:val="0014178F"/>
    <w:rsid w:val="001417A1"/>
    <w:rsid w:val="001417D4"/>
    <w:rsid w:val="001417E2"/>
    <w:rsid w:val="001418B9"/>
    <w:rsid w:val="0014194F"/>
    <w:rsid w:val="001419E7"/>
    <w:rsid w:val="001419F8"/>
    <w:rsid w:val="00141C7D"/>
    <w:rsid w:val="00141C82"/>
    <w:rsid w:val="00141DE4"/>
    <w:rsid w:val="00141E3E"/>
    <w:rsid w:val="00141E62"/>
    <w:rsid w:val="00141F11"/>
    <w:rsid w:val="00141FD9"/>
    <w:rsid w:val="00142012"/>
    <w:rsid w:val="00142026"/>
    <w:rsid w:val="001420B5"/>
    <w:rsid w:val="001421ED"/>
    <w:rsid w:val="00142225"/>
    <w:rsid w:val="0014224D"/>
    <w:rsid w:val="00142299"/>
    <w:rsid w:val="001422C6"/>
    <w:rsid w:val="001422E3"/>
    <w:rsid w:val="001424C1"/>
    <w:rsid w:val="0014255D"/>
    <w:rsid w:val="001425B4"/>
    <w:rsid w:val="00142669"/>
    <w:rsid w:val="00142785"/>
    <w:rsid w:val="001427CA"/>
    <w:rsid w:val="00142886"/>
    <w:rsid w:val="0014288C"/>
    <w:rsid w:val="00142894"/>
    <w:rsid w:val="001428C0"/>
    <w:rsid w:val="00142924"/>
    <w:rsid w:val="00142996"/>
    <w:rsid w:val="00142AFD"/>
    <w:rsid w:val="00142B47"/>
    <w:rsid w:val="00142C67"/>
    <w:rsid w:val="00142D27"/>
    <w:rsid w:val="00142DF2"/>
    <w:rsid w:val="00142E4C"/>
    <w:rsid w:val="00142EFE"/>
    <w:rsid w:val="00142FB8"/>
    <w:rsid w:val="00143004"/>
    <w:rsid w:val="001430A0"/>
    <w:rsid w:val="001430AF"/>
    <w:rsid w:val="001432A5"/>
    <w:rsid w:val="001432E7"/>
    <w:rsid w:val="0014339D"/>
    <w:rsid w:val="00143497"/>
    <w:rsid w:val="001434A5"/>
    <w:rsid w:val="00143569"/>
    <w:rsid w:val="0014356C"/>
    <w:rsid w:val="001435F3"/>
    <w:rsid w:val="00143705"/>
    <w:rsid w:val="00143727"/>
    <w:rsid w:val="00143746"/>
    <w:rsid w:val="001437C5"/>
    <w:rsid w:val="00143867"/>
    <w:rsid w:val="001438D3"/>
    <w:rsid w:val="001439C8"/>
    <w:rsid w:val="00143A9E"/>
    <w:rsid w:val="00143ABF"/>
    <w:rsid w:val="00143B52"/>
    <w:rsid w:val="00143BFB"/>
    <w:rsid w:val="00143C35"/>
    <w:rsid w:val="00143CD7"/>
    <w:rsid w:val="00143D5A"/>
    <w:rsid w:val="00143EE4"/>
    <w:rsid w:val="00143EFA"/>
    <w:rsid w:val="00143F8B"/>
    <w:rsid w:val="00143FA0"/>
    <w:rsid w:val="00144276"/>
    <w:rsid w:val="0014431D"/>
    <w:rsid w:val="0014434E"/>
    <w:rsid w:val="00144497"/>
    <w:rsid w:val="0014449E"/>
    <w:rsid w:val="001445BE"/>
    <w:rsid w:val="001445C4"/>
    <w:rsid w:val="001445F2"/>
    <w:rsid w:val="0014464F"/>
    <w:rsid w:val="00144685"/>
    <w:rsid w:val="001446C1"/>
    <w:rsid w:val="001446CD"/>
    <w:rsid w:val="0014475E"/>
    <w:rsid w:val="001449A0"/>
    <w:rsid w:val="001449C4"/>
    <w:rsid w:val="00144A0C"/>
    <w:rsid w:val="00144A55"/>
    <w:rsid w:val="00144B42"/>
    <w:rsid w:val="00144B96"/>
    <w:rsid w:val="00144BD5"/>
    <w:rsid w:val="00144C20"/>
    <w:rsid w:val="00144C48"/>
    <w:rsid w:val="00144D47"/>
    <w:rsid w:val="00144D7C"/>
    <w:rsid w:val="00144DD0"/>
    <w:rsid w:val="00144E37"/>
    <w:rsid w:val="00144EEA"/>
    <w:rsid w:val="00144F49"/>
    <w:rsid w:val="00144FAD"/>
    <w:rsid w:val="00144FC5"/>
    <w:rsid w:val="001450D4"/>
    <w:rsid w:val="00145292"/>
    <w:rsid w:val="001452C3"/>
    <w:rsid w:val="001452D8"/>
    <w:rsid w:val="001455C0"/>
    <w:rsid w:val="0014563A"/>
    <w:rsid w:val="001457BA"/>
    <w:rsid w:val="00145923"/>
    <w:rsid w:val="00145928"/>
    <w:rsid w:val="001459D5"/>
    <w:rsid w:val="001459DA"/>
    <w:rsid w:val="001459F9"/>
    <w:rsid w:val="00145A8A"/>
    <w:rsid w:val="00145AE9"/>
    <w:rsid w:val="00145AFD"/>
    <w:rsid w:val="00145BF4"/>
    <w:rsid w:val="00145D23"/>
    <w:rsid w:val="00145EAF"/>
    <w:rsid w:val="00145F7D"/>
    <w:rsid w:val="00145F83"/>
    <w:rsid w:val="00145F84"/>
    <w:rsid w:val="0014602B"/>
    <w:rsid w:val="0014604D"/>
    <w:rsid w:val="0014609D"/>
    <w:rsid w:val="00146238"/>
    <w:rsid w:val="001463FD"/>
    <w:rsid w:val="0014645C"/>
    <w:rsid w:val="001464A6"/>
    <w:rsid w:val="0014657A"/>
    <w:rsid w:val="001465A9"/>
    <w:rsid w:val="001465BF"/>
    <w:rsid w:val="001465FD"/>
    <w:rsid w:val="0014674E"/>
    <w:rsid w:val="0014676A"/>
    <w:rsid w:val="00146782"/>
    <w:rsid w:val="00146800"/>
    <w:rsid w:val="00146949"/>
    <w:rsid w:val="0014695C"/>
    <w:rsid w:val="00146A1F"/>
    <w:rsid w:val="00146AEE"/>
    <w:rsid w:val="00146BBA"/>
    <w:rsid w:val="00146BC6"/>
    <w:rsid w:val="00146CE6"/>
    <w:rsid w:val="00146D7E"/>
    <w:rsid w:val="00146DAD"/>
    <w:rsid w:val="00146F84"/>
    <w:rsid w:val="00146FAD"/>
    <w:rsid w:val="00146FF0"/>
    <w:rsid w:val="00147007"/>
    <w:rsid w:val="0014704E"/>
    <w:rsid w:val="00147095"/>
    <w:rsid w:val="001470BF"/>
    <w:rsid w:val="001470F0"/>
    <w:rsid w:val="001471BC"/>
    <w:rsid w:val="001472F2"/>
    <w:rsid w:val="00147497"/>
    <w:rsid w:val="0014749B"/>
    <w:rsid w:val="001474AB"/>
    <w:rsid w:val="001474E2"/>
    <w:rsid w:val="00147567"/>
    <w:rsid w:val="0014766E"/>
    <w:rsid w:val="00147677"/>
    <w:rsid w:val="001476C6"/>
    <w:rsid w:val="00147702"/>
    <w:rsid w:val="001477A4"/>
    <w:rsid w:val="001477BA"/>
    <w:rsid w:val="001478E6"/>
    <w:rsid w:val="00147AD6"/>
    <w:rsid w:val="00147B2E"/>
    <w:rsid w:val="00147B5E"/>
    <w:rsid w:val="00147BF5"/>
    <w:rsid w:val="00147C8B"/>
    <w:rsid w:val="00147D95"/>
    <w:rsid w:val="00147E17"/>
    <w:rsid w:val="00147EBD"/>
    <w:rsid w:val="00147EEC"/>
    <w:rsid w:val="00147F63"/>
    <w:rsid w:val="00147FA3"/>
    <w:rsid w:val="001500DA"/>
    <w:rsid w:val="001500ED"/>
    <w:rsid w:val="001501B2"/>
    <w:rsid w:val="0015026F"/>
    <w:rsid w:val="00150325"/>
    <w:rsid w:val="00150335"/>
    <w:rsid w:val="001503B1"/>
    <w:rsid w:val="001503CF"/>
    <w:rsid w:val="001503E4"/>
    <w:rsid w:val="00150501"/>
    <w:rsid w:val="00150530"/>
    <w:rsid w:val="00150567"/>
    <w:rsid w:val="001505F4"/>
    <w:rsid w:val="0015065D"/>
    <w:rsid w:val="001506E7"/>
    <w:rsid w:val="00150708"/>
    <w:rsid w:val="001508A0"/>
    <w:rsid w:val="001508D7"/>
    <w:rsid w:val="001508E8"/>
    <w:rsid w:val="00150970"/>
    <w:rsid w:val="0015098C"/>
    <w:rsid w:val="00150A47"/>
    <w:rsid w:val="00150B2E"/>
    <w:rsid w:val="00150B30"/>
    <w:rsid w:val="00150E28"/>
    <w:rsid w:val="00150E8F"/>
    <w:rsid w:val="00150ED9"/>
    <w:rsid w:val="00150F37"/>
    <w:rsid w:val="00150F83"/>
    <w:rsid w:val="00150FDF"/>
    <w:rsid w:val="0015100E"/>
    <w:rsid w:val="00151024"/>
    <w:rsid w:val="00151075"/>
    <w:rsid w:val="00151274"/>
    <w:rsid w:val="00151347"/>
    <w:rsid w:val="0015140C"/>
    <w:rsid w:val="00151419"/>
    <w:rsid w:val="00151566"/>
    <w:rsid w:val="00151685"/>
    <w:rsid w:val="0015170E"/>
    <w:rsid w:val="00151743"/>
    <w:rsid w:val="0015175F"/>
    <w:rsid w:val="00151794"/>
    <w:rsid w:val="0015186D"/>
    <w:rsid w:val="0015189A"/>
    <w:rsid w:val="001518C6"/>
    <w:rsid w:val="00151913"/>
    <w:rsid w:val="0015196B"/>
    <w:rsid w:val="001519F4"/>
    <w:rsid w:val="00151A1C"/>
    <w:rsid w:val="00151A27"/>
    <w:rsid w:val="00151A36"/>
    <w:rsid w:val="00151AB7"/>
    <w:rsid w:val="00151B35"/>
    <w:rsid w:val="00151B53"/>
    <w:rsid w:val="00151BBD"/>
    <w:rsid w:val="00151C4E"/>
    <w:rsid w:val="00151D17"/>
    <w:rsid w:val="00151D37"/>
    <w:rsid w:val="00151EC9"/>
    <w:rsid w:val="00151EE8"/>
    <w:rsid w:val="00151F3D"/>
    <w:rsid w:val="00151F87"/>
    <w:rsid w:val="0015209E"/>
    <w:rsid w:val="001520F4"/>
    <w:rsid w:val="0015218D"/>
    <w:rsid w:val="0015225B"/>
    <w:rsid w:val="00152281"/>
    <w:rsid w:val="001522C0"/>
    <w:rsid w:val="001522EC"/>
    <w:rsid w:val="00152339"/>
    <w:rsid w:val="00152381"/>
    <w:rsid w:val="0015247B"/>
    <w:rsid w:val="001526AF"/>
    <w:rsid w:val="001526C9"/>
    <w:rsid w:val="00152775"/>
    <w:rsid w:val="001528D5"/>
    <w:rsid w:val="00152954"/>
    <w:rsid w:val="00152A29"/>
    <w:rsid w:val="00152A68"/>
    <w:rsid w:val="00152ABC"/>
    <w:rsid w:val="00152AF7"/>
    <w:rsid w:val="00152B59"/>
    <w:rsid w:val="00152B77"/>
    <w:rsid w:val="00152BCE"/>
    <w:rsid w:val="00152C38"/>
    <w:rsid w:val="00152C45"/>
    <w:rsid w:val="00152CC9"/>
    <w:rsid w:val="00152E3C"/>
    <w:rsid w:val="00152F97"/>
    <w:rsid w:val="00152FB3"/>
    <w:rsid w:val="00152FC7"/>
    <w:rsid w:val="001530E1"/>
    <w:rsid w:val="001530EB"/>
    <w:rsid w:val="00153147"/>
    <w:rsid w:val="001531CA"/>
    <w:rsid w:val="00153299"/>
    <w:rsid w:val="00153317"/>
    <w:rsid w:val="001534BF"/>
    <w:rsid w:val="00153569"/>
    <w:rsid w:val="00153596"/>
    <w:rsid w:val="0015364F"/>
    <w:rsid w:val="001536B5"/>
    <w:rsid w:val="00153724"/>
    <w:rsid w:val="00153736"/>
    <w:rsid w:val="00153771"/>
    <w:rsid w:val="00153829"/>
    <w:rsid w:val="00153924"/>
    <w:rsid w:val="0015393E"/>
    <w:rsid w:val="001539D9"/>
    <w:rsid w:val="00153A44"/>
    <w:rsid w:val="00153A4C"/>
    <w:rsid w:val="00153AAD"/>
    <w:rsid w:val="00153BD2"/>
    <w:rsid w:val="00153D1D"/>
    <w:rsid w:val="00153E63"/>
    <w:rsid w:val="00153E7E"/>
    <w:rsid w:val="00153E91"/>
    <w:rsid w:val="00153EDB"/>
    <w:rsid w:val="00153EF7"/>
    <w:rsid w:val="001540E3"/>
    <w:rsid w:val="00154383"/>
    <w:rsid w:val="001543C4"/>
    <w:rsid w:val="001544BF"/>
    <w:rsid w:val="00154511"/>
    <w:rsid w:val="00154519"/>
    <w:rsid w:val="00154566"/>
    <w:rsid w:val="001545C1"/>
    <w:rsid w:val="001545D5"/>
    <w:rsid w:val="00154645"/>
    <w:rsid w:val="001546A3"/>
    <w:rsid w:val="001546F6"/>
    <w:rsid w:val="0015480C"/>
    <w:rsid w:val="0015482A"/>
    <w:rsid w:val="00154861"/>
    <w:rsid w:val="001548B4"/>
    <w:rsid w:val="00154A47"/>
    <w:rsid w:val="00154CCE"/>
    <w:rsid w:val="00154EFD"/>
    <w:rsid w:val="00154FD9"/>
    <w:rsid w:val="00154FDA"/>
    <w:rsid w:val="00155022"/>
    <w:rsid w:val="00155097"/>
    <w:rsid w:val="001550FA"/>
    <w:rsid w:val="0015511A"/>
    <w:rsid w:val="0015511D"/>
    <w:rsid w:val="00155184"/>
    <w:rsid w:val="001551E9"/>
    <w:rsid w:val="0015528F"/>
    <w:rsid w:val="001552C6"/>
    <w:rsid w:val="001552EF"/>
    <w:rsid w:val="00155356"/>
    <w:rsid w:val="001553A5"/>
    <w:rsid w:val="001553FB"/>
    <w:rsid w:val="00155430"/>
    <w:rsid w:val="0015553F"/>
    <w:rsid w:val="00155540"/>
    <w:rsid w:val="0015558B"/>
    <w:rsid w:val="0015562E"/>
    <w:rsid w:val="0015564B"/>
    <w:rsid w:val="001556A9"/>
    <w:rsid w:val="001557F5"/>
    <w:rsid w:val="00155830"/>
    <w:rsid w:val="00155A01"/>
    <w:rsid w:val="00155A35"/>
    <w:rsid w:val="00155A6A"/>
    <w:rsid w:val="00155B3D"/>
    <w:rsid w:val="00155C64"/>
    <w:rsid w:val="00155C6D"/>
    <w:rsid w:val="00155E4B"/>
    <w:rsid w:val="00155EED"/>
    <w:rsid w:val="00155F47"/>
    <w:rsid w:val="00155FBF"/>
    <w:rsid w:val="001560D1"/>
    <w:rsid w:val="001561BF"/>
    <w:rsid w:val="001561C7"/>
    <w:rsid w:val="0015626B"/>
    <w:rsid w:val="00156384"/>
    <w:rsid w:val="001563D7"/>
    <w:rsid w:val="00156597"/>
    <w:rsid w:val="001565DB"/>
    <w:rsid w:val="00156643"/>
    <w:rsid w:val="00156792"/>
    <w:rsid w:val="00156822"/>
    <w:rsid w:val="0015689D"/>
    <w:rsid w:val="001568CD"/>
    <w:rsid w:val="00156934"/>
    <w:rsid w:val="00156A5B"/>
    <w:rsid w:val="00156A8D"/>
    <w:rsid w:val="00156BAE"/>
    <w:rsid w:val="00156C11"/>
    <w:rsid w:val="00156C22"/>
    <w:rsid w:val="00156D8C"/>
    <w:rsid w:val="00156E88"/>
    <w:rsid w:val="00156EAC"/>
    <w:rsid w:val="00156F5B"/>
    <w:rsid w:val="00157089"/>
    <w:rsid w:val="0015712C"/>
    <w:rsid w:val="001571D2"/>
    <w:rsid w:val="001572F0"/>
    <w:rsid w:val="0015734B"/>
    <w:rsid w:val="0015734E"/>
    <w:rsid w:val="0015737A"/>
    <w:rsid w:val="001573C5"/>
    <w:rsid w:val="00157466"/>
    <w:rsid w:val="00157484"/>
    <w:rsid w:val="00157541"/>
    <w:rsid w:val="00157608"/>
    <w:rsid w:val="00157809"/>
    <w:rsid w:val="00157848"/>
    <w:rsid w:val="00157865"/>
    <w:rsid w:val="001578B3"/>
    <w:rsid w:val="001578BF"/>
    <w:rsid w:val="001578FD"/>
    <w:rsid w:val="00157A72"/>
    <w:rsid w:val="00157A9C"/>
    <w:rsid w:val="00157AEB"/>
    <w:rsid w:val="00157B08"/>
    <w:rsid w:val="00157B7E"/>
    <w:rsid w:val="00157CA2"/>
    <w:rsid w:val="00157DA0"/>
    <w:rsid w:val="00157ED9"/>
    <w:rsid w:val="00160005"/>
    <w:rsid w:val="0016000C"/>
    <w:rsid w:val="00160071"/>
    <w:rsid w:val="001601EB"/>
    <w:rsid w:val="001602EA"/>
    <w:rsid w:val="001602ED"/>
    <w:rsid w:val="00160459"/>
    <w:rsid w:val="001606C6"/>
    <w:rsid w:val="0016075C"/>
    <w:rsid w:val="00160832"/>
    <w:rsid w:val="00160842"/>
    <w:rsid w:val="00160968"/>
    <w:rsid w:val="001609C9"/>
    <w:rsid w:val="00160A48"/>
    <w:rsid w:val="00160A54"/>
    <w:rsid w:val="00160AB6"/>
    <w:rsid w:val="00160B5E"/>
    <w:rsid w:val="00160B62"/>
    <w:rsid w:val="00160B69"/>
    <w:rsid w:val="00160B83"/>
    <w:rsid w:val="00160BDF"/>
    <w:rsid w:val="00160C25"/>
    <w:rsid w:val="00160C46"/>
    <w:rsid w:val="00160D6F"/>
    <w:rsid w:val="00160E69"/>
    <w:rsid w:val="00160F26"/>
    <w:rsid w:val="00160F88"/>
    <w:rsid w:val="00160F95"/>
    <w:rsid w:val="00160FAA"/>
    <w:rsid w:val="00160FBD"/>
    <w:rsid w:val="001611DE"/>
    <w:rsid w:val="0016146B"/>
    <w:rsid w:val="001614AB"/>
    <w:rsid w:val="001614BA"/>
    <w:rsid w:val="001614F3"/>
    <w:rsid w:val="00161552"/>
    <w:rsid w:val="00161564"/>
    <w:rsid w:val="00161578"/>
    <w:rsid w:val="001616B1"/>
    <w:rsid w:val="00161791"/>
    <w:rsid w:val="001617DD"/>
    <w:rsid w:val="001618E7"/>
    <w:rsid w:val="0016194F"/>
    <w:rsid w:val="00161959"/>
    <w:rsid w:val="00161A91"/>
    <w:rsid w:val="00161C42"/>
    <w:rsid w:val="00161CC2"/>
    <w:rsid w:val="00161CE9"/>
    <w:rsid w:val="00161DFB"/>
    <w:rsid w:val="00161E84"/>
    <w:rsid w:val="00161EA8"/>
    <w:rsid w:val="00161F1C"/>
    <w:rsid w:val="00161F74"/>
    <w:rsid w:val="00161FAB"/>
    <w:rsid w:val="00161FD7"/>
    <w:rsid w:val="0016205C"/>
    <w:rsid w:val="00162151"/>
    <w:rsid w:val="00162198"/>
    <w:rsid w:val="00162307"/>
    <w:rsid w:val="00162399"/>
    <w:rsid w:val="001623AA"/>
    <w:rsid w:val="0016243C"/>
    <w:rsid w:val="00162570"/>
    <w:rsid w:val="001625EC"/>
    <w:rsid w:val="0016266E"/>
    <w:rsid w:val="00162684"/>
    <w:rsid w:val="00162738"/>
    <w:rsid w:val="00162817"/>
    <w:rsid w:val="001628E4"/>
    <w:rsid w:val="00162913"/>
    <w:rsid w:val="0016294E"/>
    <w:rsid w:val="001629D5"/>
    <w:rsid w:val="00162D08"/>
    <w:rsid w:val="00162DA8"/>
    <w:rsid w:val="00162EFF"/>
    <w:rsid w:val="00162F05"/>
    <w:rsid w:val="00162F99"/>
    <w:rsid w:val="00163123"/>
    <w:rsid w:val="00163153"/>
    <w:rsid w:val="001631FE"/>
    <w:rsid w:val="00163261"/>
    <w:rsid w:val="00163417"/>
    <w:rsid w:val="00163436"/>
    <w:rsid w:val="00163478"/>
    <w:rsid w:val="001634A8"/>
    <w:rsid w:val="00163564"/>
    <w:rsid w:val="001635DE"/>
    <w:rsid w:val="00163631"/>
    <w:rsid w:val="0016367D"/>
    <w:rsid w:val="001636C7"/>
    <w:rsid w:val="001639DB"/>
    <w:rsid w:val="00163AE3"/>
    <w:rsid w:val="00163B67"/>
    <w:rsid w:val="00163BEB"/>
    <w:rsid w:val="00163C49"/>
    <w:rsid w:val="00163D55"/>
    <w:rsid w:val="00163EAF"/>
    <w:rsid w:val="00163EE4"/>
    <w:rsid w:val="001640AF"/>
    <w:rsid w:val="001640F1"/>
    <w:rsid w:val="00164149"/>
    <w:rsid w:val="00164227"/>
    <w:rsid w:val="0016422B"/>
    <w:rsid w:val="00164276"/>
    <w:rsid w:val="0016428A"/>
    <w:rsid w:val="001642DB"/>
    <w:rsid w:val="00164546"/>
    <w:rsid w:val="00164557"/>
    <w:rsid w:val="00164634"/>
    <w:rsid w:val="00164713"/>
    <w:rsid w:val="001648DF"/>
    <w:rsid w:val="0016496A"/>
    <w:rsid w:val="001649A1"/>
    <w:rsid w:val="001649FE"/>
    <w:rsid w:val="00164A3B"/>
    <w:rsid w:val="00164A74"/>
    <w:rsid w:val="00164A80"/>
    <w:rsid w:val="00164A8A"/>
    <w:rsid w:val="00164ABD"/>
    <w:rsid w:val="00164AC8"/>
    <w:rsid w:val="00164C1A"/>
    <w:rsid w:val="00164C5A"/>
    <w:rsid w:val="00164CE1"/>
    <w:rsid w:val="00164CF9"/>
    <w:rsid w:val="00164D08"/>
    <w:rsid w:val="00164E6A"/>
    <w:rsid w:val="00164EFC"/>
    <w:rsid w:val="00164F4B"/>
    <w:rsid w:val="00164FFE"/>
    <w:rsid w:val="0016505E"/>
    <w:rsid w:val="00165088"/>
    <w:rsid w:val="001650D6"/>
    <w:rsid w:val="001650FB"/>
    <w:rsid w:val="0016514C"/>
    <w:rsid w:val="001651AB"/>
    <w:rsid w:val="00165267"/>
    <w:rsid w:val="001652E1"/>
    <w:rsid w:val="00165324"/>
    <w:rsid w:val="00165442"/>
    <w:rsid w:val="00165462"/>
    <w:rsid w:val="0016547F"/>
    <w:rsid w:val="001654B3"/>
    <w:rsid w:val="001654E8"/>
    <w:rsid w:val="00165632"/>
    <w:rsid w:val="00165709"/>
    <w:rsid w:val="0016573D"/>
    <w:rsid w:val="001657E2"/>
    <w:rsid w:val="001658C6"/>
    <w:rsid w:val="001659CF"/>
    <w:rsid w:val="001659D3"/>
    <w:rsid w:val="00165A6F"/>
    <w:rsid w:val="00165A89"/>
    <w:rsid w:val="00165AB6"/>
    <w:rsid w:val="00165AD3"/>
    <w:rsid w:val="00165CF1"/>
    <w:rsid w:val="00165F4C"/>
    <w:rsid w:val="00165F7E"/>
    <w:rsid w:val="00165FF4"/>
    <w:rsid w:val="001660AD"/>
    <w:rsid w:val="001660E9"/>
    <w:rsid w:val="0016618E"/>
    <w:rsid w:val="001661E7"/>
    <w:rsid w:val="00166257"/>
    <w:rsid w:val="00166397"/>
    <w:rsid w:val="001663F2"/>
    <w:rsid w:val="0016659B"/>
    <w:rsid w:val="001667E1"/>
    <w:rsid w:val="0016681B"/>
    <w:rsid w:val="00166871"/>
    <w:rsid w:val="001668C2"/>
    <w:rsid w:val="00166A1B"/>
    <w:rsid w:val="00166A5D"/>
    <w:rsid w:val="00166A85"/>
    <w:rsid w:val="00166A89"/>
    <w:rsid w:val="00166AFB"/>
    <w:rsid w:val="00166B52"/>
    <w:rsid w:val="00166CE8"/>
    <w:rsid w:val="00166D1C"/>
    <w:rsid w:val="00166D33"/>
    <w:rsid w:val="00166D91"/>
    <w:rsid w:val="00166DAA"/>
    <w:rsid w:val="00166DE9"/>
    <w:rsid w:val="00166EA8"/>
    <w:rsid w:val="00166EAB"/>
    <w:rsid w:val="00166F6B"/>
    <w:rsid w:val="0016705C"/>
    <w:rsid w:val="0016706A"/>
    <w:rsid w:val="00167075"/>
    <w:rsid w:val="001670E8"/>
    <w:rsid w:val="00167112"/>
    <w:rsid w:val="00167168"/>
    <w:rsid w:val="0016716F"/>
    <w:rsid w:val="001671C3"/>
    <w:rsid w:val="001671D3"/>
    <w:rsid w:val="0016724E"/>
    <w:rsid w:val="00167451"/>
    <w:rsid w:val="001674B6"/>
    <w:rsid w:val="00167544"/>
    <w:rsid w:val="001675A9"/>
    <w:rsid w:val="00167676"/>
    <w:rsid w:val="001676C0"/>
    <w:rsid w:val="001677D1"/>
    <w:rsid w:val="00167840"/>
    <w:rsid w:val="00167857"/>
    <w:rsid w:val="00167932"/>
    <w:rsid w:val="00167B86"/>
    <w:rsid w:val="00167C22"/>
    <w:rsid w:val="00167C61"/>
    <w:rsid w:val="00167C7E"/>
    <w:rsid w:val="00170076"/>
    <w:rsid w:val="001700B3"/>
    <w:rsid w:val="001700C3"/>
    <w:rsid w:val="001700D4"/>
    <w:rsid w:val="001700EF"/>
    <w:rsid w:val="001700FA"/>
    <w:rsid w:val="00170110"/>
    <w:rsid w:val="00170160"/>
    <w:rsid w:val="0017018D"/>
    <w:rsid w:val="00170298"/>
    <w:rsid w:val="001702DF"/>
    <w:rsid w:val="00170321"/>
    <w:rsid w:val="0017048C"/>
    <w:rsid w:val="001704C5"/>
    <w:rsid w:val="00170562"/>
    <w:rsid w:val="001705BA"/>
    <w:rsid w:val="001706B6"/>
    <w:rsid w:val="00170708"/>
    <w:rsid w:val="001709D1"/>
    <w:rsid w:val="00170ADB"/>
    <w:rsid w:val="00170AE0"/>
    <w:rsid w:val="00170AEE"/>
    <w:rsid w:val="00170BB9"/>
    <w:rsid w:val="00170BC4"/>
    <w:rsid w:val="00170BEA"/>
    <w:rsid w:val="00170C3E"/>
    <w:rsid w:val="00170C77"/>
    <w:rsid w:val="00170C7E"/>
    <w:rsid w:val="00170E2C"/>
    <w:rsid w:val="00170FC2"/>
    <w:rsid w:val="001710C9"/>
    <w:rsid w:val="0017110D"/>
    <w:rsid w:val="001711A3"/>
    <w:rsid w:val="001711DF"/>
    <w:rsid w:val="001711E3"/>
    <w:rsid w:val="001711F9"/>
    <w:rsid w:val="001712FA"/>
    <w:rsid w:val="0017140E"/>
    <w:rsid w:val="0017149D"/>
    <w:rsid w:val="00171607"/>
    <w:rsid w:val="0017165E"/>
    <w:rsid w:val="00171717"/>
    <w:rsid w:val="0017180E"/>
    <w:rsid w:val="00171881"/>
    <w:rsid w:val="0017188E"/>
    <w:rsid w:val="00171936"/>
    <w:rsid w:val="0017194C"/>
    <w:rsid w:val="00171A0D"/>
    <w:rsid w:val="00171A42"/>
    <w:rsid w:val="00171ADD"/>
    <w:rsid w:val="00171E0C"/>
    <w:rsid w:val="00171E1F"/>
    <w:rsid w:val="00171EDD"/>
    <w:rsid w:val="00171F12"/>
    <w:rsid w:val="00171FC9"/>
    <w:rsid w:val="00171FEA"/>
    <w:rsid w:val="0017204A"/>
    <w:rsid w:val="00172096"/>
    <w:rsid w:val="001720E2"/>
    <w:rsid w:val="00172106"/>
    <w:rsid w:val="00172108"/>
    <w:rsid w:val="0017218B"/>
    <w:rsid w:val="001722CF"/>
    <w:rsid w:val="00172388"/>
    <w:rsid w:val="001723A4"/>
    <w:rsid w:val="0017246B"/>
    <w:rsid w:val="00172582"/>
    <w:rsid w:val="00172622"/>
    <w:rsid w:val="00172676"/>
    <w:rsid w:val="001726ED"/>
    <w:rsid w:val="00172730"/>
    <w:rsid w:val="001727AD"/>
    <w:rsid w:val="001727FA"/>
    <w:rsid w:val="00172865"/>
    <w:rsid w:val="0017286C"/>
    <w:rsid w:val="0017289E"/>
    <w:rsid w:val="001728D6"/>
    <w:rsid w:val="0017292F"/>
    <w:rsid w:val="00172934"/>
    <w:rsid w:val="0017294A"/>
    <w:rsid w:val="00172A2C"/>
    <w:rsid w:val="00172A61"/>
    <w:rsid w:val="00172A84"/>
    <w:rsid w:val="00172B7E"/>
    <w:rsid w:val="00172BF9"/>
    <w:rsid w:val="00172C19"/>
    <w:rsid w:val="00172CA6"/>
    <w:rsid w:val="00172E20"/>
    <w:rsid w:val="00172E21"/>
    <w:rsid w:val="00172E69"/>
    <w:rsid w:val="00172ED2"/>
    <w:rsid w:val="00172F2B"/>
    <w:rsid w:val="0017303E"/>
    <w:rsid w:val="00173113"/>
    <w:rsid w:val="00173181"/>
    <w:rsid w:val="001731BC"/>
    <w:rsid w:val="0017339E"/>
    <w:rsid w:val="0017341E"/>
    <w:rsid w:val="001734D2"/>
    <w:rsid w:val="00173585"/>
    <w:rsid w:val="0017358C"/>
    <w:rsid w:val="0017363E"/>
    <w:rsid w:val="0017367A"/>
    <w:rsid w:val="00173696"/>
    <w:rsid w:val="001736C9"/>
    <w:rsid w:val="0017378A"/>
    <w:rsid w:val="00173796"/>
    <w:rsid w:val="00173859"/>
    <w:rsid w:val="001738D9"/>
    <w:rsid w:val="00173943"/>
    <w:rsid w:val="00173A38"/>
    <w:rsid w:val="00173B35"/>
    <w:rsid w:val="00173B69"/>
    <w:rsid w:val="00173D00"/>
    <w:rsid w:val="00173D25"/>
    <w:rsid w:val="00173D76"/>
    <w:rsid w:val="00173EB1"/>
    <w:rsid w:val="00173EBB"/>
    <w:rsid w:val="00173EBC"/>
    <w:rsid w:val="00173F8F"/>
    <w:rsid w:val="00173FDF"/>
    <w:rsid w:val="0017400A"/>
    <w:rsid w:val="001740A4"/>
    <w:rsid w:val="001740A9"/>
    <w:rsid w:val="0017412A"/>
    <w:rsid w:val="001741B1"/>
    <w:rsid w:val="00174277"/>
    <w:rsid w:val="00174298"/>
    <w:rsid w:val="001742DD"/>
    <w:rsid w:val="001742E9"/>
    <w:rsid w:val="00174369"/>
    <w:rsid w:val="001743CF"/>
    <w:rsid w:val="0017453E"/>
    <w:rsid w:val="00174590"/>
    <w:rsid w:val="0017467B"/>
    <w:rsid w:val="001746FE"/>
    <w:rsid w:val="00174796"/>
    <w:rsid w:val="00174906"/>
    <w:rsid w:val="00174929"/>
    <w:rsid w:val="00174940"/>
    <w:rsid w:val="00174B02"/>
    <w:rsid w:val="00174D47"/>
    <w:rsid w:val="00174D69"/>
    <w:rsid w:val="00174E15"/>
    <w:rsid w:val="00174E5C"/>
    <w:rsid w:val="00174E7F"/>
    <w:rsid w:val="00174EF9"/>
    <w:rsid w:val="0017528B"/>
    <w:rsid w:val="001752E9"/>
    <w:rsid w:val="00175443"/>
    <w:rsid w:val="0017548B"/>
    <w:rsid w:val="0017551A"/>
    <w:rsid w:val="00175564"/>
    <w:rsid w:val="001756CC"/>
    <w:rsid w:val="00175889"/>
    <w:rsid w:val="001758AF"/>
    <w:rsid w:val="001759F0"/>
    <w:rsid w:val="001759FB"/>
    <w:rsid w:val="00175A01"/>
    <w:rsid w:val="00175A23"/>
    <w:rsid w:val="00175AC8"/>
    <w:rsid w:val="00175BAA"/>
    <w:rsid w:val="00175BF8"/>
    <w:rsid w:val="00175C93"/>
    <w:rsid w:val="00175D0F"/>
    <w:rsid w:val="00175D94"/>
    <w:rsid w:val="00175E16"/>
    <w:rsid w:val="00175EBA"/>
    <w:rsid w:val="00175EDC"/>
    <w:rsid w:val="00175F69"/>
    <w:rsid w:val="00175F6B"/>
    <w:rsid w:val="0017610B"/>
    <w:rsid w:val="001761D1"/>
    <w:rsid w:val="001761F2"/>
    <w:rsid w:val="00176259"/>
    <w:rsid w:val="0017625B"/>
    <w:rsid w:val="001762B9"/>
    <w:rsid w:val="001762EA"/>
    <w:rsid w:val="00176339"/>
    <w:rsid w:val="00176354"/>
    <w:rsid w:val="001763B5"/>
    <w:rsid w:val="00176402"/>
    <w:rsid w:val="0017645D"/>
    <w:rsid w:val="001764C9"/>
    <w:rsid w:val="00176594"/>
    <w:rsid w:val="001765EA"/>
    <w:rsid w:val="0017664B"/>
    <w:rsid w:val="001766DC"/>
    <w:rsid w:val="00176770"/>
    <w:rsid w:val="001767D2"/>
    <w:rsid w:val="001767E2"/>
    <w:rsid w:val="001767ED"/>
    <w:rsid w:val="0017680B"/>
    <w:rsid w:val="001768BB"/>
    <w:rsid w:val="0017693D"/>
    <w:rsid w:val="00176949"/>
    <w:rsid w:val="00176960"/>
    <w:rsid w:val="0017699C"/>
    <w:rsid w:val="001769CE"/>
    <w:rsid w:val="00176A48"/>
    <w:rsid w:val="00176C79"/>
    <w:rsid w:val="00176D08"/>
    <w:rsid w:val="00176D82"/>
    <w:rsid w:val="00176E1E"/>
    <w:rsid w:val="00176E9E"/>
    <w:rsid w:val="00176F60"/>
    <w:rsid w:val="00176FE3"/>
    <w:rsid w:val="0017726A"/>
    <w:rsid w:val="00177337"/>
    <w:rsid w:val="001773AD"/>
    <w:rsid w:val="001773DC"/>
    <w:rsid w:val="001773F7"/>
    <w:rsid w:val="001775F1"/>
    <w:rsid w:val="001777B6"/>
    <w:rsid w:val="001777CC"/>
    <w:rsid w:val="0017793F"/>
    <w:rsid w:val="001779B2"/>
    <w:rsid w:val="001779CF"/>
    <w:rsid w:val="00177A09"/>
    <w:rsid w:val="00177AE2"/>
    <w:rsid w:val="00177AEA"/>
    <w:rsid w:val="00177CB8"/>
    <w:rsid w:val="00177D68"/>
    <w:rsid w:val="00177E03"/>
    <w:rsid w:val="00177E1E"/>
    <w:rsid w:val="00177EC5"/>
    <w:rsid w:val="00177F89"/>
    <w:rsid w:val="00177F98"/>
    <w:rsid w:val="00177FDA"/>
    <w:rsid w:val="00180059"/>
    <w:rsid w:val="0018008B"/>
    <w:rsid w:val="00180207"/>
    <w:rsid w:val="00180437"/>
    <w:rsid w:val="00180494"/>
    <w:rsid w:val="001804BB"/>
    <w:rsid w:val="00180745"/>
    <w:rsid w:val="00180803"/>
    <w:rsid w:val="00180805"/>
    <w:rsid w:val="00180809"/>
    <w:rsid w:val="0018080E"/>
    <w:rsid w:val="00180861"/>
    <w:rsid w:val="001808A3"/>
    <w:rsid w:val="001808B4"/>
    <w:rsid w:val="00180934"/>
    <w:rsid w:val="00180936"/>
    <w:rsid w:val="00180967"/>
    <w:rsid w:val="001809AF"/>
    <w:rsid w:val="001809B8"/>
    <w:rsid w:val="00180AEB"/>
    <w:rsid w:val="00180B38"/>
    <w:rsid w:val="00180BB7"/>
    <w:rsid w:val="00180CD4"/>
    <w:rsid w:val="00180D28"/>
    <w:rsid w:val="00180DD2"/>
    <w:rsid w:val="00180E8B"/>
    <w:rsid w:val="00180F42"/>
    <w:rsid w:val="001810D4"/>
    <w:rsid w:val="00181102"/>
    <w:rsid w:val="00181106"/>
    <w:rsid w:val="00181128"/>
    <w:rsid w:val="00181149"/>
    <w:rsid w:val="0018122B"/>
    <w:rsid w:val="0018130C"/>
    <w:rsid w:val="00181333"/>
    <w:rsid w:val="00181370"/>
    <w:rsid w:val="001813BE"/>
    <w:rsid w:val="001814BE"/>
    <w:rsid w:val="00181519"/>
    <w:rsid w:val="00181525"/>
    <w:rsid w:val="0018153E"/>
    <w:rsid w:val="0018157B"/>
    <w:rsid w:val="0018158D"/>
    <w:rsid w:val="00181736"/>
    <w:rsid w:val="0018175B"/>
    <w:rsid w:val="001817EF"/>
    <w:rsid w:val="00181852"/>
    <w:rsid w:val="001818F7"/>
    <w:rsid w:val="00181902"/>
    <w:rsid w:val="0018199D"/>
    <w:rsid w:val="001819D8"/>
    <w:rsid w:val="001819E4"/>
    <w:rsid w:val="00181AD7"/>
    <w:rsid w:val="00181C2F"/>
    <w:rsid w:val="00181D6E"/>
    <w:rsid w:val="00181E2F"/>
    <w:rsid w:val="00181ECE"/>
    <w:rsid w:val="00181EE4"/>
    <w:rsid w:val="00181EEB"/>
    <w:rsid w:val="00181F20"/>
    <w:rsid w:val="00181F94"/>
    <w:rsid w:val="00181FE8"/>
    <w:rsid w:val="00182055"/>
    <w:rsid w:val="001821EC"/>
    <w:rsid w:val="001822C3"/>
    <w:rsid w:val="0018233A"/>
    <w:rsid w:val="0018249E"/>
    <w:rsid w:val="0018251D"/>
    <w:rsid w:val="00182575"/>
    <w:rsid w:val="00182816"/>
    <w:rsid w:val="00182828"/>
    <w:rsid w:val="00182849"/>
    <w:rsid w:val="0018285B"/>
    <w:rsid w:val="00182896"/>
    <w:rsid w:val="001828E6"/>
    <w:rsid w:val="00182973"/>
    <w:rsid w:val="00182996"/>
    <w:rsid w:val="00182A8D"/>
    <w:rsid w:val="00182A94"/>
    <w:rsid w:val="00182AE3"/>
    <w:rsid w:val="00182B90"/>
    <w:rsid w:val="00182BB4"/>
    <w:rsid w:val="00182BDD"/>
    <w:rsid w:val="00182C12"/>
    <w:rsid w:val="00182D9A"/>
    <w:rsid w:val="00182E4A"/>
    <w:rsid w:val="00182EC9"/>
    <w:rsid w:val="00182F1D"/>
    <w:rsid w:val="00182F59"/>
    <w:rsid w:val="0018303B"/>
    <w:rsid w:val="0018304D"/>
    <w:rsid w:val="0018306A"/>
    <w:rsid w:val="0018308A"/>
    <w:rsid w:val="0018308E"/>
    <w:rsid w:val="0018329F"/>
    <w:rsid w:val="00183309"/>
    <w:rsid w:val="00183332"/>
    <w:rsid w:val="001833B3"/>
    <w:rsid w:val="001833B4"/>
    <w:rsid w:val="001833DB"/>
    <w:rsid w:val="00183546"/>
    <w:rsid w:val="001835A5"/>
    <w:rsid w:val="0018375D"/>
    <w:rsid w:val="001837DA"/>
    <w:rsid w:val="0018385F"/>
    <w:rsid w:val="00183A46"/>
    <w:rsid w:val="00183AE4"/>
    <w:rsid w:val="00183C18"/>
    <w:rsid w:val="00183C90"/>
    <w:rsid w:val="00183CB7"/>
    <w:rsid w:val="00183D96"/>
    <w:rsid w:val="00183E3E"/>
    <w:rsid w:val="00183E75"/>
    <w:rsid w:val="00183EE7"/>
    <w:rsid w:val="00183EEB"/>
    <w:rsid w:val="00183F37"/>
    <w:rsid w:val="00183F7D"/>
    <w:rsid w:val="00183FEC"/>
    <w:rsid w:val="00184065"/>
    <w:rsid w:val="0018422C"/>
    <w:rsid w:val="0018423C"/>
    <w:rsid w:val="00184290"/>
    <w:rsid w:val="0018429F"/>
    <w:rsid w:val="001842C4"/>
    <w:rsid w:val="001842FA"/>
    <w:rsid w:val="001843BD"/>
    <w:rsid w:val="0018442F"/>
    <w:rsid w:val="00184592"/>
    <w:rsid w:val="001845AA"/>
    <w:rsid w:val="00184817"/>
    <w:rsid w:val="0018491C"/>
    <w:rsid w:val="001849F9"/>
    <w:rsid w:val="00184A84"/>
    <w:rsid w:val="00184A92"/>
    <w:rsid w:val="00184AA1"/>
    <w:rsid w:val="00184AF0"/>
    <w:rsid w:val="00184C89"/>
    <w:rsid w:val="00184D34"/>
    <w:rsid w:val="00184EB3"/>
    <w:rsid w:val="00184F96"/>
    <w:rsid w:val="00184F9B"/>
    <w:rsid w:val="00184F9F"/>
    <w:rsid w:val="00185181"/>
    <w:rsid w:val="0018526E"/>
    <w:rsid w:val="001852BE"/>
    <w:rsid w:val="001852FD"/>
    <w:rsid w:val="001853FC"/>
    <w:rsid w:val="00185492"/>
    <w:rsid w:val="00185557"/>
    <w:rsid w:val="00185644"/>
    <w:rsid w:val="0018576B"/>
    <w:rsid w:val="001857E6"/>
    <w:rsid w:val="00185802"/>
    <w:rsid w:val="00185850"/>
    <w:rsid w:val="00185956"/>
    <w:rsid w:val="001859B2"/>
    <w:rsid w:val="00185A32"/>
    <w:rsid w:val="00185B6D"/>
    <w:rsid w:val="00185BA7"/>
    <w:rsid w:val="00185BC0"/>
    <w:rsid w:val="00185D36"/>
    <w:rsid w:val="00185E03"/>
    <w:rsid w:val="00185E75"/>
    <w:rsid w:val="00185F07"/>
    <w:rsid w:val="00185F4F"/>
    <w:rsid w:val="00185FD7"/>
    <w:rsid w:val="001860AA"/>
    <w:rsid w:val="00186104"/>
    <w:rsid w:val="0018619D"/>
    <w:rsid w:val="00186247"/>
    <w:rsid w:val="00186314"/>
    <w:rsid w:val="00186353"/>
    <w:rsid w:val="0018641A"/>
    <w:rsid w:val="001864AC"/>
    <w:rsid w:val="001864E5"/>
    <w:rsid w:val="001864ED"/>
    <w:rsid w:val="0018660D"/>
    <w:rsid w:val="00186678"/>
    <w:rsid w:val="0018669A"/>
    <w:rsid w:val="001866F8"/>
    <w:rsid w:val="001867C7"/>
    <w:rsid w:val="001867E2"/>
    <w:rsid w:val="00186841"/>
    <w:rsid w:val="0018684D"/>
    <w:rsid w:val="00186986"/>
    <w:rsid w:val="001869BC"/>
    <w:rsid w:val="00186A2B"/>
    <w:rsid w:val="00186A48"/>
    <w:rsid w:val="00186A66"/>
    <w:rsid w:val="00186AF8"/>
    <w:rsid w:val="00186AFC"/>
    <w:rsid w:val="00186BF3"/>
    <w:rsid w:val="00186C0B"/>
    <w:rsid w:val="00186E67"/>
    <w:rsid w:val="00186E6C"/>
    <w:rsid w:val="00186E6F"/>
    <w:rsid w:val="00186E9A"/>
    <w:rsid w:val="001870D4"/>
    <w:rsid w:val="00187187"/>
    <w:rsid w:val="001871BE"/>
    <w:rsid w:val="00187218"/>
    <w:rsid w:val="001872B0"/>
    <w:rsid w:val="00187330"/>
    <w:rsid w:val="00187389"/>
    <w:rsid w:val="001873BD"/>
    <w:rsid w:val="001873C0"/>
    <w:rsid w:val="0018745B"/>
    <w:rsid w:val="00187555"/>
    <w:rsid w:val="00187793"/>
    <w:rsid w:val="00187829"/>
    <w:rsid w:val="00187876"/>
    <w:rsid w:val="001878AB"/>
    <w:rsid w:val="001878DA"/>
    <w:rsid w:val="00187979"/>
    <w:rsid w:val="0018797F"/>
    <w:rsid w:val="00187A61"/>
    <w:rsid w:val="00187BAF"/>
    <w:rsid w:val="00187BB3"/>
    <w:rsid w:val="00187C56"/>
    <w:rsid w:val="00187C62"/>
    <w:rsid w:val="00187C96"/>
    <w:rsid w:val="00187D18"/>
    <w:rsid w:val="00187DAB"/>
    <w:rsid w:val="00187DF5"/>
    <w:rsid w:val="00187E12"/>
    <w:rsid w:val="00187E1D"/>
    <w:rsid w:val="00187F0F"/>
    <w:rsid w:val="00187F5B"/>
    <w:rsid w:val="00187FDE"/>
    <w:rsid w:val="0018EDA8"/>
    <w:rsid w:val="00190039"/>
    <w:rsid w:val="0019006B"/>
    <w:rsid w:val="0019012C"/>
    <w:rsid w:val="001901F3"/>
    <w:rsid w:val="0019021D"/>
    <w:rsid w:val="001902F5"/>
    <w:rsid w:val="001904D6"/>
    <w:rsid w:val="001905F2"/>
    <w:rsid w:val="0019068A"/>
    <w:rsid w:val="0019081C"/>
    <w:rsid w:val="00190883"/>
    <w:rsid w:val="001908A0"/>
    <w:rsid w:val="0019090F"/>
    <w:rsid w:val="001909B7"/>
    <w:rsid w:val="001909E8"/>
    <w:rsid w:val="001909FA"/>
    <w:rsid w:val="00190AF7"/>
    <w:rsid w:val="00190BA8"/>
    <w:rsid w:val="00190BB7"/>
    <w:rsid w:val="00190CB5"/>
    <w:rsid w:val="00190EE2"/>
    <w:rsid w:val="00190F16"/>
    <w:rsid w:val="001910D1"/>
    <w:rsid w:val="001911E9"/>
    <w:rsid w:val="001912A5"/>
    <w:rsid w:val="00191310"/>
    <w:rsid w:val="001913D3"/>
    <w:rsid w:val="0019140F"/>
    <w:rsid w:val="00191423"/>
    <w:rsid w:val="0019152F"/>
    <w:rsid w:val="001915B0"/>
    <w:rsid w:val="00191682"/>
    <w:rsid w:val="00191690"/>
    <w:rsid w:val="001916A3"/>
    <w:rsid w:val="001916FD"/>
    <w:rsid w:val="001916FE"/>
    <w:rsid w:val="00191869"/>
    <w:rsid w:val="001918C1"/>
    <w:rsid w:val="00191979"/>
    <w:rsid w:val="00191A06"/>
    <w:rsid w:val="00191A65"/>
    <w:rsid w:val="00191A8E"/>
    <w:rsid w:val="00191B05"/>
    <w:rsid w:val="00191BA5"/>
    <w:rsid w:val="00191BA6"/>
    <w:rsid w:val="00191BF3"/>
    <w:rsid w:val="00191C18"/>
    <w:rsid w:val="00191D91"/>
    <w:rsid w:val="00191DA5"/>
    <w:rsid w:val="00191DC8"/>
    <w:rsid w:val="00191DFC"/>
    <w:rsid w:val="00191DFE"/>
    <w:rsid w:val="00191EFB"/>
    <w:rsid w:val="00191FB4"/>
    <w:rsid w:val="001920D4"/>
    <w:rsid w:val="001920EA"/>
    <w:rsid w:val="00192151"/>
    <w:rsid w:val="0019217A"/>
    <w:rsid w:val="00192257"/>
    <w:rsid w:val="0019230D"/>
    <w:rsid w:val="001923DD"/>
    <w:rsid w:val="00192441"/>
    <w:rsid w:val="00192465"/>
    <w:rsid w:val="001924EA"/>
    <w:rsid w:val="00192501"/>
    <w:rsid w:val="0019252E"/>
    <w:rsid w:val="00192562"/>
    <w:rsid w:val="001927B9"/>
    <w:rsid w:val="00192848"/>
    <w:rsid w:val="0019284F"/>
    <w:rsid w:val="0019287A"/>
    <w:rsid w:val="0019288D"/>
    <w:rsid w:val="001929A2"/>
    <w:rsid w:val="001929C0"/>
    <w:rsid w:val="00192B36"/>
    <w:rsid w:val="00192B9F"/>
    <w:rsid w:val="00192C4E"/>
    <w:rsid w:val="00192D44"/>
    <w:rsid w:val="00192F35"/>
    <w:rsid w:val="00192FF4"/>
    <w:rsid w:val="00193019"/>
    <w:rsid w:val="0019301B"/>
    <w:rsid w:val="00193038"/>
    <w:rsid w:val="0019308F"/>
    <w:rsid w:val="00193196"/>
    <w:rsid w:val="0019329B"/>
    <w:rsid w:val="001934E3"/>
    <w:rsid w:val="00193551"/>
    <w:rsid w:val="0019357F"/>
    <w:rsid w:val="001935CB"/>
    <w:rsid w:val="0019364E"/>
    <w:rsid w:val="00193729"/>
    <w:rsid w:val="001938DE"/>
    <w:rsid w:val="00193986"/>
    <w:rsid w:val="00193AA3"/>
    <w:rsid w:val="00193AE7"/>
    <w:rsid w:val="00193B07"/>
    <w:rsid w:val="00193B27"/>
    <w:rsid w:val="00193B8E"/>
    <w:rsid w:val="00193BD0"/>
    <w:rsid w:val="00193E4D"/>
    <w:rsid w:val="00193E58"/>
    <w:rsid w:val="0019414A"/>
    <w:rsid w:val="00194262"/>
    <w:rsid w:val="001942D1"/>
    <w:rsid w:val="00194384"/>
    <w:rsid w:val="00194595"/>
    <w:rsid w:val="001945C4"/>
    <w:rsid w:val="00194606"/>
    <w:rsid w:val="00194852"/>
    <w:rsid w:val="001948BA"/>
    <w:rsid w:val="001948DC"/>
    <w:rsid w:val="0019490B"/>
    <w:rsid w:val="0019496D"/>
    <w:rsid w:val="00194A84"/>
    <w:rsid w:val="00194C15"/>
    <w:rsid w:val="00194C69"/>
    <w:rsid w:val="00194D0B"/>
    <w:rsid w:val="00194F62"/>
    <w:rsid w:val="00194FC4"/>
    <w:rsid w:val="00194FD1"/>
    <w:rsid w:val="0019504F"/>
    <w:rsid w:val="0019521A"/>
    <w:rsid w:val="00195298"/>
    <w:rsid w:val="00195358"/>
    <w:rsid w:val="00195401"/>
    <w:rsid w:val="00195413"/>
    <w:rsid w:val="0019546F"/>
    <w:rsid w:val="001954C2"/>
    <w:rsid w:val="0019552F"/>
    <w:rsid w:val="00195599"/>
    <w:rsid w:val="0019559C"/>
    <w:rsid w:val="001955C0"/>
    <w:rsid w:val="00195685"/>
    <w:rsid w:val="0019585F"/>
    <w:rsid w:val="00195948"/>
    <w:rsid w:val="00195AA5"/>
    <w:rsid w:val="00195B6C"/>
    <w:rsid w:val="00195BCD"/>
    <w:rsid w:val="00195C25"/>
    <w:rsid w:val="00195D02"/>
    <w:rsid w:val="00195D11"/>
    <w:rsid w:val="00195DB6"/>
    <w:rsid w:val="00195E46"/>
    <w:rsid w:val="00195EC1"/>
    <w:rsid w:val="00195EE2"/>
    <w:rsid w:val="00195FB2"/>
    <w:rsid w:val="00195FC6"/>
    <w:rsid w:val="0019605A"/>
    <w:rsid w:val="001960B8"/>
    <w:rsid w:val="00196136"/>
    <w:rsid w:val="0019618F"/>
    <w:rsid w:val="001962A0"/>
    <w:rsid w:val="001962E2"/>
    <w:rsid w:val="00196380"/>
    <w:rsid w:val="001963AE"/>
    <w:rsid w:val="00196591"/>
    <w:rsid w:val="001965C2"/>
    <w:rsid w:val="001965CE"/>
    <w:rsid w:val="0019663C"/>
    <w:rsid w:val="001966B5"/>
    <w:rsid w:val="001966C9"/>
    <w:rsid w:val="0019679F"/>
    <w:rsid w:val="001967B8"/>
    <w:rsid w:val="00196809"/>
    <w:rsid w:val="001968DA"/>
    <w:rsid w:val="001968F3"/>
    <w:rsid w:val="00196919"/>
    <w:rsid w:val="0019699E"/>
    <w:rsid w:val="00196A34"/>
    <w:rsid w:val="00196A56"/>
    <w:rsid w:val="00196C00"/>
    <w:rsid w:val="00196D56"/>
    <w:rsid w:val="00196D88"/>
    <w:rsid w:val="00196DC9"/>
    <w:rsid w:val="00196E2E"/>
    <w:rsid w:val="00196E56"/>
    <w:rsid w:val="00196E9C"/>
    <w:rsid w:val="00196F6C"/>
    <w:rsid w:val="00196FB9"/>
    <w:rsid w:val="0019713D"/>
    <w:rsid w:val="00197150"/>
    <w:rsid w:val="00197193"/>
    <w:rsid w:val="00197200"/>
    <w:rsid w:val="00197339"/>
    <w:rsid w:val="001975CA"/>
    <w:rsid w:val="001975E2"/>
    <w:rsid w:val="0019765A"/>
    <w:rsid w:val="00197671"/>
    <w:rsid w:val="00197679"/>
    <w:rsid w:val="0019768E"/>
    <w:rsid w:val="001976D0"/>
    <w:rsid w:val="00197735"/>
    <w:rsid w:val="00197744"/>
    <w:rsid w:val="001977B8"/>
    <w:rsid w:val="001977D7"/>
    <w:rsid w:val="001977DB"/>
    <w:rsid w:val="00197980"/>
    <w:rsid w:val="00197A41"/>
    <w:rsid w:val="00197B4C"/>
    <w:rsid w:val="00197B7E"/>
    <w:rsid w:val="00197C3C"/>
    <w:rsid w:val="00197C63"/>
    <w:rsid w:val="00197CD5"/>
    <w:rsid w:val="00197D1B"/>
    <w:rsid w:val="00197D59"/>
    <w:rsid w:val="00197DA6"/>
    <w:rsid w:val="00197E81"/>
    <w:rsid w:val="00197E83"/>
    <w:rsid w:val="00197F09"/>
    <w:rsid w:val="00197F65"/>
    <w:rsid w:val="0019EBF6"/>
    <w:rsid w:val="001A00DB"/>
    <w:rsid w:val="001A0165"/>
    <w:rsid w:val="001A01B9"/>
    <w:rsid w:val="001A01F6"/>
    <w:rsid w:val="001A021C"/>
    <w:rsid w:val="001A0250"/>
    <w:rsid w:val="001A028E"/>
    <w:rsid w:val="001A02DF"/>
    <w:rsid w:val="001A03C7"/>
    <w:rsid w:val="001A047F"/>
    <w:rsid w:val="001A0481"/>
    <w:rsid w:val="001A05E8"/>
    <w:rsid w:val="001A05ED"/>
    <w:rsid w:val="001A060E"/>
    <w:rsid w:val="001A069E"/>
    <w:rsid w:val="001A0714"/>
    <w:rsid w:val="001A077C"/>
    <w:rsid w:val="001A0789"/>
    <w:rsid w:val="001A07F5"/>
    <w:rsid w:val="001A0886"/>
    <w:rsid w:val="001A08B6"/>
    <w:rsid w:val="001A096F"/>
    <w:rsid w:val="001A0A95"/>
    <w:rsid w:val="001A0D56"/>
    <w:rsid w:val="001A0DAD"/>
    <w:rsid w:val="001A0E1D"/>
    <w:rsid w:val="001A0E5F"/>
    <w:rsid w:val="001A0F6C"/>
    <w:rsid w:val="001A0FA0"/>
    <w:rsid w:val="001A10CB"/>
    <w:rsid w:val="001A10F5"/>
    <w:rsid w:val="001A12A0"/>
    <w:rsid w:val="001A13CE"/>
    <w:rsid w:val="001A14DA"/>
    <w:rsid w:val="001A1518"/>
    <w:rsid w:val="001A1558"/>
    <w:rsid w:val="001A15F1"/>
    <w:rsid w:val="001A1665"/>
    <w:rsid w:val="001A170E"/>
    <w:rsid w:val="001A1789"/>
    <w:rsid w:val="001A17C0"/>
    <w:rsid w:val="001A1805"/>
    <w:rsid w:val="001A18A2"/>
    <w:rsid w:val="001A1A8D"/>
    <w:rsid w:val="001A1A8E"/>
    <w:rsid w:val="001A1ADB"/>
    <w:rsid w:val="001A1B28"/>
    <w:rsid w:val="001A1BF1"/>
    <w:rsid w:val="001A1CED"/>
    <w:rsid w:val="001A1D52"/>
    <w:rsid w:val="001A1DA4"/>
    <w:rsid w:val="001A1E05"/>
    <w:rsid w:val="001A1EB2"/>
    <w:rsid w:val="001A1ECF"/>
    <w:rsid w:val="001A1F3B"/>
    <w:rsid w:val="001A1F80"/>
    <w:rsid w:val="001A1F8C"/>
    <w:rsid w:val="001A1FB2"/>
    <w:rsid w:val="001A1FE8"/>
    <w:rsid w:val="001A205F"/>
    <w:rsid w:val="001A20E4"/>
    <w:rsid w:val="001A210E"/>
    <w:rsid w:val="001A2193"/>
    <w:rsid w:val="001A221C"/>
    <w:rsid w:val="001A2687"/>
    <w:rsid w:val="001A26D8"/>
    <w:rsid w:val="001A27C0"/>
    <w:rsid w:val="001A28BF"/>
    <w:rsid w:val="001A28F9"/>
    <w:rsid w:val="001A2986"/>
    <w:rsid w:val="001A298D"/>
    <w:rsid w:val="001A2A5E"/>
    <w:rsid w:val="001A2BF6"/>
    <w:rsid w:val="001A2CA1"/>
    <w:rsid w:val="001A2D17"/>
    <w:rsid w:val="001A2E06"/>
    <w:rsid w:val="001A2EB0"/>
    <w:rsid w:val="001A2EC0"/>
    <w:rsid w:val="001A302A"/>
    <w:rsid w:val="001A31DC"/>
    <w:rsid w:val="001A3295"/>
    <w:rsid w:val="001A32EB"/>
    <w:rsid w:val="001A32EE"/>
    <w:rsid w:val="001A3315"/>
    <w:rsid w:val="001A33B9"/>
    <w:rsid w:val="001A3406"/>
    <w:rsid w:val="001A3452"/>
    <w:rsid w:val="001A3455"/>
    <w:rsid w:val="001A34F8"/>
    <w:rsid w:val="001A3634"/>
    <w:rsid w:val="001A3681"/>
    <w:rsid w:val="001A3742"/>
    <w:rsid w:val="001A37D5"/>
    <w:rsid w:val="001A390E"/>
    <w:rsid w:val="001A39C4"/>
    <w:rsid w:val="001A39DF"/>
    <w:rsid w:val="001A3A8F"/>
    <w:rsid w:val="001A3B37"/>
    <w:rsid w:val="001A3C47"/>
    <w:rsid w:val="001A3CA4"/>
    <w:rsid w:val="001A3CB9"/>
    <w:rsid w:val="001A3D6E"/>
    <w:rsid w:val="001A3D75"/>
    <w:rsid w:val="001A3E2F"/>
    <w:rsid w:val="001A3F2C"/>
    <w:rsid w:val="001A3F56"/>
    <w:rsid w:val="001A3FA3"/>
    <w:rsid w:val="001A3FDF"/>
    <w:rsid w:val="001A405D"/>
    <w:rsid w:val="001A40FE"/>
    <w:rsid w:val="001A418B"/>
    <w:rsid w:val="001A4203"/>
    <w:rsid w:val="001A42DA"/>
    <w:rsid w:val="001A42E5"/>
    <w:rsid w:val="001A4436"/>
    <w:rsid w:val="001A45D7"/>
    <w:rsid w:val="001A462A"/>
    <w:rsid w:val="001A4638"/>
    <w:rsid w:val="001A46E5"/>
    <w:rsid w:val="001A4805"/>
    <w:rsid w:val="001A4938"/>
    <w:rsid w:val="001A4963"/>
    <w:rsid w:val="001A4989"/>
    <w:rsid w:val="001A49DB"/>
    <w:rsid w:val="001A4B23"/>
    <w:rsid w:val="001A4BEE"/>
    <w:rsid w:val="001A4BF3"/>
    <w:rsid w:val="001A4CCD"/>
    <w:rsid w:val="001A4D30"/>
    <w:rsid w:val="001A4D6C"/>
    <w:rsid w:val="001A4D75"/>
    <w:rsid w:val="001A4F9E"/>
    <w:rsid w:val="001A506B"/>
    <w:rsid w:val="001A5098"/>
    <w:rsid w:val="001A5144"/>
    <w:rsid w:val="001A5176"/>
    <w:rsid w:val="001A518E"/>
    <w:rsid w:val="001A5382"/>
    <w:rsid w:val="001A546B"/>
    <w:rsid w:val="001A552B"/>
    <w:rsid w:val="001A5541"/>
    <w:rsid w:val="001A55CA"/>
    <w:rsid w:val="001A561C"/>
    <w:rsid w:val="001A5620"/>
    <w:rsid w:val="001A568E"/>
    <w:rsid w:val="001A5852"/>
    <w:rsid w:val="001A58CD"/>
    <w:rsid w:val="001A5914"/>
    <w:rsid w:val="001A591A"/>
    <w:rsid w:val="001A5928"/>
    <w:rsid w:val="001A5970"/>
    <w:rsid w:val="001A599A"/>
    <w:rsid w:val="001A599D"/>
    <w:rsid w:val="001A5C2F"/>
    <w:rsid w:val="001A5C55"/>
    <w:rsid w:val="001A5C9F"/>
    <w:rsid w:val="001A5D1F"/>
    <w:rsid w:val="001A5E9C"/>
    <w:rsid w:val="001A60BB"/>
    <w:rsid w:val="001A612D"/>
    <w:rsid w:val="001A617C"/>
    <w:rsid w:val="001A61BD"/>
    <w:rsid w:val="001A6271"/>
    <w:rsid w:val="001A6335"/>
    <w:rsid w:val="001A6384"/>
    <w:rsid w:val="001A6492"/>
    <w:rsid w:val="001A6547"/>
    <w:rsid w:val="001A65B0"/>
    <w:rsid w:val="001A666F"/>
    <w:rsid w:val="001A6787"/>
    <w:rsid w:val="001A680D"/>
    <w:rsid w:val="001A6883"/>
    <w:rsid w:val="001A68AC"/>
    <w:rsid w:val="001A68BC"/>
    <w:rsid w:val="001A6A08"/>
    <w:rsid w:val="001A6A2A"/>
    <w:rsid w:val="001A6B9E"/>
    <w:rsid w:val="001A6BF3"/>
    <w:rsid w:val="001A6C21"/>
    <w:rsid w:val="001A6D1D"/>
    <w:rsid w:val="001A6D5C"/>
    <w:rsid w:val="001A6E2C"/>
    <w:rsid w:val="001A6E2F"/>
    <w:rsid w:val="001A6E73"/>
    <w:rsid w:val="001A6EB9"/>
    <w:rsid w:val="001A6F6E"/>
    <w:rsid w:val="001A6FDC"/>
    <w:rsid w:val="001A711A"/>
    <w:rsid w:val="001A7181"/>
    <w:rsid w:val="001A71B8"/>
    <w:rsid w:val="001A726C"/>
    <w:rsid w:val="001A7309"/>
    <w:rsid w:val="001A731B"/>
    <w:rsid w:val="001A734A"/>
    <w:rsid w:val="001A736A"/>
    <w:rsid w:val="001A73A5"/>
    <w:rsid w:val="001A73C7"/>
    <w:rsid w:val="001A7410"/>
    <w:rsid w:val="001A741C"/>
    <w:rsid w:val="001A7463"/>
    <w:rsid w:val="001A751C"/>
    <w:rsid w:val="001A7627"/>
    <w:rsid w:val="001A7667"/>
    <w:rsid w:val="001A7759"/>
    <w:rsid w:val="001A78D4"/>
    <w:rsid w:val="001A7919"/>
    <w:rsid w:val="001A7950"/>
    <w:rsid w:val="001A7956"/>
    <w:rsid w:val="001A79BD"/>
    <w:rsid w:val="001A79D8"/>
    <w:rsid w:val="001A7A24"/>
    <w:rsid w:val="001A7AB0"/>
    <w:rsid w:val="001A7B69"/>
    <w:rsid w:val="001A7B78"/>
    <w:rsid w:val="001A7BDA"/>
    <w:rsid w:val="001A7C0B"/>
    <w:rsid w:val="001A7C79"/>
    <w:rsid w:val="001A7D91"/>
    <w:rsid w:val="001A7DA0"/>
    <w:rsid w:val="001A7E32"/>
    <w:rsid w:val="001A7EFC"/>
    <w:rsid w:val="001A7FC8"/>
    <w:rsid w:val="001B0020"/>
    <w:rsid w:val="001B0048"/>
    <w:rsid w:val="001B0186"/>
    <w:rsid w:val="001B027F"/>
    <w:rsid w:val="001B0307"/>
    <w:rsid w:val="001B03DC"/>
    <w:rsid w:val="001B0410"/>
    <w:rsid w:val="001B04E4"/>
    <w:rsid w:val="001B0525"/>
    <w:rsid w:val="001B056E"/>
    <w:rsid w:val="001B0655"/>
    <w:rsid w:val="001B0765"/>
    <w:rsid w:val="001B07AE"/>
    <w:rsid w:val="001B07F9"/>
    <w:rsid w:val="001B0834"/>
    <w:rsid w:val="001B0874"/>
    <w:rsid w:val="001B0878"/>
    <w:rsid w:val="001B08AC"/>
    <w:rsid w:val="001B0922"/>
    <w:rsid w:val="001B0957"/>
    <w:rsid w:val="001B0B5F"/>
    <w:rsid w:val="001B0C67"/>
    <w:rsid w:val="001B0C6E"/>
    <w:rsid w:val="001B0C71"/>
    <w:rsid w:val="001B0CC7"/>
    <w:rsid w:val="001B0E61"/>
    <w:rsid w:val="001B0E69"/>
    <w:rsid w:val="001B0E8F"/>
    <w:rsid w:val="001B0EA2"/>
    <w:rsid w:val="001B0ED6"/>
    <w:rsid w:val="001B0F76"/>
    <w:rsid w:val="001B0FA0"/>
    <w:rsid w:val="001B104E"/>
    <w:rsid w:val="001B1053"/>
    <w:rsid w:val="001B10E5"/>
    <w:rsid w:val="001B1100"/>
    <w:rsid w:val="001B11D1"/>
    <w:rsid w:val="001B1274"/>
    <w:rsid w:val="001B127F"/>
    <w:rsid w:val="001B1392"/>
    <w:rsid w:val="001B13F3"/>
    <w:rsid w:val="001B1401"/>
    <w:rsid w:val="001B1480"/>
    <w:rsid w:val="001B14C2"/>
    <w:rsid w:val="001B1518"/>
    <w:rsid w:val="001B1695"/>
    <w:rsid w:val="001B169B"/>
    <w:rsid w:val="001B16BB"/>
    <w:rsid w:val="001B1AF4"/>
    <w:rsid w:val="001B1B4E"/>
    <w:rsid w:val="001B1B56"/>
    <w:rsid w:val="001B1C05"/>
    <w:rsid w:val="001B1CB5"/>
    <w:rsid w:val="001B1CB8"/>
    <w:rsid w:val="001B1CFD"/>
    <w:rsid w:val="001B1D48"/>
    <w:rsid w:val="001B1FE3"/>
    <w:rsid w:val="001B206A"/>
    <w:rsid w:val="001B210F"/>
    <w:rsid w:val="001B21C8"/>
    <w:rsid w:val="001B21F8"/>
    <w:rsid w:val="001B22A2"/>
    <w:rsid w:val="001B22DF"/>
    <w:rsid w:val="001B239A"/>
    <w:rsid w:val="001B24D1"/>
    <w:rsid w:val="001B2522"/>
    <w:rsid w:val="001B25FD"/>
    <w:rsid w:val="001B2739"/>
    <w:rsid w:val="001B2794"/>
    <w:rsid w:val="001B27C0"/>
    <w:rsid w:val="001B27EF"/>
    <w:rsid w:val="001B2851"/>
    <w:rsid w:val="001B289A"/>
    <w:rsid w:val="001B2942"/>
    <w:rsid w:val="001B2A39"/>
    <w:rsid w:val="001B2B5C"/>
    <w:rsid w:val="001B2B72"/>
    <w:rsid w:val="001B2BF0"/>
    <w:rsid w:val="001B2C0D"/>
    <w:rsid w:val="001B3283"/>
    <w:rsid w:val="001B32B9"/>
    <w:rsid w:val="001B33B1"/>
    <w:rsid w:val="001B348E"/>
    <w:rsid w:val="001B354A"/>
    <w:rsid w:val="001B35B6"/>
    <w:rsid w:val="001B35E4"/>
    <w:rsid w:val="001B363E"/>
    <w:rsid w:val="001B36A0"/>
    <w:rsid w:val="001B36E9"/>
    <w:rsid w:val="001B3A43"/>
    <w:rsid w:val="001B3A6F"/>
    <w:rsid w:val="001B3A8E"/>
    <w:rsid w:val="001B3A9B"/>
    <w:rsid w:val="001B3BEA"/>
    <w:rsid w:val="001B3C1F"/>
    <w:rsid w:val="001B3D15"/>
    <w:rsid w:val="001B3D8D"/>
    <w:rsid w:val="001B3DEA"/>
    <w:rsid w:val="001B3DED"/>
    <w:rsid w:val="001B3E31"/>
    <w:rsid w:val="001B3EB2"/>
    <w:rsid w:val="001B3EFE"/>
    <w:rsid w:val="001B4018"/>
    <w:rsid w:val="001B4038"/>
    <w:rsid w:val="001B40A9"/>
    <w:rsid w:val="001B4146"/>
    <w:rsid w:val="001B4155"/>
    <w:rsid w:val="001B4164"/>
    <w:rsid w:val="001B416D"/>
    <w:rsid w:val="001B4264"/>
    <w:rsid w:val="001B42D5"/>
    <w:rsid w:val="001B42D7"/>
    <w:rsid w:val="001B4363"/>
    <w:rsid w:val="001B43C9"/>
    <w:rsid w:val="001B44BE"/>
    <w:rsid w:val="001B4517"/>
    <w:rsid w:val="001B45B9"/>
    <w:rsid w:val="001B45BF"/>
    <w:rsid w:val="001B462B"/>
    <w:rsid w:val="001B477B"/>
    <w:rsid w:val="001B478C"/>
    <w:rsid w:val="001B47B4"/>
    <w:rsid w:val="001B47BD"/>
    <w:rsid w:val="001B480A"/>
    <w:rsid w:val="001B48F3"/>
    <w:rsid w:val="001B4942"/>
    <w:rsid w:val="001B4991"/>
    <w:rsid w:val="001B4AA5"/>
    <w:rsid w:val="001B4AEC"/>
    <w:rsid w:val="001B4B0A"/>
    <w:rsid w:val="001B4BD5"/>
    <w:rsid w:val="001B4C9F"/>
    <w:rsid w:val="001B4CE5"/>
    <w:rsid w:val="001B4D2E"/>
    <w:rsid w:val="001B4F0E"/>
    <w:rsid w:val="001B4F41"/>
    <w:rsid w:val="001B5133"/>
    <w:rsid w:val="001B52C1"/>
    <w:rsid w:val="001B5379"/>
    <w:rsid w:val="001B53E1"/>
    <w:rsid w:val="001B5402"/>
    <w:rsid w:val="001B5651"/>
    <w:rsid w:val="001B568E"/>
    <w:rsid w:val="001B5711"/>
    <w:rsid w:val="001B5799"/>
    <w:rsid w:val="001B57CA"/>
    <w:rsid w:val="001B593D"/>
    <w:rsid w:val="001B5999"/>
    <w:rsid w:val="001B5A2C"/>
    <w:rsid w:val="001B5B6F"/>
    <w:rsid w:val="001B5BAF"/>
    <w:rsid w:val="001B5CE9"/>
    <w:rsid w:val="001B5E19"/>
    <w:rsid w:val="001B5E20"/>
    <w:rsid w:val="001B5F65"/>
    <w:rsid w:val="001B6027"/>
    <w:rsid w:val="001B6169"/>
    <w:rsid w:val="001B632D"/>
    <w:rsid w:val="001B6370"/>
    <w:rsid w:val="001B638F"/>
    <w:rsid w:val="001B63BB"/>
    <w:rsid w:val="001B63CD"/>
    <w:rsid w:val="001B6434"/>
    <w:rsid w:val="001B6449"/>
    <w:rsid w:val="001B6465"/>
    <w:rsid w:val="001B6476"/>
    <w:rsid w:val="001B64E4"/>
    <w:rsid w:val="001B664D"/>
    <w:rsid w:val="001B6805"/>
    <w:rsid w:val="001B6852"/>
    <w:rsid w:val="001B68FB"/>
    <w:rsid w:val="001B6906"/>
    <w:rsid w:val="001B696E"/>
    <w:rsid w:val="001B698E"/>
    <w:rsid w:val="001B6AC8"/>
    <w:rsid w:val="001B6B09"/>
    <w:rsid w:val="001B6B2E"/>
    <w:rsid w:val="001B6C00"/>
    <w:rsid w:val="001B6C0B"/>
    <w:rsid w:val="001B6C2A"/>
    <w:rsid w:val="001B6D9E"/>
    <w:rsid w:val="001B6DD8"/>
    <w:rsid w:val="001B6E83"/>
    <w:rsid w:val="001B6EAA"/>
    <w:rsid w:val="001B6F5D"/>
    <w:rsid w:val="001B6F6A"/>
    <w:rsid w:val="001B7012"/>
    <w:rsid w:val="001B7025"/>
    <w:rsid w:val="001B70E8"/>
    <w:rsid w:val="001B714F"/>
    <w:rsid w:val="001B71AD"/>
    <w:rsid w:val="001B72B3"/>
    <w:rsid w:val="001B733B"/>
    <w:rsid w:val="001B73A2"/>
    <w:rsid w:val="001B73F4"/>
    <w:rsid w:val="001B7424"/>
    <w:rsid w:val="001B7585"/>
    <w:rsid w:val="001B7624"/>
    <w:rsid w:val="001B76D2"/>
    <w:rsid w:val="001B781D"/>
    <w:rsid w:val="001B7892"/>
    <w:rsid w:val="001B7919"/>
    <w:rsid w:val="001B7921"/>
    <w:rsid w:val="001B7947"/>
    <w:rsid w:val="001B794E"/>
    <w:rsid w:val="001B7B2B"/>
    <w:rsid w:val="001B7CA1"/>
    <w:rsid w:val="001B7E59"/>
    <w:rsid w:val="001B7EBB"/>
    <w:rsid w:val="001C00AC"/>
    <w:rsid w:val="001C00CC"/>
    <w:rsid w:val="001C0179"/>
    <w:rsid w:val="001C0225"/>
    <w:rsid w:val="001C025A"/>
    <w:rsid w:val="001C04D4"/>
    <w:rsid w:val="001C0528"/>
    <w:rsid w:val="001C058A"/>
    <w:rsid w:val="001C05A8"/>
    <w:rsid w:val="001C05B2"/>
    <w:rsid w:val="001C05E0"/>
    <w:rsid w:val="001C0672"/>
    <w:rsid w:val="001C0716"/>
    <w:rsid w:val="001C07E4"/>
    <w:rsid w:val="001C07E9"/>
    <w:rsid w:val="001C07F5"/>
    <w:rsid w:val="001C0851"/>
    <w:rsid w:val="001C0878"/>
    <w:rsid w:val="001C0879"/>
    <w:rsid w:val="001C0947"/>
    <w:rsid w:val="001C0A04"/>
    <w:rsid w:val="001C0A36"/>
    <w:rsid w:val="001C0B0C"/>
    <w:rsid w:val="001C0BEE"/>
    <w:rsid w:val="001C0C6D"/>
    <w:rsid w:val="001C0C98"/>
    <w:rsid w:val="001C0D23"/>
    <w:rsid w:val="001C0DE1"/>
    <w:rsid w:val="001C0DE8"/>
    <w:rsid w:val="001C0E75"/>
    <w:rsid w:val="001C0FF0"/>
    <w:rsid w:val="001C1002"/>
    <w:rsid w:val="001C1294"/>
    <w:rsid w:val="001C148A"/>
    <w:rsid w:val="001C1505"/>
    <w:rsid w:val="001C1578"/>
    <w:rsid w:val="001C1599"/>
    <w:rsid w:val="001C1833"/>
    <w:rsid w:val="001C198C"/>
    <w:rsid w:val="001C19B0"/>
    <w:rsid w:val="001C19DA"/>
    <w:rsid w:val="001C1B63"/>
    <w:rsid w:val="001C1BD1"/>
    <w:rsid w:val="001C1C11"/>
    <w:rsid w:val="001C1C5D"/>
    <w:rsid w:val="001C1C7A"/>
    <w:rsid w:val="001C1D9D"/>
    <w:rsid w:val="001C1DC8"/>
    <w:rsid w:val="001C1DEB"/>
    <w:rsid w:val="001C1E0A"/>
    <w:rsid w:val="001C1F12"/>
    <w:rsid w:val="001C1F9B"/>
    <w:rsid w:val="001C1FC1"/>
    <w:rsid w:val="001C1FEB"/>
    <w:rsid w:val="001C204A"/>
    <w:rsid w:val="001C20F9"/>
    <w:rsid w:val="001C2144"/>
    <w:rsid w:val="001C2175"/>
    <w:rsid w:val="001C21F7"/>
    <w:rsid w:val="001C228E"/>
    <w:rsid w:val="001C22D0"/>
    <w:rsid w:val="001C22D1"/>
    <w:rsid w:val="001C22E4"/>
    <w:rsid w:val="001C232C"/>
    <w:rsid w:val="001C2355"/>
    <w:rsid w:val="001C2384"/>
    <w:rsid w:val="001C2499"/>
    <w:rsid w:val="001C24AF"/>
    <w:rsid w:val="001C25BA"/>
    <w:rsid w:val="001C26C8"/>
    <w:rsid w:val="001C2719"/>
    <w:rsid w:val="001C2789"/>
    <w:rsid w:val="001C27EF"/>
    <w:rsid w:val="001C2AF2"/>
    <w:rsid w:val="001C2BCF"/>
    <w:rsid w:val="001C2BD7"/>
    <w:rsid w:val="001C2BE4"/>
    <w:rsid w:val="001C2BFA"/>
    <w:rsid w:val="001C2D2C"/>
    <w:rsid w:val="001C2D7C"/>
    <w:rsid w:val="001C2D8B"/>
    <w:rsid w:val="001C2DBE"/>
    <w:rsid w:val="001C2E3E"/>
    <w:rsid w:val="001C2ED1"/>
    <w:rsid w:val="001C2EFC"/>
    <w:rsid w:val="001C2F7A"/>
    <w:rsid w:val="001C307D"/>
    <w:rsid w:val="001C309A"/>
    <w:rsid w:val="001C30BC"/>
    <w:rsid w:val="001C30D8"/>
    <w:rsid w:val="001C3112"/>
    <w:rsid w:val="001C3130"/>
    <w:rsid w:val="001C335E"/>
    <w:rsid w:val="001C340F"/>
    <w:rsid w:val="001C34D9"/>
    <w:rsid w:val="001C34DB"/>
    <w:rsid w:val="001C355C"/>
    <w:rsid w:val="001C3570"/>
    <w:rsid w:val="001C3575"/>
    <w:rsid w:val="001C358B"/>
    <w:rsid w:val="001C35C0"/>
    <w:rsid w:val="001C36AC"/>
    <w:rsid w:val="001C3749"/>
    <w:rsid w:val="001C395B"/>
    <w:rsid w:val="001C39C3"/>
    <w:rsid w:val="001C39C6"/>
    <w:rsid w:val="001C39C7"/>
    <w:rsid w:val="001C3A67"/>
    <w:rsid w:val="001C3AA6"/>
    <w:rsid w:val="001C3AE7"/>
    <w:rsid w:val="001C3B57"/>
    <w:rsid w:val="001C3BB1"/>
    <w:rsid w:val="001C3C28"/>
    <w:rsid w:val="001C3C98"/>
    <w:rsid w:val="001C3DFF"/>
    <w:rsid w:val="001C3E91"/>
    <w:rsid w:val="001C407E"/>
    <w:rsid w:val="001C40DB"/>
    <w:rsid w:val="001C4352"/>
    <w:rsid w:val="001C43E0"/>
    <w:rsid w:val="001C447A"/>
    <w:rsid w:val="001C44D9"/>
    <w:rsid w:val="001C4514"/>
    <w:rsid w:val="001C45D5"/>
    <w:rsid w:val="001C46B6"/>
    <w:rsid w:val="001C46BF"/>
    <w:rsid w:val="001C473A"/>
    <w:rsid w:val="001C479E"/>
    <w:rsid w:val="001C483A"/>
    <w:rsid w:val="001C4A14"/>
    <w:rsid w:val="001C4A3A"/>
    <w:rsid w:val="001C4A87"/>
    <w:rsid w:val="001C4B27"/>
    <w:rsid w:val="001C4D7C"/>
    <w:rsid w:val="001C4DE6"/>
    <w:rsid w:val="001C4DF9"/>
    <w:rsid w:val="001C4E43"/>
    <w:rsid w:val="001C50DE"/>
    <w:rsid w:val="001C50F6"/>
    <w:rsid w:val="001C5114"/>
    <w:rsid w:val="001C5131"/>
    <w:rsid w:val="001C5150"/>
    <w:rsid w:val="001C51FD"/>
    <w:rsid w:val="001C5392"/>
    <w:rsid w:val="001C53C9"/>
    <w:rsid w:val="001C53E6"/>
    <w:rsid w:val="001C5516"/>
    <w:rsid w:val="001C552E"/>
    <w:rsid w:val="001C555F"/>
    <w:rsid w:val="001C559A"/>
    <w:rsid w:val="001C56C8"/>
    <w:rsid w:val="001C5736"/>
    <w:rsid w:val="001C57A8"/>
    <w:rsid w:val="001C58C4"/>
    <w:rsid w:val="001C58C5"/>
    <w:rsid w:val="001C590B"/>
    <w:rsid w:val="001C5944"/>
    <w:rsid w:val="001C598A"/>
    <w:rsid w:val="001C599A"/>
    <w:rsid w:val="001C5A5B"/>
    <w:rsid w:val="001C5B31"/>
    <w:rsid w:val="001C5BBE"/>
    <w:rsid w:val="001C5BD5"/>
    <w:rsid w:val="001C5C49"/>
    <w:rsid w:val="001C5CC2"/>
    <w:rsid w:val="001C5D15"/>
    <w:rsid w:val="001C5D40"/>
    <w:rsid w:val="001C5DED"/>
    <w:rsid w:val="001C5E36"/>
    <w:rsid w:val="001C5E45"/>
    <w:rsid w:val="001C5ECA"/>
    <w:rsid w:val="001C5F43"/>
    <w:rsid w:val="001C5FAD"/>
    <w:rsid w:val="001C607E"/>
    <w:rsid w:val="001C610A"/>
    <w:rsid w:val="001C6290"/>
    <w:rsid w:val="001C6410"/>
    <w:rsid w:val="001C6447"/>
    <w:rsid w:val="001C650C"/>
    <w:rsid w:val="001C6567"/>
    <w:rsid w:val="001C670C"/>
    <w:rsid w:val="001C6801"/>
    <w:rsid w:val="001C6842"/>
    <w:rsid w:val="001C6945"/>
    <w:rsid w:val="001C6997"/>
    <w:rsid w:val="001C6AFC"/>
    <w:rsid w:val="001C6BE2"/>
    <w:rsid w:val="001C6BE7"/>
    <w:rsid w:val="001C6BFD"/>
    <w:rsid w:val="001C6C7A"/>
    <w:rsid w:val="001C6CF9"/>
    <w:rsid w:val="001C6CFA"/>
    <w:rsid w:val="001C6D31"/>
    <w:rsid w:val="001C6D8A"/>
    <w:rsid w:val="001C6DDF"/>
    <w:rsid w:val="001C6E0B"/>
    <w:rsid w:val="001C6E24"/>
    <w:rsid w:val="001C6ED0"/>
    <w:rsid w:val="001C6EF3"/>
    <w:rsid w:val="001C703C"/>
    <w:rsid w:val="001C704A"/>
    <w:rsid w:val="001C7102"/>
    <w:rsid w:val="001C722D"/>
    <w:rsid w:val="001C72AA"/>
    <w:rsid w:val="001C7399"/>
    <w:rsid w:val="001C74C9"/>
    <w:rsid w:val="001C7538"/>
    <w:rsid w:val="001C753E"/>
    <w:rsid w:val="001C75CC"/>
    <w:rsid w:val="001C75D1"/>
    <w:rsid w:val="001C777A"/>
    <w:rsid w:val="001C77E5"/>
    <w:rsid w:val="001C787B"/>
    <w:rsid w:val="001C78FB"/>
    <w:rsid w:val="001C79E8"/>
    <w:rsid w:val="001C7B4E"/>
    <w:rsid w:val="001C7B66"/>
    <w:rsid w:val="001C7CBC"/>
    <w:rsid w:val="001C7CDF"/>
    <w:rsid w:val="001C7DF8"/>
    <w:rsid w:val="001C7E55"/>
    <w:rsid w:val="001C7F85"/>
    <w:rsid w:val="001D008A"/>
    <w:rsid w:val="001D008D"/>
    <w:rsid w:val="001D0097"/>
    <w:rsid w:val="001D00EE"/>
    <w:rsid w:val="001D011E"/>
    <w:rsid w:val="001D0132"/>
    <w:rsid w:val="001D0145"/>
    <w:rsid w:val="001D01CF"/>
    <w:rsid w:val="001D023F"/>
    <w:rsid w:val="001D029E"/>
    <w:rsid w:val="001D02AE"/>
    <w:rsid w:val="001D035C"/>
    <w:rsid w:val="001D039C"/>
    <w:rsid w:val="001D046A"/>
    <w:rsid w:val="001D048C"/>
    <w:rsid w:val="001D0586"/>
    <w:rsid w:val="001D0592"/>
    <w:rsid w:val="001D05CE"/>
    <w:rsid w:val="001D0651"/>
    <w:rsid w:val="001D06C1"/>
    <w:rsid w:val="001D0736"/>
    <w:rsid w:val="001D0757"/>
    <w:rsid w:val="001D0788"/>
    <w:rsid w:val="001D07A2"/>
    <w:rsid w:val="001D07A3"/>
    <w:rsid w:val="001D08A4"/>
    <w:rsid w:val="001D08DC"/>
    <w:rsid w:val="001D0A90"/>
    <w:rsid w:val="001D0B21"/>
    <w:rsid w:val="001D0C0C"/>
    <w:rsid w:val="001D0C6E"/>
    <w:rsid w:val="001D0CE2"/>
    <w:rsid w:val="001D0D3F"/>
    <w:rsid w:val="001D0DC6"/>
    <w:rsid w:val="001D0E7E"/>
    <w:rsid w:val="001D0E8D"/>
    <w:rsid w:val="001D117F"/>
    <w:rsid w:val="001D1307"/>
    <w:rsid w:val="001D1431"/>
    <w:rsid w:val="001D150A"/>
    <w:rsid w:val="001D15A5"/>
    <w:rsid w:val="001D15DD"/>
    <w:rsid w:val="001D16BD"/>
    <w:rsid w:val="001D16D9"/>
    <w:rsid w:val="001D1795"/>
    <w:rsid w:val="001D1813"/>
    <w:rsid w:val="001D182F"/>
    <w:rsid w:val="001D1957"/>
    <w:rsid w:val="001D19C4"/>
    <w:rsid w:val="001D19C6"/>
    <w:rsid w:val="001D19DE"/>
    <w:rsid w:val="001D1A81"/>
    <w:rsid w:val="001D1BBB"/>
    <w:rsid w:val="001D1CCC"/>
    <w:rsid w:val="001D1DC8"/>
    <w:rsid w:val="001D1DFB"/>
    <w:rsid w:val="001D1E28"/>
    <w:rsid w:val="001D1EA1"/>
    <w:rsid w:val="001D2278"/>
    <w:rsid w:val="001D2366"/>
    <w:rsid w:val="001D23A0"/>
    <w:rsid w:val="001D240C"/>
    <w:rsid w:val="001D2488"/>
    <w:rsid w:val="001D2489"/>
    <w:rsid w:val="001D24F9"/>
    <w:rsid w:val="001D2540"/>
    <w:rsid w:val="001D2569"/>
    <w:rsid w:val="001D25C1"/>
    <w:rsid w:val="001D25C5"/>
    <w:rsid w:val="001D260B"/>
    <w:rsid w:val="001D2731"/>
    <w:rsid w:val="001D2743"/>
    <w:rsid w:val="001D27A7"/>
    <w:rsid w:val="001D2842"/>
    <w:rsid w:val="001D28A1"/>
    <w:rsid w:val="001D28E0"/>
    <w:rsid w:val="001D2992"/>
    <w:rsid w:val="001D2A07"/>
    <w:rsid w:val="001D2A74"/>
    <w:rsid w:val="001D2AEF"/>
    <w:rsid w:val="001D2AF0"/>
    <w:rsid w:val="001D2C28"/>
    <w:rsid w:val="001D2C59"/>
    <w:rsid w:val="001D2C65"/>
    <w:rsid w:val="001D2CB1"/>
    <w:rsid w:val="001D2CB8"/>
    <w:rsid w:val="001D2CC4"/>
    <w:rsid w:val="001D2D29"/>
    <w:rsid w:val="001D2D47"/>
    <w:rsid w:val="001D2DFF"/>
    <w:rsid w:val="001D2E66"/>
    <w:rsid w:val="001D2EEC"/>
    <w:rsid w:val="001D2EF2"/>
    <w:rsid w:val="001D2FCA"/>
    <w:rsid w:val="001D2FFB"/>
    <w:rsid w:val="001D3003"/>
    <w:rsid w:val="001D3017"/>
    <w:rsid w:val="001D301F"/>
    <w:rsid w:val="001D30D2"/>
    <w:rsid w:val="001D314F"/>
    <w:rsid w:val="001D318E"/>
    <w:rsid w:val="001D322B"/>
    <w:rsid w:val="001D325A"/>
    <w:rsid w:val="001D32AE"/>
    <w:rsid w:val="001D33DB"/>
    <w:rsid w:val="001D348E"/>
    <w:rsid w:val="001D34F3"/>
    <w:rsid w:val="001D364A"/>
    <w:rsid w:val="001D3653"/>
    <w:rsid w:val="001D36D8"/>
    <w:rsid w:val="001D37BD"/>
    <w:rsid w:val="001D37BF"/>
    <w:rsid w:val="001D38EF"/>
    <w:rsid w:val="001D39E6"/>
    <w:rsid w:val="001D3AF2"/>
    <w:rsid w:val="001D3C87"/>
    <w:rsid w:val="001D3D67"/>
    <w:rsid w:val="001D3D89"/>
    <w:rsid w:val="001D3DF7"/>
    <w:rsid w:val="001D3E70"/>
    <w:rsid w:val="001D3E7A"/>
    <w:rsid w:val="001D3EC4"/>
    <w:rsid w:val="001D3EFD"/>
    <w:rsid w:val="001D3F80"/>
    <w:rsid w:val="001D3FF9"/>
    <w:rsid w:val="001D400B"/>
    <w:rsid w:val="001D4071"/>
    <w:rsid w:val="001D40DA"/>
    <w:rsid w:val="001D4131"/>
    <w:rsid w:val="001D418F"/>
    <w:rsid w:val="001D4229"/>
    <w:rsid w:val="001D4245"/>
    <w:rsid w:val="001D430C"/>
    <w:rsid w:val="001D4350"/>
    <w:rsid w:val="001D438D"/>
    <w:rsid w:val="001D4568"/>
    <w:rsid w:val="001D4809"/>
    <w:rsid w:val="001D4849"/>
    <w:rsid w:val="001D488E"/>
    <w:rsid w:val="001D48C3"/>
    <w:rsid w:val="001D48F2"/>
    <w:rsid w:val="001D495C"/>
    <w:rsid w:val="001D4A2A"/>
    <w:rsid w:val="001D4A52"/>
    <w:rsid w:val="001D4AC1"/>
    <w:rsid w:val="001D4C4C"/>
    <w:rsid w:val="001D4C6B"/>
    <w:rsid w:val="001D4CAD"/>
    <w:rsid w:val="001D4CB7"/>
    <w:rsid w:val="001D4CD4"/>
    <w:rsid w:val="001D4CFD"/>
    <w:rsid w:val="001D4DB2"/>
    <w:rsid w:val="001D4E11"/>
    <w:rsid w:val="001D4E7D"/>
    <w:rsid w:val="001D4E96"/>
    <w:rsid w:val="001D4F1E"/>
    <w:rsid w:val="001D4F26"/>
    <w:rsid w:val="001D4FCF"/>
    <w:rsid w:val="001D5019"/>
    <w:rsid w:val="001D5032"/>
    <w:rsid w:val="001D514E"/>
    <w:rsid w:val="001D5240"/>
    <w:rsid w:val="001D529D"/>
    <w:rsid w:val="001D52B4"/>
    <w:rsid w:val="001D52D3"/>
    <w:rsid w:val="001D5329"/>
    <w:rsid w:val="001D5405"/>
    <w:rsid w:val="001D5492"/>
    <w:rsid w:val="001D55F0"/>
    <w:rsid w:val="001D563A"/>
    <w:rsid w:val="001D574D"/>
    <w:rsid w:val="001D5766"/>
    <w:rsid w:val="001D57AB"/>
    <w:rsid w:val="001D5842"/>
    <w:rsid w:val="001D58CE"/>
    <w:rsid w:val="001D5948"/>
    <w:rsid w:val="001D5A66"/>
    <w:rsid w:val="001D5BB7"/>
    <w:rsid w:val="001D5BDD"/>
    <w:rsid w:val="001D5CB8"/>
    <w:rsid w:val="001D5D54"/>
    <w:rsid w:val="001D5E66"/>
    <w:rsid w:val="001D5E86"/>
    <w:rsid w:val="001D60F5"/>
    <w:rsid w:val="001D610A"/>
    <w:rsid w:val="001D6155"/>
    <w:rsid w:val="001D619E"/>
    <w:rsid w:val="001D62CF"/>
    <w:rsid w:val="001D639B"/>
    <w:rsid w:val="001D63B0"/>
    <w:rsid w:val="001D64B6"/>
    <w:rsid w:val="001D64E6"/>
    <w:rsid w:val="001D65B7"/>
    <w:rsid w:val="001D6835"/>
    <w:rsid w:val="001D6B0D"/>
    <w:rsid w:val="001D6B35"/>
    <w:rsid w:val="001D6BA7"/>
    <w:rsid w:val="001D6BA8"/>
    <w:rsid w:val="001D6BB5"/>
    <w:rsid w:val="001D6BD3"/>
    <w:rsid w:val="001D6C05"/>
    <w:rsid w:val="001D6C57"/>
    <w:rsid w:val="001D6D11"/>
    <w:rsid w:val="001D6D43"/>
    <w:rsid w:val="001D6EB7"/>
    <w:rsid w:val="001D6F74"/>
    <w:rsid w:val="001D7013"/>
    <w:rsid w:val="001D704B"/>
    <w:rsid w:val="001D7074"/>
    <w:rsid w:val="001D7096"/>
    <w:rsid w:val="001D71BF"/>
    <w:rsid w:val="001D7299"/>
    <w:rsid w:val="001D72E5"/>
    <w:rsid w:val="001D73AF"/>
    <w:rsid w:val="001D7494"/>
    <w:rsid w:val="001D74A6"/>
    <w:rsid w:val="001D7540"/>
    <w:rsid w:val="001D76A5"/>
    <w:rsid w:val="001D783F"/>
    <w:rsid w:val="001D78C6"/>
    <w:rsid w:val="001D78DA"/>
    <w:rsid w:val="001D7925"/>
    <w:rsid w:val="001D792B"/>
    <w:rsid w:val="001D798C"/>
    <w:rsid w:val="001D79C2"/>
    <w:rsid w:val="001D79CD"/>
    <w:rsid w:val="001D7A3D"/>
    <w:rsid w:val="001D7BA9"/>
    <w:rsid w:val="001D7CCC"/>
    <w:rsid w:val="001D7CE3"/>
    <w:rsid w:val="001D7CEC"/>
    <w:rsid w:val="001D7CED"/>
    <w:rsid w:val="001D7D9B"/>
    <w:rsid w:val="001D7DDC"/>
    <w:rsid w:val="001D7E45"/>
    <w:rsid w:val="001D7EAD"/>
    <w:rsid w:val="001D7EF8"/>
    <w:rsid w:val="001D7FA4"/>
    <w:rsid w:val="001E0074"/>
    <w:rsid w:val="001E00C3"/>
    <w:rsid w:val="001E022A"/>
    <w:rsid w:val="001E0333"/>
    <w:rsid w:val="001E0416"/>
    <w:rsid w:val="001E0496"/>
    <w:rsid w:val="001E058F"/>
    <w:rsid w:val="001E075B"/>
    <w:rsid w:val="001E07AD"/>
    <w:rsid w:val="001E0811"/>
    <w:rsid w:val="001E0863"/>
    <w:rsid w:val="001E0889"/>
    <w:rsid w:val="001E08C4"/>
    <w:rsid w:val="001E0A09"/>
    <w:rsid w:val="001E0A4F"/>
    <w:rsid w:val="001E0A78"/>
    <w:rsid w:val="001E0BAC"/>
    <w:rsid w:val="001E0C2A"/>
    <w:rsid w:val="001E0ED1"/>
    <w:rsid w:val="001E0EDF"/>
    <w:rsid w:val="001E0F02"/>
    <w:rsid w:val="001E0F71"/>
    <w:rsid w:val="001E1028"/>
    <w:rsid w:val="001E1029"/>
    <w:rsid w:val="001E1111"/>
    <w:rsid w:val="001E11C1"/>
    <w:rsid w:val="001E11D6"/>
    <w:rsid w:val="001E1381"/>
    <w:rsid w:val="001E1481"/>
    <w:rsid w:val="001E15CC"/>
    <w:rsid w:val="001E16C4"/>
    <w:rsid w:val="001E16EE"/>
    <w:rsid w:val="001E1715"/>
    <w:rsid w:val="001E180F"/>
    <w:rsid w:val="001E1974"/>
    <w:rsid w:val="001E19A0"/>
    <w:rsid w:val="001E19C8"/>
    <w:rsid w:val="001E1BD9"/>
    <w:rsid w:val="001E1CC1"/>
    <w:rsid w:val="001E1CD6"/>
    <w:rsid w:val="001E1CE5"/>
    <w:rsid w:val="001E1DB2"/>
    <w:rsid w:val="001E1E94"/>
    <w:rsid w:val="001E1F0A"/>
    <w:rsid w:val="001E22C5"/>
    <w:rsid w:val="001E2310"/>
    <w:rsid w:val="001E232F"/>
    <w:rsid w:val="001E2371"/>
    <w:rsid w:val="001E23EA"/>
    <w:rsid w:val="001E2424"/>
    <w:rsid w:val="001E2474"/>
    <w:rsid w:val="001E24E9"/>
    <w:rsid w:val="001E25A1"/>
    <w:rsid w:val="001E2845"/>
    <w:rsid w:val="001E28C4"/>
    <w:rsid w:val="001E2929"/>
    <w:rsid w:val="001E2972"/>
    <w:rsid w:val="001E2AB8"/>
    <w:rsid w:val="001E2BA8"/>
    <w:rsid w:val="001E2CAC"/>
    <w:rsid w:val="001E2DFC"/>
    <w:rsid w:val="001E2E14"/>
    <w:rsid w:val="001E2F33"/>
    <w:rsid w:val="001E2FF5"/>
    <w:rsid w:val="001E30D6"/>
    <w:rsid w:val="001E30E5"/>
    <w:rsid w:val="001E313E"/>
    <w:rsid w:val="001E318E"/>
    <w:rsid w:val="001E3210"/>
    <w:rsid w:val="001E325A"/>
    <w:rsid w:val="001E3369"/>
    <w:rsid w:val="001E3398"/>
    <w:rsid w:val="001E3509"/>
    <w:rsid w:val="001E3544"/>
    <w:rsid w:val="001E354D"/>
    <w:rsid w:val="001E35BD"/>
    <w:rsid w:val="001E35F8"/>
    <w:rsid w:val="001E3683"/>
    <w:rsid w:val="001E3839"/>
    <w:rsid w:val="001E386E"/>
    <w:rsid w:val="001E391B"/>
    <w:rsid w:val="001E3980"/>
    <w:rsid w:val="001E39AA"/>
    <w:rsid w:val="001E39D9"/>
    <w:rsid w:val="001E3A2C"/>
    <w:rsid w:val="001E3A68"/>
    <w:rsid w:val="001E3ACB"/>
    <w:rsid w:val="001E3B34"/>
    <w:rsid w:val="001E3BFE"/>
    <w:rsid w:val="001E3CB4"/>
    <w:rsid w:val="001E3D54"/>
    <w:rsid w:val="001E3E70"/>
    <w:rsid w:val="001E3E79"/>
    <w:rsid w:val="001E4032"/>
    <w:rsid w:val="001E4185"/>
    <w:rsid w:val="001E41E3"/>
    <w:rsid w:val="001E4343"/>
    <w:rsid w:val="001E4471"/>
    <w:rsid w:val="001E484B"/>
    <w:rsid w:val="001E4953"/>
    <w:rsid w:val="001E4988"/>
    <w:rsid w:val="001E49F3"/>
    <w:rsid w:val="001E4A02"/>
    <w:rsid w:val="001E4A04"/>
    <w:rsid w:val="001E4BCD"/>
    <w:rsid w:val="001E4C3F"/>
    <w:rsid w:val="001E4CB2"/>
    <w:rsid w:val="001E4D18"/>
    <w:rsid w:val="001E4D4B"/>
    <w:rsid w:val="001E4D66"/>
    <w:rsid w:val="001E4E13"/>
    <w:rsid w:val="001E4E1A"/>
    <w:rsid w:val="001E4E4D"/>
    <w:rsid w:val="001E4EAD"/>
    <w:rsid w:val="001E4F35"/>
    <w:rsid w:val="001E4FD7"/>
    <w:rsid w:val="001E504F"/>
    <w:rsid w:val="001E5095"/>
    <w:rsid w:val="001E50C7"/>
    <w:rsid w:val="001E50E8"/>
    <w:rsid w:val="001E514A"/>
    <w:rsid w:val="001E51AB"/>
    <w:rsid w:val="001E51E8"/>
    <w:rsid w:val="001E52B5"/>
    <w:rsid w:val="001E5301"/>
    <w:rsid w:val="001E5313"/>
    <w:rsid w:val="001E5334"/>
    <w:rsid w:val="001E53E9"/>
    <w:rsid w:val="001E5403"/>
    <w:rsid w:val="001E5430"/>
    <w:rsid w:val="001E5464"/>
    <w:rsid w:val="001E55C6"/>
    <w:rsid w:val="001E56A0"/>
    <w:rsid w:val="001E5780"/>
    <w:rsid w:val="001E57A4"/>
    <w:rsid w:val="001E582B"/>
    <w:rsid w:val="001E5851"/>
    <w:rsid w:val="001E58E1"/>
    <w:rsid w:val="001E58E6"/>
    <w:rsid w:val="001E5AA3"/>
    <w:rsid w:val="001E5B1A"/>
    <w:rsid w:val="001E5B5B"/>
    <w:rsid w:val="001E5B5E"/>
    <w:rsid w:val="001E5B84"/>
    <w:rsid w:val="001E5BE7"/>
    <w:rsid w:val="001E5C12"/>
    <w:rsid w:val="001E5C5D"/>
    <w:rsid w:val="001E5EA0"/>
    <w:rsid w:val="001E5EC8"/>
    <w:rsid w:val="001E6006"/>
    <w:rsid w:val="001E603D"/>
    <w:rsid w:val="001E60E3"/>
    <w:rsid w:val="001E61CC"/>
    <w:rsid w:val="001E630E"/>
    <w:rsid w:val="001E6378"/>
    <w:rsid w:val="001E6388"/>
    <w:rsid w:val="001E6437"/>
    <w:rsid w:val="001E65C1"/>
    <w:rsid w:val="001E6798"/>
    <w:rsid w:val="001E67BA"/>
    <w:rsid w:val="001E67EE"/>
    <w:rsid w:val="001E685C"/>
    <w:rsid w:val="001E6982"/>
    <w:rsid w:val="001E69A7"/>
    <w:rsid w:val="001E6AF1"/>
    <w:rsid w:val="001E6BB5"/>
    <w:rsid w:val="001E6C13"/>
    <w:rsid w:val="001E6C38"/>
    <w:rsid w:val="001E6C66"/>
    <w:rsid w:val="001E6CDA"/>
    <w:rsid w:val="001E6CE8"/>
    <w:rsid w:val="001E6D55"/>
    <w:rsid w:val="001E6DCB"/>
    <w:rsid w:val="001E6DF8"/>
    <w:rsid w:val="001E6EE6"/>
    <w:rsid w:val="001E6F22"/>
    <w:rsid w:val="001E6F2F"/>
    <w:rsid w:val="001E7061"/>
    <w:rsid w:val="001E7113"/>
    <w:rsid w:val="001E7185"/>
    <w:rsid w:val="001E72ED"/>
    <w:rsid w:val="001E7368"/>
    <w:rsid w:val="001E73B5"/>
    <w:rsid w:val="001E73BE"/>
    <w:rsid w:val="001E7495"/>
    <w:rsid w:val="001E75A9"/>
    <w:rsid w:val="001E75F6"/>
    <w:rsid w:val="001E75FE"/>
    <w:rsid w:val="001E763F"/>
    <w:rsid w:val="001E7677"/>
    <w:rsid w:val="001E7701"/>
    <w:rsid w:val="001E77AC"/>
    <w:rsid w:val="001E7858"/>
    <w:rsid w:val="001E7938"/>
    <w:rsid w:val="001E799F"/>
    <w:rsid w:val="001E7A69"/>
    <w:rsid w:val="001E7BAC"/>
    <w:rsid w:val="001E7BEF"/>
    <w:rsid w:val="001E7CCE"/>
    <w:rsid w:val="001E7CFB"/>
    <w:rsid w:val="001E7F45"/>
    <w:rsid w:val="001E7FA2"/>
    <w:rsid w:val="001EA2FC"/>
    <w:rsid w:val="001F004D"/>
    <w:rsid w:val="001F012E"/>
    <w:rsid w:val="001F0235"/>
    <w:rsid w:val="001F0352"/>
    <w:rsid w:val="001F03FD"/>
    <w:rsid w:val="001F0416"/>
    <w:rsid w:val="001F0440"/>
    <w:rsid w:val="001F049F"/>
    <w:rsid w:val="001F04F0"/>
    <w:rsid w:val="001F0548"/>
    <w:rsid w:val="001F059A"/>
    <w:rsid w:val="001F061F"/>
    <w:rsid w:val="001F0621"/>
    <w:rsid w:val="001F0670"/>
    <w:rsid w:val="001F068A"/>
    <w:rsid w:val="001F092F"/>
    <w:rsid w:val="001F09F4"/>
    <w:rsid w:val="001F0B3D"/>
    <w:rsid w:val="001F0B75"/>
    <w:rsid w:val="001F0BAF"/>
    <w:rsid w:val="001F0BBA"/>
    <w:rsid w:val="001F0C63"/>
    <w:rsid w:val="001F0C6E"/>
    <w:rsid w:val="001F0D1B"/>
    <w:rsid w:val="001F0DCF"/>
    <w:rsid w:val="001F0FCD"/>
    <w:rsid w:val="001F102C"/>
    <w:rsid w:val="001F10B1"/>
    <w:rsid w:val="001F1208"/>
    <w:rsid w:val="001F12AD"/>
    <w:rsid w:val="001F138D"/>
    <w:rsid w:val="001F13E7"/>
    <w:rsid w:val="001F1477"/>
    <w:rsid w:val="001F14D8"/>
    <w:rsid w:val="001F14EE"/>
    <w:rsid w:val="001F1552"/>
    <w:rsid w:val="001F158A"/>
    <w:rsid w:val="001F15B3"/>
    <w:rsid w:val="001F1614"/>
    <w:rsid w:val="001F1925"/>
    <w:rsid w:val="001F1978"/>
    <w:rsid w:val="001F1A8F"/>
    <w:rsid w:val="001F1BCB"/>
    <w:rsid w:val="001F1BE3"/>
    <w:rsid w:val="001F1C26"/>
    <w:rsid w:val="001F1C68"/>
    <w:rsid w:val="001F1C8C"/>
    <w:rsid w:val="001F1E1A"/>
    <w:rsid w:val="001F1E61"/>
    <w:rsid w:val="001F1F7B"/>
    <w:rsid w:val="001F1F7C"/>
    <w:rsid w:val="001F2061"/>
    <w:rsid w:val="001F2132"/>
    <w:rsid w:val="001F21C0"/>
    <w:rsid w:val="001F2299"/>
    <w:rsid w:val="001F2328"/>
    <w:rsid w:val="001F23DD"/>
    <w:rsid w:val="001F248B"/>
    <w:rsid w:val="001F24A8"/>
    <w:rsid w:val="001F24F5"/>
    <w:rsid w:val="001F24FF"/>
    <w:rsid w:val="001F290B"/>
    <w:rsid w:val="001F2949"/>
    <w:rsid w:val="001F2990"/>
    <w:rsid w:val="001F29C4"/>
    <w:rsid w:val="001F2A63"/>
    <w:rsid w:val="001F2A68"/>
    <w:rsid w:val="001F2B0D"/>
    <w:rsid w:val="001F2B3E"/>
    <w:rsid w:val="001F2C51"/>
    <w:rsid w:val="001F2C9B"/>
    <w:rsid w:val="001F2CE9"/>
    <w:rsid w:val="001F2D41"/>
    <w:rsid w:val="001F2D6B"/>
    <w:rsid w:val="001F2E90"/>
    <w:rsid w:val="001F2E9E"/>
    <w:rsid w:val="001F2F41"/>
    <w:rsid w:val="001F2FE1"/>
    <w:rsid w:val="001F300F"/>
    <w:rsid w:val="001F3058"/>
    <w:rsid w:val="001F30DA"/>
    <w:rsid w:val="001F31A1"/>
    <w:rsid w:val="001F31C6"/>
    <w:rsid w:val="001F31DF"/>
    <w:rsid w:val="001F32F8"/>
    <w:rsid w:val="001F33BE"/>
    <w:rsid w:val="001F33DE"/>
    <w:rsid w:val="001F34C7"/>
    <w:rsid w:val="001F3500"/>
    <w:rsid w:val="001F35C3"/>
    <w:rsid w:val="001F35C6"/>
    <w:rsid w:val="001F367E"/>
    <w:rsid w:val="001F36E8"/>
    <w:rsid w:val="001F374C"/>
    <w:rsid w:val="001F3792"/>
    <w:rsid w:val="001F379B"/>
    <w:rsid w:val="001F37F5"/>
    <w:rsid w:val="001F3842"/>
    <w:rsid w:val="001F3930"/>
    <w:rsid w:val="001F3947"/>
    <w:rsid w:val="001F3A05"/>
    <w:rsid w:val="001F3A32"/>
    <w:rsid w:val="001F3A8D"/>
    <w:rsid w:val="001F3AD2"/>
    <w:rsid w:val="001F3B07"/>
    <w:rsid w:val="001F3C74"/>
    <w:rsid w:val="001F3D2B"/>
    <w:rsid w:val="001F3DE0"/>
    <w:rsid w:val="001F3E0B"/>
    <w:rsid w:val="001F3EC6"/>
    <w:rsid w:val="001F3FDA"/>
    <w:rsid w:val="001F409A"/>
    <w:rsid w:val="001F4227"/>
    <w:rsid w:val="001F42D8"/>
    <w:rsid w:val="001F42DB"/>
    <w:rsid w:val="001F4301"/>
    <w:rsid w:val="001F4303"/>
    <w:rsid w:val="001F4386"/>
    <w:rsid w:val="001F43C8"/>
    <w:rsid w:val="001F4425"/>
    <w:rsid w:val="001F44C5"/>
    <w:rsid w:val="001F4665"/>
    <w:rsid w:val="001F46DF"/>
    <w:rsid w:val="001F46F8"/>
    <w:rsid w:val="001F47C1"/>
    <w:rsid w:val="001F47FB"/>
    <w:rsid w:val="001F49C4"/>
    <w:rsid w:val="001F49D1"/>
    <w:rsid w:val="001F4B02"/>
    <w:rsid w:val="001F4CC0"/>
    <w:rsid w:val="001F4DA5"/>
    <w:rsid w:val="001F4E70"/>
    <w:rsid w:val="001F4EBC"/>
    <w:rsid w:val="001F4F6C"/>
    <w:rsid w:val="001F4F95"/>
    <w:rsid w:val="001F4FD6"/>
    <w:rsid w:val="001F5019"/>
    <w:rsid w:val="001F5040"/>
    <w:rsid w:val="001F50CA"/>
    <w:rsid w:val="001F524A"/>
    <w:rsid w:val="001F525F"/>
    <w:rsid w:val="001F5327"/>
    <w:rsid w:val="001F5353"/>
    <w:rsid w:val="001F5391"/>
    <w:rsid w:val="001F539B"/>
    <w:rsid w:val="001F53BD"/>
    <w:rsid w:val="001F541B"/>
    <w:rsid w:val="001F543F"/>
    <w:rsid w:val="001F5460"/>
    <w:rsid w:val="001F54C8"/>
    <w:rsid w:val="001F54CA"/>
    <w:rsid w:val="001F54EE"/>
    <w:rsid w:val="001F55BA"/>
    <w:rsid w:val="001F5656"/>
    <w:rsid w:val="001F5826"/>
    <w:rsid w:val="001F5828"/>
    <w:rsid w:val="001F59A7"/>
    <w:rsid w:val="001F5B2E"/>
    <w:rsid w:val="001F5B52"/>
    <w:rsid w:val="001F5C8D"/>
    <w:rsid w:val="001F5D18"/>
    <w:rsid w:val="001F5DA5"/>
    <w:rsid w:val="001F5DD7"/>
    <w:rsid w:val="001F5DEC"/>
    <w:rsid w:val="001F5E92"/>
    <w:rsid w:val="001F5E9D"/>
    <w:rsid w:val="001F5EB6"/>
    <w:rsid w:val="001F5F1C"/>
    <w:rsid w:val="001F5F78"/>
    <w:rsid w:val="001F5FA1"/>
    <w:rsid w:val="001F5FA5"/>
    <w:rsid w:val="001F6039"/>
    <w:rsid w:val="001F612D"/>
    <w:rsid w:val="001F6467"/>
    <w:rsid w:val="001F6590"/>
    <w:rsid w:val="001F6596"/>
    <w:rsid w:val="001F660A"/>
    <w:rsid w:val="001F6662"/>
    <w:rsid w:val="001F6699"/>
    <w:rsid w:val="001F6706"/>
    <w:rsid w:val="001F6770"/>
    <w:rsid w:val="001F6809"/>
    <w:rsid w:val="001F684E"/>
    <w:rsid w:val="001F6852"/>
    <w:rsid w:val="001F6873"/>
    <w:rsid w:val="001F6922"/>
    <w:rsid w:val="001F6B37"/>
    <w:rsid w:val="001F6BFE"/>
    <w:rsid w:val="001F6C95"/>
    <w:rsid w:val="001F6CB9"/>
    <w:rsid w:val="001F6CD4"/>
    <w:rsid w:val="001F6D20"/>
    <w:rsid w:val="001F6DCE"/>
    <w:rsid w:val="001F6E65"/>
    <w:rsid w:val="001F6ECC"/>
    <w:rsid w:val="001F6EE0"/>
    <w:rsid w:val="001F6F77"/>
    <w:rsid w:val="001F7092"/>
    <w:rsid w:val="001F70AD"/>
    <w:rsid w:val="001F7144"/>
    <w:rsid w:val="001F723C"/>
    <w:rsid w:val="001F7438"/>
    <w:rsid w:val="001F74F2"/>
    <w:rsid w:val="001F757A"/>
    <w:rsid w:val="001F75C6"/>
    <w:rsid w:val="001F76B2"/>
    <w:rsid w:val="001F774F"/>
    <w:rsid w:val="001F779A"/>
    <w:rsid w:val="001F77A5"/>
    <w:rsid w:val="001F7894"/>
    <w:rsid w:val="001F7938"/>
    <w:rsid w:val="001F7970"/>
    <w:rsid w:val="001F7999"/>
    <w:rsid w:val="001F7AE0"/>
    <w:rsid w:val="001F7C2F"/>
    <w:rsid w:val="001F7C8A"/>
    <w:rsid w:val="001F7CFA"/>
    <w:rsid w:val="001F7D6D"/>
    <w:rsid w:val="001F7F0B"/>
    <w:rsid w:val="001F7F5A"/>
    <w:rsid w:val="001F7F6B"/>
    <w:rsid w:val="001F7FCA"/>
    <w:rsid w:val="00200011"/>
    <w:rsid w:val="00200022"/>
    <w:rsid w:val="0020006A"/>
    <w:rsid w:val="002000AE"/>
    <w:rsid w:val="00200109"/>
    <w:rsid w:val="0020011F"/>
    <w:rsid w:val="00200138"/>
    <w:rsid w:val="002001A9"/>
    <w:rsid w:val="0020042A"/>
    <w:rsid w:val="00200549"/>
    <w:rsid w:val="0020054B"/>
    <w:rsid w:val="00200586"/>
    <w:rsid w:val="00200628"/>
    <w:rsid w:val="002006E4"/>
    <w:rsid w:val="002006E8"/>
    <w:rsid w:val="00200714"/>
    <w:rsid w:val="00200756"/>
    <w:rsid w:val="00200847"/>
    <w:rsid w:val="002008A9"/>
    <w:rsid w:val="00200901"/>
    <w:rsid w:val="0020093E"/>
    <w:rsid w:val="00200953"/>
    <w:rsid w:val="00200A17"/>
    <w:rsid w:val="00200A19"/>
    <w:rsid w:val="00200C16"/>
    <w:rsid w:val="00200C9E"/>
    <w:rsid w:val="00200CB6"/>
    <w:rsid w:val="00200CF4"/>
    <w:rsid w:val="00200E6A"/>
    <w:rsid w:val="00200ED5"/>
    <w:rsid w:val="00200F1C"/>
    <w:rsid w:val="0020112A"/>
    <w:rsid w:val="00201253"/>
    <w:rsid w:val="00201264"/>
    <w:rsid w:val="0020136C"/>
    <w:rsid w:val="00201420"/>
    <w:rsid w:val="0020143A"/>
    <w:rsid w:val="00201471"/>
    <w:rsid w:val="002014F8"/>
    <w:rsid w:val="002015BE"/>
    <w:rsid w:val="002015D5"/>
    <w:rsid w:val="002015F3"/>
    <w:rsid w:val="002016BB"/>
    <w:rsid w:val="0020173E"/>
    <w:rsid w:val="00201758"/>
    <w:rsid w:val="00201804"/>
    <w:rsid w:val="00201863"/>
    <w:rsid w:val="00201997"/>
    <w:rsid w:val="002019C0"/>
    <w:rsid w:val="00201AFD"/>
    <w:rsid w:val="00201D99"/>
    <w:rsid w:val="00201DA9"/>
    <w:rsid w:val="00201E51"/>
    <w:rsid w:val="00201E78"/>
    <w:rsid w:val="00201F42"/>
    <w:rsid w:val="00201F73"/>
    <w:rsid w:val="00201FAC"/>
    <w:rsid w:val="00201FEB"/>
    <w:rsid w:val="00202018"/>
    <w:rsid w:val="00202102"/>
    <w:rsid w:val="002021A0"/>
    <w:rsid w:val="002021C4"/>
    <w:rsid w:val="002021C5"/>
    <w:rsid w:val="002021DB"/>
    <w:rsid w:val="00202226"/>
    <w:rsid w:val="00202239"/>
    <w:rsid w:val="0020230F"/>
    <w:rsid w:val="00202346"/>
    <w:rsid w:val="002023DE"/>
    <w:rsid w:val="002023ED"/>
    <w:rsid w:val="0020255F"/>
    <w:rsid w:val="00202603"/>
    <w:rsid w:val="002028BD"/>
    <w:rsid w:val="002028CB"/>
    <w:rsid w:val="00202A14"/>
    <w:rsid w:val="00202A84"/>
    <w:rsid w:val="00202AEE"/>
    <w:rsid w:val="00202B5D"/>
    <w:rsid w:val="00202B6D"/>
    <w:rsid w:val="00202BE9"/>
    <w:rsid w:val="00202C55"/>
    <w:rsid w:val="00202CCA"/>
    <w:rsid w:val="00202CE6"/>
    <w:rsid w:val="00202DB2"/>
    <w:rsid w:val="00202F1A"/>
    <w:rsid w:val="00202F3C"/>
    <w:rsid w:val="00203118"/>
    <w:rsid w:val="002031FE"/>
    <w:rsid w:val="002032BC"/>
    <w:rsid w:val="0020355D"/>
    <w:rsid w:val="002035EC"/>
    <w:rsid w:val="00203646"/>
    <w:rsid w:val="002036A4"/>
    <w:rsid w:val="00203736"/>
    <w:rsid w:val="00203743"/>
    <w:rsid w:val="00203759"/>
    <w:rsid w:val="002037EE"/>
    <w:rsid w:val="0020395D"/>
    <w:rsid w:val="002039A1"/>
    <w:rsid w:val="00203A0C"/>
    <w:rsid w:val="00203A3B"/>
    <w:rsid w:val="00203B4B"/>
    <w:rsid w:val="00203B9A"/>
    <w:rsid w:val="00203BA0"/>
    <w:rsid w:val="00203BEA"/>
    <w:rsid w:val="00203C71"/>
    <w:rsid w:val="00203CCB"/>
    <w:rsid w:val="00203E0C"/>
    <w:rsid w:val="00203E41"/>
    <w:rsid w:val="00203EE0"/>
    <w:rsid w:val="00203EF9"/>
    <w:rsid w:val="0020417B"/>
    <w:rsid w:val="00204193"/>
    <w:rsid w:val="00204310"/>
    <w:rsid w:val="002045A5"/>
    <w:rsid w:val="002045F3"/>
    <w:rsid w:val="00204725"/>
    <w:rsid w:val="002047C1"/>
    <w:rsid w:val="002047D2"/>
    <w:rsid w:val="00204999"/>
    <w:rsid w:val="0020499D"/>
    <w:rsid w:val="00204A3B"/>
    <w:rsid w:val="00204A83"/>
    <w:rsid w:val="00204B61"/>
    <w:rsid w:val="00204C27"/>
    <w:rsid w:val="00204CED"/>
    <w:rsid w:val="00204DBC"/>
    <w:rsid w:val="00204DC4"/>
    <w:rsid w:val="00204E0E"/>
    <w:rsid w:val="00204E7A"/>
    <w:rsid w:val="00204F72"/>
    <w:rsid w:val="00204FEB"/>
    <w:rsid w:val="00205062"/>
    <w:rsid w:val="00205194"/>
    <w:rsid w:val="0020530B"/>
    <w:rsid w:val="00205374"/>
    <w:rsid w:val="002055D1"/>
    <w:rsid w:val="002055DA"/>
    <w:rsid w:val="002055EB"/>
    <w:rsid w:val="002056BC"/>
    <w:rsid w:val="0020581F"/>
    <w:rsid w:val="0020593E"/>
    <w:rsid w:val="00205948"/>
    <w:rsid w:val="0020594F"/>
    <w:rsid w:val="002059FD"/>
    <w:rsid w:val="00205B12"/>
    <w:rsid w:val="00205B9F"/>
    <w:rsid w:val="00205BA7"/>
    <w:rsid w:val="00205BE4"/>
    <w:rsid w:val="00205C4D"/>
    <w:rsid w:val="00205D50"/>
    <w:rsid w:val="00205DB2"/>
    <w:rsid w:val="00205DCC"/>
    <w:rsid w:val="00205E93"/>
    <w:rsid w:val="00205EB5"/>
    <w:rsid w:val="00205F1D"/>
    <w:rsid w:val="00205F72"/>
    <w:rsid w:val="00206029"/>
    <w:rsid w:val="0020607A"/>
    <w:rsid w:val="00206094"/>
    <w:rsid w:val="002060E4"/>
    <w:rsid w:val="00206148"/>
    <w:rsid w:val="00206186"/>
    <w:rsid w:val="0020618A"/>
    <w:rsid w:val="002061A6"/>
    <w:rsid w:val="00206253"/>
    <w:rsid w:val="00206263"/>
    <w:rsid w:val="002062A3"/>
    <w:rsid w:val="002062AA"/>
    <w:rsid w:val="002062D6"/>
    <w:rsid w:val="002062E8"/>
    <w:rsid w:val="00206526"/>
    <w:rsid w:val="002065F9"/>
    <w:rsid w:val="00206630"/>
    <w:rsid w:val="002067FA"/>
    <w:rsid w:val="00206914"/>
    <w:rsid w:val="00206956"/>
    <w:rsid w:val="00206969"/>
    <w:rsid w:val="00206B1D"/>
    <w:rsid w:val="00206BD2"/>
    <w:rsid w:val="00206C8B"/>
    <w:rsid w:val="00206CA9"/>
    <w:rsid w:val="00206D88"/>
    <w:rsid w:val="00206DD7"/>
    <w:rsid w:val="00206E68"/>
    <w:rsid w:val="00206E78"/>
    <w:rsid w:val="00206F99"/>
    <w:rsid w:val="00207019"/>
    <w:rsid w:val="00207038"/>
    <w:rsid w:val="0020707E"/>
    <w:rsid w:val="00207092"/>
    <w:rsid w:val="00207102"/>
    <w:rsid w:val="0020718A"/>
    <w:rsid w:val="002071C4"/>
    <w:rsid w:val="00207469"/>
    <w:rsid w:val="002074D6"/>
    <w:rsid w:val="002074EE"/>
    <w:rsid w:val="0020751E"/>
    <w:rsid w:val="002076DC"/>
    <w:rsid w:val="00207735"/>
    <w:rsid w:val="00207752"/>
    <w:rsid w:val="0020781B"/>
    <w:rsid w:val="002078A3"/>
    <w:rsid w:val="00207906"/>
    <w:rsid w:val="0020790A"/>
    <w:rsid w:val="002079FD"/>
    <w:rsid w:val="00207A4B"/>
    <w:rsid w:val="00207AA1"/>
    <w:rsid w:val="00207B8D"/>
    <w:rsid w:val="00207C47"/>
    <w:rsid w:val="00207C76"/>
    <w:rsid w:val="00207D5C"/>
    <w:rsid w:val="00207D9A"/>
    <w:rsid w:val="00207E20"/>
    <w:rsid w:val="00207F0C"/>
    <w:rsid w:val="00207FD7"/>
    <w:rsid w:val="002100F5"/>
    <w:rsid w:val="0021020B"/>
    <w:rsid w:val="0021042C"/>
    <w:rsid w:val="0021044E"/>
    <w:rsid w:val="0021054D"/>
    <w:rsid w:val="00210591"/>
    <w:rsid w:val="002106F5"/>
    <w:rsid w:val="002106FA"/>
    <w:rsid w:val="0021077A"/>
    <w:rsid w:val="00210793"/>
    <w:rsid w:val="002107F4"/>
    <w:rsid w:val="0021081C"/>
    <w:rsid w:val="0021087A"/>
    <w:rsid w:val="00210889"/>
    <w:rsid w:val="0021094D"/>
    <w:rsid w:val="00210956"/>
    <w:rsid w:val="00210960"/>
    <w:rsid w:val="00210996"/>
    <w:rsid w:val="00210AB9"/>
    <w:rsid w:val="00210AC1"/>
    <w:rsid w:val="00210B37"/>
    <w:rsid w:val="00210DD4"/>
    <w:rsid w:val="00210EF4"/>
    <w:rsid w:val="0021112D"/>
    <w:rsid w:val="0021116A"/>
    <w:rsid w:val="0021123F"/>
    <w:rsid w:val="002112C5"/>
    <w:rsid w:val="0021143D"/>
    <w:rsid w:val="00211471"/>
    <w:rsid w:val="002114E1"/>
    <w:rsid w:val="00211500"/>
    <w:rsid w:val="00211530"/>
    <w:rsid w:val="00211553"/>
    <w:rsid w:val="00211606"/>
    <w:rsid w:val="0021160D"/>
    <w:rsid w:val="00211614"/>
    <w:rsid w:val="0021163F"/>
    <w:rsid w:val="00211643"/>
    <w:rsid w:val="002116B2"/>
    <w:rsid w:val="002117E7"/>
    <w:rsid w:val="0021186D"/>
    <w:rsid w:val="00211875"/>
    <w:rsid w:val="00211983"/>
    <w:rsid w:val="002119BE"/>
    <w:rsid w:val="002119C3"/>
    <w:rsid w:val="00211A13"/>
    <w:rsid w:val="00211AFB"/>
    <w:rsid w:val="00211CCA"/>
    <w:rsid w:val="00211CEB"/>
    <w:rsid w:val="00211DC2"/>
    <w:rsid w:val="00211E42"/>
    <w:rsid w:val="00212032"/>
    <w:rsid w:val="0021219D"/>
    <w:rsid w:val="002122AC"/>
    <w:rsid w:val="00212364"/>
    <w:rsid w:val="002123E0"/>
    <w:rsid w:val="00212410"/>
    <w:rsid w:val="00212456"/>
    <w:rsid w:val="0021245E"/>
    <w:rsid w:val="0021254A"/>
    <w:rsid w:val="002125B0"/>
    <w:rsid w:val="002125BD"/>
    <w:rsid w:val="002125C0"/>
    <w:rsid w:val="002125D3"/>
    <w:rsid w:val="0021263B"/>
    <w:rsid w:val="00212687"/>
    <w:rsid w:val="0021272F"/>
    <w:rsid w:val="0021273A"/>
    <w:rsid w:val="0021287A"/>
    <w:rsid w:val="00212880"/>
    <w:rsid w:val="00212890"/>
    <w:rsid w:val="002128D8"/>
    <w:rsid w:val="002128FE"/>
    <w:rsid w:val="00212A41"/>
    <w:rsid w:val="00212A9D"/>
    <w:rsid w:val="00212B8F"/>
    <w:rsid w:val="00212C9E"/>
    <w:rsid w:val="00212CB3"/>
    <w:rsid w:val="00212D45"/>
    <w:rsid w:val="00212D91"/>
    <w:rsid w:val="00212DE1"/>
    <w:rsid w:val="00212E92"/>
    <w:rsid w:val="00212EEB"/>
    <w:rsid w:val="00212FE8"/>
    <w:rsid w:val="00213087"/>
    <w:rsid w:val="0021326D"/>
    <w:rsid w:val="00213318"/>
    <w:rsid w:val="0021341E"/>
    <w:rsid w:val="0021348F"/>
    <w:rsid w:val="0021349C"/>
    <w:rsid w:val="00213545"/>
    <w:rsid w:val="0021360E"/>
    <w:rsid w:val="00213758"/>
    <w:rsid w:val="0021376B"/>
    <w:rsid w:val="0021382A"/>
    <w:rsid w:val="0021388D"/>
    <w:rsid w:val="002138D4"/>
    <w:rsid w:val="0021390D"/>
    <w:rsid w:val="00213A22"/>
    <w:rsid w:val="00213A3B"/>
    <w:rsid w:val="00213ABE"/>
    <w:rsid w:val="00213AD0"/>
    <w:rsid w:val="00213ADC"/>
    <w:rsid w:val="00213AE5"/>
    <w:rsid w:val="00213B27"/>
    <w:rsid w:val="00213C07"/>
    <w:rsid w:val="00213C18"/>
    <w:rsid w:val="00213C98"/>
    <w:rsid w:val="00213CFA"/>
    <w:rsid w:val="00213D83"/>
    <w:rsid w:val="00213DF2"/>
    <w:rsid w:val="00213E55"/>
    <w:rsid w:val="00213EB7"/>
    <w:rsid w:val="00213F85"/>
    <w:rsid w:val="00213FAA"/>
    <w:rsid w:val="0021425E"/>
    <w:rsid w:val="00214342"/>
    <w:rsid w:val="0021440A"/>
    <w:rsid w:val="00214424"/>
    <w:rsid w:val="002144D6"/>
    <w:rsid w:val="002145B7"/>
    <w:rsid w:val="00214707"/>
    <w:rsid w:val="002147A8"/>
    <w:rsid w:val="0021493C"/>
    <w:rsid w:val="0021495E"/>
    <w:rsid w:val="002149A1"/>
    <w:rsid w:val="00214A93"/>
    <w:rsid w:val="00214B03"/>
    <w:rsid w:val="00214B3C"/>
    <w:rsid w:val="00214B40"/>
    <w:rsid w:val="00214C83"/>
    <w:rsid w:val="00214CD7"/>
    <w:rsid w:val="00214CDB"/>
    <w:rsid w:val="00214CF7"/>
    <w:rsid w:val="00214CFA"/>
    <w:rsid w:val="00214DF4"/>
    <w:rsid w:val="00214EBE"/>
    <w:rsid w:val="00214F1B"/>
    <w:rsid w:val="00214F20"/>
    <w:rsid w:val="00214F50"/>
    <w:rsid w:val="00215001"/>
    <w:rsid w:val="0021507D"/>
    <w:rsid w:val="002150C5"/>
    <w:rsid w:val="002150EA"/>
    <w:rsid w:val="0021515D"/>
    <w:rsid w:val="002151AC"/>
    <w:rsid w:val="00215259"/>
    <w:rsid w:val="0021525F"/>
    <w:rsid w:val="0021527F"/>
    <w:rsid w:val="00215321"/>
    <w:rsid w:val="00215399"/>
    <w:rsid w:val="00215444"/>
    <w:rsid w:val="002154C2"/>
    <w:rsid w:val="00215524"/>
    <w:rsid w:val="002155D0"/>
    <w:rsid w:val="00215644"/>
    <w:rsid w:val="0021579D"/>
    <w:rsid w:val="002158C5"/>
    <w:rsid w:val="0021590A"/>
    <w:rsid w:val="00215954"/>
    <w:rsid w:val="0021598A"/>
    <w:rsid w:val="00215A07"/>
    <w:rsid w:val="00215A72"/>
    <w:rsid w:val="00215A9E"/>
    <w:rsid w:val="00215AC2"/>
    <w:rsid w:val="00215B27"/>
    <w:rsid w:val="00215B87"/>
    <w:rsid w:val="00215BAD"/>
    <w:rsid w:val="00215C83"/>
    <w:rsid w:val="00215CD7"/>
    <w:rsid w:val="00215DAC"/>
    <w:rsid w:val="00215DC1"/>
    <w:rsid w:val="00215E79"/>
    <w:rsid w:val="00215F1F"/>
    <w:rsid w:val="00215F33"/>
    <w:rsid w:val="00215FAB"/>
    <w:rsid w:val="002161A1"/>
    <w:rsid w:val="00216221"/>
    <w:rsid w:val="002163DD"/>
    <w:rsid w:val="00216406"/>
    <w:rsid w:val="0021648E"/>
    <w:rsid w:val="00216583"/>
    <w:rsid w:val="0021660E"/>
    <w:rsid w:val="0021662D"/>
    <w:rsid w:val="0021670D"/>
    <w:rsid w:val="00216790"/>
    <w:rsid w:val="002167D3"/>
    <w:rsid w:val="002167DA"/>
    <w:rsid w:val="0021689E"/>
    <w:rsid w:val="0021695E"/>
    <w:rsid w:val="00216978"/>
    <w:rsid w:val="002169AC"/>
    <w:rsid w:val="002169BD"/>
    <w:rsid w:val="00216AD3"/>
    <w:rsid w:val="00216B24"/>
    <w:rsid w:val="00216B5B"/>
    <w:rsid w:val="00216C63"/>
    <w:rsid w:val="00216C80"/>
    <w:rsid w:val="00216D68"/>
    <w:rsid w:val="00216FDA"/>
    <w:rsid w:val="0021706B"/>
    <w:rsid w:val="002170BB"/>
    <w:rsid w:val="00217114"/>
    <w:rsid w:val="0021724A"/>
    <w:rsid w:val="0021724C"/>
    <w:rsid w:val="002172D8"/>
    <w:rsid w:val="0021732F"/>
    <w:rsid w:val="00217345"/>
    <w:rsid w:val="00217375"/>
    <w:rsid w:val="002173AA"/>
    <w:rsid w:val="00217531"/>
    <w:rsid w:val="0021776A"/>
    <w:rsid w:val="002177A0"/>
    <w:rsid w:val="002177F1"/>
    <w:rsid w:val="00217829"/>
    <w:rsid w:val="0021783A"/>
    <w:rsid w:val="002179BD"/>
    <w:rsid w:val="00217A0C"/>
    <w:rsid w:val="00217B06"/>
    <w:rsid w:val="00217B2A"/>
    <w:rsid w:val="00217BD3"/>
    <w:rsid w:val="00217C1C"/>
    <w:rsid w:val="00217C35"/>
    <w:rsid w:val="00217C70"/>
    <w:rsid w:val="00217CB3"/>
    <w:rsid w:val="00217CC1"/>
    <w:rsid w:val="00217CED"/>
    <w:rsid w:val="00217D6E"/>
    <w:rsid w:val="00217E5B"/>
    <w:rsid w:val="00217E81"/>
    <w:rsid w:val="00217EAB"/>
    <w:rsid w:val="00217EB3"/>
    <w:rsid w:val="00217ECD"/>
    <w:rsid w:val="00217F63"/>
    <w:rsid w:val="00217F8B"/>
    <w:rsid w:val="00217FEB"/>
    <w:rsid w:val="00220036"/>
    <w:rsid w:val="002201BA"/>
    <w:rsid w:val="00220279"/>
    <w:rsid w:val="002204F7"/>
    <w:rsid w:val="002205CC"/>
    <w:rsid w:val="00220681"/>
    <w:rsid w:val="002206FD"/>
    <w:rsid w:val="002207BA"/>
    <w:rsid w:val="00220906"/>
    <w:rsid w:val="00220975"/>
    <w:rsid w:val="00220B07"/>
    <w:rsid w:val="00220B12"/>
    <w:rsid w:val="00220B2E"/>
    <w:rsid w:val="00220B77"/>
    <w:rsid w:val="00220C87"/>
    <w:rsid w:val="00220D0E"/>
    <w:rsid w:val="00220D7A"/>
    <w:rsid w:val="00220D9B"/>
    <w:rsid w:val="00220ED8"/>
    <w:rsid w:val="00220F6C"/>
    <w:rsid w:val="00220F78"/>
    <w:rsid w:val="00220F7F"/>
    <w:rsid w:val="00220F9F"/>
    <w:rsid w:val="00221176"/>
    <w:rsid w:val="002212E8"/>
    <w:rsid w:val="002213A3"/>
    <w:rsid w:val="0022143F"/>
    <w:rsid w:val="0022149C"/>
    <w:rsid w:val="0022152B"/>
    <w:rsid w:val="00221574"/>
    <w:rsid w:val="0022162D"/>
    <w:rsid w:val="00221686"/>
    <w:rsid w:val="002216D3"/>
    <w:rsid w:val="00221764"/>
    <w:rsid w:val="00221768"/>
    <w:rsid w:val="00221868"/>
    <w:rsid w:val="002218AA"/>
    <w:rsid w:val="002218E1"/>
    <w:rsid w:val="002219A5"/>
    <w:rsid w:val="00221A5D"/>
    <w:rsid w:val="00221A85"/>
    <w:rsid w:val="00221AC2"/>
    <w:rsid w:val="00221D25"/>
    <w:rsid w:val="00221D85"/>
    <w:rsid w:val="00221E6F"/>
    <w:rsid w:val="00221EB8"/>
    <w:rsid w:val="00221F10"/>
    <w:rsid w:val="00221F4B"/>
    <w:rsid w:val="00221F4C"/>
    <w:rsid w:val="002220CF"/>
    <w:rsid w:val="00222137"/>
    <w:rsid w:val="002221E7"/>
    <w:rsid w:val="002222AF"/>
    <w:rsid w:val="002222C9"/>
    <w:rsid w:val="002222D8"/>
    <w:rsid w:val="0022238B"/>
    <w:rsid w:val="002224ED"/>
    <w:rsid w:val="00222551"/>
    <w:rsid w:val="00222556"/>
    <w:rsid w:val="002225F5"/>
    <w:rsid w:val="002227C9"/>
    <w:rsid w:val="00222864"/>
    <w:rsid w:val="00222884"/>
    <w:rsid w:val="00222985"/>
    <w:rsid w:val="00222BE8"/>
    <w:rsid w:val="00222BEA"/>
    <w:rsid w:val="00222D35"/>
    <w:rsid w:val="00222D4E"/>
    <w:rsid w:val="00222EB6"/>
    <w:rsid w:val="00223096"/>
    <w:rsid w:val="00223345"/>
    <w:rsid w:val="0022335B"/>
    <w:rsid w:val="00223444"/>
    <w:rsid w:val="002234C5"/>
    <w:rsid w:val="002234D3"/>
    <w:rsid w:val="00223514"/>
    <w:rsid w:val="0022359F"/>
    <w:rsid w:val="00223619"/>
    <w:rsid w:val="0022363C"/>
    <w:rsid w:val="0022367C"/>
    <w:rsid w:val="00223767"/>
    <w:rsid w:val="0022377E"/>
    <w:rsid w:val="002237BE"/>
    <w:rsid w:val="00223862"/>
    <w:rsid w:val="0022386B"/>
    <w:rsid w:val="0022389F"/>
    <w:rsid w:val="00223940"/>
    <w:rsid w:val="00223942"/>
    <w:rsid w:val="00223968"/>
    <w:rsid w:val="002239A7"/>
    <w:rsid w:val="002239EA"/>
    <w:rsid w:val="00223A69"/>
    <w:rsid w:val="00223AEC"/>
    <w:rsid w:val="00223B1C"/>
    <w:rsid w:val="00223B3E"/>
    <w:rsid w:val="00223B3F"/>
    <w:rsid w:val="00223BB3"/>
    <w:rsid w:val="00223BC8"/>
    <w:rsid w:val="00223BFD"/>
    <w:rsid w:val="00223C6C"/>
    <w:rsid w:val="00223CEA"/>
    <w:rsid w:val="00223CFC"/>
    <w:rsid w:val="00223D1A"/>
    <w:rsid w:val="00223D60"/>
    <w:rsid w:val="00223EEF"/>
    <w:rsid w:val="00223FAA"/>
    <w:rsid w:val="00223FD0"/>
    <w:rsid w:val="002240E6"/>
    <w:rsid w:val="00224121"/>
    <w:rsid w:val="002241F7"/>
    <w:rsid w:val="0022430C"/>
    <w:rsid w:val="00224346"/>
    <w:rsid w:val="0022435D"/>
    <w:rsid w:val="00224377"/>
    <w:rsid w:val="00224402"/>
    <w:rsid w:val="00224522"/>
    <w:rsid w:val="002245EB"/>
    <w:rsid w:val="00224635"/>
    <w:rsid w:val="00224794"/>
    <w:rsid w:val="002247F2"/>
    <w:rsid w:val="0022493D"/>
    <w:rsid w:val="00224941"/>
    <w:rsid w:val="00224942"/>
    <w:rsid w:val="00224A86"/>
    <w:rsid w:val="00224BD3"/>
    <w:rsid w:val="00224BE5"/>
    <w:rsid w:val="00224D56"/>
    <w:rsid w:val="00224E16"/>
    <w:rsid w:val="00224E7C"/>
    <w:rsid w:val="00224F6A"/>
    <w:rsid w:val="00224FDA"/>
    <w:rsid w:val="002250B5"/>
    <w:rsid w:val="00225172"/>
    <w:rsid w:val="0022522F"/>
    <w:rsid w:val="002254BA"/>
    <w:rsid w:val="002254C3"/>
    <w:rsid w:val="0022553B"/>
    <w:rsid w:val="002255AE"/>
    <w:rsid w:val="0022562F"/>
    <w:rsid w:val="00225632"/>
    <w:rsid w:val="0022573F"/>
    <w:rsid w:val="0022581F"/>
    <w:rsid w:val="0022592B"/>
    <w:rsid w:val="00225936"/>
    <w:rsid w:val="002259A4"/>
    <w:rsid w:val="002259EF"/>
    <w:rsid w:val="00225A03"/>
    <w:rsid w:val="00225B26"/>
    <w:rsid w:val="00225B31"/>
    <w:rsid w:val="00225B36"/>
    <w:rsid w:val="00225B7F"/>
    <w:rsid w:val="00225D06"/>
    <w:rsid w:val="00225D37"/>
    <w:rsid w:val="00225DFD"/>
    <w:rsid w:val="00225ECA"/>
    <w:rsid w:val="00225F21"/>
    <w:rsid w:val="00225F47"/>
    <w:rsid w:val="002261E8"/>
    <w:rsid w:val="00226235"/>
    <w:rsid w:val="00226272"/>
    <w:rsid w:val="00226340"/>
    <w:rsid w:val="00226348"/>
    <w:rsid w:val="00226361"/>
    <w:rsid w:val="00226383"/>
    <w:rsid w:val="00226492"/>
    <w:rsid w:val="002265CA"/>
    <w:rsid w:val="002266E5"/>
    <w:rsid w:val="002266FA"/>
    <w:rsid w:val="002267EB"/>
    <w:rsid w:val="00226992"/>
    <w:rsid w:val="00226BA3"/>
    <w:rsid w:val="00226C74"/>
    <w:rsid w:val="00226C7C"/>
    <w:rsid w:val="00226CCF"/>
    <w:rsid w:val="00226D27"/>
    <w:rsid w:val="00226D58"/>
    <w:rsid w:val="00226D98"/>
    <w:rsid w:val="00226DD7"/>
    <w:rsid w:val="00226E61"/>
    <w:rsid w:val="00226EBC"/>
    <w:rsid w:val="00226F1C"/>
    <w:rsid w:val="00226F5D"/>
    <w:rsid w:val="00226FC8"/>
    <w:rsid w:val="00227055"/>
    <w:rsid w:val="0022706C"/>
    <w:rsid w:val="0022713D"/>
    <w:rsid w:val="002272DB"/>
    <w:rsid w:val="0022755F"/>
    <w:rsid w:val="00227579"/>
    <w:rsid w:val="00227592"/>
    <w:rsid w:val="002276F6"/>
    <w:rsid w:val="002277AE"/>
    <w:rsid w:val="002277D4"/>
    <w:rsid w:val="0022792B"/>
    <w:rsid w:val="00227C0B"/>
    <w:rsid w:val="00227C66"/>
    <w:rsid w:val="00227CEC"/>
    <w:rsid w:val="00227D08"/>
    <w:rsid w:val="00227D2C"/>
    <w:rsid w:val="00227D3D"/>
    <w:rsid w:val="00227DF9"/>
    <w:rsid w:val="00227E40"/>
    <w:rsid w:val="00227E7C"/>
    <w:rsid w:val="0023000E"/>
    <w:rsid w:val="00230067"/>
    <w:rsid w:val="002300AE"/>
    <w:rsid w:val="00230153"/>
    <w:rsid w:val="002301E8"/>
    <w:rsid w:val="00230282"/>
    <w:rsid w:val="00230296"/>
    <w:rsid w:val="0023037D"/>
    <w:rsid w:val="0023038B"/>
    <w:rsid w:val="002303CC"/>
    <w:rsid w:val="00230469"/>
    <w:rsid w:val="002304B0"/>
    <w:rsid w:val="002304C6"/>
    <w:rsid w:val="002304EC"/>
    <w:rsid w:val="00230545"/>
    <w:rsid w:val="00230650"/>
    <w:rsid w:val="00230696"/>
    <w:rsid w:val="0023074C"/>
    <w:rsid w:val="0023078C"/>
    <w:rsid w:val="002307D2"/>
    <w:rsid w:val="0023099F"/>
    <w:rsid w:val="00230B5A"/>
    <w:rsid w:val="00230B79"/>
    <w:rsid w:val="00230BA5"/>
    <w:rsid w:val="00230C9D"/>
    <w:rsid w:val="00230CC1"/>
    <w:rsid w:val="00230D48"/>
    <w:rsid w:val="00230D9E"/>
    <w:rsid w:val="00230DA5"/>
    <w:rsid w:val="00230E2D"/>
    <w:rsid w:val="00230EDA"/>
    <w:rsid w:val="00230EE9"/>
    <w:rsid w:val="00230FB4"/>
    <w:rsid w:val="0023102B"/>
    <w:rsid w:val="0023108C"/>
    <w:rsid w:val="002310F3"/>
    <w:rsid w:val="00231173"/>
    <w:rsid w:val="00231191"/>
    <w:rsid w:val="0023127A"/>
    <w:rsid w:val="002313BD"/>
    <w:rsid w:val="002313C3"/>
    <w:rsid w:val="002314CC"/>
    <w:rsid w:val="002314E1"/>
    <w:rsid w:val="0023158E"/>
    <w:rsid w:val="0023166D"/>
    <w:rsid w:val="002316AA"/>
    <w:rsid w:val="002316FC"/>
    <w:rsid w:val="00231769"/>
    <w:rsid w:val="002317CC"/>
    <w:rsid w:val="00231832"/>
    <w:rsid w:val="00231862"/>
    <w:rsid w:val="002318CF"/>
    <w:rsid w:val="002319B0"/>
    <w:rsid w:val="00231A3E"/>
    <w:rsid w:val="00231ABA"/>
    <w:rsid w:val="00231B2D"/>
    <w:rsid w:val="00231B59"/>
    <w:rsid w:val="00231B5F"/>
    <w:rsid w:val="00231B61"/>
    <w:rsid w:val="00231BA8"/>
    <w:rsid w:val="00231D2C"/>
    <w:rsid w:val="00231D2D"/>
    <w:rsid w:val="00231D39"/>
    <w:rsid w:val="00231EC9"/>
    <w:rsid w:val="00231FF0"/>
    <w:rsid w:val="002320AE"/>
    <w:rsid w:val="002320DD"/>
    <w:rsid w:val="0023211B"/>
    <w:rsid w:val="00232173"/>
    <w:rsid w:val="00232190"/>
    <w:rsid w:val="002321D3"/>
    <w:rsid w:val="0023222A"/>
    <w:rsid w:val="00232418"/>
    <w:rsid w:val="00232735"/>
    <w:rsid w:val="0023274F"/>
    <w:rsid w:val="0023278F"/>
    <w:rsid w:val="0023279A"/>
    <w:rsid w:val="0023279F"/>
    <w:rsid w:val="0023289A"/>
    <w:rsid w:val="0023293C"/>
    <w:rsid w:val="00232957"/>
    <w:rsid w:val="00232A0F"/>
    <w:rsid w:val="00232A67"/>
    <w:rsid w:val="00232B16"/>
    <w:rsid w:val="00232B24"/>
    <w:rsid w:val="00232BA2"/>
    <w:rsid w:val="00232D1D"/>
    <w:rsid w:val="00232D44"/>
    <w:rsid w:val="00232DF4"/>
    <w:rsid w:val="00232E17"/>
    <w:rsid w:val="00232FFA"/>
    <w:rsid w:val="00233118"/>
    <w:rsid w:val="002331FC"/>
    <w:rsid w:val="00233205"/>
    <w:rsid w:val="00233270"/>
    <w:rsid w:val="002332E1"/>
    <w:rsid w:val="00233342"/>
    <w:rsid w:val="00233369"/>
    <w:rsid w:val="002333F6"/>
    <w:rsid w:val="002334E9"/>
    <w:rsid w:val="002334EB"/>
    <w:rsid w:val="002334EE"/>
    <w:rsid w:val="00233553"/>
    <w:rsid w:val="002335B6"/>
    <w:rsid w:val="002336C9"/>
    <w:rsid w:val="0023388B"/>
    <w:rsid w:val="002339D8"/>
    <w:rsid w:val="00233AF9"/>
    <w:rsid w:val="00233B72"/>
    <w:rsid w:val="00233B8F"/>
    <w:rsid w:val="00233C68"/>
    <w:rsid w:val="00233CEE"/>
    <w:rsid w:val="00233D12"/>
    <w:rsid w:val="00233D3E"/>
    <w:rsid w:val="00233DAF"/>
    <w:rsid w:val="00233EA7"/>
    <w:rsid w:val="00233F7B"/>
    <w:rsid w:val="00233FA8"/>
    <w:rsid w:val="00234102"/>
    <w:rsid w:val="002341DB"/>
    <w:rsid w:val="002341E2"/>
    <w:rsid w:val="002342FC"/>
    <w:rsid w:val="002343FD"/>
    <w:rsid w:val="00234503"/>
    <w:rsid w:val="0023453A"/>
    <w:rsid w:val="0023462E"/>
    <w:rsid w:val="002347BF"/>
    <w:rsid w:val="00234842"/>
    <w:rsid w:val="00234887"/>
    <w:rsid w:val="0023491D"/>
    <w:rsid w:val="00234944"/>
    <w:rsid w:val="00234970"/>
    <w:rsid w:val="002349BC"/>
    <w:rsid w:val="002349BF"/>
    <w:rsid w:val="00234A26"/>
    <w:rsid w:val="00234A5B"/>
    <w:rsid w:val="00234B4E"/>
    <w:rsid w:val="00234B7C"/>
    <w:rsid w:val="00234BB4"/>
    <w:rsid w:val="00234C1F"/>
    <w:rsid w:val="00234DA1"/>
    <w:rsid w:val="00235013"/>
    <w:rsid w:val="0023507B"/>
    <w:rsid w:val="002350C1"/>
    <w:rsid w:val="00235193"/>
    <w:rsid w:val="00235231"/>
    <w:rsid w:val="00235249"/>
    <w:rsid w:val="00235327"/>
    <w:rsid w:val="0023542B"/>
    <w:rsid w:val="00235443"/>
    <w:rsid w:val="002354BB"/>
    <w:rsid w:val="00235684"/>
    <w:rsid w:val="0023582C"/>
    <w:rsid w:val="00235856"/>
    <w:rsid w:val="00235860"/>
    <w:rsid w:val="0023586D"/>
    <w:rsid w:val="002358D0"/>
    <w:rsid w:val="002358E1"/>
    <w:rsid w:val="00235948"/>
    <w:rsid w:val="0023596B"/>
    <w:rsid w:val="00235B42"/>
    <w:rsid w:val="00235CCC"/>
    <w:rsid w:val="00235DBA"/>
    <w:rsid w:val="00235F10"/>
    <w:rsid w:val="00235F68"/>
    <w:rsid w:val="0023618A"/>
    <w:rsid w:val="00236223"/>
    <w:rsid w:val="002364C8"/>
    <w:rsid w:val="00236520"/>
    <w:rsid w:val="0023658E"/>
    <w:rsid w:val="002365CD"/>
    <w:rsid w:val="002365FF"/>
    <w:rsid w:val="00236657"/>
    <w:rsid w:val="00236701"/>
    <w:rsid w:val="0023670F"/>
    <w:rsid w:val="0023674D"/>
    <w:rsid w:val="00236761"/>
    <w:rsid w:val="00236872"/>
    <w:rsid w:val="002368D3"/>
    <w:rsid w:val="002368E2"/>
    <w:rsid w:val="00236B1C"/>
    <w:rsid w:val="00236B69"/>
    <w:rsid w:val="00236BDD"/>
    <w:rsid w:val="00236D8C"/>
    <w:rsid w:val="00236DBB"/>
    <w:rsid w:val="00236DE7"/>
    <w:rsid w:val="00236EB0"/>
    <w:rsid w:val="00236F61"/>
    <w:rsid w:val="00236FA7"/>
    <w:rsid w:val="0023702A"/>
    <w:rsid w:val="00237036"/>
    <w:rsid w:val="00237061"/>
    <w:rsid w:val="0023737C"/>
    <w:rsid w:val="002373E2"/>
    <w:rsid w:val="00237408"/>
    <w:rsid w:val="0023745A"/>
    <w:rsid w:val="00237466"/>
    <w:rsid w:val="002374D8"/>
    <w:rsid w:val="00237593"/>
    <w:rsid w:val="00237788"/>
    <w:rsid w:val="0023781D"/>
    <w:rsid w:val="0023783B"/>
    <w:rsid w:val="00237A2C"/>
    <w:rsid w:val="00237ADD"/>
    <w:rsid w:val="00237BD4"/>
    <w:rsid w:val="00237BFE"/>
    <w:rsid w:val="00237C21"/>
    <w:rsid w:val="00237C81"/>
    <w:rsid w:val="00237E04"/>
    <w:rsid w:val="00237E68"/>
    <w:rsid w:val="00237F59"/>
    <w:rsid w:val="00237F79"/>
    <w:rsid w:val="00240065"/>
    <w:rsid w:val="002400E9"/>
    <w:rsid w:val="002401CF"/>
    <w:rsid w:val="002401D4"/>
    <w:rsid w:val="002401F3"/>
    <w:rsid w:val="0024020B"/>
    <w:rsid w:val="002402E5"/>
    <w:rsid w:val="00240462"/>
    <w:rsid w:val="002405BD"/>
    <w:rsid w:val="0024063C"/>
    <w:rsid w:val="00240644"/>
    <w:rsid w:val="002407C1"/>
    <w:rsid w:val="002409D2"/>
    <w:rsid w:val="002409D7"/>
    <w:rsid w:val="002409ED"/>
    <w:rsid w:val="00240A01"/>
    <w:rsid w:val="00240A8E"/>
    <w:rsid w:val="00240AF9"/>
    <w:rsid w:val="00240B38"/>
    <w:rsid w:val="00240B50"/>
    <w:rsid w:val="00240B8A"/>
    <w:rsid w:val="00240BF8"/>
    <w:rsid w:val="00240E1C"/>
    <w:rsid w:val="00240E24"/>
    <w:rsid w:val="00240E4B"/>
    <w:rsid w:val="00240ECC"/>
    <w:rsid w:val="00240ED2"/>
    <w:rsid w:val="00240FB9"/>
    <w:rsid w:val="0024102D"/>
    <w:rsid w:val="002410C4"/>
    <w:rsid w:val="002410E8"/>
    <w:rsid w:val="002411C2"/>
    <w:rsid w:val="002411CC"/>
    <w:rsid w:val="00241237"/>
    <w:rsid w:val="00241289"/>
    <w:rsid w:val="00241293"/>
    <w:rsid w:val="00241373"/>
    <w:rsid w:val="002413D2"/>
    <w:rsid w:val="00241462"/>
    <w:rsid w:val="0024157D"/>
    <w:rsid w:val="002415C8"/>
    <w:rsid w:val="0024166C"/>
    <w:rsid w:val="0024168A"/>
    <w:rsid w:val="00241695"/>
    <w:rsid w:val="00241753"/>
    <w:rsid w:val="002417CF"/>
    <w:rsid w:val="002418B1"/>
    <w:rsid w:val="002419A4"/>
    <w:rsid w:val="00241A74"/>
    <w:rsid w:val="00241B70"/>
    <w:rsid w:val="00241B91"/>
    <w:rsid w:val="00241BD7"/>
    <w:rsid w:val="00241C55"/>
    <w:rsid w:val="00241C72"/>
    <w:rsid w:val="00241D80"/>
    <w:rsid w:val="00241E36"/>
    <w:rsid w:val="00241EAF"/>
    <w:rsid w:val="00241FC4"/>
    <w:rsid w:val="0024202C"/>
    <w:rsid w:val="00242113"/>
    <w:rsid w:val="00242200"/>
    <w:rsid w:val="00242648"/>
    <w:rsid w:val="00242666"/>
    <w:rsid w:val="002426FD"/>
    <w:rsid w:val="002428BA"/>
    <w:rsid w:val="00242926"/>
    <w:rsid w:val="00242AEB"/>
    <w:rsid w:val="00242AF9"/>
    <w:rsid w:val="00242BF2"/>
    <w:rsid w:val="00242C11"/>
    <w:rsid w:val="00242C7F"/>
    <w:rsid w:val="00242DC8"/>
    <w:rsid w:val="00242E84"/>
    <w:rsid w:val="00242ECD"/>
    <w:rsid w:val="00242FAA"/>
    <w:rsid w:val="00242FEE"/>
    <w:rsid w:val="00243075"/>
    <w:rsid w:val="0024310F"/>
    <w:rsid w:val="00243146"/>
    <w:rsid w:val="002431A9"/>
    <w:rsid w:val="00243300"/>
    <w:rsid w:val="0024330C"/>
    <w:rsid w:val="0024333A"/>
    <w:rsid w:val="00243420"/>
    <w:rsid w:val="00243468"/>
    <w:rsid w:val="00243500"/>
    <w:rsid w:val="00243520"/>
    <w:rsid w:val="00243521"/>
    <w:rsid w:val="00243584"/>
    <w:rsid w:val="002436DB"/>
    <w:rsid w:val="0024373B"/>
    <w:rsid w:val="002437BA"/>
    <w:rsid w:val="00243946"/>
    <w:rsid w:val="00243A71"/>
    <w:rsid w:val="00243B3B"/>
    <w:rsid w:val="00243CF5"/>
    <w:rsid w:val="002440A5"/>
    <w:rsid w:val="00244282"/>
    <w:rsid w:val="002442D0"/>
    <w:rsid w:val="002442D7"/>
    <w:rsid w:val="0024433F"/>
    <w:rsid w:val="002443F9"/>
    <w:rsid w:val="00244413"/>
    <w:rsid w:val="00244460"/>
    <w:rsid w:val="0024447D"/>
    <w:rsid w:val="0024449A"/>
    <w:rsid w:val="002444DA"/>
    <w:rsid w:val="00244538"/>
    <w:rsid w:val="0024453E"/>
    <w:rsid w:val="0024453F"/>
    <w:rsid w:val="00244564"/>
    <w:rsid w:val="002445E1"/>
    <w:rsid w:val="002446AC"/>
    <w:rsid w:val="002446BD"/>
    <w:rsid w:val="00244701"/>
    <w:rsid w:val="0024483E"/>
    <w:rsid w:val="00244957"/>
    <w:rsid w:val="00244A49"/>
    <w:rsid w:val="00244AD5"/>
    <w:rsid w:val="00244B01"/>
    <w:rsid w:val="00244B52"/>
    <w:rsid w:val="00244B75"/>
    <w:rsid w:val="00244B95"/>
    <w:rsid w:val="00244BE7"/>
    <w:rsid w:val="00244C3F"/>
    <w:rsid w:val="00244D7B"/>
    <w:rsid w:val="00244E63"/>
    <w:rsid w:val="00244EC5"/>
    <w:rsid w:val="00244F37"/>
    <w:rsid w:val="00244F8B"/>
    <w:rsid w:val="0024501A"/>
    <w:rsid w:val="00245031"/>
    <w:rsid w:val="002450B3"/>
    <w:rsid w:val="002450F9"/>
    <w:rsid w:val="00245105"/>
    <w:rsid w:val="002451E7"/>
    <w:rsid w:val="0024525C"/>
    <w:rsid w:val="002452A2"/>
    <w:rsid w:val="002453A3"/>
    <w:rsid w:val="002454C9"/>
    <w:rsid w:val="002455D5"/>
    <w:rsid w:val="002456F5"/>
    <w:rsid w:val="00245706"/>
    <w:rsid w:val="00245773"/>
    <w:rsid w:val="00245815"/>
    <w:rsid w:val="00245822"/>
    <w:rsid w:val="00245958"/>
    <w:rsid w:val="002459A2"/>
    <w:rsid w:val="00245A05"/>
    <w:rsid w:val="00245B5E"/>
    <w:rsid w:val="00245CBC"/>
    <w:rsid w:val="00245CE1"/>
    <w:rsid w:val="00245CE9"/>
    <w:rsid w:val="00245CEF"/>
    <w:rsid w:val="00245E5B"/>
    <w:rsid w:val="00245F1D"/>
    <w:rsid w:val="00245F97"/>
    <w:rsid w:val="002460B5"/>
    <w:rsid w:val="002461C6"/>
    <w:rsid w:val="00246294"/>
    <w:rsid w:val="00246310"/>
    <w:rsid w:val="002463B6"/>
    <w:rsid w:val="00246400"/>
    <w:rsid w:val="0024642B"/>
    <w:rsid w:val="00246500"/>
    <w:rsid w:val="0024651C"/>
    <w:rsid w:val="0024656A"/>
    <w:rsid w:val="0024676E"/>
    <w:rsid w:val="002467D0"/>
    <w:rsid w:val="00246869"/>
    <w:rsid w:val="0024689C"/>
    <w:rsid w:val="002468BD"/>
    <w:rsid w:val="002468EA"/>
    <w:rsid w:val="0024694E"/>
    <w:rsid w:val="00246968"/>
    <w:rsid w:val="00246993"/>
    <w:rsid w:val="002469DC"/>
    <w:rsid w:val="002469EE"/>
    <w:rsid w:val="002469F6"/>
    <w:rsid w:val="00246AFA"/>
    <w:rsid w:val="00246B93"/>
    <w:rsid w:val="00246C69"/>
    <w:rsid w:val="00246D05"/>
    <w:rsid w:val="00246EE6"/>
    <w:rsid w:val="00246F7F"/>
    <w:rsid w:val="00247012"/>
    <w:rsid w:val="00247038"/>
    <w:rsid w:val="0024708F"/>
    <w:rsid w:val="002470D7"/>
    <w:rsid w:val="002470F0"/>
    <w:rsid w:val="00247102"/>
    <w:rsid w:val="00247171"/>
    <w:rsid w:val="0024726D"/>
    <w:rsid w:val="0024732E"/>
    <w:rsid w:val="00247405"/>
    <w:rsid w:val="0024756C"/>
    <w:rsid w:val="0024758B"/>
    <w:rsid w:val="00247671"/>
    <w:rsid w:val="002476AE"/>
    <w:rsid w:val="002479F3"/>
    <w:rsid w:val="00247A4C"/>
    <w:rsid w:val="00247AB2"/>
    <w:rsid w:val="00247B08"/>
    <w:rsid w:val="00247B0D"/>
    <w:rsid w:val="00247B93"/>
    <w:rsid w:val="00247BB1"/>
    <w:rsid w:val="00247D86"/>
    <w:rsid w:val="00247E33"/>
    <w:rsid w:val="00247E69"/>
    <w:rsid w:val="00247E8D"/>
    <w:rsid w:val="00247EBB"/>
    <w:rsid w:val="00247FDE"/>
    <w:rsid w:val="00250017"/>
    <w:rsid w:val="00250047"/>
    <w:rsid w:val="0025007F"/>
    <w:rsid w:val="002500A7"/>
    <w:rsid w:val="002500A9"/>
    <w:rsid w:val="002503DF"/>
    <w:rsid w:val="002504C4"/>
    <w:rsid w:val="002504D3"/>
    <w:rsid w:val="0025058C"/>
    <w:rsid w:val="002505A1"/>
    <w:rsid w:val="00250615"/>
    <w:rsid w:val="0025071F"/>
    <w:rsid w:val="0025073E"/>
    <w:rsid w:val="00250762"/>
    <w:rsid w:val="002507B7"/>
    <w:rsid w:val="00250818"/>
    <w:rsid w:val="002508B6"/>
    <w:rsid w:val="0025095C"/>
    <w:rsid w:val="002509C1"/>
    <w:rsid w:val="002509CC"/>
    <w:rsid w:val="00250A19"/>
    <w:rsid w:val="00250B3F"/>
    <w:rsid w:val="00250CDF"/>
    <w:rsid w:val="00250D3E"/>
    <w:rsid w:val="00250E43"/>
    <w:rsid w:val="00250F77"/>
    <w:rsid w:val="00251062"/>
    <w:rsid w:val="002513B0"/>
    <w:rsid w:val="002514C1"/>
    <w:rsid w:val="002514C2"/>
    <w:rsid w:val="002514F8"/>
    <w:rsid w:val="00251583"/>
    <w:rsid w:val="002515C6"/>
    <w:rsid w:val="00251627"/>
    <w:rsid w:val="00251640"/>
    <w:rsid w:val="002516D9"/>
    <w:rsid w:val="00251757"/>
    <w:rsid w:val="002517EB"/>
    <w:rsid w:val="0025180F"/>
    <w:rsid w:val="00251848"/>
    <w:rsid w:val="002518B7"/>
    <w:rsid w:val="00251938"/>
    <w:rsid w:val="00251C5E"/>
    <w:rsid w:val="00251CD3"/>
    <w:rsid w:val="00251E9C"/>
    <w:rsid w:val="00251EAB"/>
    <w:rsid w:val="00251F0C"/>
    <w:rsid w:val="00251F88"/>
    <w:rsid w:val="00251F8A"/>
    <w:rsid w:val="00251FCF"/>
    <w:rsid w:val="00252040"/>
    <w:rsid w:val="002520C7"/>
    <w:rsid w:val="002520D8"/>
    <w:rsid w:val="00252123"/>
    <w:rsid w:val="00252152"/>
    <w:rsid w:val="002521B5"/>
    <w:rsid w:val="0025223C"/>
    <w:rsid w:val="0025224C"/>
    <w:rsid w:val="00252250"/>
    <w:rsid w:val="002522F5"/>
    <w:rsid w:val="002523F0"/>
    <w:rsid w:val="00252415"/>
    <w:rsid w:val="00252466"/>
    <w:rsid w:val="0025257C"/>
    <w:rsid w:val="002526C1"/>
    <w:rsid w:val="00252709"/>
    <w:rsid w:val="002527BB"/>
    <w:rsid w:val="00252850"/>
    <w:rsid w:val="002528D0"/>
    <w:rsid w:val="002528EF"/>
    <w:rsid w:val="00252942"/>
    <w:rsid w:val="00252977"/>
    <w:rsid w:val="002529E3"/>
    <w:rsid w:val="00252BA5"/>
    <w:rsid w:val="00252BB0"/>
    <w:rsid w:val="00252BEC"/>
    <w:rsid w:val="00252C48"/>
    <w:rsid w:val="00252D34"/>
    <w:rsid w:val="00252D3E"/>
    <w:rsid w:val="00252D5D"/>
    <w:rsid w:val="00252D69"/>
    <w:rsid w:val="00252E0C"/>
    <w:rsid w:val="00252E36"/>
    <w:rsid w:val="00252E4B"/>
    <w:rsid w:val="00252EB3"/>
    <w:rsid w:val="00252ECF"/>
    <w:rsid w:val="00252F35"/>
    <w:rsid w:val="00253098"/>
    <w:rsid w:val="002531F4"/>
    <w:rsid w:val="00253227"/>
    <w:rsid w:val="00253293"/>
    <w:rsid w:val="002532D6"/>
    <w:rsid w:val="002532DF"/>
    <w:rsid w:val="0025337D"/>
    <w:rsid w:val="00253508"/>
    <w:rsid w:val="00253550"/>
    <w:rsid w:val="002535BB"/>
    <w:rsid w:val="00253611"/>
    <w:rsid w:val="00253622"/>
    <w:rsid w:val="002538AC"/>
    <w:rsid w:val="0025399C"/>
    <w:rsid w:val="002539C1"/>
    <w:rsid w:val="00253A38"/>
    <w:rsid w:val="00253A4D"/>
    <w:rsid w:val="00253AAB"/>
    <w:rsid w:val="00253AC9"/>
    <w:rsid w:val="00253B02"/>
    <w:rsid w:val="00253B38"/>
    <w:rsid w:val="00253B3C"/>
    <w:rsid w:val="00253B42"/>
    <w:rsid w:val="00253B59"/>
    <w:rsid w:val="00253CBB"/>
    <w:rsid w:val="00253CBC"/>
    <w:rsid w:val="00253CD6"/>
    <w:rsid w:val="00253CDC"/>
    <w:rsid w:val="00253D1F"/>
    <w:rsid w:val="00253E14"/>
    <w:rsid w:val="00253F05"/>
    <w:rsid w:val="00253F46"/>
    <w:rsid w:val="002540AA"/>
    <w:rsid w:val="002540AD"/>
    <w:rsid w:val="00254134"/>
    <w:rsid w:val="00254181"/>
    <w:rsid w:val="002542E2"/>
    <w:rsid w:val="00254308"/>
    <w:rsid w:val="0025437A"/>
    <w:rsid w:val="0025440C"/>
    <w:rsid w:val="0025455E"/>
    <w:rsid w:val="0025466A"/>
    <w:rsid w:val="00254893"/>
    <w:rsid w:val="0025489F"/>
    <w:rsid w:val="002548D4"/>
    <w:rsid w:val="002549FF"/>
    <w:rsid w:val="00254BC6"/>
    <w:rsid w:val="00254C27"/>
    <w:rsid w:val="00254C92"/>
    <w:rsid w:val="00254CC2"/>
    <w:rsid w:val="00255030"/>
    <w:rsid w:val="00255068"/>
    <w:rsid w:val="00255076"/>
    <w:rsid w:val="00255115"/>
    <w:rsid w:val="00255150"/>
    <w:rsid w:val="0025519C"/>
    <w:rsid w:val="0025534A"/>
    <w:rsid w:val="00255362"/>
    <w:rsid w:val="0025539E"/>
    <w:rsid w:val="0025544D"/>
    <w:rsid w:val="002554DF"/>
    <w:rsid w:val="00255650"/>
    <w:rsid w:val="0025574F"/>
    <w:rsid w:val="00255837"/>
    <w:rsid w:val="0025583B"/>
    <w:rsid w:val="0025584D"/>
    <w:rsid w:val="002559D2"/>
    <w:rsid w:val="002559E2"/>
    <w:rsid w:val="00255A16"/>
    <w:rsid w:val="00255BAA"/>
    <w:rsid w:val="00255BFD"/>
    <w:rsid w:val="00255C38"/>
    <w:rsid w:val="00255D72"/>
    <w:rsid w:val="00255DD6"/>
    <w:rsid w:val="00255E01"/>
    <w:rsid w:val="00255E5B"/>
    <w:rsid w:val="00255F4C"/>
    <w:rsid w:val="00255F67"/>
    <w:rsid w:val="00256022"/>
    <w:rsid w:val="00256029"/>
    <w:rsid w:val="0025602F"/>
    <w:rsid w:val="0025615D"/>
    <w:rsid w:val="00256173"/>
    <w:rsid w:val="0025624B"/>
    <w:rsid w:val="00256250"/>
    <w:rsid w:val="0025642E"/>
    <w:rsid w:val="002564CD"/>
    <w:rsid w:val="0025655D"/>
    <w:rsid w:val="0025660D"/>
    <w:rsid w:val="002567E2"/>
    <w:rsid w:val="0025693F"/>
    <w:rsid w:val="00256AA0"/>
    <w:rsid w:val="00256ADE"/>
    <w:rsid w:val="00256B29"/>
    <w:rsid w:val="00256B67"/>
    <w:rsid w:val="00256CED"/>
    <w:rsid w:val="00256D29"/>
    <w:rsid w:val="00256D38"/>
    <w:rsid w:val="00256D4D"/>
    <w:rsid w:val="00256ECF"/>
    <w:rsid w:val="00257029"/>
    <w:rsid w:val="00257096"/>
    <w:rsid w:val="00257156"/>
    <w:rsid w:val="00257167"/>
    <w:rsid w:val="0025720A"/>
    <w:rsid w:val="00257301"/>
    <w:rsid w:val="002573DC"/>
    <w:rsid w:val="00257408"/>
    <w:rsid w:val="0025750D"/>
    <w:rsid w:val="00257542"/>
    <w:rsid w:val="002575D6"/>
    <w:rsid w:val="00257639"/>
    <w:rsid w:val="0025763F"/>
    <w:rsid w:val="00257640"/>
    <w:rsid w:val="002576BC"/>
    <w:rsid w:val="002576E5"/>
    <w:rsid w:val="00257947"/>
    <w:rsid w:val="002579F0"/>
    <w:rsid w:val="00257B54"/>
    <w:rsid w:val="00257CAF"/>
    <w:rsid w:val="00257CF5"/>
    <w:rsid w:val="00257D7C"/>
    <w:rsid w:val="00257DD3"/>
    <w:rsid w:val="00257F2F"/>
    <w:rsid w:val="00257FCF"/>
    <w:rsid w:val="00260030"/>
    <w:rsid w:val="00260115"/>
    <w:rsid w:val="002602C2"/>
    <w:rsid w:val="00260414"/>
    <w:rsid w:val="00260550"/>
    <w:rsid w:val="002605CF"/>
    <w:rsid w:val="0026072A"/>
    <w:rsid w:val="0026076B"/>
    <w:rsid w:val="002607D4"/>
    <w:rsid w:val="0026088C"/>
    <w:rsid w:val="0026088E"/>
    <w:rsid w:val="002608F0"/>
    <w:rsid w:val="002609FE"/>
    <w:rsid w:val="00260A03"/>
    <w:rsid w:val="00260E7A"/>
    <w:rsid w:val="00260EA5"/>
    <w:rsid w:val="00260F2F"/>
    <w:rsid w:val="00261046"/>
    <w:rsid w:val="0026113D"/>
    <w:rsid w:val="00261148"/>
    <w:rsid w:val="00261261"/>
    <w:rsid w:val="00261317"/>
    <w:rsid w:val="00261392"/>
    <w:rsid w:val="002613C8"/>
    <w:rsid w:val="00261415"/>
    <w:rsid w:val="002614B9"/>
    <w:rsid w:val="00261596"/>
    <w:rsid w:val="0026174C"/>
    <w:rsid w:val="00261765"/>
    <w:rsid w:val="002617C2"/>
    <w:rsid w:val="002619D4"/>
    <w:rsid w:val="00261A5B"/>
    <w:rsid w:val="00261C62"/>
    <w:rsid w:val="00261CD5"/>
    <w:rsid w:val="00261D1C"/>
    <w:rsid w:val="00261E54"/>
    <w:rsid w:val="00261E7B"/>
    <w:rsid w:val="00261F76"/>
    <w:rsid w:val="00261FA0"/>
    <w:rsid w:val="002620DB"/>
    <w:rsid w:val="002621A8"/>
    <w:rsid w:val="00262211"/>
    <w:rsid w:val="00262250"/>
    <w:rsid w:val="002622EF"/>
    <w:rsid w:val="00262379"/>
    <w:rsid w:val="002623DD"/>
    <w:rsid w:val="002623FA"/>
    <w:rsid w:val="00262403"/>
    <w:rsid w:val="002624E5"/>
    <w:rsid w:val="002625CF"/>
    <w:rsid w:val="002625F6"/>
    <w:rsid w:val="0026260D"/>
    <w:rsid w:val="002626EC"/>
    <w:rsid w:val="0026271D"/>
    <w:rsid w:val="00262762"/>
    <w:rsid w:val="002627A6"/>
    <w:rsid w:val="0026281F"/>
    <w:rsid w:val="0026284B"/>
    <w:rsid w:val="00262870"/>
    <w:rsid w:val="002628A5"/>
    <w:rsid w:val="002628BA"/>
    <w:rsid w:val="00262949"/>
    <w:rsid w:val="00262974"/>
    <w:rsid w:val="00262A19"/>
    <w:rsid w:val="00262B6B"/>
    <w:rsid w:val="00262C2D"/>
    <w:rsid w:val="00262C50"/>
    <w:rsid w:val="00262C5D"/>
    <w:rsid w:val="00262C93"/>
    <w:rsid w:val="00262CDA"/>
    <w:rsid w:val="00262D30"/>
    <w:rsid w:val="00262D39"/>
    <w:rsid w:val="00262D71"/>
    <w:rsid w:val="00262D9E"/>
    <w:rsid w:val="00262DCC"/>
    <w:rsid w:val="00262DD0"/>
    <w:rsid w:val="00262F91"/>
    <w:rsid w:val="00262FBA"/>
    <w:rsid w:val="0026311D"/>
    <w:rsid w:val="00263150"/>
    <w:rsid w:val="0026316E"/>
    <w:rsid w:val="00263218"/>
    <w:rsid w:val="00263227"/>
    <w:rsid w:val="0026322C"/>
    <w:rsid w:val="002632B0"/>
    <w:rsid w:val="00263360"/>
    <w:rsid w:val="00263390"/>
    <w:rsid w:val="002633E5"/>
    <w:rsid w:val="0026340B"/>
    <w:rsid w:val="0026349D"/>
    <w:rsid w:val="002634A1"/>
    <w:rsid w:val="002634DB"/>
    <w:rsid w:val="002635E9"/>
    <w:rsid w:val="00263617"/>
    <w:rsid w:val="0026367A"/>
    <w:rsid w:val="002638CA"/>
    <w:rsid w:val="002638DB"/>
    <w:rsid w:val="00263901"/>
    <w:rsid w:val="00263970"/>
    <w:rsid w:val="002639A0"/>
    <w:rsid w:val="002639EA"/>
    <w:rsid w:val="00263A09"/>
    <w:rsid w:val="00263A16"/>
    <w:rsid w:val="00263A6F"/>
    <w:rsid w:val="00263AF4"/>
    <w:rsid w:val="00263AFA"/>
    <w:rsid w:val="00263C26"/>
    <w:rsid w:val="00263CD3"/>
    <w:rsid w:val="00263D67"/>
    <w:rsid w:val="00263F6F"/>
    <w:rsid w:val="00263F88"/>
    <w:rsid w:val="002641AA"/>
    <w:rsid w:val="0026424E"/>
    <w:rsid w:val="002642CC"/>
    <w:rsid w:val="00264377"/>
    <w:rsid w:val="002644ED"/>
    <w:rsid w:val="0026465A"/>
    <w:rsid w:val="002646A4"/>
    <w:rsid w:val="0026479A"/>
    <w:rsid w:val="002648B0"/>
    <w:rsid w:val="00264A84"/>
    <w:rsid w:val="00264B01"/>
    <w:rsid w:val="00264B70"/>
    <w:rsid w:val="00264CB9"/>
    <w:rsid w:val="00264D8C"/>
    <w:rsid w:val="00264DA6"/>
    <w:rsid w:val="00264ED4"/>
    <w:rsid w:val="00264EDC"/>
    <w:rsid w:val="00264EE9"/>
    <w:rsid w:val="00264EF7"/>
    <w:rsid w:val="00264F4E"/>
    <w:rsid w:val="0026500B"/>
    <w:rsid w:val="00265068"/>
    <w:rsid w:val="002650BB"/>
    <w:rsid w:val="002650BE"/>
    <w:rsid w:val="0026516D"/>
    <w:rsid w:val="0026519A"/>
    <w:rsid w:val="002651AF"/>
    <w:rsid w:val="002651B4"/>
    <w:rsid w:val="00265245"/>
    <w:rsid w:val="002652B2"/>
    <w:rsid w:val="0026534C"/>
    <w:rsid w:val="00265461"/>
    <w:rsid w:val="0026547B"/>
    <w:rsid w:val="00265506"/>
    <w:rsid w:val="002655A4"/>
    <w:rsid w:val="002655B7"/>
    <w:rsid w:val="002655BD"/>
    <w:rsid w:val="00265722"/>
    <w:rsid w:val="00265979"/>
    <w:rsid w:val="002659B4"/>
    <w:rsid w:val="00265A26"/>
    <w:rsid w:val="00265A2E"/>
    <w:rsid w:val="00265A47"/>
    <w:rsid w:val="00265A4E"/>
    <w:rsid w:val="00265AD1"/>
    <w:rsid w:val="00265BA3"/>
    <w:rsid w:val="00265BEB"/>
    <w:rsid w:val="00265C39"/>
    <w:rsid w:val="00265C64"/>
    <w:rsid w:val="00265C88"/>
    <w:rsid w:val="00265E01"/>
    <w:rsid w:val="00265E49"/>
    <w:rsid w:val="00265E8C"/>
    <w:rsid w:val="00266044"/>
    <w:rsid w:val="002660C9"/>
    <w:rsid w:val="002661A7"/>
    <w:rsid w:val="002661D7"/>
    <w:rsid w:val="002662CA"/>
    <w:rsid w:val="002663B0"/>
    <w:rsid w:val="0026645E"/>
    <w:rsid w:val="0026652C"/>
    <w:rsid w:val="002665AB"/>
    <w:rsid w:val="002665DF"/>
    <w:rsid w:val="002665F7"/>
    <w:rsid w:val="0026661C"/>
    <w:rsid w:val="002666A9"/>
    <w:rsid w:val="0026674A"/>
    <w:rsid w:val="002667AC"/>
    <w:rsid w:val="00266802"/>
    <w:rsid w:val="002668A2"/>
    <w:rsid w:val="002668C9"/>
    <w:rsid w:val="00266954"/>
    <w:rsid w:val="00266AE9"/>
    <w:rsid w:val="00266B05"/>
    <w:rsid w:val="00266B6F"/>
    <w:rsid w:val="00266BAB"/>
    <w:rsid w:val="00266C16"/>
    <w:rsid w:val="00266D07"/>
    <w:rsid w:val="00266DAD"/>
    <w:rsid w:val="00266E02"/>
    <w:rsid w:val="00266E12"/>
    <w:rsid w:val="00266F81"/>
    <w:rsid w:val="00266FAA"/>
    <w:rsid w:val="00266FB1"/>
    <w:rsid w:val="00267024"/>
    <w:rsid w:val="002670DC"/>
    <w:rsid w:val="002670FE"/>
    <w:rsid w:val="00267127"/>
    <w:rsid w:val="0026712F"/>
    <w:rsid w:val="0026717E"/>
    <w:rsid w:val="002671F9"/>
    <w:rsid w:val="00267230"/>
    <w:rsid w:val="00267241"/>
    <w:rsid w:val="00267324"/>
    <w:rsid w:val="0026734D"/>
    <w:rsid w:val="002673CF"/>
    <w:rsid w:val="002674F8"/>
    <w:rsid w:val="0026753E"/>
    <w:rsid w:val="00267557"/>
    <w:rsid w:val="00267586"/>
    <w:rsid w:val="002676A8"/>
    <w:rsid w:val="002676C4"/>
    <w:rsid w:val="002676D7"/>
    <w:rsid w:val="00267748"/>
    <w:rsid w:val="00267844"/>
    <w:rsid w:val="002678A5"/>
    <w:rsid w:val="00267914"/>
    <w:rsid w:val="002679C4"/>
    <w:rsid w:val="00267AAC"/>
    <w:rsid w:val="00267AC3"/>
    <w:rsid w:val="00267ACA"/>
    <w:rsid w:val="00267B0B"/>
    <w:rsid w:val="00267B8E"/>
    <w:rsid w:val="00267BB3"/>
    <w:rsid w:val="00267D36"/>
    <w:rsid w:val="00267E81"/>
    <w:rsid w:val="00270042"/>
    <w:rsid w:val="002700D0"/>
    <w:rsid w:val="002700D5"/>
    <w:rsid w:val="00270143"/>
    <w:rsid w:val="0027016E"/>
    <w:rsid w:val="0027023A"/>
    <w:rsid w:val="0027038B"/>
    <w:rsid w:val="00270492"/>
    <w:rsid w:val="00270606"/>
    <w:rsid w:val="002707BC"/>
    <w:rsid w:val="00270813"/>
    <w:rsid w:val="00270852"/>
    <w:rsid w:val="002708CB"/>
    <w:rsid w:val="00270948"/>
    <w:rsid w:val="00270AD2"/>
    <w:rsid w:val="00270B38"/>
    <w:rsid w:val="00270B48"/>
    <w:rsid w:val="00270BA5"/>
    <w:rsid w:val="00270BAD"/>
    <w:rsid w:val="00270D91"/>
    <w:rsid w:val="00270F46"/>
    <w:rsid w:val="00270FB8"/>
    <w:rsid w:val="00270FB9"/>
    <w:rsid w:val="00271016"/>
    <w:rsid w:val="00271036"/>
    <w:rsid w:val="0027109A"/>
    <w:rsid w:val="002710AF"/>
    <w:rsid w:val="00271137"/>
    <w:rsid w:val="002711E3"/>
    <w:rsid w:val="00271480"/>
    <w:rsid w:val="0027149E"/>
    <w:rsid w:val="002714A0"/>
    <w:rsid w:val="002714DA"/>
    <w:rsid w:val="00271543"/>
    <w:rsid w:val="00271575"/>
    <w:rsid w:val="002716E5"/>
    <w:rsid w:val="002717A2"/>
    <w:rsid w:val="00271898"/>
    <w:rsid w:val="0027199E"/>
    <w:rsid w:val="00271A03"/>
    <w:rsid w:val="00271ABD"/>
    <w:rsid w:val="00271B09"/>
    <w:rsid w:val="00271C31"/>
    <w:rsid w:val="00271C96"/>
    <w:rsid w:val="00271C9E"/>
    <w:rsid w:val="00271CF9"/>
    <w:rsid w:val="00271D7E"/>
    <w:rsid w:val="00271DAD"/>
    <w:rsid w:val="00271E02"/>
    <w:rsid w:val="00271E20"/>
    <w:rsid w:val="00271E61"/>
    <w:rsid w:val="00271E8B"/>
    <w:rsid w:val="00271EB7"/>
    <w:rsid w:val="00271EC6"/>
    <w:rsid w:val="00271ECB"/>
    <w:rsid w:val="00271F48"/>
    <w:rsid w:val="00271F9E"/>
    <w:rsid w:val="00271FF7"/>
    <w:rsid w:val="0027201A"/>
    <w:rsid w:val="0027201C"/>
    <w:rsid w:val="00272028"/>
    <w:rsid w:val="00272074"/>
    <w:rsid w:val="002720C1"/>
    <w:rsid w:val="002721CB"/>
    <w:rsid w:val="00272293"/>
    <w:rsid w:val="002722C2"/>
    <w:rsid w:val="0027235D"/>
    <w:rsid w:val="002723A7"/>
    <w:rsid w:val="002723BF"/>
    <w:rsid w:val="00272476"/>
    <w:rsid w:val="0027251D"/>
    <w:rsid w:val="00272693"/>
    <w:rsid w:val="002726B5"/>
    <w:rsid w:val="002726EB"/>
    <w:rsid w:val="00272746"/>
    <w:rsid w:val="002727D1"/>
    <w:rsid w:val="002727D6"/>
    <w:rsid w:val="0027284E"/>
    <w:rsid w:val="00272881"/>
    <w:rsid w:val="002728BF"/>
    <w:rsid w:val="002728D8"/>
    <w:rsid w:val="00272978"/>
    <w:rsid w:val="002729EE"/>
    <w:rsid w:val="00272B42"/>
    <w:rsid w:val="00272B88"/>
    <w:rsid w:val="00272B9E"/>
    <w:rsid w:val="00272CD7"/>
    <w:rsid w:val="00272DFA"/>
    <w:rsid w:val="00273188"/>
    <w:rsid w:val="00273325"/>
    <w:rsid w:val="00273329"/>
    <w:rsid w:val="00273447"/>
    <w:rsid w:val="002734C7"/>
    <w:rsid w:val="00273519"/>
    <w:rsid w:val="002737D4"/>
    <w:rsid w:val="002737E1"/>
    <w:rsid w:val="00273832"/>
    <w:rsid w:val="00273941"/>
    <w:rsid w:val="00273BE1"/>
    <w:rsid w:val="00273C4B"/>
    <w:rsid w:val="00273E29"/>
    <w:rsid w:val="00273E2A"/>
    <w:rsid w:val="00273E83"/>
    <w:rsid w:val="00273EC4"/>
    <w:rsid w:val="00273F2D"/>
    <w:rsid w:val="00273F42"/>
    <w:rsid w:val="00273F53"/>
    <w:rsid w:val="00274002"/>
    <w:rsid w:val="00274087"/>
    <w:rsid w:val="00274219"/>
    <w:rsid w:val="002743A7"/>
    <w:rsid w:val="00274562"/>
    <w:rsid w:val="002745F2"/>
    <w:rsid w:val="0027471C"/>
    <w:rsid w:val="002749A1"/>
    <w:rsid w:val="002749A8"/>
    <w:rsid w:val="002749FD"/>
    <w:rsid w:val="00274A21"/>
    <w:rsid w:val="00274B78"/>
    <w:rsid w:val="00274C1B"/>
    <w:rsid w:val="00274D20"/>
    <w:rsid w:val="00274D8E"/>
    <w:rsid w:val="00274DD8"/>
    <w:rsid w:val="00274DF0"/>
    <w:rsid w:val="00274E2A"/>
    <w:rsid w:val="00274E60"/>
    <w:rsid w:val="00274F01"/>
    <w:rsid w:val="00274F8C"/>
    <w:rsid w:val="00274FB6"/>
    <w:rsid w:val="0027506B"/>
    <w:rsid w:val="002752F6"/>
    <w:rsid w:val="0027537A"/>
    <w:rsid w:val="00275399"/>
    <w:rsid w:val="00275408"/>
    <w:rsid w:val="0027540E"/>
    <w:rsid w:val="00275485"/>
    <w:rsid w:val="00275517"/>
    <w:rsid w:val="002755E6"/>
    <w:rsid w:val="00275758"/>
    <w:rsid w:val="0027582F"/>
    <w:rsid w:val="00275864"/>
    <w:rsid w:val="00275894"/>
    <w:rsid w:val="0027591D"/>
    <w:rsid w:val="00275AC4"/>
    <w:rsid w:val="00275AF9"/>
    <w:rsid w:val="00275B33"/>
    <w:rsid w:val="00275B3C"/>
    <w:rsid w:val="00275BDA"/>
    <w:rsid w:val="00275C2C"/>
    <w:rsid w:val="00275CAD"/>
    <w:rsid w:val="00275DD2"/>
    <w:rsid w:val="00275F95"/>
    <w:rsid w:val="00275FBB"/>
    <w:rsid w:val="00275FC4"/>
    <w:rsid w:val="00275FED"/>
    <w:rsid w:val="002761DE"/>
    <w:rsid w:val="002761F8"/>
    <w:rsid w:val="00276323"/>
    <w:rsid w:val="00276408"/>
    <w:rsid w:val="00276437"/>
    <w:rsid w:val="0027647C"/>
    <w:rsid w:val="002764D7"/>
    <w:rsid w:val="002764E4"/>
    <w:rsid w:val="00276501"/>
    <w:rsid w:val="0027653A"/>
    <w:rsid w:val="002765F9"/>
    <w:rsid w:val="002766D9"/>
    <w:rsid w:val="00276718"/>
    <w:rsid w:val="0027681A"/>
    <w:rsid w:val="002768D4"/>
    <w:rsid w:val="00276A93"/>
    <w:rsid w:val="00276AFD"/>
    <w:rsid w:val="00276B06"/>
    <w:rsid w:val="00276BE6"/>
    <w:rsid w:val="00276CFB"/>
    <w:rsid w:val="00276D05"/>
    <w:rsid w:val="00276D4F"/>
    <w:rsid w:val="00276DC2"/>
    <w:rsid w:val="00276E56"/>
    <w:rsid w:val="00276E8A"/>
    <w:rsid w:val="00276FCB"/>
    <w:rsid w:val="00277000"/>
    <w:rsid w:val="00277232"/>
    <w:rsid w:val="00277259"/>
    <w:rsid w:val="00277325"/>
    <w:rsid w:val="00277331"/>
    <w:rsid w:val="002773F5"/>
    <w:rsid w:val="002774DC"/>
    <w:rsid w:val="0027753B"/>
    <w:rsid w:val="0027758A"/>
    <w:rsid w:val="002775F2"/>
    <w:rsid w:val="00277616"/>
    <w:rsid w:val="0027765F"/>
    <w:rsid w:val="0027768F"/>
    <w:rsid w:val="00277709"/>
    <w:rsid w:val="0027775A"/>
    <w:rsid w:val="00277760"/>
    <w:rsid w:val="002777F2"/>
    <w:rsid w:val="00277894"/>
    <w:rsid w:val="002778D3"/>
    <w:rsid w:val="002779D0"/>
    <w:rsid w:val="00277A10"/>
    <w:rsid w:val="00277A3B"/>
    <w:rsid w:val="00277BD0"/>
    <w:rsid w:val="00277C54"/>
    <w:rsid w:val="00277C64"/>
    <w:rsid w:val="00277C66"/>
    <w:rsid w:val="00277D25"/>
    <w:rsid w:val="00277D4D"/>
    <w:rsid w:val="00277D9F"/>
    <w:rsid w:val="00277E27"/>
    <w:rsid w:val="00277E7F"/>
    <w:rsid w:val="0028004A"/>
    <w:rsid w:val="00280062"/>
    <w:rsid w:val="00280080"/>
    <w:rsid w:val="002800B0"/>
    <w:rsid w:val="0028014C"/>
    <w:rsid w:val="00280198"/>
    <w:rsid w:val="0028024C"/>
    <w:rsid w:val="002803B6"/>
    <w:rsid w:val="002804B2"/>
    <w:rsid w:val="00280577"/>
    <w:rsid w:val="002805C7"/>
    <w:rsid w:val="0028068C"/>
    <w:rsid w:val="00280717"/>
    <w:rsid w:val="00280746"/>
    <w:rsid w:val="002807A4"/>
    <w:rsid w:val="002807C9"/>
    <w:rsid w:val="002807CC"/>
    <w:rsid w:val="0028082A"/>
    <w:rsid w:val="002809F5"/>
    <w:rsid w:val="00280A4C"/>
    <w:rsid w:val="00280A88"/>
    <w:rsid w:val="00280AD5"/>
    <w:rsid w:val="00280AE3"/>
    <w:rsid w:val="00280BCA"/>
    <w:rsid w:val="00280CC6"/>
    <w:rsid w:val="00280EE7"/>
    <w:rsid w:val="00280F36"/>
    <w:rsid w:val="00281062"/>
    <w:rsid w:val="00281161"/>
    <w:rsid w:val="002812B0"/>
    <w:rsid w:val="002812E3"/>
    <w:rsid w:val="002812F9"/>
    <w:rsid w:val="00281365"/>
    <w:rsid w:val="00281424"/>
    <w:rsid w:val="00281488"/>
    <w:rsid w:val="0028151E"/>
    <w:rsid w:val="00281575"/>
    <w:rsid w:val="002815BD"/>
    <w:rsid w:val="002816A5"/>
    <w:rsid w:val="002816C8"/>
    <w:rsid w:val="002816D3"/>
    <w:rsid w:val="00281725"/>
    <w:rsid w:val="00281815"/>
    <w:rsid w:val="002818A3"/>
    <w:rsid w:val="0028198F"/>
    <w:rsid w:val="002819C5"/>
    <w:rsid w:val="00281A6D"/>
    <w:rsid w:val="00281A8F"/>
    <w:rsid w:val="00281B19"/>
    <w:rsid w:val="00281B4D"/>
    <w:rsid w:val="00281BB6"/>
    <w:rsid w:val="00281C52"/>
    <w:rsid w:val="00281C90"/>
    <w:rsid w:val="00281CFC"/>
    <w:rsid w:val="00281D5E"/>
    <w:rsid w:val="00281E2D"/>
    <w:rsid w:val="00281FC1"/>
    <w:rsid w:val="00282004"/>
    <w:rsid w:val="00282070"/>
    <w:rsid w:val="002821B0"/>
    <w:rsid w:val="002821CB"/>
    <w:rsid w:val="00282212"/>
    <w:rsid w:val="002823D8"/>
    <w:rsid w:val="00282498"/>
    <w:rsid w:val="002825ED"/>
    <w:rsid w:val="002826C1"/>
    <w:rsid w:val="002826E4"/>
    <w:rsid w:val="0028278C"/>
    <w:rsid w:val="002827A9"/>
    <w:rsid w:val="002828E8"/>
    <w:rsid w:val="00282985"/>
    <w:rsid w:val="002829A5"/>
    <w:rsid w:val="002829D9"/>
    <w:rsid w:val="00282B8B"/>
    <w:rsid w:val="00282D54"/>
    <w:rsid w:val="00282DE3"/>
    <w:rsid w:val="00282E10"/>
    <w:rsid w:val="00282E23"/>
    <w:rsid w:val="00283164"/>
    <w:rsid w:val="002831AC"/>
    <w:rsid w:val="00283204"/>
    <w:rsid w:val="00283226"/>
    <w:rsid w:val="00283361"/>
    <w:rsid w:val="00283464"/>
    <w:rsid w:val="00283485"/>
    <w:rsid w:val="002835EE"/>
    <w:rsid w:val="002835FE"/>
    <w:rsid w:val="00283611"/>
    <w:rsid w:val="0028368F"/>
    <w:rsid w:val="0028372E"/>
    <w:rsid w:val="0028376C"/>
    <w:rsid w:val="002837A7"/>
    <w:rsid w:val="00283854"/>
    <w:rsid w:val="00283966"/>
    <w:rsid w:val="002839CB"/>
    <w:rsid w:val="00283A20"/>
    <w:rsid w:val="00283A47"/>
    <w:rsid w:val="00283AD4"/>
    <w:rsid w:val="00283B48"/>
    <w:rsid w:val="00283BD2"/>
    <w:rsid w:val="00283BD9"/>
    <w:rsid w:val="00283E3D"/>
    <w:rsid w:val="00283F71"/>
    <w:rsid w:val="00283F82"/>
    <w:rsid w:val="00284051"/>
    <w:rsid w:val="00284071"/>
    <w:rsid w:val="00284117"/>
    <w:rsid w:val="00284189"/>
    <w:rsid w:val="002841C3"/>
    <w:rsid w:val="002841E8"/>
    <w:rsid w:val="00284226"/>
    <w:rsid w:val="00284234"/>
    <w:rsid w:val="002842F4"/>
    <w:rsid w:val="0028436E"/>
    <w:rsid w:val="00284395"/>
    <w:rsid w:val="0028439E"/>
    <w:rsid w:val="002843B2"/>
    <w:rsid w:val="002843EE"/>
    <w:rsid w:val="002845C8"/>
    <w:rsid w:val="00284615"/>
    <w:rsid w:val="0028461F"/>
    <w:rsid w:val="00284631"/>
    <w:rsid w:val="002846AA"/>
    <w:rsid w:val="00284815"/>
    <w:rsid w:val="002848F3"/>
    <w:rsid w:val="00284B88"/>
    <w:rsid w:val="00284C5A"/>
    <w:rsid w:val="00284C74"/>
    <w:rsid w:val="00284CE7"/>
    <w:rsid w:val="00284CF0"/>
    <w:rsid w:val="00284D04"/>
    <w:rsid w:val="00284D14"/>
    <w:rsid w:val="00284D6E"/>
    <w:rsid w:val="00284DAF"/>
    <w:rsid w:val="00284EDA"/>
    <w:rsid w:val="00284F01"/>
    <w:rsid w:val="00284F8C"/>
    <w:rsid w:val="00284F90"/>
    <w:rsid w:val="0028507E"/>
    <w:rsid w:val="002850AA"/>
    <w:rsid w:val="002850C5"/>
    <w:rsid w:val="002850E6"/>
    <w:rsid w:val="0028510C"/>
    <w:rsid w:val="00285213"/>
    <w:rsid w:val="002852C2"/>
    <w:rsid w:val="002852F1"/>
    <w:rsid w:val="00285401"/>
    <w:rsid w:val="00285462"/>
    <w:rsid w:val="002854BC"/>
    <w:rsid w:val="002854D2"/>
    <w:rsid w:val="002854F0"/>
    <w:rsid w:val="0028557A"/>
    <w:rsid w:val="002855D4"/>
    <w:rsid w:val="0028560B"/>
    <w:rsid w:val="0028561C"/>
    <w:rsid w:val="00285654"/>
    <w:rsid w:val="002856B0"/>
    <w:rsid w:val="002856BA"/>
    <w:rsid w:val="002856D2"/>
    <w:rsid w:val="002856DD"/>
    <w:rsid w:val="00285701"/>
    <w:rsid w:val="0028573C"/>
    <w:rsid w:val="00285841"/>
    <w:rsid w:val="00285887"/>
    <w:rsid w:val="002858A0"/>
    <w:rsid w:val="002858D6"/>
    <w:rsid w:val="002859F0"/>
    <w:rsid w:val="002859F7"/>
    <w:rsid w:val="00285A3A"/>
    <w:rsid w:val="00285A41"/>
    <w:rsid w:val="00285A43"/>
    <w:rsid w:val="00285AAA"/>
    <w:rsid w:val="00285B65"/>
    <w:rsid w:val="00285CC3"/>
    <w:rsid w:val="00285DF4"/>
    <w:rsid w:val="00285EB1"/>
    <w:rsid w:val="00285ECB"/>
    <w:rsid w:val="00285ED3"/>
    <w:rsid w:val="00285EE8"/>
    <w:rsid w:val="00285F1F"/>
    <w:rsid w:val="0028602B"/>
    <w:rsid w:val="002860A6"/>
    <w:rsid w:val="002860AC"/>
    <w:rsid w:val="00286200"/>
    <w:rsid w:val="0028622E"/>
    <w:rsid w:val="00286307"/>
    <w:rsid w:val="00286312"/>
    <w:rsid w:val="002863EE"/>
    <w:rsid w:val="00286412"/>
    <w:rsid w:val="0028662F"/>
    <w:rsid w:val="00286680"/>
    <w:rsid w:val="00286749"/>
    <w:rsid w:val="0028674D"/>
    <w:rsid w:val="00286782"/>
    <w:rsid w:val="002869B2"/>
    <w:rsid w:val="002869F9"/>
    <w:rsid w:val="00286AB1"/>
    <w:rsid w:val="00286B1C"/>
    <w:rsid w:val="00286C4F"/>
    <w:rsid w:val="00286C97"/>
    <w:rsid w:val="00286CAA"/>
    <w:rsid w:val="00286DC6"/>
    <w:rsid w:val="00286F58"/>
    <w:rsid w:val="00286F77"/>
    <w:rsid w:val="00286FB2"/>
    <w:rsid w:val="00286FCF"/>
    <w:rsid w:val="0028709B"/>
    <w:rsid w:val="002870B5"/>
    <w:rsid w:val="00287179"/>
    <w:rsid w:val="00287238"/>
    <w:rsid w:val="002872C7"/>
    <w:rsid w:val="0028730D"/>
    <w:rsid w:val="00287316"/>
    <w:rsid w:val="002873B9"/>
    <w:rsid w:val="00287589"/>
    <w:rsid w:val="00287616"/>
    <w:rsid w:val="00287678"/>
    <w:rsid w:val="00287691"/>
    <w:rsid w:val="00287737"/>
    <w:rsid w:val="00287757"/>
    <w:rsid w:val="0028775C"/>
    <w:rsid w:val="00287782"/>
    <w:rsid w:val="0028779E"/>
    <w:rsid w:val="002878F4"/>
    <w:rsid w:val="00287A68"/>
    <w:rsid w:val="00287B27"/>
    <w:rsid w:val="00287B56"/>
    <w:rsid w:val="00287C87"/>
    <w:rsid w:val="00287C95"/>
    <w:rsid w:val="00287CC6"/>
    <w:rsid w:val="00287D55"/>
    <w:rsid w:val="00287E58"/>
    <w:rsid w:val="00287EE9"/>
    <w:rsid w:val="00287FA1"/>
    <w:rsid w:val="0029002F"/>
    <w:rsid w:val="00290226"/>
    <w:rsid w:val="0029025F"/>
    <w:rsid w:val="00290563"/>
    <w:rsid w:val="00290608"/>
    <w:rsid w:val="00290677"/>
    <w:rsid w:val="00290795"/>
    <w:rsid w:val="00290899"/>
    <w:rsid w:val="002908F0"/>
    <w:rsid w:val="00290926"/>
    <w:rsid w:val="00290951"/>
    <w:rsid w:val="002909DF"/>
    <w:rsid w:val="00290A0B"/>
    <w:rsid w:val="00290A4F"/>
    <w:rsid w:val="00290A51"/>
    <w:rsid w:val="00290A61"/>
    <w:rsid w:val="00290BE3"/>
    <w:rsid w:val="00290C80"/>
    <w:rsid w:val="00290D3C"/>
    <w:rsid w:val="00290E49"/>
    <w:rsid w:val="00290E9A"/>
    <w:rsid w:val="00290EE1"/>
    <w:rsid w:val="00290F90"/>
    <w:rsid w:val="00290FA0"/>
    <w:rsid w:val="00290FD9"/>
    <w:rsid w:val="00291008"/>
    <w:rsid w:val="0029100D"/>
    <w:rsid w:val="0029103C"/>
    <w:rsid w:val="0029104A"/>
    <w:rsid w:val="00291063"/>
    <w:rsid w:val="00291136"/>
    <w:rsid w:val="00291173"/>
    <w:rsid w:val="00291211"/>
    <w:rsid w:val="00291232"/>
    <w:rsid w:val="00291286"/>
    <w:rsid w:val="00291321"/>
    <w:rsid w:val="002913BF"/>
    <w:rsid w:val="002913D8"/>
    <w:rsid w:val="0029141C"/>
    <w:rsid w:val="00291507"/>
    <w:rsid w:val="00291532"/>
    <w:rsid w:val="002915AC"/>
    <w:rsid w:val="002917DC"/>
    <w:rsid w:val="002917FC"/>
    <w:rsid w:val="0029186D"/>
    <w:rsid w:val="00291951"/>
    <w:rsid w:val="002919EE"/>
    <w:rsid w:val="00291A5D"/>
    <w:rsid w:val="00291B26"/>
    <w:rsid w:val="00291C12"/>
    <w:rsid w:val="00291C15"/>
    <w:rsid w:val="00291CD0"/>
    <w:rsid w:val="00291D70"/>
    <w:rsid w:val="00291DCC"/>
    <w:rsid w:val="00291E0A"/>
    <w:rsid w:val="00291E4A"/>
    <w:rsid w:val="00291E4D"/>
    <w:rsid w:val="00291E6D"/>
    <w:rsid w:val="00291EDA"/>
    <w:rsid w:val="00291F40"/>
    <w:rsid w:val="00291F8F"/>
    <w:rsid w:val="0029215E"/>
    <w:rsid w:val="00292329"/>
    <w:rsid w:val="00292441"/>
    <w:rsid w:val="002924C8"/>
    <w:rsid w:val="0029253D"/>
    <w:rsid w:val="0029269C"/>
    <w:rsid w:val="002926A7"/>
    <w:rsid w:val="00292730"/>
    <w:rsid w:val="0029273D"/>
    <w:rsid w:val="00292795"/>
    <w:rsid w:val="002927D5"/>
    <w:rsid w:val="002927F8"/>
    <w:rsid w:val="002928D0"/>
    <w:rsid w:val="002928EA"/>
    <w:rsid w:val="00292967"/>
    <w:rsid w:val="00292A22"/>
    <w:rsid w:val="00292A63"/>
    <w:rsid w:val="00292A8A"/>
    <w:rsid w:val="00292AA0"/>
    <w:rsid w:val="00292B0C"/>
    <w:rsid w:val="00292B12"/>
    <w:rsid w:val="00292DBA"/>
    <w:rsid w:val="00292DE7"/>
    <w:rsid w:val="00292E25"/>
    <w:rsid w:val="00292E49"/>
    <w:rsid w:val="00292EEB"/>
    <w:rsid w:val="002930A6"/>
    <w:rsid w:val="002930E0"/>
    <w:rsid w:val="00293144"/>
    <w:rsid w:val="00293183"/>
    <w:rsid w:val="0029326F"/>
    <w:rsid w:val="002932FB"/>
    <w:rsid w:val="0029337E"/>
    <w:rsid w:val="002933A1"/>
    <w:rsid w:val="0029350E"/>
    <w:rsid w:val="002935B7"/>
    <w:rsid w:val="002935F5"/>
    <w:rsid w:val="00293605"/>
    <w:rsid w:val="002936F5"/>
    <w:rsid w:val="0029374A"/>
    <w:rsid w:val="0029382F"/>
    <w:rsid w:val="002939D8"/>
    <w:rsid w:val="00293A56"/>
    <w:rsid w:val="00293AA6"/>
    <w:rsid w:val="00293B86"/>
    <w:rsid w:val="00293BDD"/>
    <w:rsid w:val="00293C4A"/>
    <w:rsid w:val="00293C57"/>
    <w:rsid w:val="00293D4C"/>
    <w:rsid w:val="00293DD4"/>
    <w:rsid w:val="00293E4E"/>
    <w:rsid w:val="00293F19"/>
    <w:rsid w:val="00293F9B"/>
    <w:rsid w:val="002940F0"/>
    <w:rsid w:val="0029428B"/>
    <w:rsid w:val="002943B1"/>
    <w:rsid w:val="002943FE"/>
    <w:rsid w:val="0029445F"/>
    <w:rsid w:val="002945BD"/>
    <w:rsid w:val="002946DD"/>
    <w:rsid w:val="0029472E"/>
    <w:rsid w:val="0029478D"/>
    <w:rsid w:val="002948B5"/>
    <w:rsid w:val="002949DC"/>
    <w:rsid w:val="002949EE"/>
    <w:rsid w:val="002949F8"/>
    <w:rsid w:val="00294ACA"/>
    <w:rsid w:val="00294B2F"/>
    <w:rsid w:val="00294B49"/>
    <w:rsid w:val="00294C4A"/>
    <w:rsid w:val="00294C64"/>
    <w:rsid w:val="00294CC1"/>
    <w:rsid w:val="00294CEE"/>
    <w:rsid w:val="00294D9B"/>
    <w:rsid w:val="00294DAA"/>
    <w:rsid w:val="00294EBE"/>
    <w:rsid w:val="00294FC9"/>
    <w:rsid w:val="00295027"/>
    <w:rsid w:val="00295170"/>
    <w:rsid w:val="002952B2"/>
    <w:rsid w:val="002952F4"/>
    <w:rsid w:val="002953F7"/>
    <w:rsid w:val="00295428"/>
    <w:rsid w:val="002954A3"/>
    <w:rsid w:val="00295581"/>
    <w:rsid w:val="002955AE"/>
    <w:rsid w:val="0029568C"/>
    <w:rsid w:val="00295690"/>
    <w:rsid w:val="002956D3"/>
    <w:rsid w:val="00295788"/>
    <w:rsid w:val="00295915"/>
    <w:rsid w:val="00295922"/>
    <w:rsid w:val="00295946"/>
    <w:rsid w:val="00295951"/>
    <w:rsid w:val="002959D4"/>
    <w:rsid w:val="002959DA"/>
    <w:rsid w:val="00295A26"/>
    <w:rsid w:val="00295A6B"/>
    <w:rsid w:val="00295B39"/>
    <w:rsid w:val="00295B7D"/>
    <w:rsid w:val="00295B93"/>
    <w:rsid w:val="00295B98"/>
    <w:rsid w:val="00295C08"/>
    <w:rsid w:val="00295C1F"/>
    <w:rsid w:val="00295CFF"/>
    <w:rsid w:val="00295D42"/>
    <w:rsid w:val="00295DDA"/>
    <w:rsid w:val="00295E77"/>
    <w:rsid w:val="00295E84"/>
    <w:rsid w:val="00296026"/>
    <w:rsid w:val="0029605F"/>
    <w:rsid w:val="002960DE"/>
    <w:rsid w:val="002960FC"/>
    <w:rsid w:val="0029610F"/>
    <w:rsid w:val="0029612A"/>
    <w:rsid w:val="002962C8"/>
    <w:rsid w:val="002962E0"/>
    <w:rsid w:val="002962E7"/>
    <w:rsid w:val="002963B5"/>
    <w:rsid w:val="002964E6"/>
    <w:rsid w:val="0029660B"/>
    <w:rsid w:val="00296630"/>
    <w:rsid w:val="00296638"/>
    <w:rsid w:val="00296690"/>
    <w:rsid w:val="00296741"/>
    <w:rsid w:val="00296853"/>
    <w:rsid w:val="002969F2"/>
    <w:rsid w:val="00296AA4"/>
    <w:rsid w:val="00296B45"/>
    <w:rsid w:val="00296B54"/>
    <w:rsid w:val="00296BFB"/>
    <w:rsid w:val="00296DB3"/>
    <w:rsid w:val="00296DD0"/>
    <w:rsid w:val="00296EBD"/>
    <w:rsid w:val="00296FBE"/>
    <w:rsid w:val="00296FD0"/>
    <w:rsid w:val="00296FD3"/>
    <w:rsid w:val="00297176"/>
    <w:rsid w:val="00297177"/>
    <w:rsid w:val="0029734A"/>
    <w:rsid w:val="002973CA"/>
    <w:rsid w:val="00297510"/>
    <w:rsid w:val="0029756A"/>
    <w:rsid w:val="00297608"/>
    <w:rsid w:val="00297654"/>
    <w:rsid w:val="002976A2"/>
    <w:rsid w:val="002976C7"/>
    <w:rsid w:val="002976D1"/>
    <w:rsid w:val="002976EE"/>
    <w:rsid w:val="0029776F"/>
    <w:rsid w:val="002977CF"/>
    <w:rsid w:val="002978A6"/>
    <w:rsid w:val="002978DC"/>
    <w:rsid w:val="00297904"/>
    <w:rsid w:val="00297910"/>
    <w:rsid w:val="00297988"/>
    <w:rsid w:val="00297A98"/>
    <w:rsid w:val="00297B19"/>
    <w:rsid w:val="00297B49"/>
    <w:rsid w:val="00297C1F"/>
    <w:rsid w:val="00297CB1"/>
    <w:rsid w:val="00297CD8"/>
    <w:rsid w:val="00297D2C"/>
    <w:rsid w:val="00297E2A"/>
    <w:rsid w:val="00297F6A"/>
    <w:rsid w:val="002A0021"/>
    <w:rsid w:val="002A0090"/>
    <w:rsid w:val="002A0094"/>
    <w:rsid w:val="002A0364"/>
    <w:rsid w:val="002A0384"/>
    <w:rsid w:val="002A03AA"/>
    <w:rsid w:val="002A041B"/>
    <w:rsid w:val="002A042E"/>
    <w:rsid w:val="002A0458"/>
    <w:rsid w:val="002A046E"/>
    <w:rsid w:val="002A0486"/>
    <w:rsid w:val="002A0569"/>
    <w:rsid w:val="002A058F"/>
    <w:rsid w:val="002A0597"/>
    <w:rsid w:val="002A05BA"/>
    <w:rsid w:val="002A0625"/>
    <w:rsid w:val="002A074F"/>
    <w:rsid w:val="002A0790"/>
    <w:rsid w:val="002A07B0"/>
    <w:rsid w:val="002A07E1"/>
    <w:rsid w:val="002A07EA"/>
    <w:rsid w:val="002A098C"/>
    <w:rsid w:val="002A0AD0"/>
    <w:rsid w:val="002A0B86"/>
    <w:rsid w:val="002A0BAD"/>
    <w:rsid w:val="002A0C6A"/>
    <w:rsid w:val="002A0D12"/>
    <w:rsid w:val="002A0EDC"/>
    <w:rsid w:val="002A0EF1"/>
    <w:rsid w:val="002A0EF8"/>
    <w:rsid w:val="002A0F5D"/>
    <w:rsid w:val="002A0FF3"/>
    <w:rsid w:val="002A1131"/>
    <w:rsid w:val="002A119D"/>
    <w:rsid w:val="002A1286"/>
    <w:rsid w:val="002A131B"/>
    <w:rsid w:val="002A1497"/>
    <w:rsid w:val="002A1657"/>
    <w:rsid w:val="002A1671"/>
    <w:rsid w:val="002A1728"/>
    <w:rsid w:val="002A17D8"/>
    <w:rsid w:val="002A18DB"/>
    <w:rsid w:val="002A1905"/>
    <w:rsid w:val="002A199E"/>
    <w:rsid w:val="002A1A3F"/>
    <w:rsid w:val="002A1C6A"/>
    <w:rsid w:val="002A1C71"/>
    <w:rsid w:val="002A1DC8"/>
    <w:rsid w:val="002A1E31"/>
    <w:rsid w:val="002A1EDA"/>
    <w:rsid w:val="002A1F49"/>
    <w:rsid w:val="002A1F82"/>
    <w:rsid w:val="002A1FF0"/>
    <w:rsid w:val="002A209E"/>
    <w:rsid w:val="002A20C6"/>
    <w:rsid w:val="002A20EA"/>
    <w:rsid w:val="002A20F3"/>
    <w:rsid w:val="002A219E"/>
    <w:rsid w:val="002A222D"/>
    <w:rsid w:val="002A2257"/>
    <w:rsid w:val="002A22AA"/>
    <w:rsid w:val="002A2320"/>
    <w:rsid w:val="002A244B"/>
    <w:rsid w:val="002A246D"/>
    <w:rsid w:val="002A247F"/>
    <w:rsid w:val="002A24F9"/>
    <w:rsid w:val="002A2533"/>
    <w:rsid w:val="002A2628"/>
    <w:rsid w:val="002A2733"/>
    <w:rsid w:val="002A275C"/>
    <w:rsid w:val="002A283C"/>
    <w:rsid w:val="002A285E"/>
    <w:rsid w:val="002A2A27"/>
    <w:rsid w:val="002A2A5C"/>
    <w:rsid w:val="002A2B8F"/>
    <w:rsid w:val="002A2C7E"/>
    <w:rsid w:val="002A2DC8"/>
    <w:rsid w:val="002A2E59"/>
    <w:rsid w:val="002A310C"/>
    <w:rsid w:val="002A3180"/>
    <w:rsid w:val="002A324F"/>
    <w:rsid w:val="002A327C"/>
    <w:rsid w:val="002A33D6"/>
    <w:rsid w:val="002A33EF"/>
    <w:rsid w:val="002A3420"/>
    <w:rsid w:val="002A343F"/>
    <w:rsid w:val="002A344D"/>
    <w:rsid w:val="002A3472"/>
    <w:rsid w:val="002A3493"/>
    <w:rsid w:val="002A34B1"/>
    <w:rsid w:val="002A34DD"/>
    <w:rsid w:val="002A355D"/>
    <w:rsid w:val="002A3574"/>
    <w:rsid w:val="002A35E3"/>
    <w:rsid w:val="002A3647"/>
    <w:rsid w:val="002A36B2"/>
    <w:rsid w:val="002A36FB"/>
    <w:rsid w:val="002A37A8"/>
    <w:rsid w:val="002A382E"/>
    <w:rsid w:val="002A38FF"/>
    <w:rsid w:val="002A39DE"/>
    <w:rsid w:val="002A3B01"/>
    <w:rsid w:val="002A3C21"/>
    <w:rsid w:val="002A3C3E"/>
    <w:rsid w:val="002A3CBD"/>
    <w:rsid w:val="002A3D12"/>
    <w:rsid w:val="002A3D60"/>
    <w:rsid w:val="002A3D73"/>
    <w:rsid w:val="002A3E02"/>
    <w:rsid w:val="002A3E26"/>
    <w:rsid w:val="002A3E3E"/>
    <w:rsid w:val="002A3F1C"/>
    <w:rsid w:val="002A3F31"/>
    <w:rsid w:val="002A3FE8"/>
    <w:rsid w:val="002A4008"/>
    <w:rsid w:val="002A4212"/>
    <w:rsid w:val="002A4280"/>
    <w:rsid w:val="002A42B1"/>
    <w:rsid w:val="002A434E"/>
    <w:rsid w:val="002A440B"/>
    <w:rsid w:val="002A450A"/>
    <w:rsid w:val="002A4531"/>
    <w:rsid w:val="002A4537"/>
    <w:rsid w:val="002A46A4"/>
    <w:rsid w:val="002A46A5"/>
    <w:rsid w:val="002A46AE"/>
    <w:rsid w:val="002A46BC"/>
    <w:rsid w:val="002A4740"/>
    <w:rsid w:val="002A47BD"/>
    <w:rsid w:val="002A486F"/>
    <w:rsid w:val="002A487A"/>
    <w:rsid w:val="002A48B1"/>
    <w:rsid w:val="002A4907"/>
    <w:rsid w:val="002A49BA"/>
    <w:rsid w:val="002A49BD"/>
    <w:rsid w:val="002A4C1B"/>
    <w:rsid w:val="002A4E75"/>
    <w:rsid w:val="002A4F9D"/>
    <w:rsid w:val="002A5069"/>
    <w:rsid w:val="002A51F5"/>
    <w:rsid w:val="002A5268"/>
    <w:rsid w:val="002A52C1"/>
    <w:rsid w:val="002A538D"/>
    <w:rsid w:val="002A53EC"/>
    <w:rsid w:val="002A55E7"/>
    <w:rsid w:val="002A5606"/>
    <w:rsid w:val="002A56CC"/>
    <w:rsid w:val="002A56D1"/>
    <w:rsid w:val="002A56EC"/>
    <w:rsid w:val="002A58A7"/>
    <w:rsid w:val="002A58FE"/>
    <w:rsid w:val="002A5911"/>
    <w:rsid w:val="002A593D"/>
    <w:rsid w:val="002A59FA"/>
    <w:rsid w:val="002A5B12"/>
    <w:rsid w:val="002A5C3F"/>
    <w:rsid w:val="002A5C90"/>
    <w:rsid w:val="002A5D00"/>
    <w:rsid w:val="002A5D6A"/>
    <w:rsid w:val="002A5DA3"/>
    <w:rsid w:val="002A5E11"/>
    <w:rsid w:val="002A6048"/>
    <w:rsid w:val="002A605A"/>
    <w:rsid w:val="002A610A"/>
    <w:rsid w:val="002A6213"/>
    <w:rsid w:val="002A624A"/>
    <w:rsid w:val="002A627F"/>
    <w:rsid w:val="002A62D2"/>
    <w:rsid w:val="002A62DC"/>
    <w:rsid w:val="002A63FD"/>
    <w:rsid w:val="002A64B0"/>
    <w:rsid w:val="002A64BE"/>
    <w:rsid w:val="002A64EE"/>
    <w:rsid w:val="002A6524"/>
    <w:rsid w:val="002A6548"/>
    <w:rsid w:val="002A656B"/>
    <w:rsid w:val="002A65C8"/>
    <w:rsid w:val="002A6626"/>
    <w:rsid w:val="002A6706"/>
    <w:rsid w:val="002A673C"/>
    <w:rsid w:val="002A69A8"/>
    <w:rsid w:val="002A6A5D"/>
    <w:rsid w:val="002A6AF9"/>
    <w:rsid w:val="002A6B03"/>
    <w:rsid w:val="002A6C1E"/>
    <w:rsid w:val="002A6C41"/>
    <w:rsid w:val="002A6CF4"/>
    <w:rsid w:val="002A6D99"/>
    <w:rsid w:val="002A6E34"/>
    <w:rsid w:val="002A6EC2"/>
    <w:rsid w:val="002A6F02"/>
    <w:rsid w:val="002A6F0E"/>
    <w:rsid w:val="002A6FCE"/>
    <w:rsid w:val="002A7205"/>
    <w:rsid w:val="002A7209"/>
    <w:rsid w:val="002A7226"/>
    <w:rsid w:val="002A7285"/>
    <w:rsid w:val="002A742D"/>
    <w:rsid w:val="002A744C"/>
    <w:rsid w:val="002A7489"/>
    <w:rsid w:val="002A7504"/>
    <w:rsid w:val="002A753C"/>
    <w:rsid w:val="002A7551"/>
    <w:rsid w:val="002A7666"/>
    <w:rsid w:val="002A7774"/>
    <w:rsid w:val="002A77B1"/>
    <w:rsid w:val="002A79EA"/>
    <w:rsid w:val="002A7A58"/>
    <w:rsid w:val="002A7AC3"/>
    <w:rsid w:val="002A7C97"/>
    <w:rsid w:val="002A7DBD"/>
    <w:rsid w:val="002A7E27"/>
    <w:rsid w:val="002A7E58"/>
    <w:rsid w:val="002A7EDC"/>
    <w:rsid w:val="002A7F78"/>
    <w:rsid w:val="002A7FC6"/>
    <w:rsid w:val="002B003C"/>
    <w:rsid w:val="002B008E"/>
    <w:rsid w:val="002B0191"/>
    <w:rsid w:val="002B01DF"/>
    <w:rsid w:val="002B028A"/>
    <w:rsid w:val="002B033C"/>
    <w:rsid w:val="002B03D2"/>
    <w:rsid w:val="002B0448"/>
    <w:rsid w:val="002B053E"/>
    <w:rsid w:val="002B0580"/>
    <w:rsid w:val="002B0624"/>
    <w:rsid w:val="002B06A8"/>
    <w:rsid w:val="002B07A7"/>
    <w:rsid w:val="002B0801"/>
    <w:rsid w:val="002B086E"/>
    <w:rsid w:val="002B0882"/>
    <w:rsid w:val="002B092B"/>
    <w:rsid w:val="002B0986"/>
    <w:rsid w:val="002B0A5F"/>
    <w:rsid w:val="002B0AED"/>
    <w:rsid w:val="002B0B04"/>
    <w:rsid w:val="002B0B7C"/>
    <w:rsid w:val="002B0BA0"/>
    <w:rsid w:val="002B0C1B"/>
    <w:rsid w:val="002B0CB2"/>
    <w:rsid w:val="002B0D0E"/>
    <w:rsid w:val="002B0E17"/>
    <w:rsid w:val="002B0E28"/>
    <w:rsid w:val="002B0F66"/>
    <w:rsid w:val="002B0FA6"/>
    <w:rsid w:val="002B104C"/>
    <w:rsid w:val="002B1159"/>
    <w:rsid w:val="002B11AA"/>
    <w:rsid w:val="002B1203"/>
    <w:rsid w:val="002B127B"/>
    <w:rsid w:val="002B12D0"/>
    <w:rsid w:val="002B133F"/>
    <w:rsid w:val="002B1355"/>
    <w:rsid w:val="002B136C"/>
    <w:rsid w:val="002B1458"/>
    <w:rsid w:val="002B150B"/>
    <w:rsid w:val="002B157F"/>
    <w:rsid w:val="002B1594"/>
    <w:rsid w:val="002B1621"/>
    <w:rsid w:val="002B162E"/>
    <w:rsid w:val="002B1722"/>
    <w:rsid w:val="002B1734"/>
    <w:rsid w:val="002B1789"/>
    <w:rsid w:val="002B1849"/>
    <w:rsid w:val="002B18BE"/>
    <w:rsid w:val="002B18CD"/>
    <w:rsid w:val="002B18DA"/>
    <w:rsid w:val="002B1930"/>
    <w:rsid w:val="002B19A0"/>
    <w:rsid w:val="002B19AC"/>
    <w:rsid w:val="002B19D0"/>
    <w:rsid w:val="002B1AB0"/>
    <w:rsid w:val="002B1B56"/>
    <w:rsid w:val="002B1B71"/>
    <w:rsid w:val="002B1D55"/>
    <w:rsid w:val="002B1D69"/>
    <w:rsid w:val="002B1DDB"/>
    <w:rsid w:val="002B1E7E"/>
    <w:rsid w:val="002B1EE7"/>
    <w:rsid w:val="002B1F7B"/>
    <w:rsid w:val="002B1FC5"/>
    <w:rsid w:val="002B201F"/>
    <w:rsid w:val="002B207C"/>
    <w:rsid w:val="002B2177"/>
    <w:rsid w:val="002B21E6"/>
    <w:rsid w:val="002B22B4"/>
    <w:rsid w:val="002B22BD"/>
    <w:rsid w:val="002B240E"/>
    <w:rsid w:val="002B2453"/>
    <w:rsid w:val="002B24BB"/>
    <w:rsid w:val="002B24FC"/>
    <w:rsid w:val="002B257F"/>
    <w:rsid w:val="002B25AD"/>
    <w:rsid w:val="002B25B9"/>
    <w:rsid w:val="002B260A"/>
    <w:rsid w:val="002B2723"/>
    <w:rsid w:val="002B2725"/>
    <w:rsid w:val="002B27EB"/>
    <w:rsid w:val="002B27F2"/>
    <w:rsid w:val="002B2829"/>
    <w:rsid w:val="002B285E"/>
    <w:rsid w:val="002B2911"/>
    <w:rsid w:val="002B2951"/>
    <w:rsid w:val="002B29E1"/>
    <w:rsid w:val="002B2A64"/>
    <w:rsid w:val="002B2A83"/>
    <w:rsid w:val="002B2A8A"/>
    <w:rsid w:val="002B2BA9"/>
    <w:rsid w:val="002B2BE0"/>
    <w:rsid w:val="002B2C22"/>
    <w:rsid w:val="002B2C32"/>
    <w:rsid w:val="002B2D7E"/>
    <w:rsid w:val="002B2DD4"/>
    <w:rsid w:val="002B2DD8"/>
    <w:rsid w:val="002B2E06"/>
    <w:rsid w:val="002B2E33"/>
    <w:rsid w:val="002B2EFB"/>
    <w:rsid w:val="002B2FBA"/>
    <w:rsid w:val="002B30BC"/>
    <w:rsid w:val="002B31AC"/>
    <w:rsid w:val="002B3244"/>
    <w:rsid w:val="002B32EF"/>
    <w:rsid w:val="002B331F"/>
    <w:rsid w:val="002B3339"/>
    <w:rsid w:val="002B3340"/>
    <w:rsid w:val="002B3352"/>
    <w:rsid w:val="002B339F"/>
    <w:rsid w:val="002B3404"/>
    <w:rsid w:val="002B340A"/>
    <w:rsid w:val="002B340B"/>
    <w:rsid w:val="002B359B"/>
    <w:rsid w:val="002B360F"/>
    <w:rsid w:val="002B365F"/>
    <w:rsid w:val="002B3757"/>
    <w:rsid w:val="002B3869"/>
    <w:rsid w:val="002B38F5"/>
    <w:rsid w:val="002B393A"/>
    <w:rsid w:val="002B398C"/>
    <w:rsid w:val="002B3991"/>
    <w:rsid w:val="002B3A24"/>
    <w:rsid w:val="002B3A67"/>
    <w:rsid w:val="002B3B20"/>
    <w:rsid w:val="002B3B37"/>
    <w:rsid w:val="002B3BA0"/>
    <w:rsid w:val="002B3BEB"/>
    <w:rsid w:val="002B3CDE"/>
    <w:rsid w:val="002B3CF9"/>
    <w:rsid w:val="002B3D11"/>
    <w:rsid w:val="002B3ED1"/>
    <w:rsid w:val="002B3F6B"/>
    <w:rsid w:val="002B3FC8"/>
    <w:rsid w:val="002B4066"/>
    <w:rsid w:val="002B40C7"/>
    <w:rsid w:val="002B41F4"/>
    <w:rsid w:val="002B42FC"/>
    <w:rsid w:val="002B43C8"/>
    <w:rsid w:val="002B43D2"/>
    <w:rsid w:val="002B442B"/>
    <w:rsid w:val="002B4445"/>
    <w:rsid w:val="002B444A"/>
    <w:rsid w:val="002B463B"/>
    <w:rsid w:val="002B46C0"/>
    <w:rsid w:val="002B4741"/>
    <w:rsid w:val="002B48C3"/>
    <w:rsid w:val="002B4949"/>
    <w:rsid w:val="002B496A"/>
    <w:rsid w:val="002B4A0F"/>
    <w:rsid w:val="002B4A7A"/>
    <w:rsid w:val="002B4A93"/>
    <w:rsid w:val="002B4AA3"/>
    <w:rsid w:val="002B4ABD"/>
    <w:rsid w:val="002B4B6F"/>
    <w:rsid w:val="002B4BA1"/>
    <w:rsid w:val="002B4BDA"/>
    <w:rsid w:val="002B4BFD"/>
    <w:rsid w:val="002B4C3B"/>
    <w:rsid w:val="002B4CAC"/>
    <w:rsid w:val="002B4D49"/>
    <w:rsid w:val="002B4D80"/>
    <w:rsid w:val="002B4DED"/>
    <w:rsid w:val="002B5145"/>
    <w:rsid w:val="002B5271"/>
    <w:rsid w:val="002B5397"/>
    <w:rsid w:val="002B53CE"/>
    <w:rsid w:val="002B5524"/>
    <w:rsid w:val="002B556F"/>
    <w:rsid w:val="002B570E"/>
    <w:rsid w:val="002B57AB"/>
    <w:rsid w:val="002B57DC"/>
    <w:rsid w:val="002B58AE"/>
    <w:rsid w:val="002B5908"/>
    <w:rsid w:val="002B5A38"/>
    <w:rsid w:val="002B5A58"/>
    <w:rsid w:val="002B5A7E"/>
    <w:rsid w:val="002B5B2D"/>
    <w:rsid w:val="002B5BCB"/>
    <w:rsid w:val="002B5C5C"/>
    <w:rsid w:val="002B5D0C"/>
    <w:rsid w:val="002B5DE7"/>
    <w:rsid w:val="002B5E01"/>
    <w:rsid w:val="002B5EAC"/>
    <w:rsid w:val="002B5EFB"/>
    <w:rsid w:val="002B6025"/>
    <w:rsid w:val="002B607C"/>
    <w:rsid w:val="002B608F"/>
    <w:rsid w:val="002B60AA"/>
    <w:rsid w:val="002B6300"/>
    <w:rsid w:val="002B6321"/>
    <w:rsid w:val="002B6361"/>
    <w:rsid w:val="002B653C"/>
    <w:rsid w:val="002B65AF"/>
    <w:rsid w:val="002B661B"/>
    <w:rsid w:val="002B68CB"/>
    <w:rsid w:val="002B68F2"/>
    <w:rsid w:val="002B6A6C"/>
    <w:rsid w:val="002B6A7D"/>
    <w:rsid w:val="002B6C4A"/>
    <w:rsid w:val="002B6D02"/>
    <w:rsid w:val="002B6D16"/>
    <w:rsid w:val="002B6D34"/>
    <w:rsid w:val="002B6E04"/>
    <w:rsid w:val="002B6E0B"/>
    <w:rsid w:val="002B6E26"/>
    <w:rsid w:val="002B6E90"/>
    <w:rsid w:val="002B6F0B"/>
    <w:rsid w:val="002B6FF6"/>
    <w:rsid w:val="002B7050"/>
    <w:rsid w:val="002B7055"/>
    <w:rsid w:val="002B7066"/>
    <w:rsid w:val="002B7092"/>
    <w:rsid w:val="002B72B1"/>
    <w:rsid w:val="002B72E6"/>
    <w:rsid w:val="002B73B1"/>
    <w:rsid w:val="002B7463"/>
    <w:rsid w:val="002B7517"/>
    <w:rsid w:val="002B75EA"/>
    <w:rsid w:val="002B7613"/>
    <w:rsid w:val="002B7615"/>
    <w:rsid w:val="002B7626"/>
    <w:rsid w:val="002B7648"/>
    <w:rsid w:val="002B769F"/>
    <w:rsid w:val="002B7735"/>
    <w:rsid w:val="002B7748"/>
    <w:rsid w:val="002B77B7"/>
    <w:rsid w:val="002B77BE"/>
    <w:rsid w:val="002B77BF"/>
    <w:rsid w:val="002B77DB"/>
    <w:rsid w:val="002B77FB"/>
    <w:rsid w:val="002B7815"/>
    <w:rsid w:val="002B7864"/>
    <w:rsid w:val="002B789C"/>
    <w:rsid w:val="002B78EC"/>
    <w:rsid w:val="002B7910"/>
    <w:rsid w:val="002B795C"/>
    <w:rsid w:val="002B7A41"/>
    <w:rsid w:val="002B7B97"/>
    <w:rsid w:val="002B7C0E"/>
    <w:rsid w:val="002B7C10"/>
    <w:rsid w:val="002B7C7D"/>
    <w:rsid w:val="002B7D15"/>
    <w:rsid w:val="002B7DEC"/>
    <w:rsid w:val="002B7E44"/>
    <w:rsid w:val="002B7E7C"/>
    <w:rsid w:val="002B7F70"/>
    <w:rsid w:val="002C008C"/>
    <w:rsid w:val="002C0217"/>
    <w:rsid w:val="002C0228"/>
    <w:rsid w:val="002C0244"/>
    <w:rsid w:val="002C02DA"/>
    <w:rsid w:val="002C02DC"/>
    <w:rsid w:val="002C03E6"/>
    <w:rsid w:val="002C043A"/>
    <w:rsid w:val="002C0454"/>
    <w:rsid w:val="002C048B"/>
    <w:rsid w:val="002C05E7"/>
    <w:rsid w:val="002C0629"/>
    <w:rsid w:val="002C06C4"/>
    <w:rsid w:val="002C0AC0"/>
    <w:rsid w:val="002C0AF2"/>
    <w:rsid w:val="002C0CA2"/>
    <w:rsid w:val="002C0CEA"/>
    <w:rsid w:val="002C0D0A"/>
    <w:rsid w:val="002C0D6E"/>
    <w:rsid w:val="002C0DC4"/>
    <w:rsid w:val="002C0E1B"/>
    <w:rsid w:val="002C0E4E"/>
    <w:rsid w:val="002C0E5B"/>
    <w:rsid w:val="002C0F8F"/>
    <w:rsid w:val="002C0FE6"/>
    <w:rsid w:val="002C103F"/>
    <w:rsid w:val="002C1064"/>
    <w:rsid w:val="002C1163"/>
    <w:rsid w:val="002C12AD"/>
    <w:rsid w:val="002C12CA"/>
    <w:rsid w:val="002C1315"/>
    <w:rsid w:val="002C149D"/>
    <w:rsid w:val="002C14FD"/>
    <w:rsid w:val="002C1571"/>
    <w:rsid w:val="002C16F9"/>
    <w:rsid w:val="002C1715"/>
    <w:rsid w:val="002C188F"/>
    <w:rsid w:val="002C18B8"/>
    <w:rsid w:val="002C193F"/>
    <w:rsid w:val="002C1A27"/>
    <w:rsid w:val="002C1A6D"/>
    <w:rsid w:val="002C1A82"/>
    <w:rsid w:val="002C1AB6"/>
    <w:rsid w:val="002C1B32"/>
    <w:rsid w:val="002C1B4B"/>
    <w:rsid w:val="002C1B72"/>
    <w:rsid w:val="002C1BC1"/>
    <w:rsid w:val="002C1C14"/>
    <w:rsid w:val="002C1CB6"/>
    <w:rsid w:val="002C1EDF"/>
    <w:rsid w:val="002C1F13"/>
    <w:rsid w:val="002C1F2E"/>
    <w:rsid w:val="002C1F9E"/>
    <w:rsid w:val="002C1FD5"/>
    <w:rsid w:val="002C207F"/>
    <w:rsid w:val="002C217E"/>
    <w:rsid w:val="002C21AA"/>
    <w:rsid w:val="002C21E3"/>
    <w:rsid w:val="002C2214"/>
    <w:rsid w:val="002C22E4"/>
    <w:rsid w:val="002C2300"/>
    <w:rsid w:val="002C2436"/>
    <w:rsid w:val="002C248A"/>
    <w:rsid w:val="002C251D"/>
    <w:rsid w:val="002C2638"/>
    <w:rsid w:val="002C2686"/>
    <w:rsid w:val="002C2688"/>
    <w:rsid w:val="002C27D5"/>
    <w:rsid w:val="002C2847"/>
    <w:rsid w:val="002C2878"/>
    <w:rsid w:val="002C287D"/>
    <w:rsid w:val="002C2898"/>
    <w:rsid w:val="002C28CE"/>
    <w:rsid w:val="002C295A"/>
    <w:rsid w:val="002C2A37"/>
    <w:rsid w:val="002C2B3A"/>
    <w:rsid w:val="002C2BA9"/>
    <w:rsid w:val="002C2D3D"/>
    <w:rsid w:val="002C2E3D"/>
    <w:rsid w:val="002C2ED1"/>
    <w:rsid w:val="002C2FFC"/>
    <w:rsid w:val="002C3031"/>
    <w:rsid w:val="002C3179"/>
    <w:rsid w:val="002C31A7"/>
    <w:rsid w:val="002C31DB"/>
    <w:rsid w:val="002C32AE"/>
    <w:rsid w:val="002C32CC"/>
    <w:rsid w:val="002C3381"/>
    <w:rsid w:val="002C33D9"/>
    <w:rsid w:val="002C344C"/>
    <w:rsid w:val="002C346A"/>
    <w:rsid w:val="002C34E0"/>
    <w:rsid w:val="002C350B"/>
    <w:rsid w:val="002C35F9"/>
    <w:rsid w:val="002C3602"/>
    <w:rsid w:val="002C365F"/>
    <w:rsid w:val="002C3727"/>
    <w:rsid w:val="002C3740"/>
    <w:rsid w:val="002C37DF"/>
    <w:rsid w:val="002C3946"/>
    <w:rsid w:val="002C3A1D"/>
    <w:rsid w:val="002C3A56"/>
    <w:rsid w:val="002C3ACD"/>
    <w:rsid w:val="002C3BC0"/>
    <w:rsid w:val="002C3BE2"/>
    <w:rsid w:val="002C3C10"/>
    <w:rsid w:val="002C3C18"/>
    <w:rsid w:val="002C3DAB"/>
    <w:rsid w:val="002C3ED2"/>
    <w:rsid w:val="002C3F30"/>
    <w:rsid w:val="002C3FBB"/>
    <w:rsid w:val="002C3FE0"/>
    <w:rsid w:val="002C40CA"/>
    <w:rsid w:val="002C413C"/>
    <w:rsid w:val="002C42BA"/>
    <w:rsid w:val="002C4349"/>
    <w:rsid w:val="002C43C7"/>
    <w:rsid w:val="002C4417"/>
    <w:rsid w:val="002C4422"/>
    <w:rsid w:val="002C4438"/>
    <w:rsid w:val="002C444B"/>
    <w:rsid w:val="002C446F"/>
    <w:rsid w:val="002C448E"/>
    <w:rsid w:val="002C45F8"/>
    <w:rsid w:val="002C462F"/>
    <w:rsid w:val="002C4656"/>
    <w:rsid w:val="002C4806"/>
    <w:rsid w:val="002C4823"/>
    <w:rsid w:val="002C4A89"/>
    <w:rsid w:val="002C4AA4"/>
    <w:rsid w:val="002C4B02"/>
    <w:rsid w:val="002C4B38"/>
    <w:rsid w:val="002C4B98"/>
    <w:rsid w:val="002C4BC5"/>
    <w:rsid w:val="002C4C2A"/>
    <w:rsid w:val="002C4C51"/>
    <w:rsid w:val="002C4CB3"/>
    <w:rsid w:val="002C4CD8"/>
    <w:rsid w:val="002C4E5D"/>
    <w:rsid w:val="002C4E8E"/>
    <w:rsid w:val="002C5012"/>
    <w:rsid w:val="002C5050"/>
    <w:rsid w:val="002C50B2"/>
    <w:rsid w:val="002C5132"/>
    <w:rsid w:val="002C513C"/>
    <w:rsid w:val="002C5162"/>
    <w:rsid w:val="002C516D"/>
    <w:rsid w:val="002C51F1"/>
    <w:rsid w:val="002C52DC"/>
    <w:rsid w:val="002C534E"/>
    <w:rsid w:val="002C53C0"/>
    <w:rsid w:val="002C53E1"/>
    <w:rsid w:val="002C541B"/>
    <w:rsid w:val="002C54D5"/>
    <w:rsid w:val="002C54E5"/>
    <w:rsid w:val="002C5525"/>
    <w:rsid w:val="002C55BB"/>
    <w:rsid w:val="002C55E9"/>
    <w:rsid w:val="002C5729"/>
    <w:rsid w:val="002C58A6"/>
    <w:rsid w:val="002C594D"/>
    <w:rsid w:val="002C59A1"/>
    <w:rsid w:val="002C5A70"/>
    <w:rsid w:val="002C5AB6"/>
    <w:rsid w:val="002C5B50"/>
    <w:rsid w:val="002C5B60"/>
    <w:rsid w:val="002C5B90"/>
    <w:rsid w:val="002C5BE1"/>
    <w:rsid w:val="002C5C01"/>
    <w:rsid w:val="002C5D0D"/>
    <w:rsid w:val="002C5E1C"/>
    <w:rsid w:val="002C5E81"/>
    <w:rsid w:val="002C5EDF"/>
    <w:rsid w:val="002C5F13"/>
    <w:rsid w:val="002C5F6C"/>
    <w:rsid w:val="002C5F86"/>
    <w:rsid w:val="002C5FAE"/>
    <w:rsid w:val="002C60A4"/>
    <w:rsid w:val="002C60E5"/>
    <w:rsid w:val="002C6112"/>
    <w:rsid w:val="002C616B"/>
    <w:rsid w:val="002C618D"/>
    <w:rsid w:val="002C623F"/>
    <w:rsid w:val="002C6250"/>
    <w:rsid w:val="002C62F6"/>
    <w:rsid w:val="002C636A"/>
    <w:rsid w:val="002C6416"/>
    <w:rsid w:val="002C64C4"/>
    <w:rsid w:val="002C658C"/>
    <w:rsid w:val="002C65B4"/>
    <w:rsid w:val="002C65C3"/>
    <w:rsid w:val="002C665A"/>
    <w:rsid w:val="002C67B9"/>
    <w:rsid w:val="002C6835"/>
    <w:rsid w:val="002C68BA"/>
    <w:rsid w:val="002C69C8"/>
    <w:rsid w:val="002C6B64"/>
    <w:rsid w:val="002C6B94"/>
    <w:rsid w:val="002C6C2F"/>
    <w:rsid w:val="002C6C4F"/>
    <w:rsid w:val="002C6CB2"/>
    <w:rsid w:val="002C6CD3"/>
    <w:rsid w:val="002C6EE2"/>
    <w:rsid w:val="002C6F10"/>
    <w:rsid w:val="002C6F43"/>
    <w:rsid w:val="002C7008"/>
    <w:rsid w:val="002C7014"/>
    <w:rsid w:val="002C705C"/>
    <w:rsid w:val="002C709A"/>
    <w:rsid w:val="002C70C4"/>
    <w:rsid w:val="002C70F2"/>
    <w:rsid w:val="002C712A"/>
    <w:rsid w:val="002C716C"/>
    <w:rsid w:val="002C71ED"/>
    <w:rsid w:val="002C738E"/>
    <w:rsid w:val="002C738F"/>
    <w:rsid w:val="002C73B6"/>
    <w:rsid w:val="002C7409"/>
    <w:rsid w:val="002C741E"/>
    <w:rsid w:val="002C743A"/>
    <w:rsid w:val="002C749F"/>
    <w:rsid w:val="002C7513"/>
    <w:rsid w:val="002C754F"/>
    <w:rsid w:val="002C7602"/>
    <w:rsid w:val="002C760A"/>
    <w:rsid w:val="002C7650"/>
    <w:rsid w:val="002C767B"/>
    <w:rsid w:val="002C76F7"/>
    <w:rsid w:val="002C76FC"/>
    <w:rsid w:val="002C76FD"/>
    <w:rsid w:val="002C7775"/>
    <w:rsid w:val="002C79B7"/>
    <w:rsid w:val="002C7A12"/>
    <w:rsid w:val="002C7A66"/>
    <w:rsid w:val="002C7A7F"/>
    <w:rsid w:val="002C7B83"/>
    <w:rsid w:val="002C7BB9"/>
    <w:rsid w:val="002C7C06"/>
    <w:rsid w:val="002C7D50"/>
    <w:rsid w:val="002C7EE8"/>
    <w:rsid w:val="002D002B"/>
    <w:rsid w:val="002D0057"/>
    <w:rsid w:val="002D005E"/>
    <w:rsid w:val="002D0061"/>
    <w:rsid w:val="002D00A9"/>
    <w:rsid w:val="002D010F"/>
    <w:rsid w:val="002D0141"/>
    <w:rsid w:val="002D0155"/>
    <w:rsid w:val="002D0160"/>
    <w:rsid w:val="002D0165"/>
    <w:rsid w:val="002D0238"/>
    <w:rsid w:val="002D0357"/>
    <w:rsid w:val="002D0403"/>
    <w:rsid w:val="002D0412"/>
    <w:rsid w:val="002D041B"/>
    <w:rsid w:val="002D04BE"/>
    <w:rsid w:val="002D057B"/>
    <w:rsid w:val="002D058D"/>
    <w:rsid w:val="002D05CC"/>
    <w:rsid w:val="002D060E"/>
    <w:rsid w:val="002D06DC"/>
    <w:rsid w:val="002D07BB"/>
    <w:rsid w:val="002D08A0"/>
    <w:rsid w:val="002D08BD"/>
    <w:rsid w:val="002D0974"/>
    <w:rsid w:val="002D09FA"/>
    <w:rsid w:val="002D0A3D"/>
    <w:rsid w:val="002D0B27"/>
    <w:rsid w:val="002D0B8F"/>
    <w:rsid w:val="002D0BB5"/>
    <w:rsid w:val="002D0C9A"/>
    <w:rsid w:val="002D0D1B"/>
    <w:rsid w:val="002D0D56"/>
    <w:rsid w:val="002D0E52"/>
    <w:rsid w:val="002D0EE0"/>
    <w:rsid w:val="002D0FF0"/>
    <w:rsid w:val="002D1075"/>
    <w:rsid w:val="002D1108"/>
    <w:rsid w:val="002D1120"/>
    <w:rsid w:val="002D11E4"/>
    <w:rsid w:val="002D1338"/>
    <w:rsid w:val="002D1368"/>
    <w:rsid w:val="002D137D"/>
    <w:rsid w:val="002D1620"/>
    <w:rsid w:val="002D1633"/>
    <w:rsid w:val="002D168C"/>
    <w:rsid w:val="002D172C"/>
    <w:rsid w:val="002D1730"/>
    <w:rsid w:val="002D17E6"/>
    <w:rsid w:val="002D18CA"/>
    <w:rsid w:val="002D1933"/>
    <w:rsid w:val="002D1A4B"/>
    <w:rsid w:val="002D1A64"/>
    <w:rsid w:val="002D1D82"/>
    <w:rsid w:val="002D1DA7"/>
    <w:rsid w:val="002D1E61"/>
    <w:rsid w:val="002D1E6F"/>
    <w:rsid w:val="002D1FA4"/>
    <w:rsid w:val="002D204F"/>
    <w:rsid w:val="002D20F8"/>
    <w:rsid w:val="002D2106"/>
    <w:rsid w:val="002D2146"/>
    <w:rsid w:val="002D22E8"/>
    <w:rsid w:val="002D248D"/>
    <w:rsid w:val="002D24F6"/>
    <w:rsid w:val="002D2549"/>
    <w:rsid w:val="002D2677"/>
    <w:rsid w:val="002D26C1"/>
    <w:rsid w:val="002D277F"/>
    <w:rsid w:val="002D289A"/>
    <w:rsid w:val="002D2A44"/>
    <w:rsid w:val="002D2AB4"/>
    <w:rsid w:val="002D2AB9"/>
    <w:rsid w:val="002D2B1D"/>
    <w:rsid w:val="002D2CF0"/>
    <w:rsid w:val="002D2D61"/>
    <w:rsid w:val="002D2DC2"/>
    <w:rsid w:val="002D2E1A"/>
    <w:rsid w:val="002D2F1F"/>
    <w:rsid w:val="002D30EF"/>
    <w:rsid w:val="002D315E"/>
    <w:rsid w:val="002D3246"/>
    <w:rsid w:val="002D3299"/>
    <w:rsid w:val="002D345D"/>
    <w:rsid w:val="002D345F"/>
    <w:rsid w:val="002D34CC"/>
    <w:rsid w:val="002D355C"/>
    <w:rsid w:val="002D35BC"/>
    <w:rsid w:val="002D377C"/>
    <w:rsid w:val="002D38A0"/>
    <w:rsid w:val="002D3A53"/>
    <w:rsid w:val="002D3A9C"/>
    <w:rsid w:val="002D3AF6"/>
    <w:rsid w:val="002D3CAE"/>
    <w:rsid w:val="002D3DF1"/>
    <w:rsid w:val="002D3E25"/>
    <w:rsid w:val="002D3E90"/>
    <w:rsid w:val="002D3F08"/>
    <w:rsid w:val="002D3FAB"/>
    <w:rsid w:val="002D409E"/>
    <w:rsid w:val="002D418D"/>
    <w:rsid w:val="002D41AC"/>
    <w:rsid w:val="002D41D6"/>
    <w:rsid w:val="002D4224"/>
    <w:rsid w:val="002D425B"/>
    <w:rsid w:val="002D42C1"/>
    <w:rsid w:val="002D435A"/>
    <w:rsid w:val="002D4453"/>
    <w:rsid w:val="002D4582"/>
    <w:rsid w:val="002D4597"/>
    <w:rsid w:val="002D4760"/>
    <w:rsid w:val="002D4781"/>
    <w:rsid w:val="002D47C4"/>
    <w:rsid w:val="002D4908"/>
    <w:rsid w:val="002D4938"/>
    <w:rsid w:val="002D4A1E"/>
    <w:rsid w:val="002D4AD5"/>
    <w:rsid w:val="002D4B5E"/>
    <w:rsid w:val="002D4C5A"/>
    <w:rsid w:val="002D4D34"/>
    <w:rsid w:val="002D4F64"/>
    <w:rsid w:val="002D4F9A"/>
    <w:rsid w:val="002D5072"/>
    <w:rsid w:val="002D50FD"/>
    <w:rsid w:val="002D515A"/>
    <w:rsid w:val="002D51F8"/>
    <w:rsid w:val="002D54A9"/>
    <w:rsid w:val="002D5688"/>
    <w:rsid w:val="002D57AE"/>
    <w:rsid w:val="002D5807"/>
    <w:rsid w:val="002D5867"/>
    <w:rsid w:val="002D58BB"/>
    <w:rsid w:val="002D5966"/>
    <w:rsid w:val="002D597B"/>
    <w:rsid w:val="002D59B4"/>
    <w:rsid w:val="002D5A64"/>
    <w:rsid w:val="002D5B0A"/>
    <w:rsid w:val="002D5B1E"/>
    <w:rsid w:val="002D5C22"/>
    <w:rsid w:val="002D5CCB"/>
    <w:rsid w:val="002D5DB9"/>
    <w:rsid w:val="002D5E43"/>
    <w:rsid w:val="002D5E4E"/>
    <w:rsid w:val="002D5E51"/>
    <w:rsid w:val="002D5EB8"/>
    <w:rsid w:val="002D5F61"/>
    <w:rsid w:val="002D5F86"/>
    <w:rsid w:val="002D6045"/>
    <w:rsid w:val="002D60F4"/>
    <w:rsid w:val="002D6187"/>
    <w:rsid w:val="002D61FB"/>
    <w:rsid w:val="002D6296"/>
    <w:rsid w:val="002D6392"/>
    <w:rsid w:val="002D6416"/>
    <w:rsid w:val="002D6608"/>
    <w:rsid w:val="002D6640"/>
    <w:rsid w:val="002D68B5"/>
    <w:rsid w:val="002D68BC"/>
    <w:rsid w:val="002D68FA"/>
    <w:rsid w:val="002D6933"/>
    <w:rsid w:val="002D699B"/>
    <w:rsid w:val="002D69FC"/>
    <w:rsid w:val="002D6AA9"/>
    <w:rsid w:val="002D6B0E"/>
    <w:rsid w:val="002D6B1A"/>
    <w:rsid w:val="002D6CAD"/>
    <w:rsid w:val="002D6D4A"/>
    <w:rsid w:val="002D6D6B"/>
    <w:rsid w:val="002D6D7D"/>
    <w:rsid w:val="002D6E1A"/>
    <w:rsid w:val="002D6E55"/>
    <w:rsid w:val="002D6EEE"/>
    <w:rsid w:val="002D6EFF"/>
    <w:rsid w:val="002D6FA4"/>
    <w:rsid w:val="002D6FCD"/>
    <w:rsid w:val="002D7119"/>
    <w:rsid w:val="002D7195"/>
    <w:rsid w:val="002D7216"/>
    <w:rsid w:val="002D7218"/>
    <w:rsid w:val="002D7270"/>
    <w:rsid w:val="002D72AA"/>
    <w:rsid w:val="002D72D3"/>
    <w:rsid w:val="002D72DA"/>
    <w:rsid w:val="002D72FF"/>
    <w:rsid w:val="002D7509"/>
    <w:rsid w:val="002D7591"/>
    <w:rsid w:val="002D778F"/>
    <w:rsid w:val="002D77D4"/>
    <w:rsid w:val="002D7890"/>
    <w:rsid w:val="002D7892"/>
    <w:rsid w:val="002D78A7"/>
    <w:rsid w:val="002D791E"/>
    <w:rsid w:val="002D7956"/>
    <w:rsid w:val="002D79B3"/>
    <w:rsid w:val="002D7AC5"/>
    <w:rsid w:val="002D7C0E"/>
    <w:rsid w:val="002D7C1B"/>
    <w:rsid w:val="002D7C46"/>
    <w:rsid w:val="002D7DB7"/>
    <w:rsid w:val="002D7EF6"/>
    <w:rsid w:val="002D7F63"/>
    <w:rsid w:val="002D7F67"/>
    <w:rsid w:val="002D7F86"/>
    <w:rsid w:val="002D7FE0"/>
    <w:rsid w:val="002D7FF0"/>
    <w:rsid w:val="002E000C"/>
    <w:rsid w:val="002E00B3"/>
    <w:rsid w:val="002E0120"/>
    <w:rsid w:val="002E01B8"/>
    <w:rsid w:val="002E02CC"/>
    <w:rsid w:val="002E03C4"/>
    <w:rsid w:val="002E0527"/>
    <w:rsid w:val="002E0533"/>
    <w:rsid w:val="002E05B3"/>
    <w:rsid w:val="002E05BC"/>
    <w:rsid w:val="002E05EB"/>
    <w:rsid w:val="002E0666"/>
    <w:rsid w:val="002E07CE"/>
    <w:rsid w:val="002E0806"/>
    <w:rsid w:val="002E0846"/>
    <w:rsid w:val="002E097B"/>
    <w:rsid w:val="002E09BB"/>
    <w:rsid w:val="002E0A59"/>
    <w:rsid w:val="002E0AD1"/>
    <w:rsid w:val="002E0AE1"/>
    <w:rsid w:val="002E0B69"/>
    <w:rsid w:val="002E0BAB"/>
    <w:rsid w:val="002E0CBF"/>
    <w:rsid w:val="002E0DA7"/>
    <w:rsid w:val="002E0E1A"/>
    <w:rsid w:val="002E0F08"/>
    <w:rsid w:val="002E0F0C"/>
    <w:rsid w:val="002E0F88"/>
    <w:rsid w:val="002E0FC9"/>
    <w:rsid w:val="002E0FCB"/>
    <w:rsid w:val="002E0FD7"/>
    <w:rsid w:val="002E0FF9"/>
    <w:rsid w:val="002E106F"/>
    <w:rsid w:val="002E10E6"/>
    <w:rsid w:val="002E126A"/>
    <w:rsid w:val="002E13C6"/>
    <w:rsid w:val="002E1481"/>
    <w:rsid w:val="002E1512"/>
    <w:rsid w:val="002E1564"/>
    <w:rsid w:val="002E15FF"/>
    <w:rsid w:val="002E16B8"/>
    <w:rsid w:val="002E16FB"/>
    <w:rsid w:val="002E1734"/>
    <w:rsid w:val="002E1765"/>
    <w:rsid w:val="002E1796"/>
    <w:rsid w:val="002E17A0"/>
    <w:rsid w:val="002E1843"/>
    <w:rsid w:val="002E19C3"/>
    <w:rsid w:val="002E1A7B"/>
    <w:rsid w:val="002E1C38"/>
    <w:rsid w:val="002E1C85"/>
    <w:rsid w:val="002E1C8A"/>
    <w:rsid w:val="002E1E5E"/>
    <w:rsid w:val="002E1EF5"/>
    <w:rsid w:val="002E212D"/>
    <w:rsid w:val="002E213F"/>
    <w:rsid w:val="002E2179"/>
    <w:rsid w:val="002E218A"/>
    <w:rsid w:val="002E22B9"/>
    <w:rsid w:val="002E22BF"/>
    <w:rsid w:val="002E23D7"/>
    <w:rsid w:val="002E23F6"/>
    <w:rsid w:val="002E24B0"/>
    <w:rsid w:val="002E250F"/>
    <w:rsid w:val="002E2695"/>
    <w:rsid w:val="002E2698"/>
    <w:rsid w:val="002E2712"/>
    <w:rsid w:val="002E273E"/>
    <w:rsid w:val="002E275F"/>
    <w:rsid w:val="002E27FD"/>
    <w:rsid w:val="002E28CE"/>
    <w:rsid w:val="002E2966"/>
    <w:rsid w:val="002E2A08"/>
    <w:rsid w:val="002E2A79"/>
    <w:rsid w:val="002E2A87"/>
    <w:rsid w:val="002E2A8B"/>
    <w:rsid w:val="002E2AC1"/>
    <w:rsid w:val="002E2AC8"/>
    <w:rsid w:val="002E2D11"/>
    <w:rsid w:val="002E2EE9"/>
    <w:rsid w:val="002E2FE3"/>
    <w:rsid w:val="002E3006"/>
    <w:rsid w:val="002E3036"/>
    <w:rsid w:val="002E303C"/>
    <w:rsid w:val="002E30A4"/>
    <w:rsid w:val="002E31D0"/>
    <w:rsid w:val="002E3287"/>
    <w:rsid w:val="002E32BB"/>
    <w:rsid w:val="002E3341"/>
    <w:rsid w:val="002E33D3"/>
    <w:rsid w:val="002E33F5"/>
    <w:rsid w:val="002E3439"/>
    <w:rsid w:val="002E351A"/>
    <w:rsid w:val="002E3640"/>
    <w:rsid w:val="002E36A2"/>
    <w:rsid w:val="002E36B5"/>
    <w:rsid w:val="002E38A2"/>
    <w:rsid w:val="002E393D"/>
    <w:rsid w:val="002E393F"/>
    <w:rsid w:val="002E39C7"/>
    <w:rsid w:val="002E3BEB"/>
    <w:rsid w:val="002E3BEE"/>
    <w:rsid w:val="002E3C25"/>
    <w:rsid w:val="002E3DBA"/>
    <w:rsid w:val="002E3DBE"/>
    <w:rsid w:val="002E3E53"/>
    <w:rsid w:val="002E3E90"/>
    <w:rsid w:val="002E409F"/>
    <w:rsid w:val="002E4189"/>
    <w:rsid w:val="002E4287"/>
    <w:rsid w:val="002E42A6"/>
    <w:rsid w:val="002E432B"/>
    <w:rsid w:val="002E4415"/>
    <w:rsid w:val="002E44F5"/>
    <w:rsid w:val="002E44FC"/>
    <w:rsid w:val="002E4516"/>
    <w:rsid w:val="002E4536"/>
    <w:rsid w:val="002E4586"/>
    <w:rsid w:val="002E4602"/>
    <w:rsid w:val="002E4794"/>
    <w:rsid w:val="002E4847"/>
    <w:rsid w:val="002E490A"/>
    <w:rsid w:val="002E4923"/>
    <w:rsid w:val="002E4933"/>
    <w:rsid w:val="002E499D"/>
    <w:rsid w:val="002E49CF"/>
    <w:rsid w:val="002E49F2"/>
    <w:rsid w:val="002E4A15"/>
    <w:rsid w:val="002E4A7F"/>
    <w:rsid w:val="002E4AA9"/>
    <w:rsid w:val="002E4B2D"/>
    <w:rsid w:val="002E4B4B"/>
    <w:rsid w:val="002E4B73"/>
    <w:rsid w:val="002E4BA0"/>
    <w:rsid w:val="002E4BE4"/>
    <w:rsid w:val="002E4C1F"/>
    <w:rsid w:val="002E4C63"/>
    <w:rsid w:val="002E4CB0"/>
    <w:rsid w:val="002E4DE6"/>
    <w:rsid w:val="002E4ED0"/>
    <w:rsid w:val="002E4EE1"/>
    <w:rsid w:val="002E4F4C"/>
    <w:rsid w:val="002E4F94"/>
    <w:rsid w:val="002E4FC4"/>
    <w:rsid w:val="002E50EC"/>
    <w:rsid w:val="002E5121"/>
    <w:rsid w:val="002E5167"/>
    <w:rsid w:val="002E5358"/>
    <w:rsid w:val="002E5452"/>
    <w:rsid w:val="002E5454"/>
    <w:rsid w:val="002E54C4"/>
    <w:rsid w:val="002E563B"/>
    <w:rsid w:val="002E5673"/>
    <w:rsid w:val="002E5785"/>
    <w:rsid w:val="002E578A"/>
    <w:rsid w:val="002E5806"/>
    <w:rsid w:val="002E5882"/>
    <w:rsid w:val="002E58DE"/>
    <w:rsid w:val="002E5909"/>
    <w:rsid w:val="002E59F9"/>
    <w:rsid w:val="002E5A10"/>
    <w:rsid w:val="002E5A11"/>
    <w:rsid w:val="002E5A1C"/>
    <w:rsid w:val="002E5A3B"/>
    <w:rsid w:val="002E5A78"/>
    <w:rsid w:val="002E5AC6"/>
    <w:rsid w:val="002E5B21"/>
    <w:rsid w:val="002E5B80"/>
    <w:rsid w:val="002E5BD4"/>
    <w:rsid w:val="002E5E16"/>
    <w:rsid w:val="002E5E33"/>
    <w:rsid w:val="002E5E51"/>
    <w:rsid w:val="002E5EED"/>
    <w:rsid w:val="002E6062"/>
    <w:rsid w:val="002E6106"/>
    <w:rsid w:val="002E617D"/>
    <w:rsid w:val="002E61F6"/>
    <w:rsid w:val="002E634A"/>
    <w:rsid w:val="002E6377"/>
    <w:rsid w:val="002E6411"/>
    <w:rsid w:val="002E649B"/>
    <w:rsid w:val="002E64AE"/>
    <w:rsid w:val="002E652D"/>
    <w:rsid w:val="002E657D"/>
    <w:rsid w:val="002E6641"/>
    <w:rsid w:val="002E6691"/>
    <w:rsid w:val="002E6697"/>
    <w:rsid w:val="002E66B5"/>
    <w:rsid w:val="002E66E4"/>
    <w:rsid w:val="002E6763"/>
    <w:rsid w:val="002E69C8"/>
    <w:rsid w:val="002E6AF0"/>
    <w:rsid w:val="002E6BF9"/>
    <w:rsid w:val="002E6E3F"/>
    <w:rsid w:val="002E6E60"/>
    <w:rsid w:val="002E717A"/>
    <w:rsid w:val="002E718C"/>
    <w:rsid w:val="002E724B"/>
    <w:rsid w:val="002E7308"/>
    <w:rsid w:val="002E7362"/>
    <w:rsid w:val="002E746F"/>
    <w:rsid w:val="002E760B"/>
    <w:rsid w:val="002E7678"/>
    <w:rsid w:val="002E76D0"/>
    <w:rsid w:val="002E76F5"/>
    <w:rsid w:val="002E774E"/>
    <w:rsid w:val="002E77DA"/>
    <w:rsid w:val="002E780E"/>
    <w:rsid w:val="002E7891"/>
    <w:rsid w:val="002E7936"/>
    <w:rsid w:val="002E7AC4"/>
    <w:rsid w:val="002E7B60"/>
    <w:rsid w:val="002E7B6C"/>
    <w:rsid w:val="002E7C83"/>
    <w:rsid w:val="002E7D56"/>
    <w:rsid w:val="002E7D64"/>
    <w:rsid w:val="002E7DEF"/>
    <w:rsid w:val="002F0068"/>
    <w:rsid w:val="002F009A"/>
    <w:rsid w:val="002F0150"/>
    <w:rsid w:val="002F0243"/>
    <w:rsid w:val="002F03B1"/>
    <w:rsid w:val="002F0498"/>
    <w:rsid w:val="002F05BB"/>
    <w:rsid w:val="002F062F"/>
    <w:rsid w:val="002F0642"/>
    <w:rsid w:val="002F06F6"/>
    <w:rsid w:val="002F0717"/>
    <w:rsid w:val="002F083F"/>
    <w:rsid w:val="002F0A07"/>
    <w:rsid w:val="002F0AF4"/>
    <w:rsid w:val="002F0B6E"/>
    <w:rsid w:val="002F0C14"/>
    <w:rsid w:val="002F0C25"/>
    <w:rsid w:val="002F0E55"/>
    <w:rsid w:val="002F0F43"/>
    <w:rsid w:val="002F0FDA"/>
    <w:rsid w:val="002F1055"/>
    <w:rsid w:val="002F1058"/>
    <w:rsid w:val="002F122B"/>
    <w:rsid w:val="002F135E"/>
    <w:rsid w:val="002F145F"/>
    <w:rsid w:val="002F14BD"/>
    <w:rsid w:val="002F15EC"/>
    <w:rsid w:val="002F16AE"/>
    <w:rsid w:val="002F16DD"/>
    <w:rsid w:val="002F1742"/>
    <w:rsid w:val="002F1802"/>
    <w:rsid w:val="002F18C0"/>
    <w:rsid w:val="002F18FC"/>
    <w:rsid w:val="002F1958"/>
    <w:rsid w:val="002F1A88"/>
    <w:rsid w:val="002F1AF8"/>
    <w:rsid w:val="002F1B1C"/>
    <w:rsid w:val="002F1B39"/>
    <w:rsid w:val="002F1C0C"/>
    <w:rsid w:val="002F1C63"/>
    <w:rsid w:val="002F1D8D"/>
    <w:rsid w:val="002F1EAC"/>
    <w:rsid w:val="002F1F77"/>
    <w:rsid w:val="002F1FA8"/>
    <w:rsid w:val="002F1FD3"/>
    <w:rsid w:val="002F201F"/>
    <w:rsid w:val="002F208D"/>
    <w:rsid w:val="002F2159"/>
    <w:rsid w:val="002F2168"/>
    <w:rsid w:val="002F21BD"/>
    <w:rsid w:val="002F2232"/>
    <w:rsid w:val="002F2276"/>
    <w:rsid w:val="002F22C4"/>
    <w:rsid w:val="002F242C"/>
    <w:rsid w:val="002F265F"/>
    <w:rsid w:val="002F27B3"/>
    <w:rsid w:val="002F27B8"/>
    <w:rsid w:val="002F2837"/>
    <w:rsid w:val="002F2861"/>
    <w:rsid w:val="002F290D"/>
    <w:rsid w:val="002F2942"/>
    <w:rsid w:val="002F2A66"/>
    <w:rsid w:val="002F2AA4"/>
    <w:rsid w:val="002F2ADD"/>
    <w:rsid w:val="002F2B57"/>
    <w:rsid w:val="002F2B76"/>
    <w:rsid w:val="002F2B92"/>
    <w:rsid w:val="002F2CDF"/>
    <w:rsid w:val="002F2D0B"/>
    <w:rsid w:val="002F2D42"/>
    <w:rsid w:val="002F2D5B"/>
    <w:rsid w:val="002F2D85"/>
    <w:rsid w:val="002F2DA7"/>
    <w:rsid w:val="002F2E15"/>
    <w:rsid w:val="002F2EF4"/>
    <w:rsid w:val="002F2F24"/>
    <w:rsid w:val="002F2F74"/>
    <w:rsid w:val="002F305D"/>
    <w:rsid w:val="002F3068"/>
    <w:rsid w:val="002F3147"/>
    <w:rsid w:val="002F3173"/>
    <w:rsid w:val="002F31CE"/>
    <w:rsid w:val="002F3260"/>
    <w:rsid w:val="002F32E3"/>
    <w:rsid w:val="002F330D"/>
    <w:rsid w:val="002F33F0"/>
    <w:rsid w:val="002F3607"/>
    <w:rsid w:val="002F36B9"/>
    <w:rsid w:val="002F36E5"/>
    <w:rsid w:val="002F3819"/>
    <w:rsid w:val="002F3838"/>
    <w:rsid w:val="002F3843"/>
    <w:rsid w:val="002F3997"/>
    <w:rsid w:val="002F3B0D"/>
    <w:rsid w:val="002F3BEA"/>
    <w:rsid w:val="002F3BFE"/>
    <w:rsid w:val="002F3CA3"/>
    <w:rsid w:val="002F3DB9"/>
    <w:rsid w:val="002F3E55"/>
    <w:rsid w:val="002F3E7E"/>
    <w:rsid w:val="002F3F44"/>
    <w:rsid w:val="002F3FDE"/>
    <w:rsid w:val="002F404B"/>
    <w:rsid w:val="002F4066"/>
    <w:rsid w:val="002F4152"/>
    <w:rsid w:val="002F4153"/>
    <w:rsid w:val="002F4270"/>
    <w:rsid w:val="002F435D"/>
    <w:rsid w:val="002F4381"/>
    <w:rsid w:val="002F4503"/>
    <w:rsid w:val="002F4515"/>
    <w:rsid w:val="002F45EA"/>
    <w:rsid w:val="002F4696"/>
    <w:rsid w:val="002F46A7"/>
    <w:rsid w:val="002F46CC"/>
    <w:rsid w:val="002F46D5"/>
    <w:rsid w:val="002F4701"/>
    <w:rsid w:val="002F4757"/>
    <w:rsid w:val="002F48A9"/>
    <w:rsid w:val="002F48FF"/>
    <w:rsid w:val="002F4904"/>
    <w:rsid w:val="002F49B9"/>
    <w:rsid w:val="002F4A79"/>
    <w:rsid w:val="002F4B55"/>
    <w:rsid w:val="002F4BB2"/>
    <w:rsid w:val="002F4C36"/>
    <w:rsid w:val="002F4C66"/>
    <w:rsid w:val="002F4CBC"/>
    <w:rsid w:val="002F4CDD"/>
    <w:rsid w:val="002F4CF3"/>
    <w:rsid w:val="002F4DDA"/>
    <w:rsid w:val="002F4DE6"/>
    <w:rsid w:val="002F4E2E"/>
    <w:rsid w:val="002F4E36"/>
    <w:rsid w:val="002F4EEB"/>
    <w:rsid w:val="002F4F47"/>
    <w:rsid w:val="002F530D"/>
    <w:rsid w:val="002F5329"/>
    <w:rsid w:val="002F53FC"/>
    <w:rsid w:val="002F54B5"/>
    <w:rsid w:val="002F559A"/>
    <w:rsid w:val="002F5613"/>
    <w:rsid w:val="002F56EA"/>
    <w:rsid w:val="002F5734"/>
    <w:rsid w:val="002F577E"/>
    <w:rsid w:val="002F578B"/>
    <w:rsid w:val="002F57B6"/>
    <w:rsid w:val="002F5858"/>
    <w:rsid w:val="002F5886"/>
    <w:rsid w:val="002F58AC"/>
    <w:rsid w:val="002F5A84"/>
    <w:rsid w:val="002F5A9F"/>
    <w:rsid w:val="002F5AB4"/>
    <w:rsid w:val="002F5AF0"/>
    <w:rsid w:val="002F5B9F"/>
    <w:rsid w:val="002F5BFE"/>
    <w:rsid w:val="002F5CA7"/>
    <w:rsid w:val="002F5DB1"/>
    <w:rsid w:val="002F5E45"/>
    <w:rsid w:val="002F5E49"/>
    <w:rsid w:val="002F5EF5"/>
    <w:rsid w:val="002F5F95"/>
    <w:rsid w:val="002F5FC2"/>
    <w:rsid w:val="002F5FD7"/>
    <w:rsid w:val="002F6100"/>
    <w:rsid w:val="002F610B"/>
    <w:rsid w:val="002F619D"/>
    <w:rsid w:val="002F6248"/>
    <w:rsid w:val="002F636E"/>
    <w:rsid w:val="002F6410"/>
    <w:rsid w:val="002F6571"/>
    <w:rsid w:val="002F6575"/>
    <w:rsid w:val="002F66BF"/>
    <w:rsid w:val="002F68C1"/>
    <w:rsid w:val="002F68D4"/>
    <w:rsid w:val="002F699B"/>
    <w:rsid w:val="002F699E"/>
    <w:rsid w:val="002F69C6"/>
    <w:rsid w:val="002F6B07"/>
    <w:rsid w:val="002F6B60"/>
    <w:rsid w:val="002F6C18"/>
    <w:rsid w:val="002F6C28"/>
    <w:rsid w:val="002F6DE0"/>
    <w:rsid w:val="002F6E0D"/>
    <w:rsid w:val="002F70C7"/>
    <w:rsid w:val="002F714E"/>
    <w:rsid w:val="002F7197"/>
    <w:rsid w:val="002F7282"/>
    <w:rsid w:val="002F7396"/>
    <w:rsid w:val="002F740B"/>
    <w:rsid w:val="002F743C"/>
    <w:rsid w:val="002F7461"/>
    <w:rsid w:val="002F7518"/>
    <w:rsid w:val="002F752D"/>
    <w:rsid w:val="002F75D1"/>
    <w:rsid w:val="002F7631"/>
    <w:rsid w:val="002F763D"/>
    <w:rsid w:val="002F7675"/>
    <w:rsid w:val="002F7699"/>
    <w:rsid w:val="002F76B3"/>
    <w:rsid w:val="002F77C6"/>
    <w:rsid w:val="002F7878"/>
    <w:rsid w:val="002F78C1"/>
    <w:rsid w:val="002F7A93"/>
    <w:rsid w:val="002F7A9A"/>
    <w:rsid w:val="002F7B0E"/>
    <w:rsid w:val="002F7B45"/>
    <w:rsid w:val="002F7BC9"/>
    <w:rsid w:val="002F7C0F"/>
    <w:rsid w:val="002F7C21"/>
    <w:rsid w:val="002F7CED"/>
    <w:rsid w:val="002F7D60"/>
    <w:rsid w:val="002F7E6E"/>
    <w:rsid w:val="002F7FAA"/>
    <w:rsid w:val="0030005D"/>
    <w:rsid w:val="00300107"/>
    <w:rsid w:val="003001A7"/>
    <w:rsid w:val="003001AB"/>
    <w:rsid w:val="003001BD"/>
    <w:rsid w:val="00300220"/>
    <w:rsid w:val="00300223"/>
    <w:rsid w:val="00300435"/>
    <w:rsid w:val="003004F8"/>
    <w:rsid w:val="0030059F"/>
    <w:rsid w:val="003005E2"/>
    <w:rsid w:val="003005E6"/>
    <w:rsid w:val="00300617"/>
    <w:rsid w:val="00300637"/>
    <w:rsid w:val="00300649"/>
    <w:rsid w:val="00300669"/>
    <w:rsid w:val="003006F5"/>
    <w:rsid w:val="0030081F"/>
    <w:rsid w:val="0030089F"/>
    <w:rsid w:val="003008E5"/>
    <w:rsid w:val="00300A15"/>
    <w:rsid w:val="00300A53"/>
    <w:rsid w:val="00300AC5"/>
    <w:rsid w:val="00300AD9"/>
    <w:rsid w:val="00300AFA"/>
    <w:rsid w:val="00300B51"/>
    <w:rsid w:val="00300B80"/>
    <w:rsid w:val="00300BFA"/>
    <w:rsid w:val="00300C15"/>
    <w:rsid w:val="00300C1B"/>
    <w:rsid w:val="00300DA2"/>
    <w:rsid w:val="00300DB9"/>
    <w:rsid w:val="00300E09"/>
    <w:rsid w:val="00300F79"/>
    <w:rsid w:val="00301307"/>
    <w:rsid w:val="00301339"/>
    <w:rsid w:val="0030137F"/>
    <w:rsid w:val="00301380"/>
    <w:rsid w:val="0030153F"/>
    <w:rsid w:val="0030157A"/>
    <w:rsid w:val="00301621"/>
    <w:rsid w:val="0030162A"/>
    <w:rsid w:val="00301633"/>
    <w:rsid w:val="0030169F"/>
    <w:rsid w:val="003016F3"/>
    <w:rsid w:val="00301725"/>
    <w:rsid w:val="0030187F"/>
    <w:rsid w:val="003018A3"/>
    <w:rsid w:val="0030192D"/>
    <w:rsid w:val="00301A23"/>
    <w:rsid w:val="00301A4F"/>
    <w:rsid w:val="00301A65"/>
    <w:rsid w:val="00301AFC"/>
    <w:rsid w:val="00301CC2"/>
    <w:rsid w:val="00301D18"/>
    <w:rsid w:val="00301FEE"/>
    <w:rsid w:val="0030218B"/>
    <w:rsid w:val="003021D1"/>
    <w:rsid w:val="0030224F"/>
    <w:rsid w:val="003022E4"/>
    <w:rsid w:val="0030242B"/>
    <w:rsid w:val="00302460"/>
    <w:rsid w:val="0030249E"/>
    <w:rsid w:val="003024BD"/>
    <w:rsid w:val="0030257B"/>
    <w:rsid w:val="00302581"/>
    <w:rsid w:val="00302598"/>
    <w:rsid w:val="00302742"/>
    <w:rsid w:val="003027D5"/>
    <w:rsid w:val="00302864"/>
    <w:rsid w:val="00302914"/>
    <w:rsid w:val="00302919"/>
    <w:rsid w:val="0030291B"/>
    <w:rsid w:val="00302986"/>
    <w:rsid w:val="003029B0"/>
    <w:rsid w:val="00302B09"/>
    <w:rsid w:val="00302B9E"/>
    <w:rsid w:val="00302BCE"/>
    <w:rsid w:val="00302BDA"/>
    <w:rsid w:val="00302CF2"/>
    <w:rsid w:val="00302DCA"/>
    <w:rsid w:val="00302DEA"/>
    <w:rsid w:val="00302E03"/>
    <w:rsid w:val="00302E49"/>
    <w:rsid w:val="00302F4D"/>
    <w:rsid w:val="00303043"/>
    <w:rsid w:val="003030AA"/>
    <w:rsid w:val="0030318A"/>
    <w:rsid w:val="00303191"/>
    <w:rsid w:val="003031F0"/>
    <w:rsid w:val="003032BC"/>
    <w:rsid w:val="003032D3"/>
    <w:rsid w:val="00303529"/>
    <w:rsid w:val="003035AD"/>
    <w:rsid w:val="003037A7"/>
    <w:rsid w:val="00303B2A"/>
    <w:rsid w:val="00303BCB"/>
    <w:rsid w:val="00303CE6"/>
    <w:rsid w:val="00303E08"/>
    <w:rsid w:val="00303E82"/>
    <w:rsid w:val="00303EB6"/>
    <w:rsid w:val="00303F0B"/>
    <w:rsid w:val="00303FA7"/>
    <w:rsid w:val="0030400F"/>
    <w:rsid w:val="0030408B"/>
    <w:rsid w:val="0030408D"/>
    <w:rsid w:val="003040E7"/>
    <w:rsid w:val="003040F4"/>
    <w:rsid w:val="00304118"/>
    <w:rsid w:val="003044C1"/>
    <w:rsid w:val="0030459C"/>
    <w:rsid w:val="0030464B"/>
    <w:rsid w:val="00304696"/>
    <w:rsid w:val="003046B2"/>
    <w:rsid w:val="0030478C"/>
    <w:rsid w:val="0030482A"/>
    <w:rsid w:val="003048A2"/>
    <w:rsid w:val="003048B8"/>
    <w:rsid w:val="003048E4"/>
    <w:rsid w:val="00304A3D"/>
    <w:rsid w:val="00304AA7"/>
    <w:rsid w:val="00304BE8"/>
    <w:rsid w:val="00304C4B"/>
    <w:rsid w:val="00304D61"/>
    <w:rsid w:val="00304DB6"/>
    <w:rsid w:val="00304DDC"/>
    <w:rsid w:val="00304DDF"/>
    <w:rsid w:val="00304E1C"/>
    <w:rsid w:val="00304EDB"/>
    <w:rsid w:val="00304F1C"/>
    <w:rsid w:val="00304FB0"/>
    <w:rsid w:val="00304FC3"/>
    <w:rsid w:val="00304FD9"/>
    <w:rsid w:val="003051D6"/>
    <w:rsid w:val="00305235"/>
    <w:rsid w:val="00305238"/>
    <w:rsid w:val="0030557B"/>
    <w:rsid w:val="0030558B"/>
    <w:rsid w:val="00305598"/>
    <w:rsid w:val="003055CE"/>
    <w:rsid w:val="00305653"/>
    <w:rsid w:val="00305717"/>
    <w:rsid w:val="00305929"/>
    <w:rsid w:val="0030598A"/>
    <w:rsid w:val="00305991"/>
    <w:rsid w:val="00305A0D"/>
    <w:rsid w:val="00305A9E"/>
    <w:rsid w:val="00305AA2"/>
    <w:rsid w:val="00305BDA"/>
    <w:rsid w:val="00305BE7"/>
    <w:rsid w:val="00305D38"/>
    <w:rsid w:val="00305DF0"/>
    <w:rsid w:val="00305E23"/>
    <w:rsid w:val="00305E4E"/>
    <w:rsid w:val="00305F1A"/>
    <w:rsid w:val="00305FC4"/>
    <w:rsid w:val="00305FEE"/>
    <w:rsid w:val="00306095"/>
    <w:rsid w:val="003060E7"/>
    <w:rsid w:val="0030613E"/>
    <w:rsid w:val="003061E5"/>
    <w:rsid w:val="0030622E"/>
    <w:rsid w:val="0030624D"/>
    <w:rsid w:val="003062C1"/>
    <w:rsid w:val="0030644C"/>
    <w:rsid w:val="0030645C"/>
    <w:rsid w:val="00306463"/>
    <w:rsid w:val="00306588"/>
    <w:rsid w:val="003065F3"/>
    <w:rsid w:val="0030677B"/>
    <w:rsid w:val="0030679E"/>
    <w:rsid w:val="003067F3"/>
    <w:rsid w:val="00306806"/>
    <w:rsid w:val="0030681B"/>
    <w:rsid w:val="00306820"/>
    <w:rsid w:val="003068B5"/>
    <w:rsid w:val="003069A6"/>
    <w:rsid w:val="00306A0D"/>
    <w:rsid w:val="00306A34"/>
    <w:rsid w:val="00306B26"/>
    <w:rsid w:val="00306B45"/>
    <w:rsid w:val="00306D37"/>
    <w:rsid w:val="00306DD7"/>
    <w:rsid w:val="00306EAC"/>
    <w:rsid w:val="00306EAF"/>
    <w:rsid w:val="00306F99"/>
    <w:rsid w:val="00307187"/>
    <w:rsid w:val="00307300"/>
    <w:rsid w:val="00307353"/>
    <w:rsid w:val="003074F4"/>
    <w:rsid w:val="00307629"/>
    <w:rsid w:val="003076DE"/>
    <w:rsid w:val="003076F3"/>
    <w:rsid w:val="003076FE"/>
    <w:rsid w:val="0030778D"/>
    <w:rsid w:val="0030784A"/>
    <w:rsid w:val="0030787E"/>
    <w:rsid w:val="00307903"/>
    <w:rsid w:val="00307969"/>
    <w:rsid w:val="00307A03"/>
    <w:rsid w:val="00307AE9"/>
    <w:rsid w:val="00307B7F"/>
    <w:rsid w:val="00307C69"/>
    <w:rsid w:val="003100B5"/>
    <w:rsid w:val="0031011E"/>
    <w:rsid w:val="00310197"/>
    <w:rsid w:val="003101C4"/>
    <w:rsid w:val="003101F6"/>
    <w:rsid w:val="00310206"/>
    <w:rsid w:val="00310263"/>
    <w:rsid w:val="003102C8"/>
    <w:rsid w:val="003103DB"/>
    <w:rsid w:val="003104CD"/>
    <w:rsid w:val="003104E2"/>
    <w:rsid w:val="00310570"/>
    <w:rsid w:val="003105A2"/>
    <w:rsid w:val="003106E6"/>
    <w:rsid w:val="00310791"/>
    <w:rsid w:val="003107D6"/>
    <w:rsid w:val="003107F5"/>
    <w:rsid w:val="00310896"/>
    <w:rsid w:val="0031094F"/>
    <w:rsid w:val="003109FE"/>
    <w:rsid w:val="00310A6A"/>
    <w:rsid w:val="00310AAC"/>
    <w:rsid w:val="00310AD3"/>
    <w:rsid w:val="00310B03"/>
    <w:rsid w:val="00310C93"/>
    <w:rsid w:val="00310D22"/>
    <w:rsid w:val="00310DBA"/>
    <w:rsid w:val="00310E72"/>
    <w:rsid w:val="00310EA2"/>
    <w:rsid w:val="00310F6D"/>
    <w:rsid w:val="00311018"/>
    <w:rsid w:val="003110D6"/>
    <w:rsid w:val="003111AD"/>
    <w:rsid w:val="00311285"/>
    <w:rsid w:val="003112E6"/>
    <w:rsid w:val="0031131C"/>
    <w:rsid w:val="00311335"/>
    <w:rsid w:val="00311367"/>
    <w:rsid w:val="00311382"/>
    <w:rsid w:val="0031138A"/>
    <w:rsid w:val="00311438"/>
    <w:rsid w:val="003115CB"/>
    <w:rsid w:val="003115E6"/>
    <w:rsid w:val="0031174E"/>
    <w:rsid w:val="00311779"/>
    <w:rsid w:val="003117A9"/>
    <w:rsid w:val="003118D6"/>
    <w:rsid w:val="00311908"/>
    <w:rsid w:val="00311967"/>
    <w:rsid w:val="00311974"/>
    <w:rsid w:val="003119EE"/>
    <w:rsid w:val="00311A56"/>
    <w:rsid w:val="00311CA8"/>
    <w:rsid w:val="00311D75"/>
    <w:rsid w:val="00311DAE"/>
    <w:rsid w:val="00311E64"/>
    <w:rsid w:val="00311EEA"/>
    <w:rsid w:val="00312033"/>
    <w:rsid w:val="003120B3"/>
    <w:rsid w:val="003120E5"/>
    <w:rsid w:val="00312161"/>
    <w:rsid w:val="0031217E"/>
    <w:rsid w:val="003121B8"/>
    <w:rsid w:val="003121BE"/>
    <w:rsid w:val="003121ED"/>
    <w:rsid w:val="003122A3"/>
    <w:rsid w:val="003122C5"/>
    <w:rsid w:val="00312525"/>
    <w:rsid w:val="0031256B"/>
    <w:rsid w:val="00312579"/>
    <w:rsid w:val="00312640"/>
    <w:rsid w:val="00312721"/>
    <w:rsid w:val="0031285C"/>
    <w:rsid w:val="00312889"/>
    <w:rsid w:val="0031288F"/>
    <w:rsid w:val="003128D1"/>
    <w:rsid w:val="00312BA8"/>
    <w:rsid w:val="00312C7B"/>
    <w:rsid w:val="00312CBF"/>
    <w:rsid w:val="00312D88"/>
    <w:rsid w:val="00312E12"/>
    <w:rsid w:val="00312ECD"/>
    <w:rsid w:val="00312F1E"/>
    <w:rsid w:val="00312FA4"/>
    <w:rsid w:val="00312FA9"/>
    <w:rsid w:val="003130D6"/>
    <w:rsid w:val="00313160"/>
    <w:rsid w:val="0031319D"/>
    <w:rsid w:val="003131CA"/>
    <w:rsid w:val="00313269"/>
    <w:rsid w:val="003132B4"/>
    <w:rsid w:val="003132BE"/>
    <w:rsid w:val="00313323"/>
    <w:rsid w:val="00313338"/>
    <w:rsid w:val="0031351C"/>
    <w:rsid w:val="00313540"/>
    <w:rsid w:val="00313553"/>
    <w:rsid w:val="00313573"/>
    <w:rsid w:val="00313614"/>
    <w:rsid w:val="0031364D"/>
    <w:rsid w:val="00313732"/>
    <w:rsid w:val="003138AD"/>
    <w:rsid w:val="0031397D"/>
    <w:rsid w:val="003139D6"/>
    <w:rsid w:val="00313ABE"/>
    <w:rsid w:val="00313BBD"/>
    <w:rsid w:val="00313CD4"/>
    <w:rsid w:val="00313D4F"/>
    <w:rsid w:val="00313E41"/>
    <w:rsid w:val="00313F23"/>
    <w:rsid w:val="00313FC8"/>
    <w:rsid w:val="00313FFC"/>
    <w:rsid w:val="00313FFD"/>
    <w:rsid w:val="00314105"/>
    <w:rsid w:val="00314121"/>
    <w:rsid w:val="00314149"/>
    <w:rsid w:val="0031420F"/>
    <w:rsid w:val="00314257"/>
    <w:rsid w:val="003143CC"/>
    <w:rsid w:val="00314415"/>
    <w:rsid w:val="00314462"/>
    <w:rsid w:val="003144CC"/>
    <w:rsid w:val="003144EE"/>
    <w:rsid w:val="00314521"/>
    <w:rsid w:val="003145C3"/>
    <w:rsid w:val="003145E9"/>
    <w:rsid w:val="0031482E"/>
    <w:rsid w:val="00314850"/>
    <w:rsid w:val="00314855"/>
    <w:rsid w:val="00314966"/>
    <w:rsid w:val="003149F4"/>
    <w:rsid w:val="00314A00"/>
    <w:rsid w:val="00314A2C"/>
    <w:rsid w:val="00314AFD"/>
    <w:rsid w:val="00314C0E"/>
    <w:rsid w:val="00314D1A"/>
    <w:rsid w:val="00314D32"/>
    <w:rsid w:val="00314E18"/>
    <w:rsid w:val="00314ECC"/>
    <w:rsid w:val="00314F51"/>
    <w:rsid w:val="00314F58"/>
    <w:rsid w:val="0031508E"/>
    <w:rsid w:val="0031510C"/>
    <w:rsid w:val="003151F9"/>
    <w:rsid w:val="00315219"/>
    <w:rsid w:val="003152BC"/>
    <w:rsid w:val="003152D9"/>
    <w:rsid w:val="003153D2"/>
    <w:rsid w:val="003153F8"/>
    <w:rsid w:val="00315448"/>
    <w:rsid w:val="00315451"/>
    <w:rsid w:val="00315530"/>
    <w:rsid w:val="00315556"/>
    <w:rsid w:val="00315598"/>
    <w:rsid w:val="003155A5"/>
    <w:rsid w:val="003155C6"/>
    <w:rsid w:val="00315604"/>
    <w:rsid w:val="0031561C"/>
    <w:rsid w:val="0031563A"/>
    <w:rsid w:val="00315659"/>
    <w:rsid w:val="003157CE"/>
    <w:rsid w:val="003157D1"/>
    <w:rsid w:val="0031584C"/>
    <w:rsid w:val="003158B4"/>
    <w:rsid w:val="003158BB"/>
    <w:rsid w:val="003158C9"/>
    <w:rsid w:val="00315993"/>
    <w:rsid w:val="003159C1"/>
    <w:rsid w:val="00315B6F"/>
    <w:rsid w:val="00315C82"/>
    <w:rsid w:val="00315CCE"/>
    <w:rsid w:val="00315CF9"/>
    <w:rsid w:val="00315D44"/>
    <w:rsid w:val="00315D8C"/>
    <w:rsid w:val="00315E20"/>
    <w:rsid w:val="00315E35"/>
    <w:rsid w:val="00315EBA"/>
    <w:rsid w:val="00315F22"/>
    <w:rsid w:val="00315F88"/>
    <w:rsid w:val="003160B2"/>
    <w:rsid w:val="0031611F"/>
    <w:rsid w:val="0031616F"/>
    <w:rsid w:val="003161A4"/>
    <w:rsid w:val="00316297"/>
    <w:rsid w:val="0031630C"/>
    <w:rsid w:val="003163F1"/>
    <w:rsid w:val="00316410"/>
    <w:rsid w:val="003165AE"/>
    <w:rsid w:val="003165E9"/>
    <w:rsid w:val="00316712"/>
    <w:rsid w:val="0031675B"/>
    <w:rsid w:val="00316792"/>
    <w:rsid w:val="003167A3"/>
    <w:rsid w:val="003168D7"/>
    <w:rsid w:val="003168E8"/>
    <w:rsid w:val="00316931"/>
    <w:rsid w:val="00316A4D"/>
    <w:rsid w:val="00316AE3"/>
    <w:rsid w:val="00316B76"/>
    <w:rsid w:val="00316C9F"/>
    <w:rsid w:val="00316CE7"/>
    <w:rsid w:val="00316CFE"/>
    <w:rsid w:val="00316D0D"/>
    <w:rsid w:val="00316E58"/>
    <w:rsid w:val="00316E89"/>
    <w:rsid w:val="00316EFD"/>
    <w:rsid w:val="00316F5D"/>
    <w:rsid w:val="00316F9F"/>
    <w:rsid w:val="00316FF4"/>
    <w:rsid w:val="003170B1"/>
    <w:rsid w:val="003170BA"/>
    <w:rsid w:val="003170C1"/>
    <w:rsid w:val="00317134"/>
    <w:rsid w:val="00317155"/>
    <w:rsid w:val="00317175"/>
    <w:rsid w:val="003171C1"/>
    <w:rsid w:val="003171F4"/>
    <w:rsid w:val="003172A4"/>
    <w:rsid w:val="0031736A"/>
    <w:rsid w:val="003174C7"/>
    <w:rsid w:val="00317507"/>
    <w:rsid w:val="00317638"/>
    <w:rsid w:val="00317896"/>
    <w:rsid w:val="003178AC"/>
    <w:rsid w:val="00317943"/>
    <w:rsid w:val="0031798B"/>
    <w:rsid w:val="003179BC"/>
    <w:rsid w:val="00317A5A"/>
    <w:rsid w:val="00317A7D"/>
    <w:rsid w:val="00317A83"/>
    <w:rsid w:val="00317ADC"/>
    <w:rsid w:val="00317B16"/>
    <w:rsid w:val="00317C0F"/>
    <w:rsid w:val="00317C94"/>
    <w:rsid w:val="00317CB0"/>
    <w:rsid w:val="00317CC6"/>
    <w:rsid w:val="00317DBB"/>
    <w:rsid w:val="00317DC0"/>
    <w:rsid w:val="00317E81"/>
    <w:rsid w:val="00317EA1"/>
    <w:rsid w:val="00317EC6"/>
    <w:rsid w:val="00317F02"/>
    <w:rsid w:val="00317F3A"/>
    <w:rsid w:val="00317F43"/>
    <w:rsid w:val="00317F9B"/>
    <w:rsid w:val="00317FCD"/>
    <w:rsid w:val="0031DA18"/>
    <w:rsid w:val="00320098"/>
    <w:rsid w:val="003200CB"/>
    <w:rsid w:val="00320212"/>
    <w:rsid w:val="003202E1"/>
    <w:rsid w:val="003203B3"/>
    <w:rsid w:val="003203BD"/>
    <w:rsid w:val="00320518"/>
    <w:rsid w:val="003205F0"/>
    <w:rsid w:val="00320607"/>
    <w:rsid w:val="0032069A"/>
    <w:rsid w:val="0032070E"/>
    <w:rsid w:val="003207CE"/>
    <w:rsid w:val="003207E3"/>
    <w:rsid w:val="003208AF"/>
    <w:rsid w:val="003208B0"/>
    <w:rsid w:val="003208B9"/>
    <w:rsid w:val="0032093C"/>
    <w:rsid w:val="0032095F"/>
    <w:rsid w:val="0032096A"/>
    <w:rsid w:val="00320BB6"/>
    <w:rsid w:val="00320C01"/>
    <w:rsid w:val="00320C34"/>
    <w:rsid w:val="00320CB5"/>
    <w:rsid w:val="00320F42"/>
    <w:rsid w:val="0032112A"/>
    <w:rsid w:val="00321187"/>
    <w:rsid w:val="00321195"/>
    <w:rsid w:val="003214B3"/>
    <w:rsid w:val="003214F2"/>
    <w:rsid w:val="003215C5"/>
    <w:rsid w:val="003215F5"/>
    <w:rsid w:val="00321607"/>
    <w:rsid w:val="00321626"/>
    <w:rsid w:val="0032164E"/>
    <w:rsid w:val="003216AF"/>
    <w:rsid w:val="0032171C"/>
    <w:rsid w:val="00321775"/>
    <w:rsid w:val="00321794"/>
    <w:rsid w:val="003217D2"/>
    <w:rsid w:val="00321890"/>
    <w:rsid w:val="003218BA"/>
    <w:rsid w:val="003218D7"/>
    <w:rsid w:val="003219F7"/>
    <w:rsid w:val="00321B6A"/>
    <w:rsid w:val="00321B99"/>
    <w:rsid w:val="00321BC9"/>
    <w:rsid w:val="00321C76"/>
    <w:rsid w:val="00321E4A"/>
    <w:rsid w:val="0032205F"/>
    <w:rsid w:val="0032216B"/>
    <w:rsid w:val="00322371"/>
    <w:rsid w:val="00322454"/>
    <w:rsid w:val="0032248C"/>
    <w:rsid w:val="003224EA"/>
    <w:rsid w:val="00322540"/>
    <w:rsid w:val="003225AF"/>
    <w:rsid w:val="003226C5"/>
    <w:rsid w:val="003226E0"/>
    <w:rsid w:val="003228CF"/>
    <w:rsid w:val="003228D4"/>
    <w:rsid w:val="003228E5"/>
    <w:rsid w:val="00322A9E"/>
    <w:rsid w:val="00322BA9"/>
    <w:rsid w:val="00322BF1"/>
    <w:rsid w:val="00322C81"/>
    <w:rsid w:val="00322C9D"/>
    <w:rsid w:val="00322DD1"/>
    <w:rsid w:val="00322DE4"/>
    <w:rsid w:val="00322E67"/>
    <w:rsid w:val="00322E9B"/>
    <w:rsid w:val="00322EB1"/>
    <w:rsid w:val="00323089"/>
    <w:rsid w:val="003230F3"/>
    <w:rsid w:val="003231D5"/>
    <w:rsid w:val="0032327E"/>
    <w:rsid w:val="0032329C"/>
    <w:rsid w:val="003233B5"/>
    <w:rsid w:val="0032347F"/>
    <w:rsid w:val="0032353F"/>
    <w:rsid w:val="003235AB"/>
    <w:rsid w:val="00323626"/>
    <w:rsid w:val="0032372C"/>
    <w:rsid w:val="0032377E"/>
    <w:rsid w:val="0032380F"/>
    <w:rsid w:val="00323828"/>
    <w:rsid w:val="003238A4"/>
    <w:rsid w:val="003238D6"/>
    <w:rsid w:val="003238F3"/>
    <w:rsid w:val="003239B5"/>
    <w:rsid w:val="00323A43"/>
    <w:rsid w:val="00323ADA"/>
    <w:rsid w:val="00323B20"/>
    <w:rsid w:val="00323BA7"/>
    <w:rsid w:val="00323C21"/>
    <w:rsid w:val="00323C6D"/>
    <w:rsid w:val="00323CAF"/>
    <w:rsid w:val="00323D06"/>
    <w:rsid w:val="00323DC1"/>
    <w:rsid w:val="00323DDE"/>
    <w:rsid w:val="00323DE5"/>
    <w:rsid w:val="00323F5D"/>
    <w:rsid w:val="00324249"/>
    <w:rsid w:val="003242C7"/>
    <w:rsid w:val="003242E3"/>
    <w:rsid w:val="00324398"/>
    <w:rsid w:val="00324443"/>
    <w:rsid w:val="00324472"/>
    <w:rsid w:val="00324545"/>
    <w:rsid w:val="00324583"/>
    <w:rsid w:val="00324649"/>
    <w:rsid w:val="0032486C"/>
    <w:rsid w:val="0032490A"/>
    <w:rsid w:val="0032493C"/>
    <w:rsid w:val="0032496D"/>
    <w:rsid w:val="003249B5"/>
    <w:rsid w:val="003249D2"/>
    <w:rsid w:val="00324B1A"/>
    <w:rsid w:val="00324B65"/>
    <w:rsid w:val="00324BD0"/>
    <w:rsid w:val="00324BED"/>
    <w:rsid w:val="00324CA3"/>
    <w:rsid w:val="00324D1D"/>
    <w:rsid w:val="00324D7E"/>
    <w:rsid w:val="00324DB0"/>
    <w:rsid w:val="00324E50"/>
    <w:rsid w:val="00324F85"/>
    <w:rsid w:val="00324FC1"/>
    <w:rsid w:val="0032513C"/>
    <w:rsid w:val="003251D2"/>
    <w:rsid w:val="0032532E"/>
    <w:rsid w:val="00325488"/>
    <w:rsid w:val="003254D0"/>
    <w:rsid w:val="0032553F"/>
    <w:rsid w:val="003256F9"/>
    <w:rsid w:val="003257CB"/>
    <w:rsid w:val="003258B5"/>
    <w:rsid w:val="00325900"/>
    <w:rsid w:val="00325A6A"/>
    <w:rsid w:val="00325AA9"/>
    <w:rsid w:val="00325AC8"/>
    <w:rsid w:val="00325AE2"/>
    <w:rsid w:val="00325B9E"/>
    <w:rsid w:val="00325BCF"/>
    <w:rsid w:val="00325BF9"/>
    <w:rsid w:val="00325C98"/>
    <w:rsid w:val="00325CAB"/>
    <w:rsid w:val="00325F01"/>
    <w:rsid w:val="00325FD7"/>
    <w:rsid w:val="0032603C"/>
    <w:rsid w:val="00326181"/>
    <w:rsid w:val="003262D7"/>
    <w:rsid w:val="003263DB"/>
    <w:rsid w:val="00326481"/>
    <w:rsid w:val="003264B2"/>
    <w:rsid w:val="0032655D"/>
    <w:rsid w:val="00326590"/>
    <w:rsid w:val="00326597"/>
    <w:rsid w:val="003265F0"/>
    <w:rsid w:val="0032668F"/>
    <w:rsid w:val="003266C6"/>
    <w:rsid w:val="00326848"/>
    <w:rsid w:val="003268CD"/>
    <w:rsid w:val="003269C9"/>
    <w:rsid w:val="00326B48"/>
    <w:rsid w:val="00326B49"/>
    <w:rsid w:val="00326B7F"/>
    <w:rsid w:val="00326BA2"/>
    <w:rsid w:val="00326BA6"/>
    <w:rsid w:val="00326C40"/>
    <w:rsid w:val="00326C61"/>
    <w:rsid w:val="00326CE7"/>
    <w:rsid w:val="00326D60"/>
    <w:rsid w:val="00326D6B"/>
    <w:rsid w:val="00326DC4"/>
    <w:rsid w:val="00326E06"/>
    <w:rsid w:val="00326E19"/>
    <w:rsid w:val="00326E38"/>
    <w:rsid w:val="00326E77"/>
    <w:rsid w:val="00326F2A"/>
    <w:rsid w:val="00326F8D"/>
    <w:rsid w:val="003273A4"/>
    <w:rsid w:val="003273BE"/>
    <w:rsid w:val="0032741A"/>
    <w:rsid w:val="00327512"/>
    <w:rsid w:val="00327529"/>
    <w:rsid w:val="00327565"/>
    <w:rsid w:val="003275B5"/>
    <w:rsid w:val="003275F7"/>
    <w:rsid w:val="00327663"/>
    <w:rsid w:val="00327772"/>
    <w:rsid w:val="003278EC"/>
    <w:rsid w:val="00327904"/>
    <w:rsid w:val="0032797F"/>
    <w:rsid w:val="003279E1"/>
    <w:rsid w:val="00327A74"/>
    <w:rsid w:val="00327D06"/>
    <w:rsid w:val="00327D97"/>
    <w:rsid w:val="00327E92"/>
    <w:rsid w:val="00327F72"/>
    <w:rsid w:val="00327FB8"/>
    <w:rsid w:val="003300CD"/>
    <w:rsid w:val="00330246"/>
    <w:rsid w:val="0033024E"/>
    <w:rsid w:val="00330334"/>
    <w:rsid w:val="00330359"/>
    <w:rsid w:val="00330387"/>
    <w:rsid w:val="003303D9"/>
    <w:rsid w:val="0033040A"/>
    <w:rsid w:val="00330427"/>
    <w:rsid w:val="0033064D"/>
    <w:rsid w:val="003306A7"/>
    <w:rsid w:val="003306CB"/>
    <w:rsid w:val="003306E1"/>
    <w:rsid w:val="00330769"/>
    <w:rsid w:val="003307C8"/>
    <w:rsid w:val="003307D4"/>
    <w:rsid w:val="003308DA"/>
    <w:rsid w:val="003308F3"/>
    <w:rsid w:val="00330921"/>
    <w:rsid w:val="00330ACF"/>
    <w:rsid w:val="00330AF9"/>
    <w:rsid w:val="00330CD9"/>
    <w:rsid w:val="00330CDA"/>
    <w:rsid w:val="00330D65"/>
    <w:rsid w:val="00330D9E"/>
    <w:rsid w:val="00330E75"/>
    <w:rsid w:val="00330E9A"/>
    <w:rsid w:val="00330FCB"/>
    <w:rsid w:val="00330FED"/>
    <w:rsid w:val="00331064"/>
    <w:rsid w:val="003310F0"/>
    <w:rsid w:val="0033118A"/>
    <w:rsid w:val="003311D7"/>
    <w:rsid w:val="0033120F"/>
    <w:rsid w:val="00331402"/>
    <w:rsid w:val="0033143B"/>
    <w:rsid w:val="003314F0"/>
    <w:rsid w:val="003315B8"/>
    <w:rsid w:val="003315BA"/>
    <w:rsid w:val="003316BA"/>
    <w:rsid w:val="003316FF"/>
    <w:rsid w:val="00331742"/>
    <w:rsid w:val="00331761"/>
    <w:rsid w:val="0033176A"/>
    <w:rsid w:val="003318B8"/>
    <w:rsid w:val="00331918"/>
    <w:rsid w:val="00331A83"/>
    <w:rsid w:val="00331A9B"/>
    <w:rsid w:val="00331B14"/>
    <w:rsid w:val="00331C34"/>
    <w:rsid w:val="00331C3B"/>
    <w:rsid w:val="00331C59"/>
    <w:rsid w:val="00331D99"/>
    <w:rsid w:val="00331EC0"/>
    <w:rsid w:val="00331EC6"/>
    <w:rsid w:val="00331F1D"/>
    <w:rsid w:val="003320B1"/>
    <w:rsid w:val="00332143"/>
    <w:rsid w:val="00332165"/>
    <w:rsid w:val="003321B3"/>
    <w:rsid w:val="003321E8"/>
    <w:rsid w:val="003322CA"/>
    <w:rsid w:val="00332329"/>
    <w:rsid w:val="003323A9"/>
    <w:rsid w:val="003323C1"/>
    <w:rsid w:val="00332435"/>
    <w:rsid w:val="00332482"/>
    <w:rsid w:val="00332543"/>
    <w:rsid w:val="00332690"/>
    <w:rsid w:val="0033280D"/>
    <w:rsid w:val="0033294E"/>
    <w:rsid w:val="00332A0A"/>
    <w:rsid w:val="00332AFE"/>
    <w:rsid w:val="00332B11"/>
    <w:rsid w:val="00332B29"/>
    <w:rsid w:val="00332BD9"/>
    <w:rsid w:val="00332C74"/>
    <w:rsid w:val="00332C77"/>
    <w:rsid w:val="00332D10"/>
    <w:rsid w:val="003330B6"/>
    <w:rsid w:val="003331AD"/>
    <w:rsid w:val="003331DE"/>
    <w:rsid w:val="003332B2"/>
    <w:rsid w:val="00333364"/>
    <w:rsid w:val="003333C0"/>
    <w:rsid w:val="00333492"/>
    <w:rsid w:val="003334CF"/>
    <w:rsid w:val="00333551"/>
    <w:rsid w:val="0033359A"/>
    <w:rsid w:val="00333751"/>
    <w:rsid w:val="00333776"/>
    <w:rsid w:val="00333781"/>
    <w:rsid w:val="00333826"/>
    <w:rsid w:val="003338EC"/>
    <w:rsid w:val="003339EE"/>
    <w:rsid w:val="00333BDE"/>
    <w:rsid w:val="00333CDE"/>
    <w:rsid w:val="00333D3A"/>
    <w:rsid w:val="00333D8F"/>
    <w:rsid w:val="00333ED1"/>
    <w:rsid w:val="00333F1F"/>
    <w:rsid w:val="00334005"/>
    <w:rsid w:val="00334026"/>
    <w:rsid w:val="003340DA"/>
    <w:rsid w:val="0033416C"/>
    <w:rsid w:val="00334243"/>
    <w:rsid w:val="003342C3"/>
    <w:rsid w:val="003342E5"/>
    <w:rsid w:val="003343AB"/>
    <w:rsid w:val="003343D1"/>
    <w:rsid w:val="003344FA"/>
    <w:rsid w:val="003345FE"/>
    <w:rsid w:val="00334657"/>
    <w:rsid w:val="003346F8"/>
    <w:rsid w:val="0033471F"/>
    <w:rsid w:val="0033477E"/>
    <w:rsid w:val="00334792"/>
    <w:rsid w:val="003347B1"/>
    <w:rsid w:val="00334843"/>
    <w:rsid w:val="00334862"/>
    <w:rsid w:val="00334911"/>
    <w:rsid w:val="00334924"/>
    <w:rsid w:val="00334A66"/>
    <w:rsid w:val="00334AE1"/>
    <w:rsid w:val="00334B35"/>
    <w:rsid w:val="00334B62"/>
    <w:rsid w:val="00334C63"/>
    <w:rsid w:val="00334CF7"/>
    <w:rsid w:val="00334E6F"/>
    <w:rsid w:val="00334E87"/>
    <w:rsid w:val="00334F10"/>
    <w:rsid w:val="00335009"/>
    <w:rsid w:val="0033506B"/>
    <w:rsid w:val="00335113"/>
    <w:rsid w:val="00335130"/>
    <w:rsid w:val="003351EE"/>
    <w:rsid w:val="0033522D"/>
    <w:rsid w:val="003352CF"/>
    <w:rsid w:val="00335343"/>
    <w:rsid w:val="0033535D"/>
    <w:rsid w:val="003355C9"/>
    <w:rsid w:val="00335670"/>
    <w:rsid w:val="0033575E"/>
    <w:rsid w:val="0033581C"/>
    <w:rsid w:val="0033586C"/>
    <w:rsid w:val="003358A6"/>
    <w:rsid w:val="003359C6"/>
    <w:rsid w:val="00335A0F"/>
    <w:rsid w:val="00335A42"/>
    <w:rsid w:val="00335A47"/>
    <w:rsid w:val="00335A6B"/>
    <w:rsid w:val="00335AC8"/>
    <w:rsid w:val="00335B9E"/>
    <w:rsid w:val="00335CFF"/>
    <w:rsid w:val="00335DE4"/>
    <w:rsid w:val="00335FFC"/>
    <w:rsid w:val="00336087"/>
    <w:rsid w:val="0033613D"/>
    <w:rsid w:val="003362C2"/>
    <w:rsid w:val="003362EE"/>
    <w:rsid w:val="00336314"/>
    <w:rsid w:val="003363A8"/>
    <w:rsid w:val="003363AE"/>
    <w:rsid w:val="003364FF"/>
    <w:rsid w:val="00336556"/>
    <w:rsid w:val="00336696"/>
    <w:rsid w:val="003366F9"/>
    <w:rsid w:val="0033670A"/>
    <w:rsid w:val="00336C54"/>
    <w:rsid w:val="00337010"/>
    <w:rsid w:val="0033715E"/>
    <w:rsid w:val="003371A3"/>
    <w:rsid w:val="00337221"/>
    <w:rsid w:val="00337245"/>
    <w:rsid w:val="00337262"/>
    <w:rsid w:val="00337273"/>
    <w:rsid w:val="003374B4"/>
    <w:rsid w:val="00337625"/>
    <w:rsid w:val="00337691"/>
    <w:rsid w:val="00337743"/>
    <w:rsid w:val="003377D5"/>
    <w:rsid w:val="003378ED"/>
    <w:rsid w:val="00337984"/>
    <w:rsid w:val="0033798D"/>
    <w:rsid w:val="00337999"/>
    <w:rsid w:val="00337B02"/>
    <w:rsid w:val="00337B38"/>
    <w:rsid w:val="00337B4D"/>
    <w:rsid w:val="00337BB9"/>
    <w:rsid w:val="00337C1F"/>
    <w:rsid w:val="00337C3E"/>
    <w:rsid w:val="00337C69"/>
    <w:rsid w:val="00337D10"/>
    <w:rsid w:val="00337D33"/>
    <w:rsid w:val="00337D5C"/>
    <w:rsid w:val="00337D61"/>
    <w:rsid w:val="00337D72"/>
    <w:rsid w:val="00337EA3"/>
    <w:rsid w:val="00337F88"/>
    <w:rsid w:val="00337FC1"/>
    <w:rsid w:val="0034000F"/>
    <w:rsid w:val="0034013C"/>
    <w:rsid w:val="00340160"/>
    <w:rsid w:val="0034016A"/>
    <w:rsid w:val="003401CD"/>
    <w:rsid w:val="0034020E"/>
    <w:rsid w:val="003402CC"/>
    <w:rsid w:val="00340395"/>
    <w:rsid w:val="003405AB"/>
    <w:rsid w:val="0034063A"/>
    <w:rsid w:val="003406B9"/>
    <w:rsid w:val="003406CB"/>
    <w:rsid w:val="0034087F"/>
    <w:rsid w:val="003408BD"/>
    <w:rsid w:val="003409FE"/>
    <w:rsid w:val="00340AD1"/>
    <w:rsid w:val="00340AF9"/>
    <w:rsid w:val="00340B3F"/>
    <w:rsid w:val="00340C86"/>
    <w:rsid w:val="00340D24"/>
    <w:rsid w:val="00340DAE"/>
    <w:rsid w:val="00340DD7"/>
    <w:rsid w:val="00340EDE"/>
    <w:rsid w:val="00340F22"/>
    <w:rsid w:val="00340F70"/>
    <w:rsid w:val="00341019"/>
    <w:rsid w:val="00341020"/>
    <w:rsid w:val="00341055"/>
    <w:rsid w:val="00341082"/>
    <w:rsid w:val="00341111"/>
    <w:rsid w:val="00341169"/>
    <w:rsid w:val="0034116A"/>
    <w:rsid w:val="0034119C"/>
    <w:rsid w:val="00341268"/>
    <w:rsid w:val="0034128F"/>
    <w:rsid w:val="00341313"/>
    <w:rsid w:val="0034140D"/>
    <w:rsid w:val="003414B1"/>
    <w:rsid w:val="003414CD"/>
    <w:rsid w:val="003415A6"/>
    <w:rsid w:val="0034168B"/>
    <w:rsid w:val="003416E0"/>
    <w:rsid w:val="003416EE"/>
    <w:rsid w:val="00341795"/>
    <w:rsid w:val="0034183E"/>
    <w:rsid w:val="00341899"/>
    <w:rsid w:val="00341A8A"/>
    <w:rsid w:val="00341B02"/>
    <w:rsid w:val="00341BA3"/>
    <w:rsid w:val="00341C18"/>
    <w:rsid w:val="00341CA1"/>
    <w:rsid w:val="00341D96"/>
    <w:rsid w:val="00341DD6"/>
    <w:rsid w:val="00341DD8"/>
    <w:rsid w:val="00341EEF"/>
    <w:rsid w:val="00341F00"/>
    <w:rsid w:val="00341FBE"/>
    <w:rsid w:val="00341FF6"/>
    <w:rsid w:val="003420D6"/>
    <w:rsid w:val="00342103"/>
    <w:rsid w:val="0034210E"/>
    <w:rsid w:val="0034218B"/>
    <w:rsid w:val="00342242"/>
    <w:rsid w:val="00342428"/>
    <w:rsid w:val="003424B7"/>
    <w:rsid w:val="003424E9"/>
    <w:rsid w:val="00342661"/>
    <w:rsid w:val="00342689"/>
    <w:rsid w:val="00342743"/>
    <w:rsid w:val="00342903"/>
    <w:rsid w:val="00342998"/>
    <w:rsid w:val="00342A5A"/>
    <w:rsid w:val="00342C23"/>
    <w:rsid w:val="00342CB3"/>
    <w:rsid w:val="00342D80"/>
    <w:rsid w:val="00342E01"/>
    <w:rsid w:val="0034311F"/>
    <w:rsid w:val="00343131"/>
    <w:rsid w:val="0034336F"/>
    <w:rsid w:val="003433E1"/>
    <w:rsid w:val="003433EB"/>
    <w:rsid w:val="0034352E"/>
    <w:rsid w:val="00343586"/>
    <w:rsid w:val="003435D2"/>
    <w:rsid w:val="003435DF"/>
    <w:rsid w:val="0034360F"/>
    <w:rsid w:val="00343643"/>
    <w:rsid w:val="00343666"/>
    <w:rsid w:val="003436CC"/>
    <w:rsid w:val="003436DD"/>
    <w:rsid w:val="00343782"/>
    <w:rsid w:val="003437A9"/>
    <w:rsid w:val="003437AA"/>
    <w:rsid w:val="003437C0"/>
    <w:rsid w:val="00343814"/>
    <w:rsid w:val="00343885"/>
    <w:rsid w:val="003438D6"/>
    <w:rsid w:val="003438FD"/>
    <w:rsid w:val="00343A55"/>
    <w:rsid w:val="00343B30"/>
    <w:rsid w:val="00343B58"/>
    <w:rsid w:val="00343C74"/>
    <w:rsid w:val="00343CA3"/>
    <w:rsid w:val="00343DF3"/>
    <w:rsid w:val="00343E0F"/>
    <w:rsid w:val="00343E94"/>
    <w:rsid w:val="00343EE1"/>
    <w:rsid w:val="00343FE0"/>
    <w:rsid w:val="00344026"/>
    <w:rsid w:val="0034406F"/>
    <w:rsid w:val="00344178"/>
    <w:rsid w:val="003441DF"/>
    <w:rsid w:val="003442B8"/>
    <w:rsid w:val="003442B9"/>
    <w:rsid w:val="003442C9"/>
    <w:rsid w:val="003443DC"/>
    <w:rsid w:val="003443F1"/>
    <w:rsid w:val="00344496"/>
    <w:rsid w:val="00344526"/>
    <w:rsid w:val="00344606"/>
    <w:rsid w:val="0034466C"/>
    <w:rsid w:val="00344751"/>
    <w:rsid w:val="00344823"/>
    <w:rsid w:val="003448DC"/>
    <w:rsid w:val="00344B01"/>
    <w:rsid w:val="00344C75"/>
    <w:rsid w:val="00344D5B"/>
    <w:rsid w:val="00344D84"/>
    <w:rsid w:val="00344DAE"/>
    <w:rsid w:val="00344DD8"/>
    <w:rsid w:val="00344DFE"/>
    <w:rsid w:val="00344EE4"/>
    <w:rsid w:val="00344FF2"/>
    <w:rsid w:val="00345010"/>
    <w:rsid w:val="00345038"/>
    <w:rsid w:val="00345092"/>
    <w:rsid w:val="003451B7"/>
    <w:rsid w:val="003451CA"/>
    <w:rsid w:val="00345207"/>
    <w:rsid w:val="00345209"/>
    <w:rsid w:val="0034520A"/>
    <w:rsid w:val="00345251"/>
    <w:rsid w:val="00345288"/>
    <w:rsid w:val="0034532C"/>
    <w:rsid w:val="0034541F"/>
    <w:rsid w:val="00345481"/>
    <w:rsid w:val="00345516"/>
    <w:rsid w:val="003456BA"/>
    <w:rsid w:val="003457B4"/>
    <w:rsid w:val="003458CD"/>
    <w:rsid w:val="0034594F"/>
    <w:rsid w:val="0034597E"/>
    <w:rsid w:val="003459AA"/>
    <w:rsid w:val="003459FF"/>
    <w:rsid w:val="00345A3D"/>
    <w:rsid w:val="00345C36"/>
    <w:rsid w:val="00345C45"/>
    <w:rsid w:val="00345E5C"/>
    <w:rsid w:val="00345EB1"/>
    <w:rsid w:val="00345ED3"/>
    <w:rsid w:val="00345F32"/>
    <w:rsid w:val="00345FCB"/>
    <w:rsid w:val="00345FE9"/>
    <w:rsid w:val="00345FFF"/>
    <w:rsid w:val="00346012"/>
    <w:rsid w:val="00346030"/>
    <w:rsid w:val="003460E3"/>
    <w:rsid w:val="00346147"/>
    <w:rsid w:val="0034617B"/>
    <w:rsid w:val="0034618D"/>
    <w:rsid w:val="003461A7"/>
    <w:rsid w:val="0034620E"/>
    <w:rsid w:val="00346268"/>
    <w:rsid w:val="003462B0"/>
    <w:rsid w:val="00346339"/>
    <w:rsid w:val="00346361"/>
    <w:rsid w:val="00346441"/>
    <w:rsid w:val="003464A7"/>
    <w:rsid w:val="003464AC"/>
    <w:rsid w:val="0034650E"/>
    <w:rsid w:val="00346556"/>
    <w:rsid w:val="0034657A"/>
    <w:rsid w:val="0034657C"/>
    <w:rsid w:val="00346595"/>
    <w:rsid w:val="003465D5"/>
    <w:rsid w:val="003465E6"/>
    <w:rsid w:val="003466E4"/>
    <w:rsid w:val="00346778"/>
    <w:rsid w:val="00346877"/>
    <w:rsid w:val="003468F5"/>
    <w:rsid w:val="0034693A"/>
    <w:rsid w:val="003469C7"/>
    <w:rsid w:val="00346A54"/>
    <w:rsid w:val="00346AC5"/>
    <w:rsid w:val="00346AD7"/>
    <w:rsid w:val="00346AD8"/>
    <w:rsid w:val="00346BAE"/>
    <w:rsid w:val="00346BB3"/>
    <w:rsid w:val="00346BB8"/>
    <w:rsid w:val="00346D11"/>
    <w:rsid w:val="00346D1C"/>
    <w:rsid w:val="00346D2B"/>
    <w:rsid w:val="00346D9E"/>
    <w:rsid w:val="00346DA7"/>
    <w:rsid w:val="00346DCB"/>
    <w:rsid w:val="00346E8D"/>
    <w:rsid w:val="00346EE4"/>
    <w:rsid w:val="00346F53"/>
    <w:rsid w:val="00346FA3"/>
    <w:rsid w:val="003470FD"/>
    <w:rsid w:val="00347126"/>
    <w:rsid w:val="0034713F"/>
    <w:rsid w:val="00347246"/>
    <w:rsid w:val="003473C6"/>
    <w:rsid w:val="0034742C"/>
    <w:rsid w:val="003474C0"/>
    <w:rsid w:val="0034759D"/>
    <w:rsid w:val="003476C5"/>
    <w:rsid w:val="0034778E"/>
    <w:rsid w:val="003478E0"/>
    <w:rsid w:val="00347952"/>
    <w:rsid w:val="00347A20"/>
    <w:rsid w:val="00347A4B"/>
    <w:rsid w:val="00347A7B"/>
    <w:rsid w:val="00347B54"/>
    <w:rsid w:val="00347BF5"/>
    <w:rsid w:val="00347C18"/>
    <w:rsid w:val="00347DA1"/>
    <w:rsid w:val="00347DC2"/>
    <w:rsid w:val="00347DCD"/>
    <w:rsid w:val="00347DE5"/>
    <w:rsid w:val="00347F17"/>
    <w:rsid w:val="00347F2E"/>
    <w:rsid w:val="00347F32"/>
    <w:rsid w:val="00350012"/>
    <w:rsid w:val="00350162"/>
    <w:rsid w:val="00350367"/>
    <w:rsid w:val="00350433"/>
    <w:rsid w:val="00350482"/>
    <w:rsid w:val="0035049B"/>
    <w:rsid w:val="00350501"/>
    <w:rsid w:val="00350566"/>
    <w:rsid w:val="00350585"/>
    <w:rsid w:val="00350632"/>
    <w:rsid w:val="00350679"/>
    <w:rsid w:val="00350706"/>
    <w:rsid w:val="003508F5"/>
    <w:rsid w:val="00350956"/>
    <w:rsid w:val="00350AE3"/>
    <w:rsid w:val="00350B69"/>
    <w:rsid w:val="00350CEC"/>
    <w:rsid w:val="00350D5B"/>
    <w:rsid w:val="00350EB1"/>
    <w:rsid w:val="00350ECC"/>
    <w:rsid w:val="00350EFA"/>
    <w:rsid w:val="00350F00"/>
    <w:rsid w:val="00350F79"/>
    <w:rsid w:val="00350F91"/>
    <w:rsid w:val="00350FEE"/>
    <w:rsid w:val="00351101"/>
    <w:rsid w:val="00351170"/>
    <w:rsid w:val="003516BB"/>
    <w:rsid w:val="003516EF"/>
    <w:rsid w:val="00351706"/>
    <w:rsid w:val="00351783"/>
    <w:rsid w:val="003518E0"/>
    <w:rsid w:val="0035190B"/>
    <w:rsid w:val="00351934"/>
    <w:rsid w:val="0035199C"/>
    <w:rsid w:val="003519A6"/>
    <w:rsid w:val="003519B1"/>
    <w:rsid w:val="00351BAC"/>
    <w:rsid w:val="00351C2E"/>
    <w:rsid w:val="00351C86"/>
    <w:rsid w:val="00351DB1"/>
    <w:rsid w:val="00351DCC"/>
    <w:rsid w:val="00351E13"/>
    <w:rsid w:val="00351F59"/>
    <w:rsid w:val="00352147"/>
    <w:rsid w:val="003522F7"/>
    <w:rsid w:val="0035231A"/>
    <w:rsid w:val="003523C4"/>
    <w:rsid w:val="003523DA"/>
    <w:rsid w:val="003523EB"/>
    <w:rsid w:val="00352412"/>
    <w:rsid w:val="00352558"/>
    <w:rsid w:val="003525AA"/>
    <w:rsid w:val="0035263A"/>
    <w:rsid w:val="0035275E"/>
    <w:rsid w:val="0035276B"/>
    <w:rsid w:val="00352780"/>
    <w:rsid w:val="003527B2"/>
    <w:rsid w:val="003527B5"/>
    <w:rsid w:val="0035280D"/>
    <w:rsid w:val="00352849"/>
    <w:rsid w:val="00352942"/>
    <w:rsid w:val="0035295F"/>
    <w:rsid w:val="00352A47"/>
    <w:rsid w:val="00352B1D"/>
    <w:rsid w:val="00352BED"/>
    <w:rsid w:val="00352D37"/>
    <w:rsid w:val="00352D3E"/>
    <w:rsid w:val="00352F95"/>
    <w:rsid w:val="003531CD"/>
    <w:rsid w:val="00353226"/>
    <w:rsid w:val="0035323D"/>
    <w:rsid w:val="0035330A"/>
    <w:rsid w:val="0035331A"/>
    <w:rsid w:val="00353331"/>
    <w:rsid w:val="003533AB"/>
    <w:rsid w:val="0035341E"/>
    <w:rsid w:val="0035348C"/>
    <w:rsid w:val="00353510"/>
    <w:rsid w:val="0035353F"/>
    <w:rsid w:val="00353561"/>
    <w:rsid w:val="003536DB"/>
    <w:rsid w:val="00353750"/>
    <w:rsid w:val="003537AD"/>
    <w:rsid w:val="00353811"/>
    <w:rsid w:val="00353839"/>
    <w:rsid w:val="00353861"/>
    <w:rsid w:val="0035388F"/>
    <w:rsid w:val="0035389A"/>
    <w:rsid w:val="00353A70"/>
    <w:rsid w:val="00353ADE"/>
    <w:rsid w:val="00353B52"/>
    <w:rsid w:val="00353CA6"/>
    <w:rsid w:val="00353CBF"/>
    <w:rsid w:val="00353CC0"/>
    <w:rsid w:val="00353DB3"/>
    <w:rsid w:val="00353E2B"/>
    <w:rsid w:val="00353E2D"/>
    <w:rsid w:val="00353EA9"/>
    <w:rsid w:val="00353FBF"/>
    <w:rsid w:val="003543A0"/>
    <w:rsid w:val="003543BC"/>
    <w:rsid w:val="0035446F"/>
    <w:rsid w:val="00354522"/>
    <w:rsid w:val="00354529"/>
    <w:rsid w:val="0035453B"/>
    <w:rsid w:val="0035462A"/>
    <w:rsid w:val="00354943"/>
    <w:rsid w:val="003549C2"/>
    <w:rsid w:val="00354A7A"/>
    <w:rsid w:val="00354AEF"/>
    <w:rsid w:val="00354B9F"/>
    <w:rsid w:val="00354C43"/>
    <w:rsid w:val="00354C44"/>
    <w:rsid w:val="00354C63"/>
    <w:rsid w:val="00354CD3"/>
    <w:rsid w:val="00354EFB"/>
    <w:rsid w:val="00354F16"/>
    <w:rsid w:val="00354F1E"/>
    <w:rsid w:val="00354F3E"/>
    <w:rsid w:val="00355134"/>
    <w:rsid w:val="0035518D"/>
    <w:rsid w:val="003551BD"/>
    <w:rsid w:val="003551D4"/>
    <w:rsid w:val="00355411"/>
    <w:rsid w:val="00355449"/>
    <w:rsid w:val="003554F3"/>
    <w:rsid w:val="003555A2"/>
    <w:rsid w:val="00355645"/>
    <w:rsid w:val="0035565B"/>
    <w:rsid w:val="003556E4"/>
    <w:rsid w:val="003558C2"/>
    <w:rsid w:val="003558FE"/>
    <w:rsid w:val="003559EE"/>
    <w:rsid w:val="00355A75"/>
    <w:rsid w:val="00355AAF"/>
    <w:rsid w:val="00355B3D"/>
    <w:rsid w:val="00355B7B"/>
    <w:rsid w:val="00355B8F"/>
    <w:rsid w:val="00355B9F"/>
    <w:rsid w:val="00355BD1"/>
    <w:rsid w:val="00355C3F"/>
    <w:rsid w:val="00355C83"/>
    <w:rsid w:val="00355D66"/>
    <w:rsid w:val="00355F0D"/>
    <w:rsid w:val="00355F1A"/>
    <w:rsid w:val="0035603F"/>
    <w:rsid w:val="003560E9"/>
    <w:rsid w:val="00356112"/>
    <w:rsid w:val="0035615C"/>
    <w:rsid w:val="0035619E"/>
    <w:rsid w:val="0035620E"/>
    <w:rsid w:val="003562F0"/>
    <w:rsid w:val="00356344"/>
    <w:rsid w:val="0035636A"/>
    <w:rsid w:val="00356412"/>
    <w:rsid w:val="0035643E"/>
    <w:rsid w:val="003565EB"/>
    <w:rsid w:val="003566E2"/>
    <w:rsid w:val="0035685E"/>
    <w:rsid w:val="003568B8"/>
    <w:rsid w:val="003568E0"/>
    <w:rsid w:val="00356961"/>
    <w:rsid w:val="00356B7C"/>
    <w:rsid w:val="00356BC7"/>
    <w:rsid w:val="00356BFD"/>
    <w:rsid w:val="00356D29"/>
    <w:rsid w:val="00356D7B"/>
    <w:rsid w:val="00356DE7"/>
    <w:rsid w:val="00356E4C"/>
    <w:rsid w:val="00356E6D"/>
    <w:rsid w:val="00356E85"/>
    <w:rsid w:val="00356E99"/>
    <w:rsid w:val="00356F59"/>
    <w:rsid w:val="00357001"/>
    <w:rsid w:val="00357081"/>
    <w:rsid w:val="0035708D"/>
    <w:rsid w:val="00357090"/>
    <w:rsid w:val="00357121"/>
    <w:rsid w:val="00357155"/>
    <w:rsid w:val="0035718D"/>
    <w:rsid w:val="003571C7"/>
    <w:rsid w:val="003573A6"/>
    <w:rsid w:val="0035740D"/>
    <w:rsid w:val="003574DB"/>
    <w:rsid w:val="0035756C"/>
    <w:rsid w:val="00357766"/>
    <w:rsid w:val="00357855"/>
    <w:rsid w:val="00357962"/>
    <w:rsid w:val="00357A62"/>
    <w:rsid w:val="00357B0F"/>
    <w:rsid w:val="00357B53"/>
    <w:rsid w:val="00357BA2"/>
    <w:rsid w:val="00357BE1"/>
    <w:rsid w:val="00357CB3"/>
    <w:rsid w:val="00357CF3"/>
    <w:rsid w:val="00357DFF"/>
    <w:rsid w:val="00357EBB"/>
    <w:rsid w:val="00357ECB"/>
    <w:rsid w:val="00357ED4"/>
    <w:rsid w:val="00357EDB"/>
    <w:rsid w:val="00357F0A"/>
    <w:rsid w:val="00357F21"/>
    <w:rsid w:val="00357F25"/>
    <w:rsid w:val="00357F9D"/>
    <w:rsid w:val="003600E3"/>
    <w:rsid w:val="00360118"/>
    <w:rsid w:val="0036011F"/>
    <w:rsid w:val="00360251"/>
    <w:rsid w:val="003602B8"/>
    <w:rsid w:val="0036041B"/>
    <w:rsid w:val="003604CC"/>
    <w:rsid w:val="003605AC"/>
    <w:rsid w:val="003605E2"/>
    <w:rsid w:val="0036064D"/>
    <w:rsid w:val="00360866"/>
    <w:rsid w:val="003608CD"/>
    <w:rsid w:val="00360A10"/>
    <w:rsid w:val="00360A14"/>
    <w:rsid w:val="00360A46"/>
    <w:rsid w:val="00360C78"/>
    <w:rsid w:val="00360DEE"/>
    <w:rsid w:val="00360E39"/>
    <w:rsid w:val="00360E8F"/>
    <w:rsid w:val="00360FE7"/>
    <w:rsid w:val="00361169"/>
    <w:rsid w:val="00361268"/>
    <w:rsid w:val="0036134C"/>
    <w:rsid w:val="0036135C"/>
    <w:rsid w:val="0036136E"/>
    <w:rsid w:val="0036139D"/>
    <w:rsid w:val="003614A0"/>
    <w:rsid w:val="003614B5"/>
    <w:rsid w:val="003614F3"/>
    <w:rsid w:val="00361589"/>
    <w:rsid w:val="003615CE"/>
    <w:rsid w:val="00361680"/>
    <w:rsid w:val="0036168F"/>
    <w:rsid w:val="003616A8"/>
    <w:rsid w:val="00361749"/>
    <w:rsid w:val="00361792"/>
    <w:rsid w:val="003617C7"/>
    <w:rsid w:val="0036190A"/>
    <w:rsid w:val="00361931"/>
    <w:rsid w:val="00361952"/>
    <w:rsid w:val="003619DA"/>
    <w:rsid w:val="00361AE9"/>
    <w:rsid w:val="00361B32"/>
    <w:rsid w:val="00361BEE"/>
    <w:rsid w:val="00361C0F"/>
    <w:rsid w:val="00361CF8"/>
    <w:rsid w:val="00361FCF"/>
    <w:rsid w:val="00362020"/>
    <w:rsid w:val="00362083"/>
    <w:rsid w:val="00362130"/>
    <w:rsid w:val="003621A0"/>
    <w:rsid w:val="00362212"/>
    <w:rsid w:val="0036235C"/>
    <w:rsid w:val="00362532"/>
    <w:rsid w:val="00362546"/>
    <w:rsid w:val="003625ED"/>
    <w:rsid w:val="003626C3"/>
    <w:rsid w:val="003626C4"/>
    <w:rsid w:val="0036272F"/>
    <w:rsid w:val="0036291C"/>
    <w:rsid w:val="0036293E"/>
    <w:rsid w:val="00362C25"/>
    <w:rsid w:val="00362CC4"/>
    <w:rsid w:val="00362CF1"/>
    <w:rsid w:val="00362D3C"/>
    <w:rsid w:val="00362D4B"/>
    <w:rsid w:val="00362D63"/>
    <w:rsid w:val="00362E7D"/>
    <w:rsid w:val="00362EE8"/>
    <w:rsid w:val="00362FC7"/>
    <w:rsid w:val="0036302D"/>
    <w:rsid w:val="0036305B"/>
    <w:rsid w:val="00363172"/>
    <w:rsid w:val="003631B2"/>
    <w:rsid w:val="003631DF"/>
    <w:rsid w:val="00363354"/>
    <w:rsid w:val="0036336B"/>
    <w:rsid w:val="00363490"/>
    <w:rsid w:val="0036368D"/>
    <w:rsid w:val="0036369E"/>
    <w:rsid w:val="0036372B"/>
    <w:rsid w:val="003637A0"/>
    <w:rsid w:val="003637DD"/>
    <w:rsid w:val="00363876"/>
    <w:rsid w:val="003639FA"/>
    <w:rsid w:val="00363A34"/>
    <w:rsid w:val="00363A44"/>
    <w:rsid w:val="00363A6A"/>
    <w:rsid w:val="00363AE0"/>
    <w:rsid w:val="00363AE4"/>
    <w:rsid w:val="00363AEA"/>
    <w:rsid w:val="00363AF5"/>
    <w:rsid w:val="00363DDC"/>
    <w:rsid w:val="00363F6D"/>
    <w:rsid w:val="00363FF4"/>
    <w:rsid w:val="003640A7"/>
    <w:rsid w:val="003640F9"/>
    <w:rsid w:val="00364109"/>
    <w:rsid w:val="0036425B"/>
    <w:rsid w:val="0036439B"/>
    <w:rsid w:val="00364459"/>
    <w:rsid w:val="003644D3"/>
    <w:rsid w:val="003645A0"/>
    <w:rsid w:val="003645D7"/>
    <w:rsid w:val="003646CD"/>
    <w:rsid w:val="003647B4"/>
    <w:rsid w:val="003647B7"/>
    <w:rsid w:val="003647F4"/>
    <w:rsid w:val="003648FF"/>
    <w:rsid w:val="00364940"/>
    <w:rsid w:val="00364965"/>
    <w:rsid w:val="00364A32"/>
    <w:rsid w:val="00364A4A"/>
    <w:rsid w:val="00364AC3"/>
    <w:rsid w:val="00364B5C"/>
    <w:rsid w:val="00364C61"/>
    <w:rsid w:val="00364CC2"/>
    <w:rsid w:val="00364D4B"/>
    <w:rsid w:val="00364DCE"/>
    <w:rsid w:val="00364E78"/>
    <w:rsid w:val="00364EC0"/>
    <w:rsid w:val="00365029"/>
    <w:rsid w:val="0036504E"/>
    <w:rsid w:val="00365084"/>
    <w:rsid w:val="003650B6"/>
    <w:rsid w:val="00365150"/>
    <w:rsid w:val="0036523E"/>
    <w:rsid w:val="00365265"/>
    <w:rsid w:val="003652DE"/>
    <w:rsid w:val="00365372"/>
    <w:rsid w:val="003654EA"/>
    <w:rsid w:val="00365522"/>
    <w:rsid w:val="00365545"/>
    <w:rsid w:val="003655A3"/>
    <w:rsid w:val="003655D4"/>
    <w:rsid w:val="00365691"/>
    <w:rsid w:val="003656EF"/>
    <w:rsid w:val="00365833"/>
    <w:rsid w:val="00365896"/>
    <w:rsid w:val="00365A50"/>
    <w:rsid w:val="00365AF1"/>
    <w:rsid w:val="00365B58"/>
    <w:rsid w:val="00365C0D"/>
    <w:rsid w:val="00365C25"/>
    <w:rsid w:val="00365CFA"/>
    <w:rsid w:val="00365FF3"/>
    <w:rsid w:val="00366011"/>
    <w:rsid w:val="0036601A"/>
    <w:rsid w:val="003660B5"/>
    <w:rsid w:val="00366128"/>
    <w:rsid w:val="00366308"/>
    <w:rsid w:val="0036630C"/>
    <w:rsid w:val="00366375"/>
    <w:rsid w:val="00366378"/>
    <w:rsid w:val="0036639B"/>
    <w:rsid w:val="003663A4"/>
    <w:rsid w:val="003663BC"/>
    <w:rsid w:val="00366400"/>
    <w:rsid w:val="00366581"/>
    <w:rsid w:val="0036661B"/>
    <w:rsid w:val="003666B9"/>
    <w:rsid w:val="0036686C"/>
    <w:rsid w:val="003668A4"/>
    <w:rsid w:val="003668AB"/>
    <w:rsid w:val="00366921"/>
    <w:rsid w:val="0036698B"/>
    <w:rsid w:val="00366B29"/>
    <w:rsid w:val="00366BD6"/>
    <w:rsid w:val="00366CEC"/>
    <w:rsid w:val="00366D44"/>
    <w:rsid w:val="00366D5F"/>
    <w:rsid w:val="00366E35"/>
    <w:rsid w:val="00366E87"/>
    <w:rsid w:val="00366EBE"/>
    <w:rsid w:val="00366EC7"/>
    <w:rsid w:val="00366ED7"/>
    <w:rsid w:val="00366F65"/>
    <w:rsid w:val="00366FD8"/>
    <w:rsid w:val="0036709D"/>
    <w:rsid w:val="003670B3"/>
    <w:rsid w:val="003670F1"/>
    <w:rsid w:val="003670FD"/>
    <w:rsid w:val="0036714A"/>
    <w:rsid w:val="003671CF"/>
    <w:rsid w:val="00367238"/>
    <w:rsid w:val="00367270"/>
    <w:rsid w:val="0036743B"/>
    <w:rsid w:val="00367525"/>
    <w:rsid w:val="0036757E"/>
    <w:rsid w:val="0036759F"/>
    <w:rsid w:val="003675B3"/>
    <w:rsid w:val="003675BE"/>
    <w:rsid w:val="003676F6"/>
    <w:rsid w:val="00367744"/>
    <w:rsid w:val="003677D7"/>
    <w:rsid w:val="00367804"/>
    <w:rsid w:val="00367A69"/>
    <w:rsid w:val="00367BC9"/>
    <w:rsid w:val="00367C78"/>
    <w:rsid w:val="00367D88"/>
    <w:rsid w:val="00367D94"/>
    <w:rsid w:val="00367D95"/>
    <w:rsid w:val="00367E3C"/>
    <w:rsid w:val="00367F85"/>
    <w:rsid w:val="00370011"/>
    <w:rsid w:val="00370062"/>
    <w:rsid w:val="003700DA"/>
    <w:rsid w:val="0037017A"/>
    <w:rsid w:val="00370215"/>
    <w:rsid w:val="003703B7"/>
    <w:rsid w:val="003704A0"/>
    <w:rsid w:val="00370501"/>
    <w:rsid w:val="0037075C"/>
    <w:rsid w:val="0037077D"/>
    <w:rsid w:val="00370869"/>
    <w:rsid w:val="003708BA"/>
    <w:rsid w:val="003708FC"/>
    <w:rsid w:val="00370999"/>
    <w:rsid w:val="003709C5"/>
    <w:rsid w:val="003709FD"/>
    <w:rsid w:val="00370A2A"/>
    <w:rsid w:val="00370A3C"/>
    <w:rsid w:val="00370B3C"/>
    <w:rsid w:val="00370B8E"/>
    <w:rsid w:val="00370BE0"/>
    <w:rsid w:val="00370C1A"/>
    <w:rsid w:val="00370C7E"/>
    <w:rsid w:val="00370CB8"/>
    <w:rsid w:val="00370D96"/>
    <w:rsid w:val="00370E8A"/>
    <w:rsid w:val="00370FC9"/>
    <w:rsid w:val="00370FED"/>
    <w:rsid w:val="00371122"/>
    <w:rsid w:val="00371194"/>
    <w:rsid w:val="003711A4"/>
    <w:rsid w:val="003711B4"/>
    <w:rsid w:val="003711E7"/>
    <w:rsid w:val="00371234"/>
    <w:rsid w:val="00371306"/>
    <w:rsid w:val="00371452"/>
    <w:rsid w:val="00371475"/>
    <w:rsid w:val="003714A0"/>
    <w:rsid w:val="003714C0"/>
    <w:rsid w:val="003714E3"/>
    <w:rsid w:val="00371688"/>
    <w:rsid w:val="00371745"/>
    <w:rsid w:val="003718FD"/>
    <w:rsid w:val="00371A54"/>
    <w:rsid w:val="00371A7D"/>
    <w:rsid w:val="00371AE6"/>
    <w:rsid w:val="00371B1D"/>
    <w:rsid w:val="00371B52"/>
    <w:rsid w:val="00371B80"/>
    <w:rsid w:val="00371DB6"/>
    <w:rsid w:val="00371F12"/>
    <w:rsid w:val="00371FE4"/>
    <w:rsid w:val="0037205E"/>
    <w:rsid w:val="003720F1"/>
    <w:rsid w:val="003721F7"/>
    <w:rsid w:val="0037227F"/>
    <w:rsid w:val="00372546"/>
    <w:rsid w:val="003726DE"/>
    <w:rsid w:val="003726DF"/>
    <w:rsid w:val="00372712"/>
    <w:rsid w:val="00372733"/>
    <w:rsid w:val="00372752"/>
    <w:rsid w:val="00372786"/>
    <w:rsid w:val="003727DF"/>
    <w:rsid w:val="00372840"/>
    <w:rsid w:val="00372872"/>
    <w:rsid w:val="0037290F"/>
    <w:rsid w:val="00372A92"/>
    <w:rsid w:val="00372B49"/>
    <w:rsid w:val="00372BA7"/>
    <w:rsid w:val="00372C74"/>
    <w:rsid w:val="00372C7B"/>
    <w:rsid w:val="00372CB2"/>
    <w:rsid w:val="00372E4A"/>
    <w:rsid w:val="00372E4E"/>
    <w:rsid w:val="00372E6B"/>
    <w:rsid w:val="00372E7D"/>
    <w:rsid w:val="00372EA3"/>
    <w:rsid w:val="00372EB8"/>
    <w:rsid w:val="00372F43"/>
    <w:rsid w:val="00372F91"/>
    <w:rsid w:val="00373056"/>
    <w:rsid w:val="003732C2"/>
    <w:rsid w:val="00373375"/>
    <w:rsid w:val="00373454"/>
    <w:rsid w:val="00373539"/>
    <w:rsid w:val="0037353D"/>
    <w:rsid w:val="00373543"/>
    <w:rsid w:val="00373640"/>
    <w:rsid w:val="0037365E"/>
    <w:rsid w:val="00373661"/>
    <w:rsid w:val="0037383E"/>
    <w:rsid w:val="0037390D"/>
    <w:rsid w:val="00373986"/>
    <w:rsid w:val="0037398C"/>
    <w:rsid w:val="00373A16"/>
    <w:rsid w:val="00373A70"/>
    <w:rsid w:val="00373AE5"/>
    <w:rsid w:val="00373B00"/>
    <w:rsid w:val="00373B55"/>
    <w:rsid w:val="00373BAD"/>
    <w:rsid w:val="00373BD4"/>
    <w:rsid w:val="00373C01"/>
    <w:rsid w:val="00373CB0"/>
    <w:rsid w:val="00373CB7"/>
    <w:rsid w:val="00373E00"/>
    <w:rsid w:val="00373E3F"/>
    <w:rsid w:val="00373F3E"/>
    <w:rsid w:val="00373F53"/>
    <w:rsid w:val="00373FAD"/>
    <w:rsid w:val="00374021"/>
    <w:rsid w:val="00374181"/>
    <w:rsid w:val="003741D7"/>
    <w:rsid w:val="00374254"/>
    <w:rsid w:val="003742B7"/>
    <w:rsid w:val="00374315"/>
    <w:rsid w:val="00374466"/>
    <w:rsid w:val="003744EC"/>
    <w:rsid w:val="00374544"/>
    <w:rsid w:val="00374555"/>
    <w:rsid w:val="003745F8"/>
    <w:rsid w:val="00374666"/>
    <w:rsid w:val="0037467A"/>
    <w:rsid w:val="00374707"/>
    <w:rsid w:val="0037470F"/>
    <w:rsid w:val="00374796"/>
    <w:rsid w:val="00374808"/>
    <w:rsid w:val="00374885"/>
    <w:rsid w:val="00374A94"/>
    <w:rsid w:val="00374AEB"/>
    <w:rsid w:val="00374B32"/>
    <w:rsid w:val="00374C52"/>
    <w:rsid w:val="00374C77"/>
    <w:rsid w:val="00374EDA"/>
    <w:rsid w:val="00374EED"/>
    <w:rsid w:val="00374F4A"/>
    <w:rsid w:val="00374F55"/>
    <w:rsid w:val="003750D7"/>
    <w:rsid w:val="00375348"/>
    <w:rsid w:val="003753C0"/>
    <w:rsid w:val="003754DA"/>
    <w:rsid w:val="003755B1"/>
    <w:rsid w:val="00375704"/>
    <w:rsid w:val="00375784"/>
    <w:rsid w:val="003757A5"/>
    <w:rsid w:val="00375841"/>
    <w:rsid w:val="00375872"/>
    <w:rsid w:val="0037596C"/>
    <w:rsid w:val="00375BAA"/>
    <w:rsid w:val="00375BB2"/>
    <w:rsid w:val="00375BFF"/>
    <w:rsid w:val="00375E1C"/>
    <w:rsid w:val="00375ECE"/>
    <w:rsid w:val="00375F67"/>
    <w:rsid w:val="00375FBB"/>
    <w:rsid w:val="00376030"/>
    <w:rsid w:val="00376043"/>
    <w:rsid w:val="0037618D"/>
    <w:rsid w:val="003761BB"/>
    <w:rsid w:val="003761F4"/>
    <w:rsid w:val="0037623B"/>
    <w:rsid w:val="003762FC"/>
    <w:rsid w:val="00376583"/>
    <w:rsid w:val="003765EE"/>
    <w:rsid w:val="0037663E"/>
    <w:rsid w:val="00376694"/>
    <w:rsid w:val="00376956"/>
    <w:rsid w:val="003769D2"/>
    <w:rsid w:val="00376A61"/>
    <w:rsid w:val="00376AAA"/>
    <w:rsid w:val="00376AD0"/>
    <w:rsid w:val="00376BFB"/>
    <w:rsid w:val="00376C2F"/>
    <w:rsid w:val="00376C45"/>
    <w:rsid w:val="00376C92"/>
    <w:rsid w:val="00376E6D"/>
    <w:rsid w:val="00376EF5"/>
    <w:rsid w:val="00376F04"/>
    <w:rsid w:val="00376F95"/>
    <w:rsid w:val="00376FD2"/>
    <w:rsid w:val="00377026"/>
    <w:rsid w:val="0037704C"/>
    <w:rsid w:val="00377160"/>
    <w:rsid w:val="0037726D"/>
    <w:rsid w:val="003773C6"/>
    <w:rsid w:val="003773CD"/>
    <w:rsid w:val="0037743D"/>
    <w:rsid w:val="003774B7"/>
    <w:rsid w:val="00377527"/>
    <w:rsid w:val="00377530"/>
    <w:rsid w:val="0037753D"/>
    <w:rsid w:val="00377594"/>
    <w:rsid w:val="003775F7"/>
    <w:rsid w:val="00377644"/>
    <w:rsid w:val="003776AC"/>
    <w:rsid w:val="00377868"/>
    <w:rsid w:val="003778F5"/>
    <w:rsid w:val="0037795D"/>
    <w:rsid w:val="00377971"/>
    <w:rsid w:val="00377A6E"/>
    <w:rsid w:val="00377AA4"/>
    <w:rsid w:val="00377AF1"/>
    <w:rsid w:val="00377B6B"/>
    <w:rsid w:val="00377B76"/>
    <w:rsid w:val="00377B9E"/>
    <w:rsid w:val="00377C91"/>
    <w:rsid w:val="00377D14"/>
    <w:rsid w:val="00377D23"/>
    <w:rsid w:val="00377DF8"/>
    <w:rsid w:val="00377E58"/>
    <w:rsid w:val="00380113"/>
    <w:rsid w:val="0038014B"/>
    <w:rsid w:val="00380187"/>
    <w:rsid w:val="003801CC"/>
    <w:rsid w:val="00380356"/>
    <w:rsid w:val="003803E1"/>
    <w:rsid w:val="00380431"/>
    <w:rsid w:val="003806AF"/>
    <w:rsid w:val="003806C0"/>
    <w:rsid w:val="003806C2"/>
    <w:rsid w:val="003806E7"/>
    <w:rsid w:val="003806F6"/>
    <w:rsid w:val="00380739"/>
    <w:rsid w:val="003808F7"/>
    <w:rsid w:val="00380934"/>
    <w:rsid w:val="00380A19"/>
    <w:rsid w:val="00380AF5"/>
    <w:rsid w:val="00380B07"/>
    <w:rsid w:val="00380C94"/>
    <w:rsid w:val="00380CB2"/>
    <w:rsid w:val="00380CD8"/>
    <w:rsid w:val="00380D96"/>
    <w:rsid w:val="00380F41"/>
    <w:rsid w:val="00380F9C"/>
    <w:rsid w:val="0038124D"/>
    <w:rsid w:val="00381283"/>
    <w:rsid w:val="003812B9"/>
    <w:rsid w:val="003813C3"/>
    <w:rsid w:val="003813CC"/>
    <w:rsid w:val="003813E8"/>
    <w:rsid w:val="003814AB"/>
    <w:rsid w:val="003814AD"/>
    <w:rsid w:val="00381636"/>
    <w:rsid w:val="003816AD"/>
    <w:rsid w:val="003816D7"/>
    <w:rsid w:val="00381765"/>
    <w:rsid w:val="003817DC"/>
    <w:rsid w:val="0038183F"/>
    <w:rsid w:val="003818C6"/>
    <w:rsid w:val="003818CE"/>
    <w:rsid w:val="003818E1"/>
    <w:rsid w:val="00381978"/>
    <w:rsid w:val="0038198A"/>
    <w:rsid w:val="003819B5"/>
    <w:rsid w:val="00381BEA"/>
    <w:rsid w:val="00381D0C"/>
    <w:rsid w:val="00381D75"/>
    <w:rsid w:val="00381DD9"/>
    <w:rsid w:val="00381FAD"/>
    <w:rsid w:val="0038203C"/>
    <w:rsid w:val="003820A0"/>
    <w:rsid w:val="003820EB"/>
    <w:rsid w:val="0038225F"/>
    <w:rsid w:val="0038228E"/>
    <w:rsid w:val="003822B3"/>
    <w:rsid w:val="003822BA"/>
    <w:rsid w:val="003822D5"/>
    <w:rsid w:val="00382338"/>
    <w:rsid w:val="0038246F"/>
    <w:rsid w:val="00382471"/>
    <w:rsid w:val="00382478"/>
    <w:rsid w:val="00382530"/>
    <w:rsid w:val="003826A4"/>
    <w:rsid w:val="003826CD"/>
    <w:rsid w:val="0038279E"/>
    <w:rsid w:val="003827CE"/>
    <w:rsid w:val="00382811"/>
    <w:rsid w:val="003828B2"/>
    <w:rsid w:val="00382947"/>
    <w:rsid w:val="003829B2"/>
    <w:rsid w:val="003829B9"/>
    <w:rsid w:val="00382B0F"/>
    <w:rsid w:val="00382C23"/>
    <w:rsid w:val="00382CBB"/>
    <w:rsid w:val="00382CD3"/>
    <w:rsid w:val="00382D7F"/>
    <w:rsid w:val="00382DE0"/>
    <w:rsid w:val="00382E08"/>
    <w:rsid w:val="00382EC8"/>
    <w:rsid w:val="00382ED5"/>
    <w:rsid w:val="00382F8A"/>
    <w:rsid w:val="00382FD4"/>
    <w:rsid w:val="0038311B"/>
    <w:rsid w:val="003831FD"/>
    <w:rsid w:val="003832B2"/>
    <w:rsid w:val="0038334B"/>
    <w:rsid w:val="003833D3"/>
    <w:rsid w:val="003833F2"/>
    <w:rsid w:val="0038356D"/>
    <w:rsid w:val="00383585"/>
    <w:rsid w:val="0038358F"/>
    <w:rsid w:val="0038366D"/>
    <w:rsid w:val="003836DB"/>
    <w:rsid w:val="00383743"/>
    <w:rsid w:val="0038374B"/>
    <w:rsid w:val="003837B3"/>
    <w:rsid w:val="00383875"/>
    <w:rsid w:val="00383980"/>
    <w:rsid w:val="003839A4"/>
    <w:rsid w:val="00383A5B"/>
    <w:rsid w:val="00383A9D"/>
    <w:rsid w:val="00383AB6"/>
    <w:rsid w:val="00383B9E"/>
    <w:rsid w:val="00383BE2"/>
    <w:rsid w:val="00383BFE"/>
    <w:rsid w:val="00383C58"/>
    <w:rsid w:val="00383C65"/>
    <w:rsid w:val="00383CC1"/>
    <w:rsid w:val="00383D1C"/>
    <w:rsid w:val="00383D88"/>
    <w:rsid w:val="00383ECB"/>
    <w:rsid w:val="00383F2B"/>
    <w:rsid w:val="00383F8A"/>
    <w:rsid w:val="00383FD2"/>
    <w:rsid w:val="00384009"/>
    <w:rsid w:val="00384048"/>
    <w:rsid w:val="003840B2"/>
    <w:rsid w:val="0038429D"/>
    <w:rsid w:val="00384500"/>
    <w:rsid w:val="00384602"/>
    <w:rsid w:val="00384766"/>
    <w:rsid w:val="0038476E"/>
    <w:rsid w:val="00384787"/>
    <w:rsid w:val="0038478A"/>
    <w:rsid w:val="003847B3"/>
    <w:rsid w:val="003848F6"/>
    <w:rsid w:val="003849C3"/>
    <w:rsid w:val="00384A4F"/>
    <w:rsid w:val="00384BB9"/>
    <w:rsid w:val="00384BCE"/>
    <w:rsid w:val="00384C72"/>
    <w:rsid w:val="00384D0F"/>
    <w:rsid w:val="00384D51"/>
    <w:rsid w:val="00384D88"/>
    <w:rsid w:val="00384EF6"/>
    <w:rsid w:val="00384F09"/>
    <w:rsid w:val="00384F62"/>
    <w:rsid w:val="00384FE2"/>
    <w:rsid w:val="003850A2"/>
    <w:rsid w:val="00385105"/>
    <w:rsid w:val="0038512D"/>
    <w:rsid w:val="00385142"/>
    <w:rsid w:val="00385148"/>
    <w:rsid w:val="0038519A"/>
    <w:rsid w:val="003851D0"/>
    <w:rsid w:val="003853A0"/>
    <w:rsid w:val="0038540E"/>
    <w:rsid w:val="0038542D"/>
    <w:rsid w:val="00385522"/>
    <w:rsid w:val="00385564"/>
    <w:rsid w:val="00385697"/>
    <w:rsid w:val="0038576B"/>
    <w:rsid w:val="00385774"/>
    <w:rsid w:val="003857C7"/>
    <w:rsid w:val="0038580B"/>
    <w:rsid w:val="0038583C"/>
    <w:rsid w:val="003858F6"/>
    <w:rsid w:val="003859CA"/>
    <w:rsid w:val="00385ADD"/>
    <w:rsid w:val="00385B50"/>
    <w:rsid w:val="00385B86"/>
    <w:rsid w:val="00385BE6"/>
    <w:rsid w:val="00385C91"/>
    <w:rsid w:val="00385CDE"/>
    <w:rsid w:val="00385DC7"/>
    <w:rsid w:val="00385DF5"/>
    <w:rsid w:val="00385FDF"/>
    <w:rsid w:val="00386002"/>
    <w:rsid w:val="00386033"/>
    <w:rsid w:val="0038611B"/>
    <w:rsid w:val="00386122"/>
    <w:rsid w:val="0038612D"/>
    <w:rsid w:val="0038614D"/>
    <w:rsid w:val="00386150"/>
    <w:rsid w:val="003861A2"/>
    <w:rsid w:val="0038623D"/>
    <w:rsid w:val="0038626C"/>
    <w:rsid w:val="00386494"/>
    <w:rsid w:val="003864E2"/>
    <w:rsid w:val="00386512"/>
    <w:rsid w:val="00386595"/>
    <w:rsid w:val="003865D9"/>
    <w:rsid w:val="00386626"/>
    <w:rsid w:val="0038662B"/>
    <w:rsid w:val="00386713"/>
    <w:rsid w:val="003868BB"/>
    <w:rsid w:val="0038696A"/>
    <w:rsid w:val="0038697D"/>
    <w:rsid w:val="00386996"/>
    <w:rsid w:val="00386A4F"/>
    <w:rsid w:val="00386B24"/>
    <w:rsid w:val="00386B33"/>
    <w:rsid w:val="00386B77"/>
    <w:rsid w:val="00386BAC"/>
    <w:rsid w:val="00386BF1"/>
    <w:rsid w:val="00386C07"/>
    <w:rsid w:val="00386EBB"/>
    <w:rsid w:val="00386FCC"/>
    <w:rsid w:val="003870BB"/>
    <w:rsid w:val="003870C3"/>
    <w:rsid w:val="0038729D"/>
    <w:rsid w:val="00387353"/>
    <w:rsid w:val="0038735A"/>
    <w:rsid w:val="003873E9"/>
    <w:rsid w:val="003874F5"/>
    <w:rsid w:val="00387541"/>
    <w:rsid w:val="00387568"/>
    <w:rsid w:val="003875A0"/>
    <w:rsid w:val="003875CB"/>
    <w:rsid w:val="00387768"/>
    <w:rsid w:val="003877F3"/>
    <w:rsid w:val="00387839"/>
    <w:rsid w:val="0038783D"/>
    <w:rsid w:val="00387883"/>
    <w:rsid w:val="003878EF"/>
    <w:rsid w:val="0038799F"/>
    <w:rsid w:val="00387ADD"/>
    <w:rsid w:val="00387B31"/>
    <w:rsid w:val="00387B3C"/>
    <w:rsid w:val="00387BB5"/>
    <w:rsid w:val="00387C04"/>
    <w:rsid w:val="00387C0C"/>
    <w:rsid w:val="00387C83"/>
    <w:rsid w:val="00387E7E"/>
    <w:rsid w:val="00387F2A"/>
    <w:rsid w:val="0038CC7E"/>
    <w:rsid w:val="00390078"/>
    <w:rsid w:val="00390123"/>
    <w:rsid w:val="003901DE"/>
    <w:rsid w:val="0039020B"/>
    <w:rsid w:val="00390287"/>
    <w:rsid w:val="003902C0"/>
    <w:rsid w:val="003902DF"/>
    <w:rsid w:val="00390380"/>
    <w:rsid w:val="003903C2"/>
    <w:rsid w:val="0039041C"/>
    <w:rsid w:val="003904E4"/>
    <w:rsid w:val="0039050F"/>
    <w:rsid w:val="00390581"/>
    <w:rsid w:val="0039058F"/>
    <w:rsid w:val="003909DA"/>
    <w:rsid w:val="003909FB"/>
    <w:rsid w:val="00390B61"/>
    <w:rsid w:val="00390B83"/>
    <w:rsid w:val="00390BEE"/>
    <w:rsid w:val="00390BF7"/>
    <w:rsid w:val="00390D23"/>
    <w:rsid w:val="00390D3F"/>
    <w:rsid w:val="00390E17"/>
    <w:rsid w:val="00390EDD"/>
    <w:rsid w:val="00391016"/>
    <w:rsid w:val="0039119C"/>
    <w:rsid w:val="0039120A"/>
    <w:rsid w:val="0039124B"/>
    <w:rsid w:val="0039129C"/>
    <w:rsid w:val="003912AB"/>
    <w:rsid w:val="003912F4"/>
    <w:rsid w:val="00391445"/>
    <w:rsid w:val="00391475"/>
    <w:rsid w:val="003914B6"/>
    <w:rsid w:val="003914BA"/>
    <w:rsid w:val="003915E3"/>
    <w:rsid w:val="003917A5"/>
    <w:rsid w:val="003917F5"/>
    <w:rsid w:val="0039192F"/>
    <w:rsid w:val="0039199F"/>
    <w:rsid w:val="003919A9"/>
    <w:rsid w:val="003919FF"/>
    <w:rsid w:val="00391A20"/>
    <w:rsid w:val="00391BC3"/>
    <w:rsid w:val="00391BC7"/>
    <w:rsid w:val="00391BD4"/>
    <w:rsid w:val="00391BF5"/>
    <w:rsid w:val="00391C09"/>
    <w:rsid w:val="00391D0A"/>
    <w:rsid w:val="00391D2D"/>
    <w:rsid w:val="00391EFF"/>
    <w:rsid w:val="00391F05"/>
    <w:rsid w:val="00392063"/>
    <w:rsid w:val="00392095"/>
    <w:rsid w:val="0039214E"/>
    <w:rsid w:val="003921B8"/>
    <w:rsid w:val="003921ED"/>
    <w:rsid w:val="0039227B"/>
    <w:rsid w:val="003922E5"/>
    <w:rsid w:val="0039233E"/>
    <w:rsid w:val="00392353"/>
    <w:rsid w:val="003923CC"/>
    <w:rsid w:val="003923CF"/>
    <w:rsid w:val="00392493"/>
    <w:rsid w:val="003924F2"/>
    <w:rsid w:val="00392508"/>
    <w:rsid w:val="00392589"/>
    <w:rsid w:val="003925CB"/>
    <w:rsid w:val="003925E8"/>
    <w:rsid w:val="00392781"/>
    <w:rsid w:val="003927A9"/>
    <w:rsid w:val="003927F8"/>
    <w:rsid w:val="00392834"/>
    <w:rsid w:val="0039283B"/>
    <w:rsid w:val="0039285D"/>
    <w:rsid w:val="00392939"/>
    <w:rsid w:val="0039298B"/>
    <w:rsid w:val="003929EE"/>
    <w:rsid w:val="00392AE6"/>
    <w:rsid w:val="00392B22"/>
    <w:rsid w:val="00392B35"/>
    <w:rsid w:val="00392C59"/>
    <w:rsid w:val="00392CC7"/>
    <w:rsid w:val="00392CE0"/>
    <w:rsid w:val="00392CEB"/>
    <w:rsid w:val="00392D22"/>
    <w:rsid w:val="00392DB2"/>
    <w:rsid w:val="00392DBE"/>
    <w:rsid w:val="00392DE1"/>
    <w:rsid w:val="00392F95"/>
    <w:rsid w:val="0039304E"/>
    <w:rsid w:val="00393086"/>
    <w:rsid w:val="00393208"/>
    <w:rsid w:val="00393337"/>
    <w:rsid w:val="003934C1"/>
    <w:rsid w:val="0039350C"/>
    <w:rsid w:val="0039352A"/>
    <w:rsid w:val="0039352B"/>
    <w:rsid w:val="003935CD"/>
    <w:rsid w:val="003938CD"/>
    <w:rsid w:val="0039391A"/>
    <w:rsid w:val="003939AF"/>
    <w:rsid w:val="00393CC9"/>
    <w:rsid w:val="00393CEA"/>
    <w:rsid w:val="00393D70"/>
    <w:rsid w:val="00393EAC"/>
    <w:rsid w:val="00393ECE"/>
    <w:rsid w:val="00393FBA"/>
    <w:rsid w:val="00394201"/>
    <w:rsid w:val="00394262"/>
    <w:rsid w:val="003942F7"/>
    <w:rsid w:val="003943B9"/>
    <w:rsid w:val="00394421"/>
    <w:rsid w:val="00394473"/>
    <w:rsid w:val="003944A4"/>
    <w:rsid w:val="003944DB"/>
    <w:rsid w:val="003944E4"/>
    <w:rsid w:val="0039465D"/>
    <w:rsid w:val="00394720"/>
    <w:rsid w:val="00394748"/>
    <w:rsid w:val="003947EF"/>
    <w:rsid w:val="00394880"/>
    <w:rsid w:val="00394AC9"/>
    <w:rsid w:val="00394BF4"/>
    <w:rsid w:val="00394CF6"/>
    <w:rsid w:val="00394D7A"/>
    <w:rsid w:val="00394E18"/>
    <w:rsid w:val="003950FC"/>
    <w:rsid w:val="00395133"/>
    <w:rsid w:val="0039527F"/>
    <w:rsid w:val="00395375"/>
    <w:rsid w:val="003953E4"/>
    <w:rsid w:val="0039541E"/>
    <w:rsid w:val="00395463"/>
    <w:rsid w:val="003954F5"/>
    <w:rsid w:val="003955AA"/>
    <w:rsid w:val="003955DA"/>
    <w:rsid w:val="00395613"/>
    <w:rsid w:val="003957B9"/>
    <w:rsid w:val="00395C08"/>
    <w:rsid w:val="00395C15"/>
    <w:rsid w:val="00395C1B"/>
    <w:rsid w:val="00395CD1"/>
    <w:rsid w:val="00395E87"/>
    <w:rsid w:val="00395EAE"/>
    <w:rsid w:val="00395F05"/>
    <w:rsid w:val="00396003"/>
    <w:rsid w:val="0039602C"/>
    <w:rsid w:val="00396098"/>
    <w:rsid w:val="003960DA"/>
    <w:rsid w:val="003960F7"/>
    <w:rsid w:val="0039613F"/>
    <w:rsid w:val="00396186"/>
    <w:rsid w:val="00396297"/>
    <w:rsid w:val="003962E4"/>
    <w:rsid w:val="00396314"/>
    <w:rsid w:val="0039634C"/>
    <w:rsid w:val="0039648B"/>
    <w:rsid w:val="00396557"/>
    <w:rsid w:val="00396593"/>
    <w:rsid w:val="0039672B"/>
    <w:rsid w:val="0039678C"/>
    <w:rsid w:val="00396798"/>
    <w:rsid w:val="00396799"/>
    <w:rsid w:val="003967E5"/>
    <w:rsid w:val="00396A06"/>
    <w:rsid w:val="00396A07"/>
    <w:rsid w:val="00396A0B"/>
    <w:rsid w:val="00396A0E"/>
    <w:rsid w:val="00396A3C"/>
    <w:rsid w:val="00396A50"/>
    <w:rsid w:val="00396AEE"/>
    <w:rsid w:val="00396AFA"/>
    <w:rsid w:val="00396B3A"/>
    <w:rsid w:val="00396C62"/>
    <w:rsid w:val="00396CC1"/>
    <w:rsid w:val="00396DB4"/>
    <w:rsid w:val="00396E03"/>
    <w:rsid w:val="00396E1C"/>
    <w:rsid w:val="00396E5F"/>
    <w:rsid w:val="00397105"/>
    <w:rsid w:val="0039717F"/>
    <w:rsid w:val="00397256"/>
    <w:rsid w:val="00397369"/>
    <w:rsid w:val="003974AA"/>
    <w:rsid w:val="00397596"/>
    <w:rsid w:val="003975A4"/>
    <w:rsid w:val="00397615"/>
    <w:rsid w:val="00397632"/>
    <w:rsid w:val="0039779A"/>
    <w:rsid w:val="003978AC"/>
    <w:rsid w:val="003978B6"/>
    <w:rsid w:val="00397955"/>
    <w:rsid w:val="003979B1"/>
    <w:rsid w:val="00397A1A"/>
    <w:rsid w:val="00397AF9"/>
    <w:rsid w:val="00397B19"/>
    <w:rsid w:val="00397B86"/>
    <w:rsid w:val="00397C63"/>
    <w:rsid w:val="00397C89"/>
    <w:rsid w:val="00397CD6"/>
    <w:rsid w:val="00397CE0"/>
    <w:rsid w:val="00397DB4"/>
    <w:rsid w:val="00397EAC"/>
    <w:rsid w:val="00397F33"/>
    <w:rsid w:val="00397F9F"/>
    <w:rsid w:val="003A00DD"/>
    <w:rsid w:val="003A02F7"/>
    <w:rsid w:val="003A0389"/>
    <w:rsid w:val="003A0395"/>
    <w:rsid w:val="003A03A7"/>
    <w:rsid w:val="003A05D3"/>
    <w:rsid w:val="003A07CC"/>
    <w:rsid w:val="003A081A"/>
    <w:rsid w:val="003A0892"/>
    <w:rsid w:val="003A08DD"/>
    <w:rsid w:val="003A0932"/>
    <w:rsid w:val="003A097E"/>
    <w:rsid w:val="003A09B2"/>
    <w:rsid w:val="003A09FA"/>
    <w:rsid w:val="003A0A15"/>
    <w:rsid w:val="003A0A78"/>
    <w:rsid w:val="003A0BA2"/>
    <w:rsid w:val="003A0CC3"/>
    <w:rsid w:val="003A0D19"/>
    <w:rsid w:val="003A0D62"/>
    <w:rsid w:val="003A0F74"/>
    <w:rsid w:val="003A1015"/>
    <w:rsid w:val="003A1056"/>
    <w:rsid w:val="003A10A9"/>
    <w:rsid w:val="003A1184"/>
    <w:rsid w:val="003A13AB"/>
    <w:rsid w:val="003A14E5"/>
    <w:rsid w:val="003A154A"/>
    <w:rsid w:val="003A15CE"/>
    <w:rsid w:val="003A1678"/>
    <w:rsid w:val="003A1761"/>
    <w:rsid w:val="003A1862"/>
    <w:rsid w:val="003A187B"/>
    <w:rsid w:val="003A1950"/>
    <w:rsid w:val="003A1A9D"/>
    <w:rsid w:val="003A1B7E"/>
    <w:rsid w:val="003A1CE7"/>
    <w:rsid w:val="003A1D26"/>
    <w:rsid w:val="003A1D67"/>
    <w:rsid w:val="003A1D88"/>
    <w:rsid w:val="003A1E17"/>
    <w:rsid w:val="003A1E69"/>
    <w:rsid w:val="003A1E81"/>
    <w:rsid w:val="003A1F1F"/>
    <w:rsid w:val="003A1FFB"/>
    <w:rsid w:val="003A21BA"/>
    <w:rsid w:val="003A2329"/>
    <w:rsid w:val="003A24E4"/>
    <w:rsid w:val="003A25C9"/>
    <w:rsid w:val="003A25F4"/>
    <w:rsid w:val="003A261C"/>
    <w:rsid w:val="003A27E1"/>
    <w:rsid w:val="003A28F1"/>
    <w:rsid w:val="003A2982"/>
    <w:rsid w:val="003A2A2F"/>
    <w:rsid w:val="003A2A62"/>
    <w:rsid w:val="003A2A7F"/>
    <w:rsid w:val="003A2C0C"/>
    <w:rsid w:val="003A2C2B"/>
    <w:rsid w:val="003A2C32"/>
    <w:rsid w:val="003A2C4E"/>
    <w:rsid w:val="003A2C76"/>
    <w:rsid w:val="003A2CC1"/>
    <w:rsid w:val="003A2D10"/>
    <w:rsid w:val="003A2D1D"/>
    <w:rsid w:val="003A2D4D"/>
    <w:rsid w:val="003A2DA3"/>
    <w:rsid w:val="003A2DF9"/>
    <w:rsid w:val="003A2E37"/>
    <w:rsid w:val="003A2F49"/>
    <w:rsid w:val="003A2FB3"/>
    <w:rsid w:val="003A3135"/>
    <w:rsid w:val="003A313C"/>
    <w:rsid w:val="003A31BC"/>
    <w:rsid w:val="003A3219"/>
    <w:rsid w:val="003A331C"/>
    <w:rsid w:val="003A3363"/>
    <w:rsid w:val="003A33FF"/>
    <w:rsid w:val="003A3430"/>
    <w:rsid w:val="003A344E"/>
    <w:rsid w:val="003A35A5"/>
    <w:rsid w:val="003A35C3"/>
    <w:rsid w:val="003A369F"/>
    <w:rsid w:val="003A3749"/>
    <w:rsid w:val="003A375A"/>
    <w:rsid w:val="003A3767"/>
    <w:rsid w:val="003A377F"/>
    <w:rsid w:val="003A38A9"/>
    <w:rsid w:val="003A3913"/>
    <w:rsid w:val="003A3928"/>
    <w:rsid w:val="003A3A13"/>
    <w:rsid w:val="003A3A14"/>
    <w:rsid w:val="003A3CA3"/>
    <w:rsid w:val="003A3CB2"/>
    <w:rsid w:val="003A3D75"/>
    <w:rsid w:val="003A3E04"/>
    <w:rsid w:val="003A3EA3"/>
    <w:rsid w:val="003A3F1C"/>
    <w:rsid w:val="003A3F61"/>
    <w:rsid w:val="003A4004"/>
    <w:rsid w:val="003A400E"/>
    <w:rsid w:val="003A408A"/>
    <w:rsid w:val="003A40E6"/>
    <w:rsid w:val="003A413E"/>
    <w:rsid w:val="003A424E"/>
    <w:rsid w:val="003A42B2"/>
    <w:rsid w:val="003A4442"/>
    <w:rsid w:val="003A44CF"/>
    <w:rsid w:val="003A4612"/>
    <w:rsid w:val="003A4695"/>
    <w:rsid w:val="003A46AB"/>
    <w:rsid w:val="003A46B9"/>
    <w:rsid w:val="003A46DE"/>
    <w:rsid w:val="003A4723"/>
    <w:rsid w:val="003A476C"/>
    <w:rsid w:val="003A47EE"/>
    <w:rsid w:val="003A4A56"/>
    <w:rsid w:val="003A4B78"/>
    <w:rsid w:val="003A4BC4"/>
    <w:rsid w:val="003A4BC7"/>
    <w:rsid w:val="003A4C48"/>
    <w:rsid w:val="003A4C61"/>
    <w:rsid w:val="003A4D37"/>
    <w:rsid w:val="003A4D40"/>
    <w:rsid w:val="003A4DE2"/>
    <w:rsid w:val="003A4E89"/>
    <w:rsid w:val="003A4F23"/>
    <w:rsid w:val="003A4F5B"/>
    <w:rsid w:val="003A50AB"/>
    <w:rsid w:val="003A542D"/>
    <w:rsid w:val="003A55D9"/>
    <w:rsid w:val="003A56BF"/>
    <w:rsid w:val="003A57D8"/>
    <w:rsid w:val="003A5874"/>
    <w:rsid w:val="003A58B5"/>
    <w:rsid w:val="003A58E1"/>
    <w:rsid w:val="003A595B"/>
    <w:rsid w:val="003A597E"/>
    <w:rsid w:val="003A5A67"/>
    <w:rsid w:val="003A5A8D"/>
    <w:rsid w:val="003A5A9E"/>
    <w:rsid w:val="003A5AB7"/>
    <w:rsid w:val="003A5AF1"/>
    <w:rsid w:val="003A5AFE"/>
    <w:rsid w:val="003A5B52"/>
    <w:rsid w:val="003A5C0D"/>
    <w:rsid w:val="003A5C3A"/>
    <w:rsid w:val="003A5C67"/>
    <w:rsid w:val="003A5D07"/>
    <w:rsid w:val="003A5D28"/>
    <w:rsid w:val="003A5D6F"/>
    <w:rsid w:val="003A5E73"/>
    <w:rsid w:val="003A5EA1"/>
    <w:rsid w:val="003A6019"/>
    <w:rsid w:val="003A603F"/>
    <w:rsid w:val="003A6051"/>
    <w:rsid w:val="003A60FE"/>
    <w:rsid w:val="003A61C5"/>
    <w:rsid w:val="003A61FC"/>
    <w:rsid w:val="003A6212"/>
    <w:rsid w:val="003A62DD"/>
    <w:rsid w:val="003A63CA"/>
    <w:rsid w:val="003A641F"/>
    <w:rsid w:val="003A64F8"/>
    <w:rsid w:val="003A6511"/>
    <w:rsid w:val="003A6518"/>
    <w:rsid w:val="003A65E0"/>
    <w:rsid w:val="003A6601"/>
    <w:rsid w:val="003A6663"/>
    <w:rsid w:val="003A66E5"/>
    <w:rsid w:val="003A6750"/>
    <w:rsid w:val="003A6770"/>
    <w:rsid w:val="003A6799"/>
    <w:rsid w:val="003A67EF"/>
    <w:rsid w:val="003A690F"/>
    <w:rsid w:val="003A6948"/>
    <w:rsid w:val="003A69B3"/>
    <w:rsid w:val="003A69EC"/>
    <w:rsid w:val="003A6A0B"/>
    <w:rsid w:val="003A6AC0"/>
    <w:rsid w:val="003A6BD7"/>
    <w:rsid w:val="003A6C07"/>
    <w:rsid w:val="003A6C11"/>
    <w:rsid w:val="003A6C29"/>
    <w:rsid w:val="003A6C87"/>
    <w:rsid w:val="003A6CF6"/>
    <w:rsid w:val="003A6DBA"/>
    <w:rsid w:val="003A6F20"/>
    <w:rsid w:val="003A7148"/>
    <w:rsid w:val="003A732F"/>
    <w:rsid w:val="003A740E"/>
    <w:rsid w:val="003A74B7"/>
    <w:rsid w:val="003A7528"/>
    <w:rsid w:val="003A752C"/>
    <w:rsid w:val="003A771D"/>
    <w:rsid w:val="003A7775"/>
    <w:rsid w:val="003A782A"/>
    <w:rsid w:val="003A789D"/>
    <w:rsid w:val="003A792E"/>
    <w:rsid w:val="003A7A20"/>
    <w:rsid w:val="003A7AA5"/>
    <w:rsid w:val="003A7B3F"/>
    <w:rsid w:val="003A7B66"/>
    <w:rsid w:val="003A7BA6"/>
    <w:rsid w:val="003A7C42"/>
    <w:rsid w:val="003A7D98"/>
    <w:rsid w:val="003A7E43"/>
    <w:rsid w:val="003A7EBB"/>
    <w:rsid w:val="003A7F1E"/>
    <w:rsid w:val="003A7F31"/>
    <w:rsid w:val="003B0011"/>
    <w:rsid w:val="003B003A"/>
    <w:rsid w:val="003B00B1"/>
    <w:rsid w:val="003B0218"/>
    <w:rsid w:val="003B03D8"/>
    <w:rsid w:val="003B0460"/>
    <w:rsid w:val="003B0510"/>
    <w:rsid w:val="003B0522"/>
    <w:rsid w:val="003B07D0"/>
    <w:rsid w:val="003B07E2"/>
    <w:rsid w:val="003B0818"/>
    <w:rsid w:val="003B0825"/>
    <w:rsid w:val="003B08AC"/>
    <w:rsid w:val="003B0910"/>
    <w:rsid w:val="003B0919"/>
    <w:rsid w:val="003B0ACF"/>
    <w:rsid w:val="003B0AE0"/>
    <w:rsid w:val="003B0C4F"/>
    <w:rsid w:val="003B0D2B"/>
    <w:rsid w:val="003B0D9A"/>
    <w:rsid w:val="003B0DBB"/>
    <w:rsid w:val="003B0DC8"/>
    <w:rsid w:val="003B0DE8"/>
    <w:rsid w:val="003B0E92"/>
    <w:rsid w:val="003B0FA7"/>
    <w:rsid w:val="003B1181"/>
    <w:rsid w:val="003B1197"/>
    <w:rsid w:val="003B128F"/>
    <w:rsid w:val="003B1319"/>
    <w:rsid w:val="003B131E"/>
    <w:rsid w:val="003B13AB"/>
    <w:rsid w:val="003B1408"/>
    <w:rsid w:val="003B1419"/>
    <w:rsid w:val="003B14A4"/>
    <w:rsid w:val="003B1557"/>
    <w:rsid w:val="003B156F"/>
    <w:rsid w:val="003B1686"/>
    <w:rsid w:val="003B1777"/>
    <w:rsid w:val="003B181C"/>
    <w:rsid w:val="003B182F"/>
    <w:rsid w:val="003B18AA"/>
    <w:rsid w:val="003B1928"/>
    <w:rsid w:val="003B1962"/>
    <w:rsid w:val="003B1985"/>
    <w:rsid w:val="003B1A0D"/>
    <w:rsid w:val="003B1A71"/>
    <w:rsid w:val="003B1A7E"/>
    <w:rsid w:val="003B1AF7"/>
    <w:rsid w:val="003B1BC0"/>
    <w:rsid w:val="003B1BC8"/>
    <w:rsid w:val="003B1BCE"/>
    <w:rsid w:val="003B1C34"/>
    <w:rsid w:val="003B1CD7"/>
    <w:rsid w:val="003B1D14"/>
    <w:rsid w:val="003B1D75"/>
    <w:rsid w:val="003B1DBF"/>
    <w:rsid w:val="003B1E8A"/>
    <w:rsid w:val="003B1F20"/>
    <w:rsid w:val="003B1F86"/>
    <w:rsid w:val="003B1F98"/>
    <w:rsid w:val="003B1FD4"/>
    <w:rsid w:val="003B20AF"/>
    <w:rsid w:val="003B211F"/>
    <w:rsid w:val="003B2168"/>
    <w:rsid w:val="003B217D"/>
    <w:rsid w:val="003B2376"/>
    <w:rsid w:val="003B249A"/>
    <w:rsid w:val="003B254C"/>
    <w:rsid w:val="003B255D"/>
    <w:rsid w:val="003B2625"/>
    <w:rsid w:val="003B2643"/>
    <w:rsid w:val="003B268E"/>
    <w:rsid w:val="003B277E"/>
    <w:rsid w:val="003B27F9"/>
    <w:rsid w:val="003B293F"/>
    <w:rsid w:val="003B299D"/>
    <w:rsid w:val="003B2A59"/>
    <w:rsid w:val="003B2AC9"/>
    <w:rsid w:val="003B2B2D"/>
    <w:rsid w:val="003B2B74"/>
    <w:rsid w:val="003B2B81"/>
    <w:rsid w:val="003B2D63"/>
    <w:rsid w:val="003B2ED0"/>
    <w:rsid w:val="003B2F55"/>
    <w:rsid w:val="003B2FDA"/>
    <w:rsid w:val="003B300D"/>
    <w:rsid w:val="003B3100"/>
    <w:rsid w:val="003B3150"/>
    <w:rsid w:val="003B31AB"/>
    <w:rsid w:val="003B31FA"/>
    <w:rsid w:val="003B321D"/>
    <w:rsid w:val="003B33A9"/>
    <w:rsid w:val="003B3598"/>
    <w:rsid w:val="003B363E"/>
    <w:rsid w:val="003B365C"/>
    <w:rsid w:val="003B3810"/>
    <w:rsid w:val="003B382D"/>
    <w:rsid w:val="003B38D7"/>
    <w:rsid w:val="003B3918"/>
    <w:rsid w:val="003B39C5"/>
    <w:rsid w:val="003B3A71"/>
    <w:rsid w:val="003B3A88"/>
    <w:rsid w:val="003B3AA0"/>
    <w:rsid w:val="003B3B11"/>
    <w:rsid w:val="003B3C26"/>
    <w:rsid w:val="003B3C47"/>
    <w:rsid w:val="003B3CBB"/>
    <w:rsid w:val="003B3CDD"/>
    <w:rsid w:val="003B3CE9"/>
    <w:rsid w:val="003B3DB0"/>
    <w:rsid w:val="003B3E29"/>
    <w:rsid w:val="003B3F91"/>
    <w:rsid w:val="003B404A"/>
    <w:rsid w:val="003B4051"/>
    <w:rsid w:val="003B4115"/>
    <w:rsid w:val="003B424F"/>
    <w:rsid w:val="003B425D"/>
    <w:rsid w:val="003B42BC"/>
    <w:rsid w:val="003B439C"/>
    <w:rsid w:val="003B43CF"/>
    <w:rsid w:val="003B43E1"/>
    <w:rsid w:val="003B4545"/>
    <w:rsid w:val="003B4580"/>
    <w:rsid w:val="003B459A"/>
    <w:rsid w:val="003B46CA"/>
    <w:rsid w:val="003B46D2"/>
    <w:rsid w:val="003B47CE"/>
    <w:rsid w:val="003B49B0"/>
    <w:rsid w:val="003B49B3"/>
    <w:rsid w:val="003B49EC"/>
    <w:rsid w:val="003B4A07"/>
    <w:rsid w:val="003B4A4E"/>
    <w:rsid w:val="003B4A58"/>
    <w:rsid w:val="003B4CDC"/>
    <w:rsid w:val="003B4DBC"/>
    <w:rsid w:val="003B4DD6"/>
    <w:rsid w:val="003B4EC9"/>
    <w:rsid w:val="003B5017"/>
    <w:rsid w:val="003B5052"/>
    <w:rsid w:val="003B5293"/>
    <w:rsid w:val="003B545E"/>
    <w:rsid w:val="003B5495"/>
    <w:rsid w:val="003B5499"/>
    <w:rsid w:val="003B55BF"/>
    <w:rsid w:val="003B57D8"/>
    <w:rsid w:val="003B58A4"/>
    <w:rsid w:val="003B59F7"/>
    <w:rsid w:val="003B5A59"/>
    <w:rsid w:val="003B5ABB"/>
    <w:rsid w:val="003B5B35"/>
    <w:rsid w:val="003B5B77"/>
    <w:rsid w:val="003B5B85"/>
    <w:rsid w:val="003B5BCC"/>
    <w:rsid w:val="003B5BEA"/>
    <w:rsid w:val="003B5C29"/>
    <w:rsid w:val="003B5C53"/>
    <w:rsid w:val="003B5C94"/>
    <w:rsid w:val="003B5D1F"/>
    <w:rsid w:val="003B5FBD"/>
    <w:rsid w:val="003B6070"/>
    <w:rsid w:val="003B607B"/>
    <w:rsid w:val="003B6093"/>
    <w:rsid w:val="003B60B0"/>
    <w:rsid w:val="003B6285"/>
    <w:rsid w:val="003B6379"/>
    <w:rsid w:val="003B63D0"/>
    <w:rsid w:val="003B63F3"/>
    <w:rsid w:val="003B6448"/>
    <w:rsid w:val="003B6483"/>
    <w:rsid w:val="003B6554"/>
    <w:rsid w:val="003B65B2"/>
    <w:rsid w:val="003B65D6"/>
    <w:rsid w:val="003B674E"/>
    <w:rsid w:val="003B6787"/>
    <w:rsid w:val="003B6891"/>
    <w:rsid w:val="003B68F0"/>
    <w:rsid w:val="003B697C"/>
    <w:rsid w:val="003B699B"/>
    <w:rsid w:val="003B69C0"/>
    <w:rsid w:val="003B69D9"/>
    <w:rsid w:val="003B6A51"/>
    <w:rsid w:val="003B6A60"/>
    <w:rsid w:val="003B6B10"/>
    <w:rsid w:val="003B6BA6"/>
    <w:rsid w:val="003B6C47"/>
    <w:rsid w:val="003B6C5D"/>
    <w:rsid w:val="003B6C60"/>
    <w:rsid w:val="003B6C7A"/>
    <w:rsid w:val="003B6D36"/>
    <w:rsid w:val="003B6DD2"/>
    <w:rsid w:val="003B6EDC"/>
    <w:rsid w:val="003B7064"/>
    <w:rsid w:val="003B70B7"/>
    <w:rsid w:val="003B7109"/>
    <w:rsid w:val="003B71C2"/>
    <w:rsid w:val="003B72F7"/>
    <w:rsid w:val="003B75AB"/>
    <w:rsid w:val="003B75EA"/>
    <w:rsid w:val="003B7633"/>
    <w:rsid w:val="003B7714"/>
    <w:rsid w:val="003B78CA"/>
    <w:rsid w:val="003B7A02"/>
    <w:rsid w:val="003B7A05"/>
    <w:rsid w:val="003B7A47"/>
    <w:rsid w:val="003B7A5D"/>
    <w:rsid w:val="003B7A90"/>
    <w:rsid w:val="003B7A98"/>
    <w:rsid w:val="003B7B21"/>
    <w:rsid w:val="003B7B38"/>
    <w:rsid w:val="003B7BD8"/>
    <w:rsid w:val="003B7D2B"/>
    <w:rsid w:val="003B7D45"/>
    <w:rsid w:val="003B7DB7"/>
    <w:rsid w:val="003B7E15"/>
    <w:rsid w:val="003B7F17"/>
    <w:rsid w:val="003C0010"/>
    <w:rsid w:val="003C0043"/>
    <w:rsid w:val="003C0059"/>
    <w:rsid w:val="003C012C"/>
    <w:rsid w:val="003C015A"/>
    <w:rsid w:val="003C01A1"/>
    <w:rsid w:val="003C01D4"/>
    <w:rsid w:val="003C01EF"/>
    <w:rsid w:val="003C020E"/>
    <w:rsid w:val="003C0283"/>
    <w:rsid w:val="003C0307"/>
    <w:rsid w:val="003C03CA"/>
    <w:rsid w:val="003C0408"/>
    <w:rsid w:val="003C0434"/>
    <w:rsid w:val="003C055C"/>
    <w:rsid w:val="003C0563"/>
    <w:rsid w:val="003C05FC"/>
    <w:rsid w:val="003C0601"/>
    <w:rsid w:val="003C070E"/>
    <w:rsid w:val="003C0751"/>
    <w:rsid w:val="003C0855"/>
    <w:rsid w:val="003C0977"/>
    <w:rsid w:val="003C09C9"/>
    <w:rsid w:val="003C0BC8"/>
    <w:rsid w:val="003C0C3B"/>
    <w:rsid w:val="003C0C95"/>
    <w:rsid w:val="003C0CCA"/>
    <w:rsid w:val="003C0CCB"/>
    <w:rsid w:val="003C0CEC"/>
    <w:rsid w:val="003C0D6F"/>
    <w:rsid w:val="003C0E28"/>
    <w:rsid w:val="003C0E3A"/>
    <w:rsid w:val="003C0ECC"/>
    <w:rsid w:val="003C0F38"/>
    <w:rsid w:val="003C0F69"/>
    <w:rsid w:val="003C0F9B"/>
    <w:rsid w:val="003C0FFC"/>
    <w:rsid w:val="003C1172"/>
    <w:rsid w:val="003C11C8"/>
    <w:rsid w:val="003C123D"/>
    <w:rsid w:val="003C1285"/>
    <w:rsid w:val="003C12AF"/>
    <w:rsid w:val="003C12B7"/>
    <w:rsid w:val="003C12B9"/>
    <w:rsid w:val="003C13A0"/>
    <w:rsid w:val="003C1486"/>
    <w:rsid w:val="003C14EA"/>
    <w:rsid w:val="003C159C"/>
    <w:rsid w:val="003C159E"/>
    <w:rsid w:val="003C15A4"/>
    <w:rsid w:val="003C16A4"/>
    <w:rsid w:val="003C16AE"/>
    <w:rsid w:val="003C171E"/>
    <w:rsid w:val="003C1734"/>
    <w:rsid w:val="003C17C2"/>
    <w:rsid w:val="003C17DC"/>
    <w:rsid w:val="003C1838"/>
    <w:rsid w:val="003C18E6"/>
    <w:rsid w:val="003C19C8"/>
    <w:rsid w:val="003C19DD"/>
    <w:rsid w:val="003C1A02"/>
    <w:rsid w:val="003C1B2F"/>
    <w:rsid w:val="003C1BAC"/>
    <w:rsid w:val="003C1C3D"/>
    <w:rsid w:val="003C1C6D"/>
    <w:rsid w:val="003C1D01"/>
    <w:rsid w:val="003C1D30"/>
    <w:rsid w:val="003C1E23"/>
    <w:rsid w:val="003C1E52"/>
    <w:rsid w:val="003C1E6D"/>
    <w:rsid w:val="003C1F6B"/>
    <w:rsid w:val="003C1F90"/>
    <w:rsid w:val="003C21BF"/>
    <w:rsid w:val="003C2224"/>
    <w:rsid w:val="003C2236"/>
    <w:rsid w:val="003C228E"/>
    <w:rsid w:val="003C231D"/>
    <w:rsid w:val="003C2470"/>
    <w:rsid w:val="003C2550"/>
    <w:rsid w:val="003C2639"/>
    <w:rsid w:val="003C2859"/>
    <w:rsid w:val="003C294B"/>
    <w:rsid w:val="003C29F0"/>
    <w:rsid w:val="003C2A31"/>
    <w:rsid w:val="003C2AF9"/>
    <w:rsid w:val="003C2AFB"/>
    <w:rsid w:val="003C2B11"/>
    <w:rsid w:val="003C2B7C"/>
    <w:rsid w:val="003C2BE6"/>
    <w:rsid w:val="003C2C01"/>
    <w:rsid w:val="003C2CD8"/>
    <w:rsid w:val="003C2D30"/>
    <w:rsid w:val="003C2DE7"/>
    <w:rsid w:val="003C2E11"/>
    <w:rsid w:val="003C2E86"/>
    <w:rsid w:val="003C2EE5"/>
    <w:rsid w:val="003C2EE8"/>
    <w:rsid w:val="003C2F17"/>
    <w:rsid w:val="003C2F54"/>
    <w:rsid w:val="003C2F60"/>
    <w:rsid w:val="003C303D"/>
    <w:rsid w:val="003C304B"/>
    <w:rsid w:val="003C3055"/>
    <w:rsid w:val="003C307D"/>
    <w:rsid w:val="003C311A"/>
    <w:rsid w:val="003C3188"/>
    <w:rsid w:val="003C329C"/>
    <w:rsid w:val="003C32E9"/>
    <w:rsid w:val="003C33BA"/>
    <w:rsid w:val="003C3439"/>
    <w:rsid w:val="003C3447"/>
    <w:rsid w:val="003C3459"/>
    <w:rsid w:val="003C3555"/>
    <w:rsid w:val="003C35FC"/>
    <w:rsid w:val="003C365E"/>
    <w:rsid w:val="003C3675"/>
    <w:rsid w:val="003C3840"/>
    <w:rsid w:val="003C3882"/>
    <w:rsid w:val="003C3974"/>
    <w:rsid w:val="003C3996"/>
    <w:rsid w:val="003C39C1"/>
    <w:rsid w:val="003C39F2"/>
    <w:rsid w:val="003C3A18"/>
    <w:rsid w:val="003C3A8F"/>
    <w:rsid w:val="003C3A91"/>
    <w:rsid w:val="003C3AD0"/>
    <w:rsid w:val="003C3B84"/>
    <w:rsid w:val="003C3B9F"/>
    <w:rsid w:val="003C3BBC"/>
    <w:rsid w:val="003C3BC2"/>
    <w:rsid w:val="003C3BF9"/>
    <w:rsid w:val="003C3CA2"/>
    <w:rsid w:val="003C3D37"/>
    <w:rsid w:val="003C3D64"/>
    <w:rsid w:val="003C3DE2"/>
    <w:rsid w:val="003C3EC3"/>
    <w:rsid w:val="003C3F33"/>
    <w:rsid w:val="003C3F97"/>
    <w:rsid w:val="003C3FB2"/>
    <w:rsid w:val="003C400C"/>
    <w:rsid w:val="003C4072"/>
    <w:rsid w:val="003C4145"/>
    <w:rsid w:val="003C4179"/>
    <w:rsid w:val="003C41A9"/>
    <w:rsid w:val="003C41D5"/>
    <w:rsid w:val="003C41FE"/>
    <w:rsid w:val="003C42A9"/>
    <w:rsid w:val="003C4419"/>
    <w:rsid w:val="003C447E"/>
    <w:rsid w:val="003C44A0"/>
    <w:rsid w:val="003C44EF"/>
    <w:rsid w:val="003C459F"/>
    <w:rsid w:val="003C4638"/>
    <w:rsid w:val="003C4688"/>
    <w:rsid w:val="003C46D9"/>
    <w:rsid w:val="003C46F6"/>
    <w:rsid w:val="003C4744"/>
    <w:rsid w:val="003C481E"/>
    <w:rsid w:val="003C4903"/>
    <w:rsid w:val="003C4930"/>
    <w:rsid w:val="003C49C2"/>
    <w:rsid w:val="003C4A46"/>
    <w:rsid w:val="003C4B81"/>
    <w:rsid w:val="003C4C4A"/>
    <w:rsid w:val="003C4CA9"/>
    <w:rsid w:val="003C4E2C"/>
    <w:rsid w:val="003C4E76"/>
    <w:rsid w:val="003C4EB3"/>
    <w:rsid w:val="003C4F59"/>
    <w:rsid w:val="003C5192"/>
    <w:rsid w:val="003C51AD"/>
    <w:rsid w:val="003C535A"/>
    <w:rsid w:val="003C545C"/>
    <w:rsid w:val="003C54AE"/>
    <w:rsid w:val="003C5637"/>
    <w:rsid w:val="003C56E3"/>
    <w:rsid w:val="003C580E"/>
    <w:rsid w:val="003C5897"/>
    <w:rsid w:val="003C58C9"/>
    <w:rsid w:val="003C593D"/>
    <w:rsid w:val="003C5B5F"/>
    <w:rsid w:val="003C5B81"/>
    <w:rsid w:val="003C5C67"/>
    <w:rsid w:val="003C5C78"/>
    <w:rsid w:val="003C5CB3"/>
    <w:rsid w:val="003C5D88"/>
    <w:rsid w:val="003C5D8A"/>
    <w:rsid w:val="003C5DBC"/>
    <w:rsid w:val="003C5E40"/>
    <w:rsid w:val="003C5EA7"/>
    <w:rsid w:val="003C60C8"/>
    <w:rsid w:val="003C610A"/>
    <w:rsid w:val="003C6116"/>
    <w:rsid w:val="003C6225"/>
    <w:rsid w:val="003C6322"/>
    <w:rsid w:val="003C636B"/>
    <w:rsid w:val="003C63F2"/>
    <w:rsid w:val="003C63FB"/>
    <w:rsid w:val="003C640D"/>
    <w:rsid w:val="003C6473"/>
    <w:rsid w:val="003C648D"/>
    <w:rsid w:val="003C65DB"/>
    <w:rsid w:val="003C65E9"/>
    <w:rsid w:val="003C6623"/>
    <w:rsid w:val="003C66E5"/>
    <w:rsid w:val="003C673A"/>
    <w:rsid w:val="003C677C"/>
    <w:rsid w:val="003C6839"/>
    <w:rsid w:val="003C6A5B"/>
    <w:rsid w:val="003C6BAF"/>
    <w:rsid w:val="003C6BDC"/>
    <w:rsid w:val="003C6C16"/>
    <w:rsid w:val="003C6C4A"/>
    <w:rsid w:val="003C6D38"/>
    <w:rsid w:val="003C6D3A"/>
    <w:rsid w:val="003C6E09"/>
    <w:rsid w:val="003C6EBC"/>
    <w:rsid w:val="003C6F20"/>
    <w:rsid w:val="003C6F95"/>
    <w:rsid w:val="003C7112"/>
    <w:rsid w:val="003C716C"/>
    <w:rsid w:val="003C7276"/>
    <w:rsid w:val="003C72BE"/>
    <w:rsid w:val="003C72CB"/>
    <w:rsid w:val="003C72DB"/>
    <w:rsid w:val="003C7304"/>
    <w:rsid w:val="003C7378"/>
    <w:rsid w:val="003C7456"/>
    <w:rsid w:val="003C752E"/>
    <w:rsid w:val="003C75DF"/>
    <w:rsid w:val="003C7708"/>
    <w:rsid w:val="003C7765"/>
    <w:rsid w:val="003C7845"/>
    <w:rsid w:val="003C7988"/>
    <w:rsid w:val="003C799B"/>
    <w:rsid w:val="003C79BB"/>
    <w:rsid w:val="003C79E5"/>
    <w:rsid w:val="003C7A25"/>
    <w:rsid w:val="003C7A30"/>
    <w:rsid w:val="003C7A53"/>
    <w:rsid w:val="003C7AA6"/>
    <w:rsid w:val="003C7B68"/>
    <w:rsid w:val="003C7BF1"/>
    <w:rsid w:val="003C7BFB"/>
    <w:rsid w:val="003C7CD9"/>
    <w:rsid w:val="003C7D11"/>
    <w:rsid w:val="003C7D15"/>
    <w:rsid w:val="003C7D56"/>
    <w:rsid w:val="003C7D87"/>
    <w:rsid w:val="003C7E39"/>
    <w:rsid w:val="003C7E5B"/>
    <w:rsid w:val="003C7E5D"/>
    <w:rsid w:val="003C7E97"/>
    <w:rsid w:val="003C7EEF"/>
    <w:rsid w:val="003C7F26"/>
    <w:rsid w:val="003C7F41"/>
    <w:rsid w:val="003C7F60"/>
    <w:rsid w:val="003D0052"/>
    <w:rsid w:val="003D00A2"/>
    <w:rsid w:val="003D01BD"/>
    <w:rsid w:val="003D0331"/>
    <w:rsid w:val="003D0345"/>
    <w:rsid w:val="003D0361"/>
    <w:rsid w:val="003D0422"/>
    <w:rsid w:val="003D047A"/>
    <w:rsid w:val="003D0510"/>
    <w:rsid w:val="003D0620"/>
    <w:rsid w:val="003D066B"/>
    <w:rsid w:val="003D069D"/>
    <w:rsid w:val="003D0819"/>
    <w:rsid w:val="003D083A"/>
    <w:rsid w:val="003D0A16"/>
    <w:rsid w:val="003D0A7B"/>
    <w:rsid w:val="003D0A95"/>
    <w:rsid w:val="003D0ADE"/>
    <w:rsid w:val="003D0B55"/>
    <w:rsid w:val="003D0BE5"/>
    <w:rsid w:val="003D0CBC"/>
    <w:rsid w:val="003D0CEF"/>
    <w:rsid w:val="003D0D63"/>
    <w:rsid w:val="003D0DC0"/>
    <w:rsid w:val="003D0E1C"/>
    <w:rsid w:val="003D0EE6"/>
    <w:rsid w:val="003D10A5"/>
    <w:rsid w:val="003D10BA"/>
    <w:rsid w:val="003D11D9"/>
    <w:rsid w:val="003D1252"/>
    <w:rsid w:val="003D1366"/>
    <w:rsid w:val="003D13D3"/>
    <w:rsid w:val="003D14AB"/>
    <w:rsid w:val="003D153F"/>
    <w:rsid w:val="003D1594"/>
    <w:rsid w:val="003D160E"/>
    <w:rsid w:val="003D1658"/>
    <w:rsid w:val="003D1738"/>
    <w:rsid w:val="003D1759"/>
    <w:rsid w:val="003D177E"/>
    <w:rsid w:val="003D17AE"/>
    <w:rsid w:val="003D17D0"/>
    <w:rsid w:val="003D190C"/>
    <w:rsid w:val="003D197A"/>
    <w:rsid w:val="003D1AAD"/>
    <w:rsid w:val="003D1B4C"/>
    <w:rsid w:val="003D1CB9"/>
    <w:rsid w:val="003D1CE8"/>
    <w:rsid w:val="003D1CF9"/>
    <w:rsid w:val="003D1DC0"/>
    <w:rsid w:val="003D1F89"/>
    <w:rsid w:val="003D2052"/>
    <w:rsid w:val="003D20E1"/>
    <w:rsid w:val="003D21FC"/>
    <w:rsid w:val="003D229B"/>
    <w:rsid w:val="003D230B"/>
    <w:rsid w:val="003D23AD"/>
    <w:rsid w:val="003D2415"/>
    <w:rsid w:val="003D250C"/>
    <w:rsid w:val="003D2561"/>
    <w:rsid w:val="003D25CF"/>
    <w:rsid w:val="003D2654"/>
    <w:rsid w:val="003D2689"/>
    <w:rsid w:val="003D26B1"/>
    <w:rsid w:val="003D26CA"/>
    <w:rsid w:val="003D26E0"/>
    <w:rsid w:val="003D276C"/>
    <w:rsid w:val="003D2825"/>
    <w:rsid w:val="003D283D"/>
    <w:rsid w:val="003D2873"/>
    <w:rsid w:val="003D299F"/>
    <w:rsid w:val="003D29A6"/>
    <w:rsid w:val="003D29CE"/>
    <w:rsid w:val="003D29F8"/>
    <w:rsid w:val="003D2B82"/>
    <w:rsid w:val="003D2D21"/>
    <w:rsid w:val="003D2DA1"/>
    <w:rsid w:val="003D2DB0"/>
    <w:rsid w:val="003D2E79"/>
    <w:rsid w:val="003D2E96"/>
    <w:rsid w:val="003D314C"/>
    <w:rsid w:val="003D315B"/>
    <w:rsid w:val="003D3178"/>
    <w:rsid w:val="003D3179"/>
    <w:rsid w:val="003D3271"/>
    <w:rsid w:val="003D32BD"/>
    <w:rsid w:val="003D339E"/>
    <w:rsid w:val="003D33D1"/>
    <w:rsid w:val="003D3444"/>
    <w:rsid w:val="003D35B4"/>
    <w:rsid w:val="003D3697"/>
    <w:rsid w:val="003D36E0"/>
    <w:rsid w:val="003D3706"/>
    <w:rsid w:val="003D3734"/>
    <w:rsid w:val="003D376C"/>
    <w:rsid w:val="003D37D9"/>
    <w:rsid w:val="003D39C2"/>
    <w:rsid w:val="003D39DB"/>
    <w:rsid w:val="003D3A33"/>
    <w:rsid w:val="003D3B7F"/>
    <w:rsid w:val="003D3B90"/>
    <w:rsid w:val="003D3BBA"/>
    <w:rsid w:val="003D3C0F"/>
    <w:rsid w:val="003D3C13"/>
    <w:rsid w:val="003D3D5E"/>
    <w:rsid w:val="003D3D7C"/>
    <w:rsid w:val="003D3DE7"/>
    <w:rsid w:val="003D3E69"/>
    <w:rsid w:val="003D3F6E"/>
    <w:rsid w:val="003D3F92"/>
    <w:rsid w:val="003D4096"/>
    <w:rsid w:val="003D41B1"/>
    <w:rsid w:val="003D4206"/>
    <w:rsid w:val="003D4249"/>
    <w:rsid w:val="003D436D"/>
    <w:rsid w:val="003D4492"/>
    <w:rsid w:val="003D459E"/>
    <w:rsid w:val="003D467D"/>
    <w:rsid w:val="003D4747"/>
    <w:rsid w:val="003D4798"/>
    <w:rsid w:val="003D47EC"/>
    <w:rsid w:val="003D47F6"/>
    <w:rsid w:val="003D4813"/>
    <w:rsid w:val="003D4848"/>
    <w:rsid w:val="003D4897"/>
    <w:rsid w:val="003D4975"/>
    <w:rsid w:val="003D4AFD"/>
    <w:rsid w:val="003D4BB1"/>
    <w:rsid w:val="003D4C1A"/>
    <w:rsid w:val="003D4C2A"/>
    <w:rsid w:val="003D4C8E"/>
    <w:rsid w:val="003D4CB0"/>
    <w:rsid w:val="003D4CF0"/>
    <w:rsid w:val="003D4DAF"/>
    <w:rsid w:val="003D4E4C"/>
    <w:rsid w:val="003D4E87"/>
    <w:rsid w:val="003D4F37"/>
    <w:rsid w:val="003D4FE4"/>
    <w:rsid w:val="003D5042"/>
    <w:rsid w:val="003D5084"/>
    <w:rsid w:val="003D50FB"/>
    <w:rsid w:val="003D5181"/>
    <w:rsid w:val="003D527F"/>
    <w:rsid w:val="003D5283"/>
    <w:rsid w:val="003D5391"/>
    <w:rsid w:val="003D53F5"/>
    <w:rsid w:val="003D547B"/>
    <w:rsid w:val="003D54F5"/>
    <w:rsid w:val="003D5516"/>
    <w:rsid w:val="003D55B1"/>
    <w:rsid w:val="003D5616"/>
    <w:rsid w:val="003D569F"/>
    <w:rsid w:val="003D56E5"/>
    <w:rsid w:val="003D56F7"/>
    <w:rsid w:val="003D57FC"/>
    <w:rsid w:val="003D5862"/>
    <w:rsid w:val="003D5887"/>
    <w:rsid w:val="003D58ED"/>
    <w:rsid w:val="003D590D"/>
    <w:rsid w:val="003D5947"/>
    <w:rsid w:val="003D59D0"/>
    <w:rsid w:val="003D59F6"/>
    <w:rsid w:val="003D5A35"/>
    <w:rsid w:val="003D5A7A"/>
    <w:rsid w:val="003D5AA4"/>
    <w:rsid w:val="003D5B26"/>
    <w:rsid w:val="003D5C1A"/>
    <w:rsid w:val="003D5C6C"/>
    <w:rsid w:val="003D5CF8"/>
    <w:rsid w:val="003D5D96"/>
    <w:rsid w:val="003D5E08"/>
    <w:rsid w:val="003D5EC1"/>
    <w:rsid w:val="003D5EC4"/>
    <w:rsid w:val="003D5F83"/>
    <w:rsid w:val="003D60E6"/>
    <w:rsid w:val="003D6163"/>
    <w:rsid w:val="003D6183"/>
    <w:rsid w:val="003D6196"/>
    <w:rsid w:val="003D625E"/>
    <w:rsid w:val="003D6261"/>
    <w:rsid w:val="003D62D3"/>
    <w:rsid w:val="003D6347"/>
    <w:rsid w:val="003D6357"/>
    <w:rsid w:val="003D642C"/>
    <w:rsid w:val="003D652E"/>
    <w:rsid w:val="003D663C"/>
    <w:rsid w:val="003D6717"/>
    <w:rsid w:val="003D672B"/>
    <w:rsid w:val="003D679B"/>
    <w:rsid w:val="003D6863"/>
    <w:rsid w:val="003D6A08"/>
    <w:rsid w:val="003D6A69"/>
    <w:rsid w:val="003D6A8C"/>
    <w:rsid w:val="003D6B27"/>
    <w:rsid w:val="003D6B69"/>
    <w:rsid w:val="003D6BB0"/>
    <w:rsid w:val="003D6BB7"/>
    <w:rsid w:val="003D6C14"/>
    <w:rsid w:val="003D6D39"/>
    <w:rsid w:val="003D6DE1"/>
    <w:rsid w:val="003D6EDB"/>
    <w:rsid w:val="003D6F39"/>
    <w:rsid w:val="003D6F8F"/>
    <w:rsid w:val="003D700D"/>
    <w:rsid w:val="003D7047"/>
    <w:rsid w:val="003D7070"/>
    <w:rsid w:val="003D70EE"/>
    <w:rsid w:val="003D7154"/>
    <w:rsid w:val="003D722E"/>
    <w:rsid w:val="003D731D"/>
    <w:rsid w:val="003D7327"/>
    <w:rsid w:val="003D738F"/>
    <w:rsid w:val="003D743C"/>
    <w:rsid w:val="003D74E6"/>
    <w:rsid w:val="003D75B0"/>
    <w:rsid w:val="003D75E7"/>
    <w:rsid w:val="003D75EB"/>
    <w:rsid w:val="003D760D"/>
    <w:rsid w:val="003D7649"/>
    <w:rsid w:val="003D7689"/>
    <w:rsid w:val="003D76FB"/>
    <w:rsid w:val="003D7717"/>
    <w:rsid w:val="003D77F5"/>
    <w:rsid w:val="003D787F"/>
    <w:rsid w:val="003D7895"/>
    <w:rsid w:val="003D78DD"/>
    <w:rsid w:val="003D793A"/>
    <w:rsid w:val="003D7968"/>
    <w:rsid w:val="003D79AC"/>
    <w:rsid w:val="003D79BC"/>
    <w:rsid w:val="003D79BD"/>
    <w:rsid w:val="003D79C2"/>
    <w:rsid w:val="003D7A2B"/>
    <w:rsid w:val="003D7AC2"/>
    <w:rsid w:val="003D7C04"/>
    <w:rsid w:val="003D7D47"/>
    <w:rsid w:val="003D7D9C"/>
    <w:rsid w:val="003D7DC9"/>
    <w:rsid w:val="003D7DE7"/>
    <w:rsid w:val="003D7F91"/>
    <w:rsid w:val="003D7FF8"/>
    <w:rsid w:val="003E0047"/>
    <w:rsid w:val="003E009A"/>
    <w:rsid w:val="003E00EF"/>
    <w:rsid w:val="003E013F"/>
    <w:rsid w:val="003E023D"/>
    <w:rsid w:val="003E0425"/>
    <w:rsid w:val="003E0447"/>
    <w:rsid w:val="003E0464"/>
    <w:rsid w:val="003E04F0"/>
    <w:rsid w:val="003E0627"/>
    <w:rsid w:val="003E0707"/>
    <w:rsid w:val="003E0713"/>
    <w:rsid w:val="003E071C"/>
    <w:rsid w:val="003E0738"/>
    <w:rsid w:val="003E081B"/>
    <w:rsid w:val="003E0831"/>
    <w:rsid w:val="003E08D2"/>
    <w:rsid w:val="003E08F6"/>
    <w:rsid w:val="003E0A05"/>
    <w:rsid w:val="003E0A24"/>
    <w:rsid w:val="003E0AA1"/>
    <w:rsid w:val="003E0ACA"/>
    <w:rsid w:val="003E0AF4"/>
    <w:rsid w:val="003E0C24"/>
    <w:rsid w:val="003E0C8B"/>
    <w:rsid w:val="003E0CC4"/>
    <w:rsid w:val="003E0D03"/>
    <w:rsid w:val="003E0D53"/>
    <w:rsid w:val="003E0D85"/>
    <w:rsid w:val="003E0DB6"/>
    <w:rsid w:val="003E0EFD"/>
    <w:rsid w:val="003E0F23"/>
    <w:rsid w:val="003E0F55"/>
    <w:rsid w:val="003E0F6A"/>
    <w:rsid w:val="003E1014"/>
    <w:rsid w:val="003E107B"/>
    <w:rsid w:val="003E1082"/>
    <w:rsid w:val="003E10AD"/>
    <w:rsid w:val="003E10CF"/>
    <w:rsid w:val="003E11B2"/>
    <w:rsid w:val="003E11D2"/>
    <w:rsid w:val="003E12E8"/>
    <w:rsid w:val="003E1336"/>
    <w:rsid w:val="003E13E5"/>
    <w:rsid w:val="003E1420"/>
    <w:rsid w:val="003E14FB"/>
    <w:rsid w:val="003E1561"/>
    <w:rsid w:val="003E156D"/>
    <w:rsid w:val="003E1660"/>
    <w:rsid w:val="003E168E"/>
    <w:rsid w:val="003E16CF"/>
    <w:rsid w:val="003E16D4"/>
    <w:rsid w:val="003E175F"/>
    <w:rsid w:val="003E1766"/>
    <w:rsid w:val="003E1779"/>
    <w:rsid w:val="003E177A"/>
    <w:rsid w:val="003E18CB"/>
    <w:rsid w:val="003E18D8"/>
    <w:rsid w:val="003E19A5"/>
    <w:rsid w:val="003E19BC"/>
    <w:rsid w:val="003E1AB2"/>
    <w:rsid w:val="003E1F05"/>
    <w:rsid w:val="003E1F7D"/>
    <w:rsid w:val="003E1FBC"/>
    <w:rsid w:val="003E2020"/>
    <w:rsid w:val="003E2063"/>
    <w:rsid w:val="003E2161"/>
    <w:rsid w:val="003E22C7"/>
    <w:rsid w:val="003E231C"/>
    <w:rsid w:val="003E235D"/>
    <w:rsid w:val="003E24AA"/>
    <w:rsid w:val="003E25EA"/>
    <w:rsid w:val="003E2634"/>
    <w:rsid w:val="003E275A"/>
    <w:rsid w:val="003E2824"/>
    <w:rsid w:val="003E282C"/>
    <w:rsid w:val="003E283D"/>
    <w:rsid w:val="003E28D4"/>
    <w:rsid w:val="003E2958"/>
    <w:rsid w:val="003E2B48"/>
    <w:rsid w:val="003E2BBB"/>
    <w:rsid w:val="003E2BD6"/>
    <w:rsid w:val="003E2BD8"/>
    <w:rsid w:val="003E2C39"/>
    <w:rsid w:val="003E2C74"/>
    <w:rsid w:val="003E2CD3"/>
    <w:rsid w:val="003E2D51"/>
    <w:rsid w:val="003E2DEA"/>
    <w:rsid w:val="003E2EC0"/>
    <w:rsid w:val="003E2EC2"/>
    <w:rsid w:val="003E2F2C"/>
    <w:rsid w:val="003E2F41"/>
    <w:rsid w:val="003E2F48"/>
    <w:rsid w:val="003E2FDE"/>
    <w:rsid w:val="003E2FE5"/>
    <w:rsid w:val="003E305F"/>
    <w:rsid w:val="003E30A0"/>
    <w:rsid w:val="003E319C"/>
    <w:rsid w:val="003E31DA"/>
    <w:rsid w:val="003E3293"/>
    <w:rsid w:val="003E330E"/>
    <w:rsid w:val="003E3403"/>
    <w:rsid w:val="003E3453"/>
    <w:rsid w:val="003E34A4"/>
    <w:rsid w:val="003E366D"/>
    <w:rsid w:val="003E3698"/>
    <w:rsid w:val="003E37C7"/>
    <w:rsid w:val="003E381F"/>
    <w:rsid w:val="003E3843"/>
    <w:rsid w:val="003E3855"/>
    <w:rsid w:val="003E3889"/>
    <w:rsid w:val="003E38BF"/>
    <w:rsid w:val="003E3925"/>
    <w:rsid w:val="003E3966"/>
    <w:rsid w:val="003E3A1B"/>
    <w:rsid w:val="003E3A24"/>
    <w:rsid w:val="003E3ADB"/>
    <w:rsid w:val="003E3C0F"/>
    <w:rsid w:val="003E3C1E"/>
    <w:rsid w:val="003E3D72"/>
    <w:rsid w:val="003E3E40"/>
    <w:rsid w:val="003E3E98"/>
    <w:rsid w:val="003E3F22"/>
    <w:rsid w:val="003E3F97"/>
    <w:rsid w:val="003E4093"/>
    <w:rsid w:val="003E41D0"/>
    <w:rsid w:val="003E4288"/>
    <w:rsid w:val="003E42BC"/>
    <w:rsid w:val="003E431B"/>
    <w:rsid w:val="003E4465"/>
    <w:rsid w:val="003E460E"/>
    <w:rsid w:val="003E490A"/>
    <w:rsid w:val="003E4953"/>
    <w:rsid w:val="003E49E6"/>
    <w:rsid w:val="003E4AC8"/>
    <w:rsid w:val="003E4B50"/>
    <w:rsid w:val="003E4C7D"/>
    <w:rsid w:val="003E4C9A"/>
    <w:rsid w:val="003E4D43"/>
    <w:rsid w:val="003E4EA9"/>
    <w:rsid w:val="003E4EAA"/>
    <w:rsid w:val="003E4EBE"/>
    <w:rsid w:val="003E4EF2"/>
    <w:rsid w:val="003E4F08"/>
    <w:rsid w:val="003E4F9A"/>
    <w:rsid w:val="003E4F9E"/>
    <w:rsid w:val="003E4FE6"/>
    <w:rsid w:val="003E4FE8"/>
    <w:rsid w:val="003E505C"/>
    <w:rsid w:val="003E5108"/>
    <w:rsid w:val="003E51F1"/>
    <w:rsid w:val="003E522E"/>
    <w:rsid w:val="003E52ED"/>
    <w:rsid w:val="003E53CD"/>
    <w:rsid w:val="003E53F8"/>
    <w:rsid w:val="003E5435"/>
    <w:rsid w:val="003E550B"/>
    <w:rsid w:val="003E55A8"/>
    <w:rsid w:val="003E560D"/>
    <w:rsid w:val="003E581E"/>
    <w:rsid w:val="003E5825"/>
    <w:rsid w:val="003E582A"/>
    <w:rsid w:val="003E587C"/>
    <w:rsid w:val="003E58A0"/>
    <w:rsid w:val="003E58AC"/>
    <w:rsid w:val="003E5951"/>
    <w:rsid w:val="003E59DD"/>
    <w:rsid w:val="003E5AF0"/>
    <w:rsid w:val="003E5B61"/>
    <w:rsid w:val="003E5B8C"/>
    <w:rsid w:val="003E5BD4"/>
    <w:rsid w:val="003E5C4C"/>
    <w:rsid w:val="003E5C63"/>
    <w:rsid w:val="003E5CB4"/>
    <w:rsid w:val="003E5E34"/>
    <w:rsid w:val="003E5E42"/>
    <w:rsid w:val="003E5EB0"/>
    <w:rsid w:val="003E5FB2"/>
    <w:rsid w:val="003E6006"/>
    <w:rsid w:val="003E6134"/>
    <w:rsid w:val="003E61BF"/>
    <w:rsid w:val="003E623C"/>
    <w:rsid w:val="003E6282"/>
    <w:rsid w:val="003E62CB"/>
    <w:rsid w:val="003E6356"/>
    <w:rsid w:val="003E63D7"/>
    <w:rsid w:val="003E6411"/>
    <w:rsid w:val="003E64A6"/>
    <w:rsid w:val="003E65FC"/>
    <w:rsid w:val="003E6746"/>
    <w:rsid w:val="003E6B03"/>
    <w:rsid w:val="003E6B0F"/>
    <w:rsid w:val="003E6B72"/>
    <w:rsid w:val="003E6C9D"/>
    <w:rsid w:val="003E6D76"/>
    <w:rsid w:val="003E6D79"/>
    <w:rsid w:val="003E6DF8"/>
    <w:rsid w:val="003E6DF9"/>
    <w:rsid w:val="003E6F77"/>
    <w:rsid w:val="003E6F99"/>
    <w:rsid w:val="003E7034"/>
    <w:rsid w:val="003E712E"/>
    <w:rsid w:val="003E71FF"/>
    <w:rsid w:val="003E7242"/>
    <w:rsid w:val="003E724F"/>
    <w:rsid w:val="003E7334"/>
    <w:rsid w:val="003E73B2"/>
    <w:rsid w:val="003E7400"/>
    <w:rsid w:val="003E74B3"/>
    <w:rsid w:val="003E7512"/>
    <w:rsid w:val="003E7550"/>
    <w:rsid w:val="003E75AD"/>
    <w:rsid w:val="003E763B"/>
    <w:rsid w:val="003E7792"/>
    <w:rsid w:val="003E779C"/>
    <w:rsid w:val="003E7835"/>
    <w:rsid w:val="003E78CD"/>
    <w:rsid w:val="003E7942"/>
    <w:rsid w:val="003E796D"/>
    <w:rsid w:val="003E79A9"/>
    <w:rsid w:val="003E7A0E"/>
    <w:rsid w:val="003E7A1F"/>
    <w:rsid w:val="003E7A21"/>
    <w:rsid w:val="003E7A7B"/>
    <w:rsid w:val="003E7AA9"/>
    <w:rsid w:val="003E7ABE"/>
    <w:rsid w:val="003E7B1A"/>
    <w:rsid w:val="003E7B4B"/>
    <w:rsid w:val="003E7C23"/>
    <w:rsid w:val="003E7D23"/>
    <w:rsid w:val="003E7DD5"/>
    <w:rsid w:val="003E7DD9"/>
    <w:rsid w:val="003E7E17"/>
    <w:rsid w:val="003E7E28"/>
    <w:rsid w:val="003E7EDE"/>
    <w:rsid w:val="003E7FC8"/>
    <w:rsid w:val="003F0079"/>
    <w:rsid w:val="003F016D"/>
    <w:rsid w:val="003F0175"/>
    <w:rsid w:val="003F017C"/>
    <w:rsid w:val="003F0386"/>
    <w:rsid w:val="003F04EF"/>
    <w:rsid w:val="003F05D0"/>
    <w:rsid w:val="003F067E"/>
    <w:rsid w:val="003F06E2"/>
    <w:rsid w:val="003F071E"/>
    <w:rsid w:val="003F07DE"/>
    <w:rsid w:val="003F083C"/>
    <w:rsid w:val="003F0895"/>
    <w:rsid w:val="003F09C0"/>
    <w:rsid w:val="003F09F8"/>
    <w:rsid w:val="003F0A43"/>
    <w:rsid w:val="003F0ADC"/>
    <w:rsid w:val="003F0B0D"/>
    <w:rsid w:val="003F0B58"/>
    <w:rsid w:val="003F0C57"/>
    <w:rsid w:val="003F0CF8"/>
    <w:rsid w:val="003F0D55"/>
    <w:rsid w:val="003F0D94"/>
    <w:rsid w:val="003F0DA6"/>
    <w:rsid w:val="003F0DDA"/>
    <w:rsid w:val="003F0E4F"/>
    <w:rsid w:val="003F0F13"/>
    <w:rsid w:val="003F1129"/>
    <w:rsid w:val="003F1216"/>
    <w:rsid w:val="003F121C"/>
    <w:rsid w:val="003F1308"/>
    <w:rsid w:val="003F1324"/>
    <w:rsid w:val="003F13AB"/>
    <w:rsid w:val="003F140D"/>
    <w:rsid w:val="003F1473"/>
    <w:rsid w:val="003F14E9"/>
    <w:rsid w:val="003F14F6"/>
    <w:rsid w:val="003F151B"/>
    <w:rsid w:val="003F155F"/>
    <w:rsid w:val="003F159B"/>
    <w:rsid w:val="003F15AF"/>
    <w:rsid w:val="003F1696"/>
    <w:rsid w:val="003F169E"/>
    <w:rsid w:val="003F1703"/>
    <w:rsid w:val="003F1736"/>
    <w:rsid w:val="003F1768"/>
    <w:rsid w:val="003F184F"/>
    <w:rsid w:val="003F18D6"/>
    <w:rsid w:val="003F192D"/>
    <w:rsid w:val="003F194E"/>
    <w:rsid w:val="003F1980"/>
    <w:rsid w:val="003F19CA"/>
    <w:rsid w:val="003F19E5"/>
    <w:rsid w:val="003F1A85"/>
    <w:rsid w:val="003F1AE8"/>
    <w:rsid w:val="003F1AF6"/>
    <w:rsid w:val="003F1B3D"/>
    <w:rsid w:val="003F1B64"/>
    <w:rsid w:val="003F1BB4"/>
    <w:rsid w:val="003F1BCC"/>
    <w:rsid w:val="003F1C0B"/>
    <w:rsid w:val="003F1C39"/>
    <w:rsid w:val="003F1D6E"/>
    <w:rsid w:val="003F1DAA"/>
    <w:rsid w:val="003F1DDF"/>
    <w:rsid w:val="003F1E95"/>
    <w:rsid w:val="003F1E9B"/>
    <w:rsid w:val="003F1EE3"/>
    <w:rsid w:val="003F1F23"/>
    <w:rsid w:val="003F1F4F"/>
    <w:rsid w:val="003F2074"/>
    <w:rsid w:val="003F2112"/>
    <w:rsid w:val="003F21D6"/>
    <w:rsid w:val="003F2216"/>
    <w:rsid w:val="003F232D"/>
    <w:rsid w:val="003F2422"/>
    <w:rsid w:val="003F2425"/>
    <w:rsid w:val="003F2429"/>
    <w:rsid w:val="003F26EF"/>
    <w:rsid w:val="003F27FA"/>
    <w:rsid w:val="003F2815"/>
    <w:rsid w:val="003F2886"/>
    <w:rsid w:val="003F28B9"/>
    <w:rsid w:val="003F2964"/>
    <w:rsid w:val="003F29D2"/>
    <w:rsid w:val="003F2A70"/>
    <w:rsid w:val="003F2B29"/>
    <w:rsid w:val="003F2B64"/>
    <w:rsid w:val="003F2BE0"/>
    <w:rsid w:val="003F2CDF"/>
    <w:rsid w:val="003F2CE9"/>
    <w:rsid w:val="003F2D42"/>
    <w:rsid w:val="003F2DA0"/>
    <w:rsid w:val="003F2DA2"/>
    <w:rsid w:val="003F2DCA"/>
    <w:rsid w:val="003F2DF2"/>
    <w:rsid w:val="003F3072"/>
    <w:rsid w:val="003F30DE"/>
    <w:rsid w:val="003F30DF"/>
    <w:rsid w:val="003F30F8"/>
    <w:rsid w:val="003F32A2"/>
    <w:rsid w:val="003F3321"/>
    <w:rsid w:val="003F3344"/>
    <w:rsid w:val="003F339B"/>
    <w:rsid w:val="003F33AB"/>
    <w:rsid w:val="003F340D"/>
    <w:rsid w:val="003F3417"/>
    <w:rsid w:val="003F3522"/>
    <w:rsid w:val="003F3534"/>
    <w:rsid w:val="003F3578"/>
    <w:rsid w:val="003F3621"/>
    <w:rsid w:val="003F3646"/>
    <w:rsid w:val="003F3685"/>
    <w:rsid w:val="003F371D"/>
    <w:rsid w:val="003F37F0"/>
    <w:rsid w:val="003F387F"/>
    <w:rsid w:val="003F3939"/>
    <w:rsid w:val="003F39AB"/>
    <w:rsid w:val="003F3A56"/>
    <w:rsid w:val="003F3A7B"/>
    <w:rsid w:val="003F3ABA"/>
    <w:rsid w:val="003F3AFF"/>
    <w:rsid w:val="003F3B8F"/>
    <w:rsid w:val="003F3CE3"/>
    <w:rsid w:val="003F3D8E"/>
    <w:rsid w:val="003F3DDD"/>
    <w:rsid w:val="003F3E8E"/>
    <w:rsid w:val="003F4043"/>
    <w:rsid w:val="003F407C"/>
    <w:rsid w:val="003F416C"/>
    <w:rsid w:val="003F4184"/>
    <w:rsid w:val="003F41C3"/>
    <w:rsid w:val="003F4270"/>
    <w:rsid w:val="003F427F"/>
    <w:rsid w:val="003F42FF"/>
    <w:rsid w:val="003F436F"/>
    <w:rsid w:val="003F43C8"/>
    <w:rsid w:val="003F440E"/>
    <w:rsid w:val="003F4459"/>
    <w:rsid w:val="003F44B6"/>
    <w:rsid w:val="003F4736"/>
    <w:rsid w:val="003F477F"/>
    <w:rsid w:val="003F47B2"/>
    <w:rsid w:val="003F48A4"/>
    <w:rsid w:val="003F48B9"/>
    <w:rsid w:val="003F48D9"/>
    <w:rsid w:val="003F4A9F"/>
    <w:rsid w:val="003F4ABA"/>
    <w:rsid w:val="003F4B02"/>
    <w:rsid w:val="003F4BEA"/>
    <w:rsid w:val="003F4CC8"/>
    <w:rsid w:val="003F4DCF"/>
    <w:rsid w:val="003F4DE1"/>
    <w:rsid w:val="003F4E6F"/>
    <w:rsid w:val="003F4F70"/>
    <w:rsid w:val="003F4F7F"/>
    <w:rsid w:val="003F4FBB"/>
    <w:rsid w:val="003F500E"/>
    <w:rsid w:val="003F5040"/>
    <w:rsid w:val="003F50C6"/>
    <w:rsid w:val="003F5172"/>
    <w:rsid w:val="003F51C1"/>
    <w:rsid w:val="003F52A8"/>
    <w:rsid w:val="003F54C0"/>
    <w:rsid w:val="003F553E"/>
    <w:rsid w:val="003F5649"/>
    <w:rsid w:val="003F56FA"/>
    <w:rsid w:val="003F582E"/>
    <w:rsid w:val="003F587B"/>
    <w:rsid w:val="003F588D"/>
    <w:rsid w:val="003F592E"/>
    <w:rsid w:val="003F5A15"/>
    <w:rsid w:val="003F5B2F"/>
    <w:rsid w:val="003F5B4E"/>
    <w:rsid w:val="003F5C04"/>
    <w:rsid w:val="003F5CA2"/>
    <w:rsid w:val="003F5CE4"/>
    <w:rsid w:val="003F5E6F"/>
    <w:rsid w:val="003F5E8F"/>
    <w:rsid w:val="003F5EB5"/>
    <w:rsid w:val="003F5FAA"/>
    <w:rsid w:val="003F615A"/>
    <w:rsid w:val="003F61A9"/>
    <w:rsid w:val="003F629E"/>
    <w:rsid w:val="003F62A5"/>
    <w:rsid w:val="003F6384"/>
    <w:rsid w:val="003F63B8"/>
    <w:rsid w:val="003F6427"/>
    <w:rsid w:val="003F64D2"/>
    <w:rsid w:val="003F6617"/>
    <w:rsid w:val="003F6674"/>
    <w:rsid w:val="003F66E3"/>
    <w:rsid w:val="003F673F"/>
    <w:rsid w:val="003F67B3"/>
    <w:rsid w:val="003F687C"/>
    <w:rsid w:val="003F6924"/>
    <w:rsid w:val="003F6973"/>
    <w:rsid w:val="003F6A17"/>
    <w:rsid w:val="003F6A7E"/>
    <w:rsid w:val="003F6A97"/>
    <w:rsid w:val="003F6B1A"/>
    <w:rsid w:val="003F6B3E"/>
    <w:rsid w:val="003F6B75"/>
    <w:rsid w:val="003F6C0B"/>
    <w:rsid w:val="003F6C8B"/>
    <w:rsid w:val="003F6D29"/>
    <w:rsid w:val="003F6DDD"/>
    <w:rsid w:val="003F6E5E"/>
    <w:rsid w:val="003F6EC1"/>
    <w:rsid w:val="003F6EDC"/>
    <w:rsid w:val="003F6EF6"/>
    <w:rsid w:val="003F6FCA"/>
    <w:rsid w:val="003F6FDC"/>
    <w:rsid w:val="003F7037"/>
    <w:rsid w:val="003F7080"/>
    <w:rsid w:val="003F70A1"/>
    <w:rsid w:val="003F710B"/>
    <w:rsid w:val="003F71EA"/>
    <w:rsid w:val="003F736B"/>
    <w:rsid w:val="003F7376"/>
    <w:rsid w:val="003F7377"/>
    <w:rsid w:val="003F748A"/>
    <w:rsid w:val="003F7542"/>
    <w:rsid w:val="003F762D"/>
    <w:rsid w:val="003F763E"/>
    <w:rsid w:val="003F769D"/>
    <w:rsid w:val="003F7833"/>
    <w:rsid w:val="003F78CD"/>
    <w:rsid w:val="003F7939"/>
    <w:rsid w:val="003F794A"/>
    <w:rsid w:val="003F794E"/>
    <w:rsid w:val="003F798B"/>
    <w:rsid w:val="003F7AAE"/>
    <w:rsid w:val="003F7C31"/>
    <w:rsid w:val="003F7D72"/>
    <w:rsid w:val="003F7D8E"/>
    <w:rsid w:val="003F7E03"/>
    <w:rsid w:val="003F7E6B"/>
    <w:rsid w:val="003F7E82"/>
    <w:rsid w:val="003F7F17"/>
    <w:rsid w:val="003F7F39"/>
    <w:rsid w:val="003F7FEA"/>
    <w:rsid w:val="0040013E"/>
    <w:rsid w:val="004001AD"/>
    <w:rsid w:val="00400201"/>
    <w:rsid w:val="00400273"/>
    <w:rsid w:val="004002B9"/>
    <w:rsid w:val="004002E0"/>
    <w:rsid w:val="00400300"/>
    <w:rsid w:val="00400403"/>
    <w:rsid w:val="00400497"/>
    <w:rsid w:val="00400534"/>
    <w:rsid w:val="00400566"/>
    <w:rsid w:val="00400619"/>
    <w:rsid w:val="00400640"/>
    <w:rsid w:val="00400641"/>
    <w:rsid w:val="00400665"/>
    <w:rsid w:val="0040069F"/>
    <w:rsid w:val="004007BB"/>
    <w:rsid w:val="0040081A"/>
    <w:rsid w:val="00400834"/>
    <w:rsid w:val="00400A14"/>
    <w:rsid w:val="00400A86"/>
    <w:rsid w:val="00400A8C"/>
    <w:rsid w:val="00400AD7"/>
    <w:rsid w:val="00400B06"/>
    <w:rsid w:val="00400C1A"/>
    <w:rsid w:val="00400E2D"/>
    <w:rsid w:val="00400EF5"/>
    <w:rsid w:val="00400F0C"/>
    <w:rsid w:val="00400FC0"/>
    <w:rsid w:val="00400FE1"/>
    <w:rsid w:val="0040101E"/>
    <w:rsid w:val="004012E7"/>
    <w:rsid w:val="0040130B"/>
    <w:rsid w:val="0040139C"/>
    <w:rsid w:val="004013CF"/>
    <w:rsid w:val="004015C1"/>
    <w:rsid w:val="0040161D"/>
    <w:rsid w:val="00401695"/>
    <w:rsid w:val="00401712"/>
    <w:rsid w:val="00401713"/>
    <w:rsid w:val="00401B0F"/>
    <w:rsid w:val="00401B67"/>
    <w:rsid w:val="00401B93"/>
    <w:rsid w:val="00401BA6"/>
    <w:rsid w:val="00401BE5"/>
    <w:rsid w:val="00401C03"/>
    <w:rsid w:val="00401CA2"/>
    <w:rsid w:val="00401CC7"/>
    <w:rsid w:val="00401D45"/>
    <w:rsid w:val="00401D8D"/>
    <w:rsid w:val="00401E29"/>
    <w:rsid w:val="00401EAE"/>
    <w:rsid w:val="00401EB3"/>
    <w:rsid w:val="00401F20"/>
    <w:rsid w:val="0040205D"/>
    <w:rsid w:val="00402160"/>
    <w:rsid w:val="004021B7"/>
    <w:rsid w:val="004023A5"/>
    <w:rsid w:val="004023D8"/>
    <w:rsid w:val="004023DD"/>
    <w:rsid w:val="00402450"/>
    <w:rsid w:val="00402594"/>
    <w:rsid w:val="0040260B"/>
    <w:rsid w:val="0040270C"/>
    <w:rsid w:val="00402775"/>
    <w:rsid w:val="004027A3"/>
    <w:rsid w:val="0040285E"/>
    <w:rsid w:val="0040286C"/>
    <w:rsid w:val="004028F2"/>
    <w:rsid w:val="00402967"/>
    <w:rsid w:val="004029CE"/>
    <w:rsid w:val="00402A98"/>
    <w:rsid w:val="00402B15"/>
    <w:rsid w:val="00402B22"/>
    <w:rsid w:val="00402BF3"/>
    <w:rsid w:val="00402C06"/>
    <w:rsid w:val="00402C68"/>
    <w:rsid w:val="00402CA5"/>
    <w:rsid w:val="00402CC8"/>
    <w:rsid w:val="00402CE2"/>
    <w:rsid w:val="00402D77"/>
    <w:rsid w:val="00402D9E"/>
    <w:rsid w:val="00402E9E"/>
    <w:rsid w:val="00402F9E"/>
    <w:rsid w:val="00403081"/>
    <w:rsid w:val="004030E7"/>
    <w:rsid w:val="00403105"/>
    <w:rsid w:val="00403115"/>
    <w:rsid w:val="004032B7"/>
    <w:rsid w:val="0040339B"/>
    <w:rsid w:val="0040340F"/>
    <w:rsid w:val="0040349D"/>
    <w:rsid w:val="00403503"/>
    <w:rsid w:val="004035E6"/>
    <w:rsid w:val="004037CB"/>
    <w:rsid w:val="004038AE"/>
    <w:rsid w:val="00403B1B"/>
    <w:rsid w:val="00403B47"/>
    <w:rsid w:val="00403B69"/>
    <w:rsid w:val="00403C44"/>
    <w:rsid w:val="00403C78"/>
    <w:rsid w:val="00403D28"/>
    <w:rsid w:val="00403D86"/>
    <w:rsid w:val="00403D94"/>
    <w:rsid w:val="00403DEB"/>
    <w:rsid w:val="00403EAD"/>
    <w:rsid w:val="00403FC2"/>
    <w:rsid w:val="00403FDD"/>
    <w:rsid w:val="0040418E"/>
    <w:rsid w:val="00404203"/>
    <w:rsid w:val="004042BA"/>
    <w:rsid w:val="004042F7"/>
    <w:rsid w:val="00404426"/>
    <w:rsid w:val="004044DA"/>
    <w:rsid w:val="0040454B"/>
    <w:rsid w:val="00404580"/>
    <w:rsid w:val="004045C5"/>
    <w:rsid w:val="004045D9"/>
    <w:rsid w:val="00404633"/>
    <w:rsid w:val="00404666"/>
    <w:rsid w:val="0040466E"/>
    <w:rsid w:val="00404731"/>
    <w:rsid w:val="004047B9"/>
    <w:rsid w:val="004048E8"/>
    <w:rsid w:val="00404970"/>
    <w:rsid w:val="00404A3E"/>
    <w:rsid w:val="00404AA2"/>
    <w:rsid w:val="00404D70"/>
    <w:rsid w:val="00404DCB"/>
    <w:rsid w:val="00404E74"/>
    <w:rsid w:val="0040502F"/>
    <w:rsid w:val="00405040"/>
    <w:rsid w:val="004050EC"/>
    <w:rsid w:val="00405253"/>
    <w:rsid w:val="00405342"/>
    <w:rsid w:val="004053D4"/>
    <w:rsid w:val="00405481"/>
    <w:rsid w:val="004054FB"/>
    <w:rsid w:val="00405534"/>
    <w:rsid w:val="00405574"/>
    <w:rsid w:val="004055D4"/>
    <w:rsid w:val="00405641"/>
    <w:rsid w:val="0040578C"/>
    <w:rsid w:val="004057EF"/>
    <w:rsid w:val="0040583B"/>
    <w:rsid w:val="004058FA"/>
    <w:rsid w:val="0040590A"/>
    <w:rsid w:val="00405B47"/>
    <w:rsid w:val="00405B98"/>
    <w:rsid w:val="00405BE5"/>
    <w:rsid w:val="00405BF6"/>
    <w:rsid w:val="00405C02"/>
    <w:rsid w:val="00405CC2"/>
    <w:rsid w:val="00405E07"/>
    <w:rsid w:val="00405FAC"/>
    <w:rsid w:val="00405FD5"/>
    <w:rsid w:val="00406093"/>
    <w:rsid w:val="004060A0"/>
    <w:rsid w:val="00406112"/>
    <w:rsid w:val="00406153"/>
    <w:rsid w:val="00406169"/>
    <w:rsid w:val="0040633C"/>
    <w:rsid w:val="0040645B"/>
    <w:rsid w:val="0040645C"/>
    <w:rsid w:val="004065DA"/>
    <w:rsid w:val="004065EA"/>
    <w:rsid w:val="00406609"/>
    <w:rsid w:val="00406613"/>
    <w:rsid w:val="00406676"/>
    <w:rsid w:val="004067A3"/>
    <w:rsid w:val="004067FF"/>
    <w:rsid w:val="004069A2"/>
    <w:rsid w:val="00406C80"/>
    <w:rsid w:val="00406C96"/>
    <w:rsid w:val="00406CDD"/>
    <w:rsid w:val="00406D4C"/>
    <w:rsid w:val="00406E13"/>
    <w:rsid w:val="00406E90"/>
    <w:rsid w:val="00407237"/>
    <w:rsid w:val="0040729A"/>
    <w:rsid w:val="00407374"/>
    <w:rsid w:val="00407397"/>
    <w:rsid w:val="004074EF"/>
    <w:rsid w:val="0040754D"/>
    <w:rsid w:val="00407643"/>
    <w:rsid w:val="004076E6"/>
    <w:rsid w:val="00407881"/>
    <w:rsid w:val="004079DE"/>
    <w:rsid w:val="00407A9C"/>
    <w:rsid w:val="00407E00"/>
    <w:rsid w:val="00407E25"/>
    <w:rsid w:val="00407E9E"/>
    <w:rsid w:val="00407ECC"/>
    <w:rsid w:val="00407F6D"/>
    <w:rsid w:val="00407FFA"/>
    <w:rsid w:val="00410069"/>
    <w:rsid w:val="0041008A"/>
    <w:rsid w:val="004100C5"/>
    <w:rsid w:val="004100CB"/>
    <w:rsid w:val="00410144"/>
    <w:rsid w:val="00410316"/>
    <w:rsid w:val="00410386"/>
    <w:rsid w:val="00410527"/>
    <w:rsid w:val="004105B7"/>
    <w:rsid w:val="00410630"/>
    <w:rsid w:val="004106B6"/>
    <w:rsid w:val="00410845"/>
    <w:rsid w:val="0041099F"/>
    <w:rsid w:val="004109AB"/>
    <w:rsid w:val="00410A36"/>
    <w:rsid w:val="00410A4F"/>
    <w:rsid w:val="00410B27"/>
    <w:rsid w:val="00410B33"/>
    <w:rsid w:val="00410C6C"/>
    <w:rsid w:val="00410CAC"/>
    <w:rsid w:val="00410D84"/>
    <w:rsid w:val="00410DDD"/>
    <w:rsid w:val="00410DDF"/>
    <w:rsid w:val="00410E95"/>
    <w:rsid w:val="00410ECA"/>
    <w:rsid w:val="00410F62"/>
    <w:rsid w:val="004110CC"/>
    <w:rsid w:val="004112AE"/>
    <w:rsid w:val="00411305"/>
    <w:rsid w:val="00411431"/>
    <w:rsid w:val="00411499"/>
    <w:rsid w:val="004114DB"/>
    <w:rsid w:val="004114F9"/>
    <w:rsid w:val="004115D1"/>
    <w:rsid w:val="004115EB"/>
    <w:rsid w:val="00411710"/>
    <w:rsid w:val="00411735"/>
    <w:rsid w:val="0041176D"/>
    <w:rsid w:val="0041188A"/>
    <w:rsid w:val="0041188E"/>
    <w:rsid w:val="004118CF"/>
    <w:rsid w:val="00411922"/>
    <w:rsid w:val="00411947"/>
    <w:rsid w:val="004119A5"/>
    <w:rsid w:val="004119C0"/>
    <w:rsid w:val="004119EB"/>
    <w:rsid w:val="00411B19"/>
    <w:rsid w:val="00411BD6"/>
    <w:rsid w:val="00411C30"/>
    <w:rsid w:val="00411D99"/>
    <w:rsid w:val="00411E69"/>
    <w:rsid w:val="00412030"/>
    <w:rsid w:val="00412073"/>
    <w:rsid w:val="00412078"/>
    <w:rsid w:val="004120C6"/>
    <w:rsid w:val="004121AE"/>
    <w:rsid w:val="0041224C"/>
    <w:rsid w:val="004122DF"/>
    <w:rsid w:val="0041230B"/>
    <w:rsid w:val="0041237F"/>
    <w:rsid w:val="004123AF"/>
    <w:rsid w:val="00412509"/>
    <w:rsid w:val="00412635"/>
    <w:rsid w:val="00412707"/>
    <w:rsid w:val="00412791"/>
    <w:rsid w:val="004127FE"/>
    <w:rsid w:val="004128DE"/>
    <w:rsid w:val="004129E3"/>
    <w:rsid w:val="00412A9A"/>
    <w:rsid w:val="00412B09"/>
    <w:rsid w:val="00412B17"/>
    <w:rsid w:val="00412D7A"/>
    <w:rsid w:val="00412DC0"/>
    <w:rsid w:val="00412EB9"/>
    <w:rsid w:val="00412EC6"/>
    <w:rsid w:val="00412ED3"/>
    <w:rsid w:val="00412EED"/>
    <w:rsid w:val="00412F0F"/>
    <w:rsid w:val="00412F4E"/>
    <w:rsid w:val="00412FEA"/>
    <w:rsid w:val="00413002"/>
    <w:rsid w:val="00413110"/>
    <w:rsid w:val="004131D2"/>
    <w:rsid w:val="00413229"/>
    <w:rsid w:val="00413248"/>
    <w:rsid w:val="004132C8"/>
    <w:rsid w:val="004132EB"/>
    <w:rsid w:val="0041330F"/>
    <w:rsid w:val="004133E2"/>
    <w:rsid w:val="0041340E"/>
    <w:rsid w:val="004134E8"/>
    <w:rsid w:val="00413655"/>
    <w:rsid w:val="004136B7"/>
    <w:rsid w:val="0041373B"/>
    <w:rsid w:val="0041378C"/>
    <w:rsid w:val="00413865"/>
    <w:rsid w:val="00413866"/>
    <w:rsid w:val="00413919"/>
    <w:rsid w:val="00413A83"/>
    <w:rsid w:val="00413A89"/>
    <w:rsid w:val="00413AC8"/>
    <w:rsid w:val="00413B91"/>
    <w:rsid w:val="00413D75"/>
    <w:rsid w:val="00413DD8"/>
    <w:rsid w:val="00413E8D"/>
    <w:rsid w:val="00413EBB"/>
    <w:rsid w:val="00413EFF"/>
    <w:rsid w:val="0041415F"/>
    <w:rsid w:val="004141CA"/>
    <w:rsid w:val="00414227"/>
    <w:rsid w:val="00414254"/>
    <w:rsid w:val="00414286"/>
    <w:rsid w:val="004142A4"/>
    <w:rsid w:val="004142C2"/>
    <w:rsid w:val="00414380"/>
    <w:rsid w:val="004144C8"/>
    <w:rsid w:val="00414531"/>
    <w:rsid w:val="00414546"/>
    <w:rsid w:val="004146A4"/>
    <w:rsid w:val="00414822"/>
    <w:rsid w:val="0041490A"/>
    <w:rsid w:val="00414AE5"/>
    <w:rsid w:val="00414C54"/>
    <w:rsid w:val="00414CCF"/>
    <w:rsid w:val="00414DBE"/>
    <w:rsid w:val="00414DD8"/>
    <w:rsid w:val="00414DFC"/>
    <w:rsid w:val="00414E2B"/>
    <w:rsid w:val="00415093"/>
    <w:rsid w:val="004150A2"/>
    <w:rsid w:val="004151A1"/>
    <w:rsid w:val="00415311"/>
    <w:rsid w:val="004153B6"/>
    <w:rsid w:val="00415499"/>
    <w:rsid w:val="004155D4"/>
    <w:rsid w:val="004155F8"/>
    <w:rsid w:val="00415751"/>
    <w:rsid w:val="00415793"/>
    <w:rsid w:val="004157C3"/>
    <w:rsid w:val="0041580B"/>
    <w:rsid w:val="004159AD"/>
    <w:rsid w:val="00415A3A"/>
    <w:rsid w:val="00415B4F"/>
    <w:rsid w:val="00415C81"/>
    <w:rsid w:val="00415DE6"/>
    <w:rsid w:val="00415F26"/>
    <w:rsid w:val="00415F85"/>
    <w:rsid w:val="00415F98"/>
    <w:rsid w:val="00415FAD"/>
    <w:rsid w:val="00415FB3"/>
    <w:rsid w:val="00415FB8"/>
    <w:rsid w:val="00415FC8"/>
    <w:rsid w:val="00415FDE"/>
    <w:rsid w:val="00415FF0"/>
    <w:rsid w:val="00416026"/>
    <w:rsid w:val="0041603A"/>
    <w:rsid w:val="0041604C"/>
    <w:rsid w:val="00416122"/>
    <w:rsid w:val="004161F2"/>
    <w:rsid w:val="0041636C"/>
    <w:rsid w:val="00416421"/>
    <w:rsid w:val="00416435"/>
    <w:rsid w:val="00416494"/>
    <w:rsid w:val="0041652E"/>
    <w:rsid w:val="00416561"/>
    <w:rsid w:val="00416763"/>
    <w:rsid w:val="00416766"/>
    <w:rsid w:val="0041676C"/>
    <w:rsid w:val="00416781"/>
    <w:rsid w:val="00416857"/>
    <w:rsid w:val="004168F8"/>
    <w:rsid w:val="00416919"/>
    <w:rsid w:val="0041699A"/>
    <w:rsid w:val="004169F9"/>
    <w:rsid w:val="00416A04"/>
    <w:rsid w:val="00416A24"/>
    <w:rsid w:val="00416A87"/>
    <w:rsid w:val="00416B49"/>
    <w:rsid w:val="00416D62"/>
    <w:rsid w:val="00416DC3"/>
    <w:rsid w:val="00416DD5"/>
    <w:rsid w:val="00416E87"/>
    <w:rsid w:val="00417082"/>
    <w:rsid w:val="00417084"/>
    <w:rsid w:val="00417119"/>
    <w:rsid w:val="004171B3"/>
    <w:rsid w:val="00417231"/>
    <w:rsid w:val="00417320"/>
    <w:rsid w:val="0041739E"/>
    <w:rsid w:val="00417498"/>
    <w:rsid w:val="00417540"/>
    <w:rsid w:val="004175BB"/>
    <w:rsid w:val="0041760D"/>
    <w:rsid w:val="004176C7"/>
    <w:rsid w:val="004177B3"/>
    <w:rsid w:val="004177B7"/>
    <w:rsid w:val="004177C5"/>
    <w:rsid w:val="004177F2"/>
    <w:rsid w:val="004177FD"/>
    <w:rsid w:val="0041786D"/>
    <w:rsid w:val="00417962"/>
    <w:rsid w:val="00417A17"/>
    <w:rsid w:val="00417A20"/>
    <w:rsid w:val="00417A31"/>
    <w:rsid w:val="00417AB2"/>
    <w:rsid w:val="00417C84"/>
    <w:rsid w:val="00417CD0"/>
    <w:rsid w:val="00417D13"/>
    <w:rsid w:val="00417D16"/>
    <w:rsid w:val="00417F74"/>
    <w:rsid w:val="00417FD1"/>
    <w:rsid w:val="0041EDFF"/>
    <w:rsid w:val="004200BA"/>
    <w:rsid w:val="004200DD"/>
    <w:rsid w:val="00420126"/>
    <w:rsid w:val="0042012E"/>
    <w:rsid w:val="00420137"/>
    <w:rsid w:val="004201E6"/>
    <w:rsid w:val="004201F4"/>
    <w:rsid w:val="004201FC"/>
    <w:rsid w:val="0042024C"/>
    <w:rsid w:val="00420320"/>
    <w:rsid w:val="0042048C"/>
    <w:rsid w:val="004204D1"/>
    <w:rsid w:val="004205B4"/>
    <w:rsid w:val="004205D2"/>
    <w:rsid w:val="004205D5"/>
    <w:rsid w:val="00420694"/>
    <w:rsid w:val="004206CD"/>
    <w:rsid w:val="004206E7"/>
    <w:rsid w:val="00420812"/>
    <w:rsid w:val="0042089A"/>
    <w:rsid w:val="0042091B"/>
    <w:rsid w:val="0042098A"/>
    <w:rsid w:val="0042098E"/>
    <w:rsid w:val="00420A13"/>
    <w:rsid w:val="00420A19"/>
    <w:rsid w:val="00420A2A"/>
    <w:rsid w:val="00420B3C"/>
    <w:rsid w:val="00420B95"/>
    <w:rsid w:val="00420BAD"/>
    <w:rsid w:val="00420BEC"/>
    <w:rsid w:val="00420C85"/>
    <w:rsid w:val="00420CBD"/>
    <w:rsid w:val="00420D2C"/>
    <w:rsid w:val="00420DFF"/>
    <w:rsid w:val="00420E27"/>
    <w:rsid w:val="0042105B"/>
    <w:rsid w:val="00421239"/>
    <w:rsid w:val="004212ED"/>
    <w:rsid w:val="0042132C"/>
    <w:rsid w:val="0042134D"/>
    <w:rsid w:val="00421360"/>
    <w:rsid w:val="00421366"/>
    <w:rsid w:val="004213B5"/>
    <w:rsid w:val="004213F3"/>
    <w:rsid w:val="00421455"/>
    <w:rsid w:val="004215BA"/>
    <w:rsid w:val="00421651"/>
    <w:rsid w:val="00421686"/>
    <w:rsid w:val="004217D5"/>
    <w:rsid w:val="004217EF"/>
    <w:rsid w:val="00421855"/>
    <w:rsid w:val="004218B7"/>
    <w:rsid w:val="00421979"/>
    <w:rsid w:val="0042199B"/>
    <w:rsid w:val="00421AA5"/>
    <w:rsid w:val="00421B19"/>
    <w:rsid w:val="00421C03"/>
    <w:rsid w:val="00421C66"/>
    <w:rsid w:val="00421C8C"/>
    <w:rsid w:val="00421CFB"/>
    <w:rsid w:val="00421D78"/>
    <w:rsid w:val="00421DA1"/>
    <w:rsid w:val="00421DF9"/>
    <w:rsid w:val="00421EC3"/>
    <w:rsid w:val="00421FD4"/>
    <w:rsid w:val="00421FE4"/>
    <w:rsid w:val="004221AC"/>
    <w:rsid w:val="004221E5"/>
    <w:rsid w:val="0042224A"/>
    <w:rsid w:val="004222CB"/>
    <w:rsid w:val="00422316"/>
    <w:rsid w:val="004223B2"/>
    <w:rsid w:val="0042241D"/>
    <w:rsid w:val="0042251F"/>
    <w:rsid w:val="00422680"/>
    <w:rsid w:val="004226AE"/>
    <w:rsid w:val="00422813"/>
    <w:rsid w:val="004229DE"/>
    <w:rsid w:val="00422BAB"/>
    <w:rsid w:val="00422C3E"/>
    <w:rsid w:val="00422E51"/>
    <w:rsid w:val="00422F7F"/>
    <w:rsid w:val="00422FAB"/>
    <w:rsid w:val="00423019"/>
    <w:rsid w:val="00423030"/>
    <w:rsid w:val="0042309E"/>
    <w:rsid w:val="004230BD"/>
    <w:rsid w:val="004230E2"/>
    <w:rsid w:val="00423218"/>
    <w:rsid w:val="00423262"/>
    <w:rsid w:val="004232A0"/>
    <w:rsid w:val="00423314"/>
    <w:rsid w:val="00423536"/>
    <w:rsid w:val="0042366D"/>
    <w:rsid w:val="0042367A"/>
    <w:rsid w:val="004236E2"/>
    <w:rsid w:val="00423779"/>
    <w:rsid w:val="0042385A"/>
    <w:rsid w:val="004238CE"/>
    <w:rsid w:val="00423959"/>
    <w:rsid w:val="00423A86"/>
    <w:rsid w:val="00423B58"/>
    <w:rsid w:val="00423D9A"/>
    <w:rsid w:val="00423DDC"/>
    <w:rsid w:val="00424023"/>
    <w:rsid w:val="00424030"/>
    <w:rsid w:val="004241D8"/>
    <w:rsid w:val="004241FC"/>
    <w:rsid w:val="00424231"/>
    <w:rsid w:val="00424279"/>
    <w:rsid w:val="004242AD"/>
    <w:rsid w:val="00424379"/>
    <w:rsid w:val="0042439A"/>
    <w:rsid w:val="004243F4"/>
    <w:rsid w:val="00424426"/>
    <w:rsid w:val="004245E7"/>
    <w:rsid w:val="004245E8"/>
    <w:rsid w:val="004246C9"/>
    <w:rsid w:val="0042471F"/>
    <w:rsid w:val="0042478D"/>
    <w:rsid w:val="004247D9"/>
    <w:rsid w:val="00424816"/>
    <w:rsid w:val="00424847"/>
    <w:rsid w:val="004249B9"/>
    <w:rsid w:val="004249D7"/>
    <w:rsid w:val="00424C21"/>
    <w:rsid w:val="00424E0A"/>
    <w:rsid w:val="00424E89"/>
    <w:rsid w:val="004250BC"/>
    <w:rsid w:val="00425129"/>
    <w:rsid w:val="004251AC"/>
    <w:rsid w:val="004251F0"/>
    <w:rsid w:val="0042534E"/>
    <w:rsid w:val="00425450"/>
    <w:rsid w:val="00425481"/>
    <w:rsid w:val="004255D1"/>
    <w:rsid w:val="00425639"/>
    <w:rsid w:val="0042563D"/>
    <w:rsid w:val="0042572A"/>
    <w:rsid w:val="004257B0"/>
    <w:rsid w:val="00425832"/>
    <w:rsid w:val="0042586F"/>
    <w:rsid w:val="004258F4"/>
    <w:rsid w:val="004259C7"/>
    <w:rsid w:val="00425AE1"/>
    <w:rsid w:val="00425B95"/>
    <w:rsid w:val="00425C18"/>
    <w:rsid w:val="00425C55"/>
    <w:rsid w:val="00425D8E"/>
    <w:rsid w:val="00425E81"/>
    <w:rsid w:val="00425ECF"/>
    <w:rsid w:val="00425F18"/>
    <w:rsid w:val="00425F83"/>
    <w:rsid w:val="0042613E"/>
    <w:rsid w:val="00426143"/>
    <w:rsid w:val="00426167"/>
    <w:rsid w:val="004261B8"/>
    <w:rsid w:val="00426292"/>
    <w:rsid w:val="00426371"/>
    <w:rsid w:val="004263BD"/>
    <w:rsid w:val="0042642D"/>
    <w:rsid w:val="0042643A"/>
    <w:rsid w:val="00426448"/>
    <w:rsid w:val="00426509"/>
    <w:rsid w:val="00426538"/>
    <w:rsid w:val="004265B1"/>
    <w:rsid w:val="0042668E"/>
    <w:rsid w:val="004267BE"/>
    <w:rsid w:val="0042683E"/>
    <w:rsid w:val="004268FC"/>
    <w:rsid w:val="00426A24"/>
    <w:rsid w:val="00426CC8"/>
    <w:rsid w:val="00426D1C"/>
    <w:rsid w:val="00426D50"/>
    <w:rsid w:val="00426DFE"/>
    <w:rsid w:val="00426E5A"/>
    <w:rsid w:val="00426FE1"/>
    <w:rsid w:val="00426FFF"/>
    <w:rsid w:val="004270CA"/>
    <w:rsid w:val="004272C4"/>
    <w:rsid w:val="004273AA"/>
    <w:rsid w:val="0042757F"/>
    <w:rsid w:val="00427599"/>
    <w:rsid w:val="004275E6"/>
    <w:rsid w:val="004276D9"/>
    <w:rsid w:val="004276F0"/>
    <w:rsid w:val="004279B9"/>
    <w:rsid w:val="00427B47"/>
    <w:rsid w:val="00427D04"/>
    <w:rsid w:val="00427DBE"/>
    <w:rsid w:val="00427F12"/>
    <w:rsid w:val="00427F48"/>
    <w:rsid w:val="00430069"/>
    <w:rsid w:val="0043014B"/>
    <w:rsid w:val="004301DF"/>
    <w:rsid w:val="0043030F"/>
    <w:rsid w:val="004303F8"/>
    <w:rsid w:val="00430414"/>
    <w:rsid w:val="00430587"/>
    <w:rsid w:val="004305CF"/>
    <w:rsid w:val="004305E8"/>
    <w:rsid w:val="004306FC"/>
    <w:rsid w:val="0043070D"/>
    <w:rsid w:val="00430803"/>
    <w:rsid w:val="0043089D"/>
    <w:rsid w:val="004308A0"/>
    <w:rsid w:val="004309BE"/>
    <w:rsid w:val="004309F0"/>
    <w:rsid w:val="004309F3"/>
    <w:rsid w:val="00430A0F"/>
    <w:rsid w:val="00430A95"/>
    <w:rsid w:val="00430AE1"/>
    <w:rsid w:val="00430B82"/>
    <w:rsid w:val="00430CF8"/>
    <w:rsid w:val="00430DA4"/>
    <w:rsid w:val="00430F6C"/>
    <w:rsid w:val="00431049"/>
    <w:rsid w:val="0043108F"/>
    <w:rsid w:val="004311F1"/>
    <w:rsid w:val="00431387"/>
    <w:rsid w:val="00431390"/>
    <w:rsid w:val="004313A1"/>
    <w:rsid w:val="004313BE"/>
    <w:rsid w:val="00431402"/>
    <w:rsid w:val="0043142C"/>
    <w:rsid w:val="00431438"/>
    <w:rsid w:val="00431452"/>
    <w:rsid w:val="004314F6"/>
    <w:rsid w:val="0043159D"/>
    <w:rsid w:val="004315AE"/>
    <w:rsid w:val="00431610"/>
    <w:rsid w:val="0043165C"/>
    <w:rsid w:val="0043166A"/>
    <w:rsid w:val="004316A4"/>
    <w:rsid w:val="0043174A"/>
    <w:rsid w:val="00431761"/>
    <w:rsid w:val="004317A7"/>
    <w:rsid w:val="004318BD"/>
    <w:rsid w:val="004318E9"/>
    <w:rsid w:val="0043192D"/>
    <w:rsid w:val="00431989"/>
    <w:rsid w:val="004319C4"/>
    <w:rsid w:val="00431A18"/>
    <w:rsid w:val="00431A33"/>
    <w:rsid w:val="00431A44"/>
    <w:rsid w:val="00431A6D"/>
    <w:rsid w:val="00431A9D"/>
    <w:rsid w:val="00431AB3"/>
    <w:rsid w:val="00431AD3"/>
    <w:rsid w:val="00431BF0"/>
    <w:rsid w:val="00431C7F"/>
    <w:rsid w:val="00431C9E"/>
    <w:rsid w:val="00431D53"/>
    <w:rsid w:val="00431F01"/>
    <w:rsid w:val="00431F91"/>
    <w:rsid w:val="00432053"/>
    <w:rsid w:val="0043211D"/>
    <w:rsid w:val="004321F7"/>
    <w:rsid w:val="00432282"/>
    <w:rsid w:val="004322A5"/>
    <w:rsid w:val="004322D6"/>
    <w:rsid w:val="0043238B"/>
    <w:rsid w:val="004323E7"/>
    <w:rsid w:val="00432442"/>
    <w:rsid w:val="0043257C"/>
    <w:rsid w:val="004325AC"/>
    <w:rsid w:val="004326CD"/>
    <w:rsid w:val="004326F3"/>
    <w:rsid w:val="00432760"/>
    <w:rsid w:val="00432764"/>
    <w:rsid w:val="004327ED"/>
    <w:rsid w:val="004328A2"/>
    <w:rsid w:val="00432AA1"/>
    <w:rsid w:val="00432ACA"/>
    <w:rsid w:val="00432B71"/>
    <w:rsid w:val="00432B7D"/>
    <w:rsid w:val="00432BAD"/>
    <w:rsid w:val="00432BEC"/>
    <w:rsid w:val="00432C32"/>
    <w:rsid w:val="00432D39"/>
    <w:rsid w:val="00432DBF"/>
    <w:rsid w:val="00432DE3"/>
    <w:rsid w:val="00432F11"/>
    <w:rsid w:val="00433018"/>
    <w:rsid w:val="0043302A"/>
    <w:rsid w:val="00433036"/>
    <w:rsid w:val="0043305D"/>
    <w:rsid w:val="00433091"/>
    <w:rsid w:val="00433118"/>
    <w:rsid w:val="00433264"/>
    <w:rsid w:val="00433303"/>
    <w:rsid w:val="004333F3"/>
    <w:rsid w:val="00433431"/>
    <w:rsid w:val="00433450"/>
    <w:rsid w:val="004334AB"/>
    <w:rsid w:val="00433518"/>
    <w:rsid w:val="0043352A"/>
    <w:rsid w:val="0043354A"/>
    <w:rsid w:val="004335D2"/>
    <w:rsid w:val="004336D0"/>
    <w:rsid w:val="004336E5"/>
    <w:rsid w:val="004338B5"/>
    <w:rsid w:val="00433923"/>
    <w:rsid w:val="004339AF"/>
    <w:rsid w:val="004339B7"/>
    <w:rsid w:val="00433A42"/>
    <w:rsid w:val="00433A9D"/>
    <w:rsid w:val="00433AF0"/>
    <w:rsid w:val="00433B39"/>
    <w:rsid w:val="00433B76"/>
    <w:rsid w:val="00433B7A"/>
    <w:rsid w:val="00433BD3"/>
    <w:rsid w:val="00433D26"/>
    <w:rsid w:val="00433D3A"/>
    <w:rsid w:val="00433E27"/>
    <w:rsid w:val="00433F6A"/>
    <w:rsid w:val="00433F80"/>
    <w:rsid w:val="00433F8B"/>
    <w:rsid w:val="004341A9"/>
    <w:rsid w:val="004341CD"/>
    <w:rsid w:val="004341ED"/>
    <w:rsid w:val="0043425F"/>
    <w:rsid w:val="004342A1"/>
    <w:rsid w:val="0043437D"/>
    <w:rsid w:val="004343A0"/>
    <w:rsid w:val="00434481"/>
    <w:rsid w:val="0043448D"/>
    <w:rsid w:val="004344EA"/>
    <w:rsid w:val="004345EA"/>
    <w:rsid w:val="0043462E"/>
    <w:rsid w:val="00434679"/>
    <w:rsid w:val="004346A9"/>
    <w:rsid w:val="004346D8"/>
    <w:rsid w:val="004347BE"/>
    <w:rsid w:val="004347C3"/>
    <w:rsid w:val="00434913"/>
    <w:rsid w:val="00434A9C"/>
    <w:rsid w:val="00434B2A"/>
    <w:rsid w:val="00434C3C"/>
    <w:rsid w:val="00434C82"/>
    <w:rsid w:val="00434D14"/>
    <w:rsid w:val="00434EEC"/>
    <w:rsid w:val="00434F16"/>
    <w:rsid w:val="00435104"/>
    <w:rsid w:val="0043526B"/>
    <w:rsid w:val="00435338"/>
    <w:rsid w:val="004354A6"/>
    <w:rsid w:val="00435508"/>
    <w:rsid w:val="004355FC"/>
    <w:rsid w:val="00435840"/>
    <w:rsid w:val="0043586B"/>
    <w:rsid w:val="00435896"/>
    <w:rsid w:val="0043590D"/>
    <w:rsid w:val="00435A40"/>
    <w:rsid w:val="00435B97"/>
    <w:rsid w:val="00435B9E"/>
    <w:rsid w:val="00435C9F"/>
    <w:rsid w:val="00435D12"/>
    <w:rsid w:val="00435D8D"/>
    <w:rsid w:val="00435E05"/>
    <w:rsid w:val="00435E69"/>
    <w:rsid w:val="00435F08"/>
    <w:rsid w:val="00435FEF"/>
    <w:rsid w:val="00435FF5"/>
    <w:rsid w:val="0043607D"/>
    <w:rsid w:val="00436131"/>
    <w:rsid w:val="0043625C"/>
    <w:rsid w:val="0043635D"/>
    <w:rsid w:val="00436379"/>
    <w:rsid w:val="0043638D"/>
    <w:rsid w:val="00436416"/>
    <w:rsid w:val="00436636"/>
    <w:rsid w:val="00436656"/>
    <w:rsid w:val="00436692"/>
    <w:rsid w:val="004366D3"/>
    <w:rsid w:val="00436733"/>
    <w:rsid w:val="0043679F"/>
    <w:rsid w:val="004367A9"/>
    <w:rsid w:val="00436832"/>
    <w:rsid w:val="0043689D"/>
    <w:rsid w:val="00436929"/>
    <w:rsid w:val="00436B68"/>
    <w:rsid w:val="00436C87"/>
    <w:rsid w:val="00436D65"/>
    <w:rsid w:val="00436F23"/>
    <w:rsid w:val="00436FBD"/>
    <w:rsid w:val="00436FDD"/>
    <w:rsid w:val="0043708F"/>
    <w:rsid w:val="00437091"/>
    <w:rsid w:val="004371D5"/>
    <w:rsid w:val="00437298"/>
    <w:rsid w:val="004372BA"/>
    <w:rsid w:val="004372C2"/>
    <w:rsid w:val="00437383"/>
    <w:rsid w:val="004374FF"/>
    <w:rsid w:val="004375CD"/>
    <w:rsid w:val="00437604"/>
    <w:rsid w:val="0043760A"/>
    <w:rsid w:val="0043764D"/>
    <w:rsid w:val="00437751"/>
    <w:rsid w:val="00437765"/>
    <w:rsid w:val="00437774"/>
    <w:rsid w:val="00437782"/>
    <w:rsid w:val="004378BD"/>
    <w:rsid w:val="00437913"/>
    <w:rsid w:val="00437931"/>
    <w:rsid w:val="0043799A"/>
    <w:rsid w:val="0043799D"/>
    <w:rsid w:val="00437A37"/>
    <w:rsid w:val="00437AB8"/>
    <w:rsid w:val="00437ABB"/>
    <w:rsid w:val="00437BD1"/>
    <w:rsid w:val="00437C30"/>
    <w:rsid w:val="00437D6F"/>
    <w:rsid w:val="00437DA6"/>
    <w:rsid w:val="00437E1E"/>
    <w:rsid w:val="00437EFD"/>
    <w:rsid w:val="00437F43"/>
    <w:rsid w:val="00437F46"/>
    <w:rsid w:val="00440076"/>
    <w:rsid w:val="00440127"/>
    <w:rsid w:val="0044022B"/>
    <w:rsid w:val="004402AC"/>
    <w:rsid w:val="004403D0"/>
    <w:rsid w:val="004403D5"/>
    <w:rsid w:val="0044041B"/>
    <w:rsid w:val="0044043E"/>
    <w:rsid w:val="00440479"/>
    <w:rsid w:val="00440574"/>
    <w:rsid w:val="00440588"/>
    <w:rsid w:val="004406E5"/>
    <w:rsid w:val="004407BB"/>
    <w:rsid w:val="004408B9"/>
    <w:rsid w:val="004408EC"/>
    <w:rsid w:val="004408F2"/>
    <w:rsid w:val="00440983"/>
    <w:rsid w:val="004409B9"/>
    <w:rsid w:val="00440A05"/>
    <w:rsid w:val="00440A26"/>
    <w:rsid w:val="00440B8C"/>
    <w:rsid w:val="00440BD0"/>
    <w:rsid w:val="00440C91"/>
    <w:rsid w:val="00440DC4"/>
    <w:rsid w:val="00440E1F"/>
    <w:rsid w:val="00440E81"/>
    <w:rsid w:val="00440E95"/>
    <w:rsid w:val="00440ECD"/>
    <w:rsid w:val="00440F60"/>
    <w:rsid w:val="00440F71"/>
    <w:rsid w:val="0044103A"/>
    <w:rsid w:val="0044124E"/>
    <w:rsid w:val="0044127E"/>
    <w:rsid w:val="00441370"/>
    <w:rsid w:val="00441401"/>
    <w:rsid w:val="00441522"/>
    <w:rsid w:val="004416FF"/>
    <w:rsid w:val="00441749"/>
    <w:rsid w:val="004417A5"/>
    <w:rsid w:val="00441864"/>
    <w:rsid w:val="00441947"/>
    <w:rsid w:val="00441976"/>
    <w:rsid w:val="00441A22"/>
    <w:rsid w:val="00441A2E"/>
    <w:rsid w:val="00441A3D"/>
    <w:rsid w:val="00441A56"/>
    <w:rsid w:val="00441AE1"/>
    <w:rsid w:val="00441B13"/>
    <w:rsid w:val="00441B16"/>
    <w:rsid w:val="00441D3A"/>
    <w:rsid w:val="00441D5F"/>
    <w:rsid w:val="00441D63"/>
    <w:rsid w:val="00441E3B"/>
    <w:rsid w:val="00441F1F"/>
    <w:rsid w:val="00441F9A"/>
    <w:rsid w:val="00442079"/>
    <w:rsid w:val="0044207D"/>
    <w:rsid w:val="00442112"/>
    <w:rsid w:val="00442138"/>
    <w:rsid w:val="00442166"/>
    <w:rsid w:val="00442331"/>
    <w:rsid w:val="00442436"/>
    <w:rsid w:val="004424AE"/>
    <w:rsid w:val="004424DA"/>
    <w:rsid w:val="0044254E"/>
    <w:rsid w:val="004425E5"/>
    <w:rsid w:val="0044266E"/>
    <w:rsid w:val="004426DF"/>
    <w:rsid w:val="0044270E"/>
    <w:rsid w:val="00442731"/>
    <w:rsid w:val="004427A8"/>
    <w:rsid w:val="004427EA"/>
    <w:rsid w:val="004428D3"/>
    <w:rsid w:val="004428ED"/>
    <w:rsid w:val="00442957"/>
    <w:rsid w:val="00442967"/>
    <w:rsid w:val="004429BE"/>
    <w:rsid w:val="004429F4"/>
    <w:rsid w:val="00442AB4"/>
    <w:rsid w:val="00442AC5"/>
    <w:rsid w:val="00442B76"/>
    <w:rsid w:val="00442C3C"/>
    <w:rsid w:val="00442C60"/>
    <w:rsid w:val="00442CC1"/>
    <w:rsid w:val="00442D46"/>
    <w:rsid w:val="00442D83"/>
    <w:rsid w:val="00442E16"/>
    <w:rsid w:val="00442EAD"/>
    <w:rsid w:val="00442FAF"/>
    <w:rsid w:val="0044301E"/>
    <w:rsid w:val="00443042"/>
    <w:rsid w:val="00443077"/>
    <w:rsid w:val="0044313F"/>
    <w:rsid w:val="00443141"/>
    <w:rsid w:val="004431F1"/>
    <w:rsid w:val="00443235"/>
    <w:rsid w:val="00443268"/>
    <w:rsid w:val="004432E8"/>
    <w:rsid w:val="0044354F"/>
    <w:rsid w:val="0044355E"/>
    <w:rsid w:val="00443567"/>
    <w:rsid w:val="0044365D"/>
    <w:rsid w:val="00443689"/>
    <w:rsid w:val="004436AF"/>
    <w:rsid w:val="00443733"/>
    <w:rsid w:val="004437DE"/>
    <w:rsid w:val="00443993"/>
    <w:rsid w:val="0044399F"/>
    <w:rsid w:val="004439D6"/>
    <w:rsid w:val="004439FD"/>
    <w:rsid w:val="00443A07"/>
    <w:rsid w:val="00443A08"/>
    <w:rsid w:val="00443A87"/>
    <w:rsid w:val="00443D00"/>
    <w:rsid w:val="00443E60"/>
    <w:rsid w:val="00443E83"/>
    <w:rsid w:val="00443EDC"/>
    <w:rsid w:val="00443EFC"/>
    <w:rsid w:val="00444017"/>
    <w:rsid w:val="00444091"/>
    <w:rsid w:val="0044415B"/>
    <w:rsid w:val="00444344"/>
    <w:rsid w:val="004443BE"/>
    <w:rsid w:val="004443E1"/>
    <w:rsid w:val="0044441E"/>
    <w:rsid w:val="00444472"/>
    <w:rsid w:val="004444C4"/>
    <w:rsid w:val="004444E9"/>
    <w:rsid w:val="004445B2"/>
    <w:rsid w:val="004445B7"/>
    <w:rsid w:val="0044460A"/>
    <w:rsid w:val="00444626"/>
    <w:rsid w:val="0044481A"/>
    <w:rsid w:val="004448AB"/>
    <w:rsid w:val="004448E4"/>
    <w:rsid w:val="004449B4"/>
    <w:rsid w:val="00444B7D"/>
    <w:rsid w:val="00444DC1"/>
    <w:rsid w:val="00444DD0"/>
    <w:rsid w:val="00444E4C"/>
    <w:rsid w:val="00444EE2"/>
    <w:rsid w:val="00444FF4"/>
    <w:rsid w:val="0044502E"/>
    <w:rsid w:val="00445098"/>
    <w:rsid w:val="004450C8"/>
    <w:rsid w:val="004450F1"/>
    <w:rsid w:val="00445153"/>
    <w:rsid w:val="00445174"/>
    <w:rsid w:val="00445260"/>
    <w:rsid w:val="00445289"/>
    <w:rsid w:val="00445370"/>
    <w:rsid w:val="0044537E"/>
    <w:rsid w:val="0044538D"/>
    <w:rsid w:val="004453BF"/>
    <w:rsid w:val="0044541F"/>
    <w:rsid w:val="0044550B"/>
    <w:rsid w:val="004455D4"/>
    <w:rsid w:val="004455F2"/>
    <w:rsid w:val="0044565A"/>
    <w:rsid w:val="004456D6"/>
    <w:rsid w:val="004456E3"/>
    <w:rsid w:val="00445757"/>
    <w:rsid w:val="0044577D"/>
    <w:rsid w:val="00445781"/>
    <w:rsid w:val="00445797"/>
    <w:rsid w:val="004457DF"/>
    <w:rsid w:val="00445829"/>
    <w:rsid w:val="00445909"/>
    <w:rsid w:val="0044596C"/>
    <w:rsid w:val="004459CC"/>
    <w:rsid w:val="004459CD"/>
    <w:rsid w:val="00445B58"/>
    <w:rsid w:val="00445BEF"/>
    <w:rsid w:val="00445C1E"/>
    <w:rsid w:val="00445CA4"/>
    <w:rsid w:val="00445D1E"/>
    <w:rsid w:val="00445D2C"/>
    <w:rsid w:val="00445D49"/>
    <w:rsid w:val="00445D85"/>
    <w:rsid w:val="00445E55"/>
    <w:rsid w:val="00445E79"/>
    <w:rsid w:val="00445E9A"/>
    <w:rsid w:val="00445F0E"/>
    <w:rsid w:val="00445F39"/>
    <w:rsid w:val="00445F68"/>
    <w:rsid w:val="00445FEF"/>
    <w:rsid w:val="00446159"/>
    <w:rsid w:val="00446188"/>
    <w:rsid w:val="004461EF"/>
    <w:rsid w:val="00446204"/>
    <w:rsid w:val="0044620A"/>
    <w:rsid w:val="004462E3"/>
    <w:rsid w:val="0044636B"/>
    <w:rsid w:val="0044663B"/>
    <w:rsid w:val="00446657"/>
    <w:rsid w:val="00446773"/>
    <w:rsid w:val="00446837"/>
    <w:rsid w:val="00446846"/>
    <w:rsid w:val="004468C9"/>
    <w:rsid w:val="0044691A"/>
    <w:rsid w:val="004469AA"/>
    <w:rsid w:val="00446A0A"/>
    <w:rsid w:val="00446A71"/>
    <w:rsid w:val="00446B96"/>
    <w:rsid w:val="00446BA6"/>
    <w:rsid w:val="00446BBC"/>
    <w:rsid w:val="00446BF1"/>
    <w:rsid w:val="00446BFD"/>
    <w:rsid w:val="00446C13"/>
    <w:rsid w:val="00446C4D"/>
    <w:rsid w:val="00446C96"/>
    <w:rsid w:val="00446D26"/>
    <w:rsid w:val="00446D8F"/>
    <w:rsid w:val="00446EBE"/>
    <w:rsid w:val="00446F04"/>
    <w:rsid w:val="00446F8E"/>
    <w:rsid w:val="00446FA9"/>
    <w:rsid w:val="00447070"/>
    <w:rsid w:val="0044718F"/>
    <w:rsid w:val="004473CA"/>
    <w:rsid w:val="004473FD"/>
    <w:rsid w:val="0044758C"/>
    <w:rsid w:val="00447604"/>
    <w:rsid w:val="00447625"/>
    <w:rsid w:val="0044766D"/>
    <w:rsid w:val="004476AB"/>
    <w:rsid w:val="004476D5"/>
    <w:rsid w:val="00447702"/>
    <w:rsid w:val="004478B1"/>
    <w:rsid w:val="004478D3"/>
    <w:rsid w:val="00447AA3"/>
    <w:rsid w:val="00447AC5"/>
    <w:rsid w:val="00447B5F"/>
    <w:rsid w:val="00447B6F"/>
    <w:rsid w:val="00447C55"/>
    <w:rsid w:val="00447C69"/>
    <w:rsid w:val="00447C75"/>
    <w:rsid w:val="00447D0F"/>
    <w:rsid w:val="00447DD4"/>
    <w:rsid w:val="00447E5C"/>
    <w:rsid w:val="00447EC3"/>
    <w:rsid w:val="0045005B"/>
    <w:rsid w:val="0045008F"/>
    <w:rsid w:val="004500BD"/>
    <w:rsid w:val="00450114"/>
    <w:rsid w:val="00450138"/>
    <w:rsid w:val="00450140"/>
    <w:rsid w:val="00450220"/>
    <w:rsid w:val="00450253"/>
    <w:rsid w:val="00450273"/>
    <w:rsid w:val="00450363"/>
    <w:rsid w:val="004503F7"/>
    <w:rsid w:val="00450455"/>
    <w:rsid w:val="004506EE"/>
    <w:rsid w:val="004506F7"/>
    <w:rsid w:val="0045073B"/>
    <w:rsid w:val="004507B9"/>
    <w:rsid w:val="0045085D"/>
    <w:rsid w:val="004508F5"/>
    <w:rsid w:val="0045099F"/>
    <w:rsid w:val="004509D3"/>
    <w:rsid w:val="00450A44"/>
    <w:rsid w:val="00450B2B"/>
    <w:rsid w:val="00450D42"/>
    <w:rsid w:val="00450D6A"/>
    <w:rsid w:val="00450D7D"/>
    <w:rsid w:val="00450DAB"/>
    <w:rsid w:val="00450E03"/>
    <w:rsid w:val="00450E6E"/>
    <w:rsid w:val="00450E9B"/>
    <w:rsid w:val="00450F1C"/>
    <w:rsid w:val="004510F4"/>
    <w:rsid w:val="004511A7"/>
    <w:rsid w:val="004511F3"/>
    <w:rsid w:val="004512EC"/>
    <w:rsid w:val="004513D2"/>
    <w:rsid w:val="00451453"/>
    <w:rsid w:val="00451475"/>
    <w:rsid w:val="00451480"/>
    <w:rsid w:val="00451519"/>
    <w:rsid w:val="004515C3"/>
    <w:rsid w:val="00451802"/>
    <w:rsid w:val="0045181F"/>
    <w:rsid w:val="00451A39"/>
    <w:rsid w:val="00451A56"/>
    <w:rsid w:val="00451B95"/>
    <w:rsid w:val="00451B9B"/>
    <w:rsid w:val="00451C1D"/>
    <w:rsid w:val="00451C40"/>
    <w:rsid w:val="00451CF5"/>
    <w:rsid w:val="00451D53"/>
    <w:rsid w:val="00451F22"/>
    <w:rsid w:val="004521A1"/>
    <w:rsid w:val="004521D2"/>
    <w:rsid w:val="00452233"/>
    <w:rsid w:val="004523BD"/>
    <w:rsid w:val="00452439"/>
    <w:rsid w:val="0045243D"/>
    <w:rsid w:val="004524AC"/>
    <w:rsid w:val="0045255D"/>
    <w:rsid w:val="00452584"/>
    <w:rsid w:val="004526D7"/>
    <w:rsid w:val="004526DA"/>
    <w:rsid w:val="00452813"/>
    <w:rsid w:val="0045287B"/>
    <w:rsid w:val="00452951"/>
    <w:rsid w:val="00452978"/>
    <w:rsid w:val="00452990"/>
    <w:rsid w:val="00452A05"/>
    <w:rsid w:val="00452A1D"/>
    <w:rsid w:val="00452B11"/>
    <w:rsid w:val="00452C25"/>
    <w:rsid w:val="00452C45"/>
    <w:rsid w:val="00452CC1"/>
    <w:rsid w:val="00452CC2"/>
    <w:rsid w:val="00452CD4"/>
    <w:rsid w:val="00452D81"/>
    <w:rsid w:val="00452D86"/>
    <w:rsid w:val="0045306C"/>
    <w:rsid w:val="004530B9"/>
    <w:rsid w:val="004531C8"/>
    <w:rsid w:val="004531CA"/>
    <w:rsid w:val="00453201"/>
    <w:rsid w:val="00453203"/>
    <w:rsid w:val="00453231"/>
    <w:rsid w:val="004532C3"/>
    <w:rsid w:val="00453401"/>
    <w:rsid w:val="004534BE"/>
    <w:rsid w:val="0045367E"/>
    <w:rsid w:val="00453687"/>
    <w:rsid w:val="004536CB"/>
    <w:rsid w:val="00453706"/>
    <w:rsid w:val="0045374C"/>
    <w:rsid w:val="00453830"/>
    <w:rsid w:val="00453853"/>
    <w:rsid w:val="0045386A"/>
    <w:rsid w:val="00453918"/>
    <w:rsid w:val="0045396E"/>
    <w:rsid w:val="004539AA"/>
    <w:rsid w:val="004539C9"/>
    <w:rsid w:val="004539E6"/>
    <w:rsid w:val="00453A4A"/>
    <w:rsid w:val="00453B13"/>
    <w:rsid w:val="00453BEB"/>
    <w:rsid w:val="00453C5B"/>
    <w:rsid w:val="00453E13"/>
    <w:rsid w:val="00453F23"/>
    <w:rsid w:val="00453F32"/>
    <w:rsid w:val="00453FF8"/>
    <w:rsid w:val="004540C3"/>
    <w:rsid w:val="0045414D"/>
    <w:rsid w:val="004541A9"/>
    <w:rsid w:val="004541E0"/>
    <w:rsid w:val="00454233"/>
    <w:rsid w:val="00454278"/>
    <w:rsid w:val="00454297"/>
    <w:rsid w:val="004542B8"/>
    <w:rsid w:val="004543B2"/>
    <w:rsid w:val="004543B8"/>
    <w:rsid w:val="00454439"/>
    <w:rsid w:val="004544AD"/>
    <w:rsid w:val="004544D5"/>
    <w:rsid w:val="00454554"/>
    <w:rsid w:val="00454662"/>
    <w:rsid w:val="0045479D"/>
    <w:rsid w:val="004547EA"/>
    <w:rsid w:val="00454828"/>
    <w:rsid w:val="004548BC"/>
    <w:rsid w:val="00454900"/>
    <w:rsid w:val="0045491E"/>
    <w:rsid w:val="004549DB"/>
    <w:rsid w:val="00454AC2"/>
    <w:rsid w:val="00454AFD"/>
    <w:rsid w:val="00454B8B"/>
    <w:rsid w:val="00454BB2"/>
    <w:rsid w:val="00454C6D"/>
    <w:rsid w:val="00454CBF"/>
    <w:rsid w:val="00454D8A"/>
    <w:rsid w:val="00454DB4"/>
    <w:rsid w:val="00454E0C"/>
    <w:rsid w:val="00454E44"/>
    <w:rsid w:val="00454E7D"/>
    <w:rsid w:val="00454F07"/>
    <w:rsid w:val="00454F2B"/>
    <w:rsid w:val="00454FAC"/>
    <w:rsid w:val="00454FD0"/>
    <w:rsid w:val="00455123"/>
    <w:rsid w:val="00455126"/>
    <w:rsid w:val="004551CC"/>
    <w:rsid w:val="00455216"/>
    <w:rsid w:val="00455264"/>
    <w:rsid w:val="00455265"/>
    <w:rsid w:val="004552CA"/>
    <w:rsid w:val="0045542E"/>
    <w:rsid w:val="0045546F"/>
    <w:rsid w:val="00455678"/>
    <w:rsid w:val="0045589C"/>
    <w:rsid w:val="004558C1"/>
    <w:rsid w:val="004559A6"/>
    <w:rsid w:val="00455ABA"/>
    <w:rsid w:val="00455B08"/>
    <w:rsid w:val="00455B39"/>
    <w:rsid w:val="00455B54"/>
    <w:rsid w:val="00455BC3"/>
    <w:rsid w:val="00455BC7"/>
    <w:rsid w:val="00455F7C"/>
    <w:rsid w:val="00455FC2"/>
    <w:rsid w:val="00455FC9"/>
    <w:rsid w:val="00456066"/>
    <w:rsid w:val="00456124"/>
    <w:rsid w:val="00456147"/>
    <w:rsid w:val="0045628B"/>
    <w:rsid w:val="004562BA"/>
    <w:rsid w:val="004563A9"/>
    <w:rsid w:val="004563AA"/>
    <w:rsid w:val="004564E4"/>
    <w:rsid w:val="004564F6"/>
    <w:rsid w:val="0045650B"/>
    <w:rsid w:val="00456578"/>
    <w:rsid w:val="00456643"/>
    <w:rsid w:val="0045673E"/>
    <w:rsid w:val="00456875"/>
    <w:rsid w:val="004568DA"/>
    <w:rsid w:val="004568FE"/>
    <w:rsid w:val="00456AB1"/>
    <w:rsid w:val="00456AB4"/>
    <w:rsid w:val="00456B4A"/>
    <w:rsid w:val="00456B70"/>
    <w:rsid w:val="00456B95"/>
    <w:rsid w:val="00456B98"/>
    <w:rsid w:val="00456BA3"/>
    <w:rsid w:val="00456C7F"/>
    <w:rsid w:val="00456D06"/>
    <w:rsid w:val="00456D3D"/>
    <w:rsid w:val="00456DA0"/>
    <w:rsid w:val="00456E19"/>
    <w:rsid w:val="00456E40"/>
    <w:rsid w:val="00456E89"/>
    <w:rsid w:val="00456FBF"/>
    <w:rsid w:val="004570AD"/>
    <w:rsid w:val="004570C9"/>
    <w:rsid w:val="004570FD"/>
    <w:rsid w:val="0045716B"/>
    <w:rsid w:val="004571FA"/>
    <w:rsid w:val="004572D5"/>
    <w:rsid w:val="0045740E"/>
    <w:rsid w:val="004574D8"/>
    <w:rsid w:val="004575C4"/>
    <w:rsid w:val="004575E4"/>
    <w:rsid w:val="0045768F"/>
    <w:rsid w:val="004576B0"/>
    <w:rsid w:val="004577D3"/>
    <w:rsid w:val="00457850"/>
    <w:rsid w:val="004578F5"/>
    <w:rsid w:val="00457B06"/>
    <w:rsid w:val="00457CA1"/>
    <w:rsid w:val="00457D4A"/>
    <w:rsid w:val="00457D85"/>
    <w:rsid w:val="00457F6D"/>
    <w:rsid w:val="00460074"/>
    <w:rsid w:val="0046017C"/>
    <w:rsid w:val="004601D0"/>
    <w:rsid w:val="00460234"/>
    <w:rsid w:val="004602A5"/>
    <w:rsid w:val="004603D7"/>
    <w:rsid w:val="004604A4"/>
    <w:rsid w:val="00460572"/>
    <w:rsid w:val="0046057E"/>
    <w:rsid w:val="0046068B"/>
    <w:rsid w:val="004606A5"/>
    <w:rsid w:val="004606C1"/>
    <w:rsid w:val="0046073E"/>
    <w:rsid w:val="004607CE"/>
    <w:rsid w:val="00460968"/>
    <w:rsid w:val="004609BB"/>
    <w:rsid w:val="00460A12"/>
    <w:rsid w:val="00460ADA"/>
    <w:rsid w:val="00460C3F"/>
    <w:rsid w:val="00460CF6"/>
    <w:rsid w:val="00460ECE"/>
    <w:rsid w:val="00460F88"/>
    <w:rsid w:val="00460F9E"/>
    <w:rsid w:val="00461040"/>
    <w:rsid w:val="00461062"/>
    <w:rsid w:val="004610A4"/>
    <w:rsid w:val="004610C1"/>
    <w:rsid w:val="00461112"/>
    <w:rsid w:val="004611D6"/>
    <w:rsid w:val="00461293"/>
    <w:rsid w:val="004612C9"/>
    <w:rsid w:val="00461470"/>
    <w:rsid w:val="0046156D"/>
    <w:rsid w:val="00461583"/>
    <w:rsid w:val="00461675"/>
    <w:rsid w:val="004616F3"/>
    <w:rsid w:val="004616F6"/>
    <w:rsid w:val="0046174D"/>
    <w:rsid w:val="00461753"/>
    <w:rsid w:val="00461792"/>
    <w:rsid w:val="004617B2"/>
    <w:rsid w:val="004617C1"/>
    <w:rsid w:val="00461832"/>
    <w:rsid w:val="004618B2"/>
    <w:rsid w:val="0046191F"/>
    <w:rsid w:val="00461957"/>
    <w:rsid w:val="00461982"/>
    <w:rsid w:val="004619CE"/>
    <w:rsid w:val="00461A55"/>
    <w:rsid w:val="00461A63"/>
    <w:rsid w:val="00461A6B"/>
    <w:rsid w:val="00461ACE"/>
    <w:rsid w:val="00461C07"/>
    <w:rsid w:val="00461C61"/>
    <w:rsid w:val="00461DA8"/>
    <w:rsid w:val="00461EE6"/>
    <w:rsid w:val="00461F58"/>
    <w:rsid w:val="00461FA7"/>
    <w:rsid w:val="0046200C"/>
    <w:rsid w:val="00462084"/>
    <w:rsid w:val="00462112"/>
    <w:rsid w:val="0046213A"/>
    <w:rsid w:val="0046213E"/>
    <w:rsid w:val="00462144"/>
    <w:rsid w:val="00462149"/>
    <w:rsid w:val="004621AC"/>
    <w:rsid w:val="004621C4"/>
    <w:rsid w:val="0046224A"/>
    <w:rsid w:val="00462256"/>
    <w:rsid w:val="00462264"/>
    <w:rsid w:val="0046226B"/>
    <w:rsid w:val="0046234F"/>
    <w:rsid w:val="00462402"/>
    <w:rsid w:val="00462532"/>
    <w:rsid w:val="004625CF"/>
    <w:rsid w:val="0046261F"/>
    <w:rsid w:val="00462673"/>
    <w:rsid w:val="00462756"/>
    <w:rsid w:val="004627F6"/>
    <w:rsid w:val="00462953"/>
    <w:rsid w:val="00462AA0"/>
    <w:rsid w:val="00462C2D"/>
    <w:rsid w:val="00462C2F"/>
    <w:rsid w:val="00462CF7"/>
    <w:rsid w:val="00462D3A"/>
    <w:rsid w:val="0046311B"/>
    <w:rsid w:val="00463123"/>
    <w:rsid w:val="0046318F"/>
    <w:rsid w:val="004631AC"/>
    <w:rsid w:val="00463335"/>
    <w:rsid w:val="00463390"/>
    <w:rsid w:val="004633BF"/>
    <w:rsid w:val="004633C7"/>
    <w:rsid w:val="004633E5"/>
    <w:rsid w:val="004634B2"/>
    <w:rsid w:val="00463542"/>
    <w:rsid w:val="00463549"/>
    <w:rsid w:val="004635AA"/>
    <w:rsid w:val="00463623"/>
    <w:rsid w:val="004636D5"/>
    <w:rsid w:val="00463798"/>
    <w:rsid w:val="00463835"/>
    <w:rsid w:val="00463879"/>
    <w:rsid w:val="00463889"/>
    <w:rsid w:val="004638DA"/>
    <w:rsid w:val="00463B60"/>
    <w:rsid w:val="00463B80"/>
    <w:rsid w:val="00463B89"/>
    <w:rsid w:val="00463C86"/>
    <w:rsid w:val="00463D23"/>
    <w:rsid w:val="00463D7B"/>
    <w:rsid w:val="00463DA2"/>
    <w:rsid w:val="00463DCD"/>
    <w:rsid w:val="00463DE2"/>
    <w:rsid w:val="00463ED2"/>
    <w:rsid w:val="00463F44"/>
    <w:rsid w:val="00463FBD"/>
    <w:rsid w:val="0046404B"/>
    <w:rsid w:val="00464077"/>
    <w:rsid w:val="00464438"/>
    <w:rsid w:val="0046445E"/>
    <w:rsid w:val="004644A0"/>
    <w:rsid w:val="004644BF"/>
    <w:rsid w:val="004645BF"/>
    <w:rsid w:val="00464695"/>
    <w:rsid w:val="004646AB"/>
    <w:rsid w:val="004646AE"/>
    <w:rsid w:val="00464853"/>
    <w:rsid w:val="004648CD"/>
    <w:rsid w:val="004648E3"/>
    <w:rsid w:val="00464A3B"/>
    <w:rsid w:val="00464A4C"/>
    <w:rsid w:val="00464A63"/>
    <w:rsid w:val="00464A9C"/>
    <w:rsid w:val="00464CD8"/>
    <w:rsid w:val="00464CF9"/>
    <w:rsid w:val="00464DA4"/>
    <w:rsid w:val="00464F1F"/>
    <w:rsid w:val="00464FEE"/>
    <w:rsid w:val="0046515D"/>
    <w:rsid w:val="0046533A"/>
    <w:rsid w:val="004653B1"/>
    <w:rsid w:val="00465418"/>
    <w:rsid w:val="004654CC"/>
    <w:rsid w:val="00465514"/>
    <w:rsid w:val="004655C3"/>
    <w:rsid w:val="0046560C"/>
    <w:rsid w:val="004656FC"/>
    <w:rsid w:val="00465756"/>
    <w:rsid w:val="00465889"/>
    <w:rsid w:val="0046599C"/>
    <w:rsid w:val="004659F2"/>
    <w:rsid w:val="00465A16"/>
    <w:rsid w:val="00465A37"/>
    <w:rsid w:val="00465A83"/>
    <w:rsid w:val="00465C89"/>
    <w:rsid w:val="00465E83"/>
    <w:rsid w:val="00465FC7"/>
    <w:rsid w:val="00465FC8"/>
    <w:rsid w:val="00466014"/>
    <w:rsid w:val="00466067"/>
    <w:rsid w:val="00466176"/>
    <w:rsid w:val="004661D1"/>
    <w:rsid w:val="004662B9"/>
    <w:rsid w:val="00466509"/>
    <w:rsid w:val="00466517"/>
    <w:rsid w:val="004665B2"/>
    <w:rsid w:val="004666AA"/>
    <w:rsid w:val="004667F3"/>
    <w:rsid w:val="0046680A"/>
    <w:rsid w:val="004668C4"/>
    <w:rsid w:val="00466915"/>
    <w:rsid w:val="004669B0"/>
    <w:rsid w:val="004669C5"/>
    <w:rsid w:val="00466A6E"/>
    <w:rsid w:val="00466A99"/>
    <w:rsid w:val="00466AAF"/>
    <w:rsid w:val="00466B7D"/>
    <w:rsid w:val="00466BE7"/>
    <w:rsid w:val="00466CEF"/>
    <w:rsid w:val="00466D33"/>
    <w:rsid w:val="00466DF3"/>
    <w:rsid w:val="00466E16"/>
    <w:rsid w:val="00466E7E"/>
    <w:rsid w:val="00466FE1"/>
    <w:rsid w:val="00466FF0"/>
    <w:rsid w:val="0046703C"/>
    <w:rsid w:val="004670B1"/>
    <w:rsid w:val="0046714E"/>
    <w:rsid w:val="0046717D"/>
    <w:rsid w:val="004671BA"/>
    <w:rsid w:val="00467276"/>
    <w:rsid w:val="004673C4"/>
    <w:rsid w:val="00467482"/>
    <w:rsid w:val="0046749B"/>
    <w:rsid w:val="004674C1"/>
    <w:rsid w:val="004674E3"/>
    <w:rsid w:val="00467555"/>
    <w:rsid w:val="00467584"/>
    <w:rsid w:val="00467626"/>
    <w:rsid w:val="00467656"/>
    <w:rsid w:val="0046768E"/>
    <w:rsid w:val="00467745"/>
    <w:rsid w:val="00467757"/>
    <w:rsid w:val="004678AD"/>
    <w:rsid w:val="00467B12"/>
    <w:rsid w:val="00467C32"/>
    <w:rsid w:val="00467CAA"/>
    <w:rsid w:val="00467D74"/>
    <w:rsid w:val="00467D89"/>
    <w:rsid w:val="00467DF6"/>
    <w:rsid w:val="00467F02"/>
    <w:rsid w:val="00467F15"/>
    <w:rsid w:val="00467F7A"/>
    <w:rsid w:val="00467F83"/>
    <w:rsid w:val="00467FB5"/>
    <w:rsid w:val="00467FE8"/>
    <w:rsid w:val="0046922B"/>
    <w:rsid w:val="0046FF16"/>
    <w:rsid w:val="00470197"/>
    <w:rsid w:val="004702D0"/>
    <w:rsid w:val="00470361"/>
    <w:rsid w:val="00470364"/>
    <w:rsid w:val="0047048E"/>
    <w:rsid w:val="004704D1"/>
    <w:rsid w:val="004705FC"/>
    <w:rsid w:val="0047062E"/>
    <w:rsid w:val="004706A7"/>
    <w:rsid w:val="004706DB"/>
    <w:rsid w:val="00470702"/>
    <w:rsid w:val="00470714"/>
    <w:rsid w:val="00470802"/>
    <w:rsid w:val="00470867"/>
    <w:rsid w:val="00470A97"/>
    <w:rsid w:val="00470AF8"/>
    <w:rsid w:val="00470B13"/>
    <w:rsid w:val="00470B3C"/>
    <w:rsid w:val="00470BDD"/>
    <w:rsid w:val="00470BEA"/>
    <w:rsid w:val="00470E5E"/>
    <w:rsid w:val="00470E7F"/>
    <w:rsid w:val="00470E92"/>
    <w:rsid w:val="00470F08"/>
    <w:rsid w:val="00470FE1"/>
    <w:rsid w:val="00470FE4"/>
    <w:rsid w:val="00471038"/>
    <w:rsid w:val="004711A5"/>
    <w:rsid w:val="004711DC"/>
    <w:rsid w:val="004712C8"/>
    <w:rsid w:val="00471300"/>
    <w:rsid w:val="00471319"/>
    <w:rsid w:val="004713C3"/>
    <w:rsid w:val="0047141F"/>
    <w:rsid w:val="00471507"/>
    <w:rsid w:val="00471518"/>
    <w:rsid w:val="004715D5"/>
    <w:rsid w:val="004715EC"/>
    <w:rsid w:val="00471624"/>
    <w:rsid w:val="004716BF"/>
    <w:rsid w:val="00471730"/>
    <w:rsid w:val="00471738"/>
    <w:rsid w:val="00471791"/>
    <w:rsid w:val="00471828"/>
    <w:rsid w:val="00471928"/>
    <w:rsid w:val="00471959"/>
    <w:rsid w:val="004719F2"/>
    <w:rsid w:val="00471C96"/>
    <w:rsid w:val="00471CA1"/>
    <w:rsid w:val="00471D1E"/>
    <w:rsid w:val="00471DC0"/>
    <w:rsid w:val="00471EC4"/>
    <w:rsid w:val="0047225D"/>
    <w:rsid w:val="00472280"/>
    <w:rsid w:val="00472344"/>
    <w:rsid w:val="0047249A"/>
    <w:rsid w:val="0047250A"/>
    <w:rsid w:val="00472514"/>
    <w:rsid w:val="00472583"/>
    <w:rsid w:val="004725C3"/>
    <w:rsid w:val="004725D6"/>
    <w:rsid w:val="00472631"/>
    <w:rsid w:val="0047283D"/>
    <w:rsid w:val="0047284F"/>
    <w:rsid w:val="0047285A"/>
    <w:rsid w:val="004728DE"/>
    <w:rsid w:val="00472938"/>
    <w:rsid w:val="00472A29"/>
    <w:rsid w:val="00472A37"/>
    <w:rsid w:val="00472A63"/>
    <w:rsid w:val="00472B5A"/>
    <w:rsid w:val="00472BCA"/>
    <w:rsid w:val="00472DB9"/>
    <w:rsid w:val="00472F2A"/>
    <w:rsid w:val="00472FC9"/>
    <w:rsid w:val="00472FF9"/>
    <w:rsid w:val="004730AC"/>
    <w:rsid w:val="004730CB"/>
    <w:rsid w:val="00473166"/>
    <w:rsid w:val="004731C2"/>
    <w:rsid w:val="0047325C"/>
    <w:rsid w:val="00473266"/>
    <w:rsid w:val="0047327A"/>
    <w:rsid w:val="004732B7"/>
    <w:rsid w:val="0047335B"/>
    <w:rsid w:val="00473527"/>
    <w:rsid w:val="0047354A"/>
    <w:rsid w:val="00473561"/>
    <w:rsid w:val="00473569"/>
    <w:rsid w:val="004735D5"/>
    <w:rsid w:val="004735E2"/>
    <w:rsid w:val="004735EF"/>
    <w:rsid w:val="00473614"/>
    <w:rsid w:val="004736E0"/>
    <w:rsid w:val="00473769"/>
    <w:rsid w:val="00473784"/>
    <w:rsid w:val="004737AF"/>
    <w:rsid w:val="00473803"/>
    <w:rsid w:val="00473896"/>
    <w:rsid w:val="00473987"/>
    <w:rsid w:val="004739CE"/>
    <w:rsid w:val="00473A28"/>
    <w:rsid w:val="00473C8B"/>
    <w:rsid w:val="00473CCD"/>
    <w:rsid w:val="00473CDE"/>
    <w:rsid w:val="00473CE4"/>
    <w:rsid w:val="00473CFA"/>
    <w:rsid w:val="00473E5F"/>
    <w:rsid w:val="00474006"/>
    <w:rsid w:val="00474039"/>
    <w:rsid w:val="00474154"/>
    <w:rsid w:val="0047416C"/>
    <w:rsid w:val="004741C0"/>
    <w:rsid w:val="004741E9"/>
    <w:rsid w:val="004741F5"/>
    <w:rsid w:val="004742D3"/>
    <w:rsid w:val="00474349"/>
    <w:rsid w:val="00474359"/>
    <w:rsid w:val="00474365"/>
    <w:rsid w:val="004743FC"/>
    <w:rsid w:val="00474418"/>
    <w:rsid w:val="00474474"/>
    <w:rsid w:val="00474493"/>
    <w:rsid w:val="00474692"/>
    <w:rsid w:val="00474713"/>
    <w:rsid w:val="00474718"/>
    <w:rsid w:val="00474727"/>
    <w:rsid w:val="00474758"/>
    <w:rsid w:val="0047479B"/>
    <w:rsid w:val="00474832"/>
    <w:rsid w:val="0047483B"/>
    <w:rsid w:val="004748E1"/>
    <w:rsid w:val="00474925"/>
    <w:rsid w:val="0047497E"/>
    <w:rsid w:val="00474982"/>
    <w:rsid w:val="00474A3A"/>
    <w:rsid w:val="00474AA7"/>
    <w:rsid w:val="00474ABE"/>
    <w:rsid w:val="00474BED"/>
    <w:rsid w:val="00474BF5"/>
    <w:rsid w:val="00474CA9"/>
    <w:rsid w:val="00474D3A"/>
    <w:rsid w:val="00474D62"/>
    <w:rsid w:val="00474DE4"/>
    <w:rsid w:val="00474FA0"/>
    <w:rsid w:val="00474FD0"/>
    <w:rsid w:val="004751E4"/>
    <w:rsid w:val="00475201"/>
    <w:rsid w:val="00475202"/>
    <w:rsid w:val="00475392"/>
    <w:rsid w:val="004753C9"/>
    <w:rsid w:val="00475403"/>
    <w:rsid w:val="0047544D"/>
    <w:rsid w:val="00475475"/>
    <w:rsid w:val="004754D7"/>
    <w:rsid w:val="00475694"/>
    <w:rsid w:val="0047570E"/>
    <w:rsid w:val="0047581B"/>
    <w:rsid w:val="0047582A"/>
    <w:rsid w:val="004758FE"/>
    <w:rsid w:val="00475A0B"/>
    <w:rsid w:val="00475A6E"/>
    <w:rsid w:val="00475ACA"/>
    <w:rsid w:val="00475AFC"/>
    <w:rsid w:val="00475B8C"/>
    <w:rsid w:val="00475C85"/>
    <w:rsid w:val="00475D45"/>
    <w:rsid w:val="00475E4E"/>
    <w:rsid w:val="00475E7A"/>
    <w:rsid w:val="00475F04"/>
    <w:rsid w:val="00475F51"/>
    <w:rsid w:val="0047600D"/>
    <w:rsid w:val="004760F1"/>
    <w:rsid w:val="004760FE"/>
    <w:rsid w:val="004761C0"/>
    <w:rsid w:val="0047631B"/>
    <w:rsid w:val="0047632B"/>
    <w:rsid w:val="0047638F"/>
    <w:rsid w:val="004764BA"/>
    <w:rsid w:val="004764BE"/>
    <w:rsid w:val="00476534"/>
    <w:rsid w:val="0047664A"/>
    <w:rsid w:val="004768EB"/>
    <w:rsid w:val="004769B8"/>
    <w:rsid w:val="004769FE"/>
    <w:rsid w:val="00476A02"/>
    <w:rsid w:val="00476A30"/>
    <w:rsid w:val="00476B05"/>
    <w:rsid w:val="00476B40"/>
    <w:rsid w:val="00476B7E"/>
    <w:rsid w:val="00476BD6"/>
    <w:rsid w:val="00476C1D"/>
    <w:rsid w:val="00476C81"/>
    <w:rsid w:val="00476D00"/>
    <w:rsid w:val="00476D0F"/>
    <w:rsid w:val="00476DCD"/>
    <w:rsid w:val="00476DEF"/>
    <w:rsid w:val="00476EC6"/>
    <w:rsid w:val="00476F15"/>
    <w:rsid w:val="00477016"/>
    <w:rsid w:val="00477030"/>
    <w:rsid w:val="00477169"/>
    <w:rsid w:val="0047716A"/>
    <w:rsid w:val="004771E7"/>
    <w:rsid w:val="004771FD"/>
    <w:rsid w:val="00477205"/>
    <w:rsid w:val="004772D2"/>
    <w:rsid w:val="00477364"/>
    <w:rsid w:val="0047736F"/>
    <w:rsid w:val="004773CF"/>
    <w:rsid w:val="004775B2"/>
    <w:rsid w:val="004775CD"/>
    <w:rsid w:val="004775F2"/>
    <w:rsid w:val="00477612"/>
    <w:rsid w:val="00477740"/>
    <w:rsid w:val="00477759"/>
    <w:rsid w:val="004777F2"/>
    <w:rsid w:val="00477880"/>
    <w:rsid w:val="0047789B"/>
    <w:rsid w:val="004778A9"/>
    <w:rsid w:val="004778DC"/>
    <w:rsid w:val="004778F8"/>
    <w:rsid w:val="00477943"/>
    <w:rsid w:val="00477A30"/>
    <w:rsid w:val="00477A5B"/>
    <w:rsid w:val="00477A74"/>
    <w:rsid w:val="00477C9A"/>
    <w:rsid w:val="00477CBC"/>
    <w:rsid w:val="00477CF6"/>
    <w:rsid w:val="00477DBC"/>
    <w:rsid w:val="00477E69"/>
    <w:rsid w:val="00477F72"/>
    <w:rsid w:val="00477FAD"/>
    <w:rsid w:val="00480071"/>
    <w:rsid w:val="00480073"/>
    <w:rsid w:val="00480127"/>
    <w:rsid w:val="0048019F"/>
    <w:rsid w:val="0048027F"/>
    <w:rsid w:val="0048029E"/>
    <w:rsid w:val="00480428"/>
    <w:rsid w:val="00480429"/>
    <w:rsid w:val="004804C3"/>
    <w:rsid w:val="004804E8"/>
    <w:rsid w:val="00480529"/>
    <w:rsid w:val="004805C3"/>
    <w:rsid w:val="004805F5"/>
    <w:rsid w:val="0048069A"/>
    <w:rsid w:val="0048069E"/>
    <w:rsid w:val="00480780"/>
    <w:rsid w:val="004807D4"/>
    <w:rsid w:val="00480895"/>
    <w:rsid w:val="00480915"/>
    <w:rsid w:val="00480965"/>
    <w:rsid w:val="00480968"/>
    <w:rsid w:val="004809BA"/>
    <w:rsid w:val="004809DE"/>
    <w:rsid w:val="004809EE"/>
    <w:rsid w:val="00480A5C"/>
    <w:rsid w:val="00480A8C"/>
    <w:rsid w:val="00480BBF"/>
    <w:rsid w:val="00480BFB"/>
    <w:rsid w:val="00480CAF"/>
    <w:rsid w:val="00480F73"/>
    <w:rsid w:val="0048102E"/>
    <w:rsid w:val="004810B4"/>
    <w:rsid w:val="0048117A"/>
    <w:rsid w:val="0048119F"/>
    <w:rsid w:val="004811C2"/>
    <w:rsid w:val="0048122F"/>
    <w:rsid w:val="00481272"/>
    <w:rsid w:val="004812E5"/>
    <w:rsid w:val="00481360"/>
    <w:rsid w:val="0048140C"/>
    <w:rsid w:val="00481449"/>
    <w:rsid w:val="004814EC"/>
    <w:rsid w:val="00481598"/>
    <w:rsid w:val="004815CE"/>
    <w:rsid w:val="00481622"/>
    <w:rsid w:val="004817B8"/>
    <w:rsid w:val="004817E4"/>
    <w:rsid w:val="00481873"/>
    <w:rsid w:val="004818D7"/>
    <w:rsid w:val="004819A5"/>
    <w:rsid w:val="004819F2"/>
    <w:rsid w:val="00481A56"/>
    <w:rsid w:val="00481B19"/>
    <w:rsid w:val="00481B23"/>
    <w:rsid w:val="00481B69"/>
    <w:rsid w:val="00481BCD"/>
    <w:rsid w:val="00481C9E"/>
    <w:rsid w:val="00481CFE"/>
    <w:rsid w:val="00481D9A"/>
    <w:rsid w:val="00481EE3"/>
    <w:rsid w:val="00481FE0"/>
    <w:rsid w:val="0048201C"/>
    <w:rsid w:val="0048202E"/>
    <w:rsid w:val="004821CA"/>
    <w:rsid w:val="004823C5"/>
    <w:rsid w:val="004823D5"/>
    <w:rsid w:val="0048242A"/>
    <w:rsid w:val="004826AA"/>
    <w:rsid w:val="004826E7"/>
    <w:rsid w:val="00482777"/>
    <w:rsid w:val="00482811"/>
    <w:rsid w:val="00482A28"/>
    <w:rsid w:val="00482AFA"/>
    <w:rsid w:val="00482B6F"/>
    <w:rsid w:val="00482C17"/>
    <w:rsid w:val="00482C2E"/>
    <w:rsid w:val="00482C65"/>
    <w:rsid w:val="00482D30"/>
    <w:rsid w:val="00482DB9"/>
    <w:rsid w:val="00482E8B"/>
    <w:rsid w:val="00482F02"/>
    <w:rsid w:val="00482F14"/>
    <w:rsid w:val="00482F6C"/>
    <w:rsid w:val="0048302D"/>
    <w:rsid w:val="0048303D"/>
    <w:rsid w:val="0048315F"/>
    <w:rsid w:val="0048316F"/>
    <w:rsid w:val="004831E3"/>
    <w:rsid w:val="004832BB"/>
    <w:rsid w:val="00483312"/>
    <w:rsid w:val="0048341D"/>
    <w:rsid w:val="004835A1"/>
    <w:rsid w:val="004835C7"/>
    <w:rsid w:val="004835DA"/>
    <w:rsid w:val="00483634"/>
    <w:rsid w:val="00483679"/>
    <w:rsid w:val="0048382C"/>
    <w:rsid w:val="0048396B"/>
    <w:rsid w:val="004839C3"/>
    <w:rsid w:val="004839E4"/>
    <w:rsid w:val="004839E7"/>
    <w:rsid w:val="00483C28"/>
    <w:rsid w:val="00483D9E"/>
    <w:rsid w:val="00483E4E"/>
    <w:rsid w:val="00483F02"/>
    <w:rsid w:val="00483FBB"/>
    <w:rsid w:val="00483FE7"/>
    <w:rsid w:val="004841BE"/>
    <w:rsid w:val="0048425C"/>
    <w:rsid w:val="0048426E"/>
    <w:rsid w:val="004842DC"/>
    <w:rsid w:val="00484331"/>
    <w:rsid w:val="0048435E"/>
    <w:rsid w:val="0048435F"/>
    <w:rsid w:val="004843A6"/>
    <w:rsid w:val="004843DC"/>
    <w:rsid w:val="00484423"/>
    <w:rsid w:val="004844CA"/>
    <w:rsid w:val="00484527"/>
    <w:rsid w:val="004845FC"/>
    <w:rsid w:val="00484610"/>
    <w:rsid w:val="00484887"/>
    <w:rsid w:val="0048489F"/>
    <w:rsid w:val="004849F9"/>
    <w:rsid w:val="00484AA6"/>
    <w:rsid w:val="00484BC3"/>
    <w:rsid w:val="00484C07"/>
    <w:rsid w:val="00484FB0"/>
    <w:rsid w:val="00484FC3"/>
    <w:rsid w:val="004850FB"/>
    <w:rsid w:val="0048520E"/>
    <w:rsid w:val="0048525F"/>
    <w:rsid w:val="00485349"/>
    <w:rsid w:val="00485359"/>
    <w:rsid w:val="004853B5"/>
    <w:rsid w:val="004854C4"/>
    <w:rsid w:val="0048550E"/>
    <w:rsid w:val="00485551"/>
    <w:rsid w:val="00485571"/>
    <w:rsid w:val="0048567A"/>
    <w:rsid w:val="004856B0"/>
    <w:rsid w:val="00485819"/>
    <w:rsid w:val="00485839"/>
    <w:rsid w:val="00485893"/>
    <w:rsid w:val="004858A6"/>
    <w:rsid w:val="0048598C"/>
    <w:rsid w:val="0048599F"/>
    <w:rsid w:val="004859A7"/>
    <w:rsid w:val="004859C8"/>
    <w:rsid w:val="00485A60"/>
    <w:rsid w:val="00485AEB"/>
    <w:rsid w:val="00485B17"/>
    <w:rsid w:val="00485B63"/>
    <w:rsid w:val="00485C46"/>
    <w:rsid w:val="00485CA3"/>
    <w:rsid w:val="00485D02"/>
    <w:rsid w:val="00485D1C"/>
    <w:rsid w:val="00485EB0"/>
    <w:rsid w:val="00485F56"/>
    <w:rsid w:val="0048606B"/>
    <w:rsid w:val="00486086"/>
    <w:rsid w:val="00486096"/>
    <w:rsid w:val="0048613D"/>
    <w:rsid w:val="00486178"/>
    <w:rsid w:val="004861A7"/>
    <w:rsid w:val="004861BA"/>
    <w:rsid w:val="00486246"/>
    <w:rsid w:val="004863AC"/>
    <w:rsid w:val="0048641D"/>
    <w:rsid w:val="0048649B"/>
    <w:rsid w:val="004865E5"/>
    <w:rsid w:val="00486675"/>
    <w:rsid w:val="0048668C"/>
    <w:rsid w:val="004866AD"/>
    <w:rsid w:val="004866E5"/>
    <w:rsid w:val="0048687C"/>
    <w:rsid w:val="004868AB"/>
    <w:rsid w:val="004868BE"/>
    <w:rsid w:val="00486AB6"/>
    <w:rsid w:val="00486CF0"/>
    <w:rsid w:val="00486D5C"/>
    <w:rsid w:val="00486DA8"/>
    <w:rsid w:val="00486DC6"/>
    <w:rsid w:val="00486EE7"/>
    <w:rsid w:val="00486F4D"/>
    <w:rsid w:val="00486F51"/>
    <w:rsid w:val="00487058"/>
    <w:rsid w:val="0048716E"/>
    <w:rsid w:val="004871C5"/>
    <w:rsid w:val="004871CB"/>
    <w:rsid w:val="00487213"/>
    <w:rsid w:val="004873E3"/>
    <w:rsid w:val="00487439"/>
    <w:rsid w:val="00487459"/>
    <w:rsid w:val="004874A5"/>
    <w:rsid w:val="0048757F"/>
    <w:rsid w:val="00487781"/>
    <w:rsid w:val="0048780E"/>
    <w:rsid w:val="00487833"/>
    <w:rsid w:val="00487886"/>
    <w:rsid w:val="004878B7"/>
    <w:rsid w:val="004878C9"/>
    <w:rsid w:val="00487913"/>
    <w:rsid w:val="00487B87"/>
    <w:rsid w:val="00487BA7"/>
    <w:rsid w:val="00487D10"/>
    <w:rsid w:val="00487DA6"/>
    <w:rsid w:val="00487DF7"/>
    <w:rsid w:val="00487ECB"/>
    <w:rsid w:val="00487ECE"/>
    <w:rsid w:val="0049007A"/>
    <w:rsid w:val="0049009C"/>
    <w:rsid w:val="00490104"/>
    <w:rsid w:val="0049027A"/>
    <w:rsid w:val="004902D8"/>
    <w:rsid w:val="0049038F"/>
    <w:rsid w:val="004903CF"/>
    <w:rsid w:val="00490402"/>
    <w:rsid w:val="0049046D"/>
    <w:rsid w:val="004904A6"/>
    <w:rsid w:val="004904CD"/>
    <w:rsid w:val="0049056F"/>
    <w:rsid w:val="004905B4"/>
    <w:rsid w:val="004905E0"/>
    <w:rsid w:val="0049067B"/>
    <w:rsid w:val="00490699"/>
    <w:rsid w:val="004906AF"/>
    <w:rsid w:val="0049073E"/>
    <w:rsid w:val="004907A9"/>
    <w:rsid w:val="004909A8"/>
    <w:rsid w:val="00490A43"/>
    <w:rsid w:val="00490A63"/>
    <w:rsid w:val="00490AF5"/>
    <w:rsid w:val="00490AFD"/>
    <w:rsid w:val="00490B17"/>
    <w:rsid w:val="00490B91"/>
    <w:rsid w:val="00490BDF"/>
    <w:rsid w:val="00490D70"/>
    <w:rsid w:val="00490E4A"/>
    <w:rsid w:val="00490EC4"/>
    <w:rsid w:val="00490F5E"/>
    <w:rsid w:val="00490FA9"/>
    <w:rsid w:val="00491054"/>
    <w:rsid w:val="00491252"/>
    <w:rsid w:val="0049128F"/>
    <w:rsid w:val="0049136B"/>
    <w:rsid w:val="0049136C"/>
    <w:rsid w:val="0049137C"/>
    <w:rsid w:val="004914B9"/>
    <w:rsid w:val="00491541"/>
    <w:rsid w:val="004915AC"/>
    <w:rsid w:val="0049167B"/>
    <w:rsid w:val="00491696"/>
    <w:rsid w:val="004916B7"/>
    <w:rsid w:val="00491776"/>
    <w:rsid w:val="004917E3"/>
    <w:rsid w:val="004917E7"/>
    <w:rsid w:val="004918C8"/>
    <w:rsid w:val="0049197E"/>
    <w:rsid w:val="00491A11"/>
    <w:rsid w:val="00491AA3"/>
    <w:rsid w:val="00491AAA"/>
    <w:rsid w:val="00491AEB"/>
    <w:rsid w:val="00491AFD"/>
    <w:rsid w:val="00491AFE"/>
    <w:rsid w:val="00491BB0"/>
    <w:rsid w:val="00491BDC"/>
    <w:rsid w:val="00491C28"/>
    <w:rsid w:val="00491C43"/>
    <w:rsid w:val="00491CFF"/>
    <w:rsid w:val="00491DCD"/>
    <w:rsid w:val="00491E3B"/>
    <w:rsid w:val="00491E5F"/>
    <w:rsid w:val="00492097"/>
    <w:rsid w:val="004920D5"/>
    <w:rsid w:val="00492180"/>
    <w:rsid w:val="00492187"/>
    <w:rsid w:val="004921CB"/>
    <w:rsid w:val="004921D8"/>
    <w:rsid w:val="00492252"/>
    <w:rsid w:val="004922F6"/>
    <w:rsid w:val="00492383"/>
    <w:rsid w:val="004923E5"/>
    <w:rsid w:val="0049248E"/>
    <w:rsid w:val="004924DC"/>
    <w:rsid w:val="004925D2"/>
    <w:rsid w:val="00492605"/>
    <w:rsid w:val="004926B7"/>
    <w:rsid w:val="004926C3"/>
    <w:rsid w:val="004927CE"/>
    <w:rsid w:val="00492808"/>
    <w:rsid w:val="0049282F"/>
    <w:rsid w:val="00492835"/>
    <w:rsid w:val="0049283C"/>
    <w:rsid w:val="00492844"/>
    <w:rsid w:val="0049289E"/>
    <w:rsid w:val="004929A3"/>
    <w:rsid w:val="00492A04"/>
    <w:rsid w:val="00492A1C"/>
    <w:rsid w:val="00492BD0"/>
    <w:rsid w:val="00492CA6"/>
    <w:rsid w:val="00492D0A"/>
    <w:rsid w:val="00492D9A"/>
    <w:rsid w:val="00492E11"/>
    <w:rsid w:val="00492E4C"/>
    <w:rsid w:val="00492EBD"/>
    <w:rsid w:val="00492F04"/>
    <w:rsid w:val="00492F40"/>
    <w:rsid w:val="00492F66"/>
    <w:rsid w:val="00492FA6"/>
    <w:rsid w:val="00492FCD"/>
    <w:rsid w:val="00493071"/>
    <w:rsid w:val="00493078"/>
    <w:rsid w:val="004930A4"/>
    <w:rsid w:val="00493103"/>
    <w:rsid w:val="004931AA"/>
    <w:rsid w:val="004931CB"/>
    <w:rsid w:val="004931D6"/>
    <w:rsid w:val="00493242"/>
    <w:rsid w:val="004932FC"/>
    <w:rsid w:val="00493303"/>
    <w:rsid w:val="00493321"/>
    <w:rsid w:val="0049357C"/>
    <w:rsid w:val="0049360E"/>
    <w:rsid w:val="00493639"/>
    <w:rsid w:val="0049378F"/>
    <w:rsid w:val="004937BE"/>
    <w:rsid w:val="004937DF"/>
    <w:rsid w:val="00493904"/>
    <w:rsid w:val="00493915"/>
    <w:rsid w:val="00493B35"/>
    <w:rsid w:val="00493B3E"/>
    <w:rsid w:val="00493D81"/>
    <w:rsid w:val="00493DE4"/>
    <w:rsid w:val="00493F01"/>
    <w:rsid w:val="00493F18"/>
    <w:rsid w:val="00493FB3"/>
    <w:rsid w:val="00494006"/>
    <w:rsid w:val="0049410B"/>
    <w:rsid w:val="00494118"/>
    <w:rsid w:val="0049411D"/>
    <w:rsid w:val="00494128"/>
    <w:rsid w:val="00494223"/>
    <w:rsid w:val="0049438F"/>
    <w:rsid w:val="004943BD"/>
    <w:rsid w:val="004943C6"/>
    <w:rsid w:val="004944FE"/>
    <w:rsid w:val="0049453D"/>
    <w:rsid w:val="0049454F"/>
    <w:rsid w:val="0049472A"/>
    <w:rsid w:val="004947FB"/>
    <w:rsid w:val="00494804"/>
    <w:rsid w:val="0049480B"/>
    <w:rsid w:val="00494932"/>
    <w:rsid w:val="004949B8"/>
    <w:rsid w:val="004949C7"/>
    <w:rsid w:val="00494A77"/>
    <w:rsid w:val="00494B01"/>
    <w:rsid w:val="00494B25"/>
    <w:rsid w:val="00494B72"/>
    <w:rsid w:val="00494E27"/>
    <w:rsid w:val="00494ECE"/>
    <w:rsid w:val="00494FBA"/>
    <w:rsid w:val="0049504D"/>
    <w:rsid w:val="00495050"/>
    <w:rsid w:val="0049521F"/>
    <w:rsid w:val="00495378"/>
    <w:rsid w:val="0049541E"/>
    <w:rsid w:val="00495485"/>
    <w:rsid w:val="00495578"/>
    <w:rsid w:val="004956FD"/>
    <w:rsid w:val="004957C1"/>
    <w:rsid w:val="00495809"/>
    <w:rsid w:val="00495857"/>
    <w:rsid w:val="00495870"/>
    <w:rsid w:val="004958AF"/>
    <w:rsid w:val="004958B1"/>
    <w:rsid w:val="004958C0"/>
    <w:rsid w:val="00495932"/>
    <w:rsid w:val="00495B00"/>
    <w:rsid w:val="00495BD3"/>
    <w:rsid w:val="00495BEB"/>
    <w:rsid w:val="00495CD4"/>
    <w:rsid w:val="00495D0F"/>
    <w:rsid w:val="00495DA1"/>
    <w:rsid w:val="00495E01"/>
    <w:rsid w:val="00495E33"/>
    <w:rsid w:val="00495E4A"/>
    <w:rsid w:val="00495F19"/>
    <w:rsid w:val="00495FD1"/>
    <w:rsid w:val="00496114"/>
    <w:rsid w:val="0049614A"/>
    <w:rsid w:val="00496168"/>
    <w:rsid w:val="0049616A"/>
    <w:rsid w:val="0049618E"/>
    <w:rsid w:val="004961BE"/>
    <w:rsid w:val="00496241"/>
    <w:rsid w:val="004963C5"/>
    <w:rsid w:val="00496408"/>
    <w:rsid w:val="00496474"/>
    <w:rsid w:val="00496663"/>
    <w:rsid w:val="00496687"/>
    <w:rsid w:val="00496861"/>
    <w:rsid w:val="00496862"/>
    <w:rsid w:val="00496864"/>
    <w:rsid w:val="00496ABF"/>
    <w:rsid w:val="00496AF5"/>
    <w:rsid w:val="00496C2F"/>
    <w:rsid w:val="00496CB2"/>
    <w:rsid w:val="00496CCE"/>
    <w:rsid w:val="00496D9B"/>
    <w:rsid w:val="00496DAB"/>
    <w:rsid w:val="00496E5E"/>
    <w:rsid w:val="00496E97"/>
    <w:rsid w:val="00496EA0"/>
    <w:rsid w:val="00496EFF"/>
    <w:rsid w:val="00496F10"/>
    <w:rsid w:val="00496F81"/>
    <w:rsid w:val="00497112"/>
    <w:rsid w:val="00497232"/>
    <w:rsid w:val="0049724E"/>
    <w:rsid w:val="00497384"/>
    <w:rsid w:val="004973DA"/>
    <w:rsid w:val="004974B1"/>
    <w:rsid w:val="00497510"/>
    <w:rsid w:val="00497564"/>
    <w:rsid w:val="004975B8"/>
    <w:rsid w:val="004975CA"/>
    <w:rsid w:val="0049764B"/>
    <w:rsid w:val="004976B4"/>
    <w:rsid w:val="004976BF"/>
    <w:rsid w:val="00497779"/>
    <w:rsid w:val="004977BC"/>
    <w:rsid w:val="0049784E"/>
    <w:rsid w:val="004978A0"/>
    <w:rsid w:val="004978AA"/>
    <w:rsid w:val="004978F0"/>
    <w:rsid w:val="004978F6"/>
    <w:rsid w:val="0049796E"/>
    <w:rsid w:val="00497998"/>
    <w:rsid w:val="00497A11"/>
    <w:rsid w:val="00497B3D"/>
    <w:rsid w:val="00497BA7"/>
    <w:rsid w:val="00497CF6"/>
    <w:rsid w:val="00497DB6"/>
    <w:rsid w:val="00497E79"/>
    <w:rsid w:val="00497E86"/>
    <w:rsid w:val="00497E8F"/>
    <w:rsid w:val="00497ED9"/>
    <w:rsid w:val="00497F86"/>
    <w:rsid w:val="004A01A7"/>
    <w:rsid w:val="004A01CB"/>
    <w:rsid w:val="004A0342"/>
    <w:rsid w:val="004A050F"/>
    <w:rsid w:val="004A05B0"/>
    <w:rsid w:val="004A062D"/>
    <w:rsid w:val="004A06B5"/>
    <w:rsid w:val="004A071F"/>
    <w:rsid w:val="004A0768"/>
    <w:rsid w:val="004A0782"/>
    <w:rsid w:val="004A079B"/>
    <w:rsid w:val="004A08F6"/>
    <w:rsid w:val="004A09DC"/>
    <w:rsid w:val="004A0A38"/>
    <w:rsid w:val="004A0AE6"/>
    <w:rsid w:val="004A0AF4"/>
    <w:rsid w:val="004A0B34"/>
    <w:rsid w:val="004A0B55"/>
    <w:rsid w:val="004A0C0F"/>
    <w:rsid w:val="004A0F0A"/>
    <w:rsid w:val="004A0F20"/>
    <w:rsid w:val="004A0F54"/>
    <w:rsid w:val="004A0FA5"/>
    <w:rsid w:val="004A1043"/>
    <w:rsid w:val="004A1047"/>
    <w:rsid w:val="004A117E"/>
    <w:rsid w:val="004A11D0"/>
    <w:rsid w:val="004A1220"/>
    <w:rsid w:val="004A1224"/>
    <w:rsid w:val="004A1298"/>
    <w:rsid w:val="004A13B7"/>
    <w:rsid w:val="004A1463"/>
    <w:rsid w:val="004A14EA"/>
    <w:rsid w:val="004A1537"/>
    <w:rsid w:val="004A15FF"/>
    <w:rsid w:val="004A1616"/>
    <w:rsid w:val="004A1660"/>
    <w:rsid w:val="004A1691"/>
    <w:rsid w:val="004A17AA"/>
    <w:rsid w:val="004A17E7"/>
    <w:rsid w:val="004A1803"/>
    <w:rsid w:val="004A180D"/>
    <w:rsid w:val="004A19CE"/>
    <w:rsid w:val="004A1BFA"/>
    <w:rsid w:val="004A1D89"/>
    <w:rsid w:val="004A1D95"/>
    <w:rsid w:val="004A1DDB"/>
    <w:rsid w:val="004A1E2C"/>
    <w:rsid w:val="004A1E3B"/>
    <w:rsid w:val="004A1E43"/>
    <w:rsid w:val="004A1E6F"/>
    <w:rsid w:val="004A1E75"/>
    <w:rsid w:val="004A1EE3"/>
    <w:rsid w:val="004A206B"/>
    <w:rsid w:val="004A2081"/>
    <w:rsid w:val="004A2094"/>
    <w:rsid w:val="004A218A"/>
    <w:rsid w:val="004A2328"/>
    <w:rsid w:val="004A23E8"/>
    <w:rsid w:val="004A23FE"/>
    <w:rsid w:val="004A241F"/>
    <w:rsid w:val="004A2486"/>
    <w:rsid w:val="004A2487"/>
    <w:rsid w:val="004A2576"/>
    <w:rsid w:val="004A27A5"/>
    <w:rsid w:val="004A27FC"/>
    <w:rsid w:val="004A2823"/>
    <w:rsid w:val="004A2890"/>
    <w:rsid w:val="004A28E3"/>
    <w:rsid w:val="004A29D7"/>
    <w:rsid w:val="004A29E0"/>
    <w:rsid w:val="004A29EF"/>
    <w:rsid w:val="004A2ACE"/>
    <w:rsid w:val="004A2B83"/>
    <w:rsid w:val="004A2B97"/>
    <w:rsid w:val="004A2D1C"/>
    <w:rsid w:val="004A2DC0"/>
    <w:rsid w:val="004A2DF8"/>
    <w:rsid w:val="004A2E24"/>
    <w:rsid w:val="004A3061"/>
    <w:rsid w:val="004A30B0"/>
    <w:rsid w:val="004A3152"/>
    <w:rsid w:val="004A31C6"/>
    <w:rsid w:val="004A31E9"/>
    <w:rsid w:val="004A31FB"/>
    <w:rsid w:val="004A3207"/>
    <w:rsid w:val="004A3257"/>
    <w:rsid w:val="004A327D"/>
    <w:rsid w:val="004A32DC"/>
    <w:rsid w:val="004A3358"/>
    <w:rsid w:val="004A33EB"/>
    <w:rsid w:val="004A342B"/>
    <w:rsid w:val="004A3568"/>
    <w:rsid w:val="004A3588"/>
    <w:rsid w:val="004A360F"/>
    <w:rsid w:val="004A37C6"/>
    <w:rsid w:val="004A38F0"/>
    <w:rsid w:val="004A3915"/>
    <w:rsid w:val="004A39AC"/>
    <w:rsid w:val="004A3A35"/>
    <w:rsid w:val="004A3A64"/>
    <w:rsid w:val="004A3B33"/>
    <w:rsid w:val="004A3BEF"/>
    <w:rsid w:val="004A3C02"/>
    <w:rsid w:val="004A3CBD"/>
    <w:rsid w:val="004A3D2D"/>
    <w:rsid w:val="004A3E4E"/>
    <w:rsid w:val="004A3E4F"/>
    <w:rsid w:val="004A40D3"/>
    <w:rsid w:val="004A427A"/>
    <w:rsid w:val="004A4317"/>
    <w:rsid w:val="004A44A7"/>
    <w:rsid w:val="004A44C6"/>
    <w:rsid w:val="004A44CC"/>
    <w:rsid w:val="004A44D4"/>
    <w:rsid w:val="004A456A"/>
    <w:rsid w:val="004A46FF"/>
    <w:rsid w:val="004A4811"/>
    <w:rsid w:val="004A48DC"/>
    <w:rsid w:val="004A4963"/>
    <w:rsid w:val="004A4979"/>
    <w:rsid w:val="004A4ADA"/>
    <w:rsid w:val="004A4B37"/>
    <w:rsid w:val="004A4B89"/>
    <w:rsid w:val="004A4BA4"/>
    <w:rsid w:val="004A4BB0"/>
    <w:rsid w:val="004A4BB6"/>
    <w:rsid w:val="004A4CCC"/>
    <w:rsid w:val="004A4DD7"/>
    <w:rsid w:val="004A4E1F"/>
    <w:rsid w:val="004A4F2D"/>
    <w:rsid w:val="004A4FEF"/>
    <w:rsid w:val="004A500F"/>
    <w:rsid w:val="004A512F"/>
    <w:rsid w:val="004A51D8"/>
    <w:rsid w:val="004A51EE"/>
    <w:rsid w:val="004A5219"/>
    <w:rsid w:val="004A5259"/>
    <w:rsid w:val="004A5296"/>
    <w:rsid w:val="004A558A"/>
    <w:rsid w:val="004A580E"/>
    <w:rsid w:val="004A583A"/>
    <w:rsid w:val="004A5877"/>
    <w:rsid w:val="004A589B"/>
    <w:rsid w:val="004A5973"/>
    <w:rsid w:val="004A59DC"/>
    <w:rsid w:val="004A5A77"/>
    <w:rsid w:val="004A5A88"/>
    <w:rsid w:val="004A5A90"/>
    <w:rsid w:val="004A5AA8"/>
    <w:rsid w:val="004A5B30"/>
    <w:rsid w:val="004A5C61"/>
    <w:rsid w:val="004A5F95"/>
    <w:rsid w:val="004A5FDF"/>
    <w:rsid w:val="004A6126"/>
    <w:rsid w:val="004A619A"/>
    <w:rsid w:val="004A6271"/>
    <w:rsid w:val="004A63CE"/>
    <w:rsid w:val="004A6548"/>
    <w:rsid w:val="004A65BA"/>
    <w:rsid w:val="004A65FC"/>
    <w:rsid w:val="004A6659"/>
    <w:rsid w:val="004A672D"/>
    <w:rsid w:val="004A6788"/>
    <w:rsid w:val="004A6814"/>
    <w:rsid w:val="004A6815"/>
    <w:rsid w:val="004A6836"/>
    <w:rsid w:val="004A6846"/>
    <w:rsid w:val="004A691A"/>
    <w:rsid w:val="004A6942"/>
    <w:rsid w:val="004A696E"/>
    <w:rsid w:val="004A6A91"/>
    <w:rsid w:val="004A6B84"/>
    <w:rsid w:val="004A6BB0"/>
    <w:rsid w:val="004A6BD6"/>
    <w:rsid w:val="004A6BE4"/>
    <w:rsid w:val="004A6BFD"/>
    <w:rsid w:val="004A6D78"/>
    <w:rsid w:val="004A6DFF"/>
    <w:rsid w:val="004A6FF5"/>
    <w:rsid w:val="004A7007"/>
    <w:rsid w:val="004A70DC"/>
    <w:rsid w:val="004A70E3"/>
    <w:rsid w:val="004A72AA"/>
    <w:rsid w:val="004A757C"/>
    <w:rsid w:val="004A76BB"/>
    <w:rsid w:val="004A7725"/>
    <w:rsid w:val="004A7765"/>
    <w:rsid w:val="004A783B"/>
    <w:rsid w:val="004A783C"/>
    <w:rsid w:val="004A7939"/>
    <w:rsid w:val="004A798B"/>
    <w:rsid w:val="004A79EC"/>
    <w:rsid w:val="004A7B19"/>
    <w:rsid w:val="004A7C71"/>
    <w:rsid w:val="004A7D92"/>
    <w:rsid w:val="004AB9EC"/>
    <w:rsid w:val="004B0012"/>
    <w:rsid w:val="004B004D"/>
    <w:rsid w:val="004B0091"/>
    <w:rsid w:val="004B015E"/>
    <w:rsid w:val="004B01C3"/>
    <w:rsid w:val="004B01FB"/>
    <w:rsid w:val="004B02D6"/>
    <w:rsid w:val="004B0408"/>
    <w:rsid w:val="004B0528"/>
    <w:rsid w:val="004B0630"/>
    <w:rsid w:val="004B0734"/>
    <w:rsid w:val="004B077F"/>
    <w:rsid w:val="004B07B1"/>
    <w:rsid w:val="004B0AA0"/>
    <w:rsid w:val="004B0AF9"/>
    <w:rsid w:val="004B0BE3"/>
    <w:rsid w:val="004B0BFD"/>
    <w:rsid w:val="004B0C1A"/>
    <w:rsid w:val="004B0C69"/>
    <w:rsid w:val="004B0CBA"/>
    <w:rsid w:val="004B0D8B"/>
    <w:rsid w:val="004B0E36"/>
    <w:rsid w:val="004B0EA1"/>
    <w:rsid w:val="004B0F54"/>
    <w:rsid w:val="004B0FA6"/>
    <w:rsid w:val="004B122F"/>
    <w:rsid w:val="004B12D4"/>
    <w:rsid w:val="004B1310"/>
    <w:rsid w:val="004B1368"/>
    <w:rsid w:val="004B1473"/>
    <w:rsid w:val="004B148F"/>
    <w:rsid w:val="004B14B1"/>
    <w:rsid w:val="004B14C9"/>
    <w:rsid w:val="004B1575"/>
    <w:rsid w:val="004B158B"/>
    <w:rsid w:val="004B16CD"/>
    <w:rsid w:val="004B1763"/>
    <w:rsid w:val="004B17E6"/>
    <w:rsid w:val="004B1893"/>
    <w:rsid w:val="004B18C5"/>
    <w:rsid w:val="004B1AEC"/>
    <w:rsid w:val="004B1AED"/>
    <w:rsid w:val="004B1B09"/>
    <w:rsid w:val="004B1B14"/>
    <w:rsid w:val="004B1B1F"/>
    <w:rsid w:val="004B1BB3"/>
    <w:rsid w:val="004B1C0E"/>
    <w:rsid w:val="004B1CA2"/>
    <w:rsid w:val="004B1CD4"/>
    <w:rsid w:val="004B1CDB"/>
    <w:rsid w:val="004B1D14"/>
    <w:rsid w:val="004B1D54"/>
    <w:rsid w:val="004B1D68"/>
    <w:rsid w:val="004B1E83"/>
    <w:rsid w:val="004B1EFF"/>
    <w:rsid w:val="004B1F58"/>
    <w:rsid w:val="004B1F82"/>
    <w:rsid w:val="004B1FB3"/>
    <w:rsid w:val="004B2021"/>
    <w:rsid w:val="004B203F"/>
    <w:rsid w:val="004B20C6"/>
    <w:rsid w:val="004B20D5"/>
    <w:rsid w:val="004B2111"/>
    <w:rsid w:val="004B214C"/>
    <w:rsid w:val="004B2296"/>
    <w:rsid w:val="004B22B5"/>
    <w:rsid w:val="004B23DF"/>
    <w:rsid w:val="004B2453"/>
    <w:rsid w:val="004B2469"/>
    <w:rsid w:val="004B25DC"/>
    <w:rsid w:val="004B25DD"/>
    <w:rsid w:val="004B26FE"/>
    <w:rsid w:val="004B27D5"/>
    <w:rsid w:val="004B2846"/>
    <w:rsid w:val="004B2954"/>
    <w:rsid w:val="004B2A0F"/>
    <w:rsid w:val="004B2A5B"/>
    <w:rsid w:val="004B2B0B"/>
    <w:rsid w:val="004B2B2D"/>
    <w:rsid w:val="004B2B57"/>
    <w:rsid w:val="004B2B84"/>
    <w:rsid w:val="004B2CBD"/>
    <w:rsid w:val="004B2CFE"/>
    <w:rsid w:val="004B2D6A"/>
    <w:rsid w:val="004B2DB7"/>
    <w:rsid w:val="004B2F76"/>
    <w:rsid w:val="004B2F89"/>
    <w:rsid w:val="004B301A"/>
    <w:rsid w:val="004B305D"/>
    <w:rsid w:val="004B309B"/>
    <w:rsid w:val="004B317F"/>
    <w:rsid w:val="004B31C1"/>
    <w:rsid w:val="004B320C"/>
    <w:rsid w:val="004B3288"/>
    <w:rsid w:val="004B32A9"/>
    <w:rsid w:val="004B32EB"/>
    <w:rsid w:val="004B3445"/>
    <w:rsid w:val="004B3475"/>
    <w:rsid w:val="004B34E4"/>
    <w:rsid w:val="004B3517"/>
    <w:rsid w:val="004B357F"/>
    <w:rsid w:val="004B35F6"/>
    <w:rsid w:val="004B363B"/>
    <w:rsid w:val="004B3726"/>
    <w:rsid w:val="004B37B2"/>
    <w:rsid w:val="004B37B3"/>
    <w:rsid w:val="004B3A37"/>
    <w:rsid w:val="004B3A90"/>
    <w:rsid w:val="004B3AF6"/>
    <w:rsid w:val="004B3B05"/>
    <w:rsid w:val="004B3B69"/>
    <w:rsid w:val="004B3BC9"/>
    <w:rsid w:val="004B3C45"/>
    <w:rsid w:val="004B3C8F"/>
    <w:rsid w:val="004B3D25"/>
    <w:rsid w:val="004B3D50"/>
    <w:rsid w:val="004B3DDB"/>
    <w:rsid w:val="004B3E66"/>
    <w:rsid w:val="004B3FB6"/>
    <w:rsid w:val="004B4001"/>
    <w:rsid w:val="004B4036"/>
    <w:rsid w:val="004B404A"/>
    <w:rsid w:val="004B4132"/>
    <w:rsid w:val="004B42AA"/>
    <w:rsid w:val="004B43A0"/>
    <w:rsid w:val="004B43E5"/>
    <w:rsid w:val="004B4476"/>
    <w:rsid w:val="004B44D6"/>
    <w:rsid w:val="004B4516"/>
    <w:rsid w:val="004B4535"/>
    <w:rsid w:val="004B4595"/>
    <w:rsid w:val="004B461E"/>
    <w:rsid w:val="004B4701"/>
    <w:rsid w:val="004B474E"/>
    <w:rsid w:val="004B48CA"/>
    <w:rsid w:val="004B4909"/>
    <w:rsid w:val="004B4A05"/>
    <w:rsid w:val="004B4B06"/>
    <w:rsid w:val="004B4B95"/>
    <w:rsid w:val="004B4BED"/>
    <w:rsid w:val="004B4CEA"/>
    <w:rsid w:val="004B4D06"/>
    <w:rsid w:val="004B4DF0"/>
    <w:rsid w:val="004B4F93"/>
    <w:rsid w:val="004B5048"/>
    <w:rsid w:val="004B51E5"/>
    <w:rsid w:val="004B51FE"/>
    <w:rsid w:val="004B5263"/>
    <w:rsid w:val="004B5321"/>
    <w:rsid w:val="004B5323"/>
    <w:rsid w:val="004B5382"/>
    <w:rsid w:val="004B53EB"/>
    <w:rsid w:val="004B5528"/>
    <w:rsid w:val="004B552C"/>
    <w:rsid w:val="004B55F8"/>
    <w:rsid w:val="004B569C"/>
    <w:rsid w:val="004B5740"/>
    <w:rsid w:val="004B57C7"/>
    <w:rsid w:val="004B57FC"/>
    <w:rsid w:val="004B5817"/>
    <w:rsid w:val="004B585B"/>
    <w:rsid w:val="004B5AFC"/>
    <w:rsid w:val="004B5BB1"/>
    <w:rsid w:val="004B5C25"/>
    <w:rsid w:val="004B5CF5"/>
    <w:rsid w:val="004B5F26"/>
    <w:rsid w:val="004B5F57"/>
    <w:rsid w:val="004B5F89"/>
    <w:rsid w:val="004B6180"/>
    <w:rsid w:val="004B618A"/>
    <w:rsid w:val="004B61D2"/>
    <w:rsid w:val="004B61E3"/>
    <w:rsid w:val="004B6216"/>
    <w:rsid w:val="004B627C"/>
    <w:rsid w:val="004B6332"/>
    <w:rsid w:val="004B6344"/>
    <w:rsid w:val="004B63FF"/>
    <w:rsid w:val="004B6466"/>
    <w:rsid w:val="004B64BD"/>
    <w:rsid w:val="004B6543"/>
    <w:rsid w:val="004B6617"/>
    <w:rsid w:val="004B667A"/>
    <w:rsid w:val="004B675B"/>
    <w:rsid w:val="004B6775"/>
    <w:rsid w:val="004B68C0"/>
    <w:rsid w:val="004B68D3"/>
    <w:rsid w:val="004B6956"/>
    <w:rsid w:val="004B69D3"/>
    <w:rsid w:val="004B6A99"/>
    <w:rsid w:val="004B6B2A"/>
    <w:rsid w:val="004B6C73"/>
    <w:rsid w:val="004B6CB8"/>
    <w:rsid w:val="004B6D44"/>
    <w:rsid w:val="004B6EB2"/>
    <w:rsid w:val="004B6F9C"/>
    <w:rsid w:val="004B719F"/>
    <w:rsid w:val="004B71BF"/>
    <w:rsid w:val="004B7324"/>
    <w:rsid w:val="004B7353"/>
    <w:rsid w:val="004B744A"/>
    <w:rsid w:val="004B75EF"/>
    <w:rsid w:val="004B78D3"/>
    <w:rsid w:val="004B78FD"/>
    <w:rsid w:val="004B79DB"/>
    <w:rsid w:val="004B7C32"/>
    <w:rsid w:val="004B7CCE"/>
    <w:rsid w:val="004B7CDD"/>
    <w:rsid w:val="004B7D0C"/>
    <w:rsid w:val="004B7DCD"/>
    <w:rsid w:val="004B7DDF"/>
    <w:rsid w:val="004B7DE5"/>
    <w:rsid w:val="004B7E5A"/>
    <w:rsid w:val="004B7ECD"/>
    <w:rsid w:val="004B7F13"/>
    <w:rsid w:val="004C00E9"/>
    <w:rsid w:val="004C017B"/>
    <w:rsid w:val="004C019F"/>
    <w:rsid w:val="004C01DF"/>
    <w:rsid w:val="004C01F5"/>
    <w:rsid w:val="004C0217"/>
    <w:rsid w:val="004C0260"/>
    <w:rsid w:val="004C0383"/>
    <w:rsid w:val="004C03E2"/>
    <w:rsid w:val="004C0494"/>
    <w:rsid w:val="004C04C3"/>
    <w:rsid w:val="004C04C7"/>
    <w:rsid w:val="004C0616"/>
    <w:rsid w:val="004C0630"/>
    <w:rsid w:val="004C088D"/>
    <w:rsid w:val="004C0970"/>
    <w:rsid w:val="004C0AE9"/>
    <w:rsid w:val="004C0B39"/>
    <w:rsid w:val="004C0C0B"/>
    <w:rsid w:val="004C0CB5"/>
    <w:rsid w:val="004C0D4C"/>
    <w:rsid w:val="004C0E44"/>
    <w:rsid w:val="004C0E69"/>
    <w:rsid w:val="004C0F59"/>
    <w:rsid w:val="004C1055"/>
    <w:rsid w:val="004C107D"/>
    <w:rsid w:val="004C10E0"/>
    <w:rsid w:val="004C10E9"/>
    <w:rsid w:val="004C11C1"/>
    <w:rsid w:val="004C11F8"/>
    <w:rsid w:val="004C1244"/>
    <w:rsid w:val="004C129B"/>
    <w:rsid w:val="004C142E"/>
    <w:rsid w:val="004C14E1"/>
    <w:rsid w:val="004C150E"/>
    <w:rsid w:val="004C1549"/>
    <w:rsid w:val="004C1604"/>
    <w:rsid w:val="004C164E"/>
    <w:rsid w:val="004C16F9"/>
    <w:rsid w:val="004C1719"/>
    <w:rsid w:val="004C181D"/>
    <w:rsid w:val="004C1835"/>
    <w:rsid w:val="004C1857"/>
    <w:rsid w:val="004C185A"/>
    <w:rsid w:val="004C18A0"/>
    <w:rsid w:val="004C19CB"/>
    <w:rsid w:val="004C19FD"/>
    <w:rsid w:val="004C1AF4"/>
    <w:rsid w:val="004C1DA1"/>
    <w:rsid w:val="004C1EBD"/>
    <w:rsid w:val="004C1F6B"/>
    <w:rsid w:val="004C1F96"/>
    <w:rsid w:val="004C207A"/>
    <w:rsid w:val="004C20C3"/>
    <w:rsid w:val="004C20FB"/>
    <w:rsid w:val="004C2148"/>
    <w:rsid w:val="004C2203"/>
    <w:rsid w:val="004C2249"/>
    <w:rsid w:val="004C224B"/>
    <w:rsid w:val="004C23A0"/>
    <w:rsid w:val="004C23FB"/>
    <w:rsid w:val="004C2497"/>
    <w:rsid w:val="004C2550"/>
    <w:rsid w:val="004C25AD"/>
    <w:rsid w:val="004C2608"/>
    <w:rsid w:val="004C2645"/>
    <w:rsid w:val="004C2735"/>
    <w:rsid w:val="004C2771"/>
    <w:rsid w:val="004C27E6"/>
    <w:rsid w:val="004C294C"/>
    <w:rsid w:val="004C2A0B"/>
    <w:rsid w:val="004C2A4A"/>
    <w:rsid w:val="004C2AA2"/>
    <w:rsid w:val="004C2B36"/>
    <w:rsid w:val="004C2B37"/>
    <w:rsid w:val="004C2C24"/>
    <w:rsid w:val="004C2D75"/>
    <w:rsid w:val="004C2F13"/>
    <w:rsid w:val="004C2F31"/>
    <w:rsid w:val="004C2FC8"/>
    <w:rsid w:val="004C2FFA"/>
    <w:rsid w:val="004C3125"/>
    <w:rsid w:val="004C3236"/>
    <w:rsid w:val="004C32A2"/>
    <w:rsid w:val="004C32B1"/>
    <w:rsid w:val="004C32FC"/>
    <w:rsid w:val="004C3324"/>
    <w:rsid w:val="004C345F"/>
    <w:rsid w:val="004C3515"/>
    <w:rsid w:val="004C35E4"/>
    <w:rsid w:val="004C3692"/>
    <w:rsid w:val="004C36EB"/>
    <w:rsid w:val="004C376F"/>
    <w:rsid w:val="004C3800"/>
    <w:rsid w:val="004C3804"/>
    <w:rsid w:val="004C389D"/>
    <w:rsid w:val="004C392E"/>
    <w:rsid w:val="004C397F"/>
    <w:rsid w:val="004C3A0A"/>
    <w:rsid w:val="004C3A8E"/>
    <w:rsid w:val="004C3AD8"/>
    <w:rsid w:val="004C3BA3"/>
    <w:rsid w:val="004C3E17"/>
    <w:rsid w:val="004C3E9C"/>
    <w:rsid w:val="004C3F0C"/>
    <w:rsid w:val="004C41F5"/>
    <w:rsid w:val="004C4344"/>
    <w:rsid w:val="004C434E"/>
    <w:rsid w:val="004C438B"/>
    <w:rsid w:val="004C43B8"/>
    <w:rsid w:val="004C43CE"/>
    <w:rsid w:val="004C44C5"/>
    <w:rsid w:val="004C46C6"/>
    <w:rsid w:val="004C47D1"/>
    <w:rsid w:val="004C481B"/>
    <w:rsid w:val="004C4867"/>
    <w:rsid w:val="004C4892"/>
    <w:rsid w:val="004C48EF"/>
    <w:rsid w:val="004C495F"/>
    <w:rsid w:val="004C499F"/>
    <w:rsid w:val="004C4A13"/>
    <w:rsid w:val="004C4B2C"/>
    <w:rsid w:val="004C4B82"/>
    <w:rsid w:val="004C4BFA"/>
    <w:rsid w:val="004C4C37"/>
    <w:rsid w:val="004C4C5C"/>
    <w:rsid w:val="004C4D7B"/>
    <w:rsid w:val="004C4DF5"/>
    <w:rsid w:val="004C4E41"/>
    <w:rsid w:val="004C4EA4"/>
    <w:rsid w:val="004C508E"/>
    <w:rsid w:val="004C51A5"/>
    <w:rsid w:val="004C5211"/>
    <w:rsid w:val="004C536D"/>
    <w:rsid w:val="004C5390"/>
    <w:rsid w:val="004C53D6"/>
    <w:rsid w:val="004C5528"/>
    <w:rsid w:val="004C552C"/>
    <w:rsid w:val="004C559D"/>
    <w:rsid w:val="004C55E2"/>
    <w:rsid w:val="004C55EE"/>
    <w:rsid w:val="004C57B0"/>
    <w:rsid w:val="004C5813"/>
    <w:rsid w:val="004C58FE"/>
    <w:rsid w:val="004C593E"/>
    <w:rsid w:val="004C5988"/>
    <w:rsid w:val="004C5A35"/>
    <w:rsid w:val="004C5ACF"/>
    <w:rsid w:val="004C5BD5"/>
    <w:rsid w:val="004C5FB2"/>
    <w:rsid w:val="004C6030"/>
    <w:rsid w:val="004C60D5"/>
    <w:rsid w:val="004C6189"/>
    <w:rsid w:val="004C61B6"/>
    <w:rsid w:val="004C6229"/>
    <w:rsid w:val="004C626A"/>
    <w:rsid w:val="004C6329"/>
    <w:rsid w:val="004C6335"/>
    <w:rsid w:val="004C6435"/>
    <w:rsid w:val="004C647E"/>
    <w:rsid w:val="004C6556"/>
    <w:rsid w:val="004C6660"/>
    <w:rsid w:val="004C6696"/>
    <w:rsid w:val="004C66C7"/>
    <w:rsid w:val="004C67D1"/>
    <w:rsid w:val="004C6805"/>
    <w:rsid w:val="004C6813"/>
    <w:rsid w:val="004C6856"/>
    <w:rsid w:val="004C686D"/>
    <w:rsid w:val="004C6877"/>
    <w:rsid w:val="004C6880"/>
    <w:rsid w:val="004C68FC"/>
    <w:rsid w:val="004C68FD"/>
    <w:rsid w:val="004C69B9"/>
    <w:rsid w:val="004C69C1"/>
    <w:rsid w:val="004C69CC"/>
    <w:rsid w:val="004C69F5"/>
    <w:rsid w:val="004C6B21"/>
    <w:rsid w:val="004C6B84"/>
    <w:rsid w:val="004C6D6E"/>
    <w:rsid w:val="004C6D82"/>
    <w:rsid w:val="004C6F55"/>
    <w:rsid w:val="004C6F71"/>
    <w:rsid w:val="004C7003"/>
    <w:rsid w:val="004C70DC"/>
    <w:rsid w:val="004C70DE"/>
    <w:rsid w:val="004C729F"/>
    <w:rsid w:val="004C72F5"/>
    <w:rsid w:val="004C73A2"/>
    <w:rsid w:val="004C74E0"/>
    <w:rsid w:val="004C75B6"/>
    <w:rsid w:val="004C7684"/>
    <w:rsid w:val="004C7893"/>
    <w:rsid w:val="004C7947"/>
    <w:rsid w:val="004C79AE"/>
    <w:rsid w:val="004C79B1"/>
    <w:rsid w:val="004C7AA4"/>
    <w:rsid w:val="004C7AEB"/>
    <w:rsid w:val="004C7BC3"/>
    <w:rsid w:val="004C7D97"/>
    <w:rsid w:val="004C7EBA"/>
    <w:rsid w:val="004C7F5F"/>
    <w:rsid w:val="004D00CA"/>
    <w:rsid w:val="004D01CB"/>
    <w:rsid w:val="004D0253"/>
    <w:rsid w:val="004D02B1"/>
    <w:rsid w:val="004D0318"/>
    <w:rsid w:val="004D03A5"/>
    <w:rsid w:val="004D0443"/>
    <w:rsid w:val="004D0478"/>
    <w:rsid w:val="004D056E"/>
    <w:rsid w:val="004D05C9"/>
    <w:rsid w:val="004D077E"/>
    <w:rsid w:val="004D0819"/>
    <w:rsid w:val="004D081F"/>
    <w:rsid w:val="004D0842"/>
    <w:rsid w:val="004D08A6"/>
    <w:rsid w:val="004D0910"/>
    <w:rsid w:val="004D0979"/>
    <w:rsid w:val="004D098E"/>
    <w:rsid w:val="004D09CF"/>
    <w:rsid w:val="004D0A11"/>
    <w:rsid w:val="004D0A53"/>
    <w:rsid w:val="004D0ACB"/>
    <w:rsid w:val="004D0B1A"/>
    <w:rsid w:val="004D0BA0"/>
    <w:rsid w:val="004D0C75"/>
    <w:rsid w:val="004D0DA5"/>
    <w:rsid w:val="004D0E5E"/>
    <w:rsid w:val="004D0EC0"/>
    <w:rsid w:val="004D0F29"/>
    <w:rsid w:val="004D0F6E"/>
    <w:rsid w:val="004D0FFC"/>
    <w:rsid w:val="004D1029"/>
    <w:rsid w:val="004D107A"/>
    <w:rsid w:val="004D1101"/>
    <w:rsid w:val="004D114D"/>
    <w:rsid w:val="004D11B9"/>
    <w:rsid w:val="004D1328"/>
    <w:rsid w:val="004D140B"/>
    <w:rsid w:val="004D14C6"/>
    <w:rsid w:val="004D153C"/>
    <w:rsid w:val="004D1572"/>
    <w:rsid w:val="004D160D"/>
    <w:rsid w:val="004D1649"/>
    <w:rsid w:val="004D1800"/>
    <w:rsid w:val="004D1826"/>
    <w:rsid w:val="004D1841"/>
    <w:rsid w:val="004D18BB"/>
    <w:rsid w:val="004D18D8"/>
    <w:rsid w:val="004D193A"/>
    <w:rsid w:val="004D1965"/>
    <w:rsid w:val="004D1981"/>
    <w:rsid w:val="004D1A42"/>
    <w:rsid w:val="004D1A60"/>
    <w:rsid w:val="004D1AD5"/>
    <w:rsid w:val="004D1B72"/>
    <w:rsid w:val="004D1D7F"/>
    <w:rsid w:val="004D1DC4"/>
    <w:rsid w:val="004D1DEA"/>
    <w:rsid w:val="004D1E6B"/>
    <w:rsid w:val="004D1E9F"/>
    <w:rsid w:val="004D2056"/>
    <w:rsid w:val="004D207C"/>
    <w:rsid w:val="004D20F3"/>
    <w:rsid w:val="004D217E"/>
    <w:rsid w:val="004D21CC"/>
    <w:rsid w:val="004D2294"/>
    <w:rsid w:val="004D2350"/>
    <w:rsid w:val="004D23E3"/>
    <w:rsid w:val="004D2429"/>
    <w:rsid w:val="004D246A"/>
    <w:rsid w:val="004D254F"/>
    <w:rsid w:val="004D25A7"/>
    <w:rsid w:val="004D26C2"/>
    <w:rsid w:val="004D278D"/>
    <w:rsid w:val="004D280C"/>
    <w:rsid w:val="004D28C9"/>
    <w:rsid w:val="004D2A69"/>
    <w:rsid w:val="004D2A81"/>
    <w:rsid w:val="004D2AC2"/>
    <w:rsid w:val="004D2AE4"/>
    <w:rsid w:val="004D2BF1"/>
    <w:rsid w:val="004D2E2A"/>
    <w:rsid w:val="004D2E38"/>
    <w:rsid w:val="004D2E64"/>
    <w:rsid w:val="004D2EDD"/>
    <w:rsid w:val="004D3006"/>
    <w:rsid w:val="004D307E"/>
    <w:rsid w:val="004D309D"/>
    <w:rsid w:val="004D30DB"/>
    <w:rsid w:val="004D3126"/>
    <w:rsid w:val="004D31CE"/>
    <w:rsid w:val="004D3326"/>
    <w:rsid w:val="004D3370"/>
    <w:rsid w:val="004D337F"/>
    <w:rsid w:val="004D33B8"/>
    <w:rsid w:val="004D3450"/>
    <w:rsid w:val="004D34D8"/>
    <w:rsid w:val="004D3525"/>
    <w:rsid w:val="004D354F"/>
    <w:rsid w:val="004D35B2"/>
    <w:rsid w:val="004D35BA"/>
    <w:rsid w:val="004D35F7"/>
    <w:rsid w:val="004D3649"/>
    <w:rsid w:val="004D36EB"/>
    <w:rsid w:val="004D37B4"/>
    <w:rsid w:val="004D389A"/>
    <w:rsid w:val="004D39BD"/>
    <w:rsid w:val="004D3A48"/>
    <w:rsid w:val="004D3AAA"/>
    <w:rsid w:val="004D3BD9"/>
    <w:rsid w:val="004D3C04"/>
    <w:rsid w:val="004D3D12"/>
    <w:rsid w:val="004D3D91"/>
    <w:rsid w:val="004D3E14"/>
    <w:rsid w:val="004D3E30"/>
    <w:rsid w:val="004D3E76"/>
    <w:rsid w:val="004D3E79"/>
    <w:rsid w:val="004D40EB"/>
    <w:rsid w:val="004D4148"/>
    <w:rsid w:val="004D4340"/>
    <w:rsid w:val="004D437C"/>
    <w:rsid w:val="004D43E0"/>
    <w:rsid w:val="004D43F4"/>
    <w:rsid w:val="004D4446"/>
    <w:rsid w:val="004D4524"/>
    <w:rsid w:val="004D45DC"/>
    <w:rsid w:val="004D4612"/>
    <w:rsid w:val="004D464D"/>
    <w:rsid w:val="004D46BA"/>
    <w:rsid w:val="004D478D"/>
    <w:rsid w:val="004D48FB"/>
    <w:rsid w:val="004D49E5"/>
    <w:rsid w:val="004D4AB5"/>
    <w:rsid w:val="004D4AD6"/>
    <w:rsid w:val="004D4AF7"/>
    <w:rsid w:val="004D4C04"/>
    <w:rsid w:val="004D4D80"/>
    <w:rsid w:val="004D4F1B"/>
    <w:rsid w:val="004D4F58"/>
    <w:rsid w:val="004D5000"/>
    <w:rsid w:val="004D5077"/>
    <w:rsid w:val="004D508E"/>
    <w:rsid w:val="004D523F"/>
    <w:rsid w:val="004D5245"/>
    <w:rsid w:val="004D5343"/>
    <w:rsid w:val="004D539B"/>
    <w:rsid w:val="004D5416"/>
    <w:rsid w:val="004D550D"/>
    <w:rsid w:val="004D55A1"/>
    <w:rsid w:val="004D560E"/>
    <w:rsid w:val="004D5637"/>
    <w:rsid w:val="004D5654"/>
    <w:rsid w:val="004D5696"/>
    <w:rsid w:val="004D573E"/>
    <w:rsid w:val="004D5744"/>
    <w:rsid w:val="004D576D"/>
    <w:rsid w:val="004D579C"/>
    <w:rsid w:val="004D57D5"/>
    <w:rsid w:val="004D5804"/>
    <w:rsid w:val="004D5908"/>
    <w:rsid w:val="004D591E"/>
    <w:rsid w:val="004D59D4"/>
    <w:rsid w:val="004D5A18"/>
    <w:rsid w:val="004D5B39"/>
    <w:rsid w:val="004D5B56"/>
    <w:rsid w:val="004D5B69"/>
    <w:rsid w:val="004D5C5F"/>
    <w:rsid w:val="004D5D22"/>
    <w:rsid w:val="004D5D34"/>
    <w:rsid w:val="004D5D44"/>
    <w:rsid w:val="004D5DC8"/>
    <w:rsid w:val="004D5E6A"/>
    <w:rsid w:val="004D5E7A"/>
    <w:rsid w:val="004D5EDA"/>
    <w:rsid w:val="004D5F72"/>
    <w:rsid w:val="004D602E"/>
    <w:rsid w:val="004D608A"/>
    <w:rsid w:val="004D60D0"/>
    <w:rsid w:val="004D629E"/>
    <w:rsid w:val="004D6374"/>
    <w:rsid w:val="004D63DE"/>
    <w:rsid w:val="004D63F4"/>
    <w:rsid w:val="004D6462"/>
    <w:rsid w:val="004D6596"/>
    <w:rsid w:val="004D6774"/>
    <w:rsid w:val="004D67EC"/>
    <w:rsid w:val="004D6802"/>
    <w:rsid w:val="004D68AA"/>
    <w:rsid w:val="004D6B61"/>
    <w:rsid w:val="004D6BAD"/>
    <w:rsid w:val="004D6BC0"/>
    <w:rsid w:val="004D6D0F"/>
    <w:rsid w:val="004D6D27"/>
    <w:rsid w:val="004D6D74"/>
    <w:rsid w:val="004D6E4D"/>
    <w:rsid w:val="004D70A0"/>
    <w:rsid w:val="004D7240"/>
    <w:rsid w:val="004D730E"/>
    <w:rsid w:val="004D73FF"/>
    <w:rsid w:val="004D7450"/>
    <w:rsid w:val="004D74F1"/>
    <w:rsid w:val="004D75AB"/>
    <w:rsid w:val="004D76AC"/>
    <w:rsid w:val="004D76E3"/>
    <w:rsid w:val="004D77AA"/>
    <w:rsid w:val="004D77FE"/>
    <w:rsid w:val="004D780E"/>
    <w:rsid w:val="004D783D"/>
    <w:rsid w:val="004D786E"/>
    <w:rsid w:val="004D789D"/>
    <w:rsid w:val="004D78BF"/>
    <w:rsid w:val="004D7965"/>
    <w:rsid w:val="004D7989"/>
    <w:rsid w:val="004D7A44"/>
    <w:rsid w:val="004D7ADE"/>
    <w:rsid w:val="004D7B2B"/>
    <w:rsid w:val="004D7B66"/>
    <w:rsid w:val="004D7BAA"/>
    <w:rsid w:val="004D7BDE"/>
    <w:rsid w:val="004D7C61"/>
    <w:rsid w:val="004D7C67"/>
    <w:rsid w:val="004D7E0C"/>
    <w:rsid w:val="004D7EF8"/>
    <w:rsid w:val="004D7FBF"/>
    <w:rsid w:val="004E002F"/>
    <w:rsid w:val="004E0055"/>
    <w:rsid w:val="004E0063"/>
    <w:rsid w:val="004E00D1"/>
    <w:rsid w:val="004E010C"/>
    <w:rsid w:val="004E0180"/>
    <w:rsid w:val="004E0190"/>
    <w:rsid w:val="004E030C"/>
    <w:rsid w:val="004E03C9"/>
    <w:rsid w:val="004E03FF"/>
    <w:rsid w:val="004E04E5"/>
    <w:rsid w:val="004E06E4"/>
    <w:rsid w:val="004E0757"/>
    <w:rsid w:val="004E075D"/>
    <w:rsid w:val="004E07A2"/>
    <w:rsid w:val="004E07FE"/>
    <w:rsid w:val="004E0889"/>
    <w:rsid w:val="004E09B8"/>
    <w:rsid w:val="004E0ADE"/>
    <w:rsid w:val="004E0BAF"/>
    <w:rsid w:val="004E0BC2"/>
    <w:rsid w:val="004E0C0F"/>
    <w:rsid w:val="004E0C96"/>
    <w:rsid w:val="004E0D03"/>
    <w:rsid w:val="004E0DED"/>
    <w:rsid w:val="004E0E27"/>
    <w:rsid w:val="004E0ECC"/>
    <w:rsid w:val="004E0EF9"/>
    <w:rsid w:val="004E0F15"/>
    <w:rsid w:val="004E0FFD"/>
    <w:rsid w:val="004E1148"/>
    <w:rsid w:val="004E116E"/>
    <w:rsid w:val="004E11BA"/>
    <w:rsid w:val="004E123E"/>
    <w:rsid w:val="004E12B3"/>
    <w:rsid w:val="004E133C"/>
    <w:rsid w:val="004E1527"/>
    <w:rsid w:val="004E160C"/>
    <w:rsid w:val="004E1671"/>
    <w:rsid w:val="004E170C"/>
    <w:rsid w:val="004E17D7"/>
    <w:rsid w:val="004E1880"/>
    <w:rsid w:val="004E19C6"/>
    <w:rsid w:val="004E19F0"/>
    <w:rsid w:val="004E1ACC"/>
    <w:rsid w:val="004E1B20"/>
    <w:rsid w:val="004E1B2B"/>
    <w:rsid w:val="004E1B2D"/>
    <w:rsid w:val="004E1CEF"/>
    <w:rsid w:val="004E1D2E"/>
    <w:rsid w:val="004E1E56"/>
    <w:rsid w:val="004E1F0C"/>
    <w:rsid w:val="004E1F47"/>
    <w:rsid w:val="004E1F74"/>
    <w:rsid w:val="004E1FB2"/>
    <w:rsid w:val="004E1FD4"/>
    <w:rsid w:val="004E1FE8"/>
    <w:rsid w:val="004E2099"/>
    <w:rsid w:val="004E2243"/>
    <w:rsid w:val="004E22E3"/>
    <w:rsid w:val="004E23E2"/>
    <w:rsid w:val="004E245B"/>
    <w:rsid w:val="004E2558"/>
    <w:rsid w:val="004E264C"/>
    <w:rsid w:val="004E26DD"/>
    <w:rsid w:val="004E2747"/>
    <w:rsid w:val="004E2798"/>
    <w:rsid w:val="004E2799"/>
    <w:rsid w:val="004E2887"/>
    <w:rsid w:val="004E292F"/>
    <w:rsid w:val="004E29C3"/>
    <w:rsid w:val="004E29DF"/>
    <w:rsid w:val="004E2A07"/>
    <w:rsid w:val="004E2AEA"/>
    <w:rsid w:val="004E2AFF"/>
    <w:rsid w:val="004E2B03"/>
    <w:rsid w:val="004E2B60"/>
    <w:rsid w:val="004E2BB2"/>
    <w:rsid w:val="004E2C56"/>
    <w:rsid w:val="004E2DC1"/>
    <w:rsid w:val="004E2DF5"/>
    <w:rsid w:val="004E2E10"/>
    <w:rsid w:val="004E2E37"/>
    <w:rsid w:val="004E2E89"/>
    <w:rsid w:val="004E3093"/>
    <w:rsid w:val="004E30CE"/>
    <w:rsid w:val="004E311A"/>
    <w:rsid w:val="004E3250"/>
    <w:rsid w:val="004E3388"/>
    <w:rsid w:val="004E3403"/>
    <w:rsid w:val="004E3423"/>
    <w:rsid w:val="004E347F"/>
    <w:rsid w:val="004E3488"/>
    <w:rsid w:val="004E34A7"/>
    <w:rsid w:val="004E3551"/>
    <w:rsid w:val="004E359D"/>
    <w:rsid w:val="004E35F1"/>
    <w:rsid w:val="004E3667"/>
    <w:rsid w:val="004E3922"/>
    <w:rsid w:val="004E395F"/>
    <w:rsid w:val="004E3986"/>
    <w:rsid w:val="004E39FD"/>
    <w:rsid w:val="004E3A3E"/>
    <w:rsid w:val="004E3AAB"/>
    <w:rsid w:val="004E3AB6"/>
    <w:rsid w:val="004E3AE4"/>
    <w:rsid w:val="004E3AE6"/>
    <w:rsid w:val="004E3B5D"/>
    <w:rsid w:val="004E3BE1"/>
    <w:rsid w:val="004E3CA3"/>
    <w:rsid w:val="004E3D6E"/>
    <w:rsid w:val="004E3D92"/>
    <w:rsid w:val="004E3EC0"/>
    <w:rsid w:val="004E3ECE"/>
    <w:rsid w:val="004E3FB6"/>
    <w:rsid w:val="004E3FE1"/>
    <w:rsid w:val="004E4057"/>
    <w:rsid w:val="004E4147"/>
    <w:rsid w:val="004E41F9"/>
    <w:rsid w:val="004E43B5"/>
    <w:rsid w:val="004E43D2"/>
    <w:rsid w:val="004E4490"/>
    <w:rsid w:val="004E4525"/>
    <w:rsid w:val="004E4544"/>
    <w:rsid w:val="004E4623"/>
    <w:rsid w:val="004E477D"/>
    <w:rsid w:val="004E47B5"/>
    <w:rsid w:val="004E4915"/>
    <w:rsid w:val="004E4927"/>
    <w:rsid w:val="004E49C8"/>
    <w:rsid w:val="004E49CA"/>
    <w:rsid w:val="004E4A46"/>
    <w:rsid w:val="004E4B1A"/>
    <w:rsid w:val="004E4B38"/>
    <w:rsid w:val="004E4B76"/>
    <w:rsid w:val="004E4D19"/>
    <w:rsid w:val="004E4D66"/>
    <w:rsid w:val="004E4D70"/>
    <w:rsid w:val="004E4E2F"/>
    <w:rsid w:val="004E4E62"/>
    <w:rsid w:val="004E4E68"/>
    <w:rsid w:val="004E4F15"/>
    <w:rsid w:val="004E4F38"/>
    <w:rsid w:val="004E4F8D"/>
    <w:rsid w:val="004E5021"/>
    <w:rsid w:val="004E507E"/>
    <w:rsid w:val="004E5192"/>
    <w:rsid w:val="004E51E7"/>
    <w:rsid w:val="004E526E"/>
    <w:rsid w:val="004E529A"/>
    <w:rsid w:val="004E530C"/>
    <w:rsid w:val="004E5342"/>
    <w:rsid w:val="004E548E"/>
    <w:rsid w:val="004E550E"/>
    <w:rsid w:val="004E553D"/>
    <w:rsid w:val="004E5778"/>
    <w:rsid w:val="004E5949"/>
    <w:rsid w:val="004E59B2"/>
    <w:rsid w:val="004E5A2C"/>
    <w:rsid w:val="004E5ACD"/>
    <w:rsid w:val="004E5AD6"/>
    <w:rsid w:val="004E5B86"/>
    <w:rsid w:val="004E5D29"/>
    <w:rsid w:val="004E5D46"/>
    <w:rsid w:val="004E5F1F"/>
    <w:rsid w:val="004E5F4E"/>
    <w:rsid w:val="004E5F7A"/>
    <w:rsid w:val="004E6009"/>
    <w:rsid w:val="004E6091"/>
    <w:rsid w:val="004E617E"/>
    <w:rsid w:val="004E6263"/>
    <w:rsid w:val="004E6288"/>
    <w:rsid w:val="004E6337"/>
    <w:rsid w:val="004E63F8"/>
    <w:rsid w:val="004E63FD"/>
    <w:rsid w:val="004E64BE"/>
    <w:rsid w:val="004E651E"/>
    <w:rsid w:val="004E65AD"/>
    <w:rsid w:val="004E65F9"/>
    <w:rsid w:val="004E666E"/>
    <w:rsid w:val="004E671B"/>
    <w:rsid w:val="004E680A"/>
    <w:rsid w:val="004E6903"/>
    <w:rsid w:val="004E6908"/>
    <w:rsid w:val="004E6980"/>
    <w:rsid w:val="004E6990"/>
    <w:rsid w:val="004E69AD"/>
    <w:rsid w:val="004E6A23"/>
    <w:rsid w:val="004E6AC0"/>
    <w:rsid w:val="004E6B0D"/>
    <w:rsid w:val="004E6C04"/>
    <w:rsid w:val="004E6CFB"/>
    <w:rsid w:val="004E6DAC"/>
    <w:rsid w:val="004E6DCA"/>
    <w:rsid w:val="004E6E36"/>
    <w:rsid w:val="004E6EB1"/>
    <w:rsid w:val="004E6F0B"/>
    <w:rsid w:val="004E6F29"/>
    <w:rsid w:val="004E6F2D"/>
    <w:rsid w:val="004E6F70"/>
    <w:rsid w:val="004E6F7D"/>
    <w:rsid w:val="004E705B"/>
    <w:rsid w:val="004E7093"/>
    <w:rsid w:val="004E7094"/>
    <w:rsid w:val="004E70D9"/>
    <w:rsid w:val="004E710A"/>
    <w:rsid w:val="004E7221"/>
    <w:rsid w:val="004E7369"/>
    <w:rsid w:val="004E7411"/>
    <w:rsid w:val="004E74F4"/>
    <w:rsid w:val="004E753F"/>
    <w:rsid w:val="004E75C4"/>
    <w:rsid w:val="004E765C"/>
    <w:rsid w:val="004E76EE"/>
    <w:rsid w:val="004E7728"/>
    <w:rsid w:val="004E7763"/>
    <w:rsid w:val="004E77DD"/>
    <w:rsid w:val="004E78EA"/>
    <w:rsid w:val="004E790D"/>
    <w:rsid w:val="004E7A88"/>
    <w:rsid w:val="004E7B55"/>
    <w:rsid w:val="004E7B7F"/>
    <w:rsid w:val="004E7C2C"/>
    <w:rsid w:val="004E7C6D"/>
    <w:rsid w:val="004E7CF4"/>
    <w:rsid w:val="004E7FAB"/>
    <w:rsid w:val="004F0005"/>
    <w:rsid w:val="004F00BB"/>
    <w:rsid w:val="004F0148"/>
    <w:rsid w:val="004F016F"/>
    <w:rsid w:val="004F017E"/>
    <w:rsid w:val="004F01AB"/>
    <w:rsid w:val="004F01CB"/>
    <w:rsid w:val="004F0248"/>
    <w:rsid w:val="004F0357"/>
    <w:rsid w:val="004F0372"/>
    <w:rsid w:val="004F0529"/>
    <w:rsid w:val="004F0599"/>
    <w:rsid w:val="004F05FE"/>
    <w:rsid w:val="004F0631"/>
    <w:rsid w:val="004F0783"/>
    <w:rsid w:val="004F0876"/>
    <w:rsid w:val="004F0894"/>
    <w:rsid w:val="004F090D"/>
    <w:rsid w:val="004F0986"/>
    <w:rsid w:val="004F099B"/>
    <w:rsid w:val="004F0A3B"/>
    <w:rsid w:val="004F0BD0"/>
    <w:rsid w:val="004F0C7B"/>
    <w:rsid w:val="004F0CF2"/>
    <w:rsid w:val="004F0D04"/>
    <w:rsid w:val="004F0D18"/>
    <w:rsid w:val="004F0D9B"/>
    <w:rsid w:val="004F0E7E"/>
    <w:rsid w:val="004F0EED"/>
    <w:rsid w:val="004F0F68"/>
    <w:rsid w:val="004F0FD3"/>
    <w:rsid w:val="004F1009"/>
    <w:rsid w:val="004F100A"/>
    <w:rsid w:val="004F104F"/>
    <w:rsid w:val="004F116C"/>
    <w:rsid w:val="004F1221"/>
    <w:rsid w:val="004F130D"/>
    <w:rsid w:val="004F133E"/>
    <w:rsid w:val="004F13D6"/>
    <w:rsid w:val="004F1424"/>
    <w:rsid w:val="004F142A"/>
    <w:rsid w:val="004F1500"/>
    <w:rsid w:val="004F15CF"/>
    <w:rsid w:val="004F1810"/>
    <w:rsid w:val="004F18C1"/>
    <w:rsid w:val="004F18CD"/>
    <w:rsid w:val="004F1962"/>
    <w:rsid w:val="004F1AF3"/>
    <w:rsid w:val="004F1C16"/>
    <w:rsid w:val="004F1C30"/>
    <w:rsid w:val="004F1D34"/>
    <w:rsid w:val="004F1E70"/>
    <w:rsid w:val="004F1EC9"/>
    <w:rsid w:val="004F1ED4"/>
    <w:rsid w:val="004F1EE1"/>
    <w:rsid w:val="004F201F"/>
    <w:rsid w:val="004F2187"/>
    <w:rsid w:val="004F2278"/>
    <w:rsid w:val="004F23E9"/>
    <w:rsid w:val="004F24A2"/>
    <w:rsid w:val="004F2515"/>
    <w:rsid w:val="004F25F2"/>
    <w:rsid w:val="004F2606"/>
    <w:rsid w:val="004F2680"/>
    <w:rsid w:val="004F26C5"/>
    <w:rsid w:val="004F270C"/>
    <w:rsid w:val="004F2729"/>
    <w:rsid w:val="004F2790"/>
    <w:rsid w:val="004F28FD"/>
    <w:rsid w:val="004F2A97"/>
    <w:rsid w:val="004F2AA4"/>
    <w:rsid w:val="004F2AFE"/>
    <w:rsid w:val="004F2BDD"/>
    <w:rsid w:val="004F2BE9"/>
    <w:rsid w:val="004F2D78"/>
    <w:rsid w:val="004F2DDA"/>
    <w:rsid w:val="004F2E2A"/>
    <w:rsid w:val="004F2EA7"/>
    <w:rsid w:val="004F2FDC"/>
    <w:rsid w:val="004F30D0"/>
    <w:rsid w:val="004F31D7"/>
    <w:rsid w:val="004F3202"/>
    <w:rsid w:val="004F3247"/>
    <w:rsid w:val="004F3365"/>
    <w:rsid w:val="004F341E"/>
    <w:rsid w:val="004F34F5"/>
    <w:rsid w:val="004F35DB"/>
    <w:rsid w:val="004F3661"/>
    <w:rsid w:val="004F371A"/>
    <w:rsid w:val="004F372E"/>
    <w:rsid w:val="004F376E"/>
    <w:rsid w:val="004F377C"/>
    <w:rsid w:val="004F379D"/>
    <w:rsid w:val="004F37D3"/>
    <w:rsid w:val="004F3866"/>
    <w:rsid w:val="004F399B"/>
    <w:rsid w:val="004F399F"/>
    <w:rsid w:val="004F39BA"/>
    <w:rsid w:val="004F3ADA"/>
    <w:rsid w:val="004F3AED"/>
    <w:rsid w:val="004F3B68"/>
    <w:rsid w:val="004F3BAA"/>
    <w:rsid w:val="004F3BF4"/>
    <w:rsid w:val="004F3C2A"/>
    <w:rsid w:val="004F3DF1"/>
    <w:rsid w:val="004F3ECE"/>
    <w:rsid w:val="004F3F21"/>
    <w:rsid w:val="004F3FB5"/>
    <w:rsid w:val="004F3FBB"/>
    <w:rsid w:val="004F3FC4"/>
    <w:rsid w:val="004F3FDA"/>
    <w:rsid w:val="004F3FF3"/>
    <w:rsid w:val="004F409D"/>
    <w:rsid w:val="004F40D0"/>
    <w:rsid w:val="004F416E"/>
    <w:rsid w:val="004F41AF"/>
    <w:rsid w:val="004F41D5"/>
    <w:rsid w:val="004F41DA"/>
    <w:rsid w:val="004F4257"/>
    <w:rsid w:val="004F431F"/>
    <w:rsid w:val="004F44CF"/>
    <w:rsid w:val="004F4531"/>
    <w:rsid w:val="004F455D"/>
    <w:rsid w:val="004F455F"/>
    <w:rsid w:val="004F4565"/>
    <w:rsid w:val="004F46C5"/>
    <w:rsid w:val="004F477C"/>
    <w:rsid w:val="004F4956"/>
    <w:rsid w:val="004F495B"/>
    <w:rsid w:val="004F4A75"/>
    <w:rsid w:val="004F4B47"/>
    <w:rsid w:val="004F4E28"/>
    <w:rsid w:val="004F4E36"/>
    <w:rsid w:val="004F4E72"/>
    <w:rsid w:val="004F4EB7"/>
    <w:rsid w:val="004F4FD9"/>
    <w:rsid w:val="004F4FF9"/>
    <w:rsid w:val="004F50A4"/>
    <w:rsid w:val="004F5216"/>
    <w:rsid w:val="004F52A8"/>
    <w:rsid w:val="004F52D2"/>
    <w:rsid w:val="004F53DA"/>
    <w:rsid w:val="004F5437"/>
    <w:rsid w:val="004F544F"/>
    <w:rsid w:val="004F5454"/>
    <w:rsid w:val="004F5469"/>
    <w:rsid w:val="004F54D9"/>
    <w:rsid w:val="004F5596"/>
    <w:rsid w:val="004F55C0"/>
    <w:rsid w:val="004F563A"/>
    <w:rsid w:val="004F5652"/>
    <w:rsid w:val="004F56B8"/>
    <w:rsid w:val="004F56DB"/>
    <w:rsid w:val="004F5704"/>
    <w:rsid w:val="004F579C"/>
    <w:rsid w:val="004F5810"/>
    <w:rsid w:val="004F587F"/>
    <w:rsid w:val="004F5971"/>
    <w:rsid w:val="004F5A21"/>
    <w:rsid w:val="004F5A73"/>
    <w:rsid w:val="004F5AAD"/>
    <w:rsid w:val="004F5B1B"/>
    <w:rsid w:val="004F5B30"/>
    <w:rsid w:val="004F5BDB"/>
    <w:rsid w:val="004F5C29"/>
    <w:rsid w:val="004F5CE1"/>
    <w:rsid w:val="004F5D8A"/>
    <w:rsid w:val="004F5EAA"/>
    <w:rsid w:val="004F5EDE"/>
    <w:rsid w:val="004F5F26"/>
    <w:rsid w:val="004F5FAD"/>
    <w:rsid w:val="004F6007"/>
    <w:rsid w:val="004F606B"/>
    <w:rsid w:val="004F609A"/>
    <w:rsid w:val="004F6154"/>
    <w:rsid w:val="004F6194"/>
    <w:rsid w:val="004F61BA"/>
    <w:rsid w:val="004F61E1"/>
    <w:rsid w:val="004F628F"/>
    <w:rsid w:val="004F6316"/>
    <w:rsid w:val="004F63AD"/>
    <w:rsid w:val="004F6433"/>
    <w:rsid w:val="004F6555"/>
    <w:rsid w:val="004F659B"/>
    <w:rsid w:val="004F6687"/>
    <w:rsid w:val="004F66BD"/>
    <w:rsid w:val="004F66BE"/>
    <w:rsid w:val="004F66D8"/>
    <w:rsid w:val="004F672E"/>
    <w:rsid w:val="004F6738"/>
    <w:rsid w:val="004F67E2"/>
    <w:rsid w:val="004F67F8"/>
    <w:rsid w:val="004F6817"/>
    <w:rsid w:val="004F6818"/>
    <w:rsid w:val="004F6938"/>
    <w:rsid w:val="004F69A0"/>
    <w:rsid w:val="004F6AF9"/>
    <w:rsid w:val="004F6B4E"/>
    <w:rsid w:val="004F6B61"/>
    <w:rsid w:val="004F6B67"/>
    <w:rsid w:val="004F6BAC"/>
    <w:rsid w:val="004F6CE2"/>
    <w:rsid w:val="004F6E38"/>
    <w:rsid w:val="004F6F4C"/>
    <w:rsid w:val="004F6FC8"/>
    <w:rsid w:val="004F71CF"/>
    <w:rsid w:val="004F7232"/>
    <w:rsid w:val="004F7250"/>
    <w:rsid w:val="004F72DD"/>
    <w:rsid w:val="004F72F1"/>
    <w:rsid w:val="004F7314"/>
    <w:rsid w:val="004F7328"/>
    <w:rsid w:val="004F7356"/>
    <w:rsid w:val="004F7368"/>
    <w:rsid w:val="004F737E"/>
    <w:rsid w:val="004F73DA"/>
    <w:rsid w:val="004F749E"/>
    <w:rsid w:val="004F75B6"/>
    <w:rsid w:val="004F75D9"/>
    <w:rsid w:val="004F7610"/>
    <w:rsid w:val="004F76D8"/>
    <w:rsid w:val="004F780A"/>
    <w:rsid w:val="004F7886"/>
    <w:rsid w:val="004F78AC"/>
    <w:rsid w:val="004F7AEF"/>
    <w:rsid w:val="004F7D02"/>
    <w:rsid w:val="004F7D45"/>
    <w:rsid w:val="004F7E06"/>
    <w:rsid w:val="004F7EAF"/>
    <w:rsid w:val="004F7EED"/>
    <w:rsid w:val="004F7F82"/>
    <w:rsid w:val="00500158"/>
    <w:rsid w:val="00500168"/>
    <w:rsid w:val="005002D5"/>
    <w:rsid w:val="005003F7"/>
    <w:rsid w:val="0050040E"/>
    <w:rsid w:val="0050044B"/>
    <w:rsid w:val="00500534"/>
    <w:rsid w:val="0050063F"/>
    <w:rsid w:val="00500647"/>
    <w:rsid w:val="00500656"/>
    <w:rsid w:val="0050067B"/>
    <w:rsid w:val="00500692"/>
    <w:rsid w:val="0050075D"/>
    <w:rsid w:val="0050076D"/>
    <w:rsid w:val="0050077D"/>
    <w:rsid w:val="00500861"/>
    <w:rsid w:val="00500985"/>
    <w:rsid w:val="00500ABE"/>
    <w:rsid w:val="00500D6D"/>
    <w:rsid w:val="00500DB1"/>
    <w:rsid w:val="00500E3B"/>
    <w:rsid w:val="00500E83"/>
    <w:rsid w:val="00500EB3"/>
    <w:rsid w:val="00500F1F"/>
    <w:rsid w:val="00500FAB"/>
    <w:rsid w:val="00500FC0"/>
    <w:rsid w:val="0050104A"/>
    <w:rsid w:val="00501094"/>
    <w:rsid w:val="005012FE"/>
    <w:rsid w:val="00501318"/>
    <w:rsid w:val="0050134E"/>
    <w:rsid w:val="0050144E"/>
    <w:rsid w:val="0050147C"/>
    <w:rsid w:val="00501490"/>
    <w:rsid w:val="0050150B"/>
    <w:rsid w:val="00501574"/>
    <w:rsid w:val="005016E2"/>
    <w:rsid w:val="005017CB"/>
    <w:rsid w:val="00501944"/>
    <w:rsid w:val="00501947"/>
    <w:rsid w:val="005019B1"/>
    <w:rsid w:val="005019EC"/>
    <w:rsid w:val="00501A4B"/>
    <w:rsid w:val="00501A56"/>
    <w:rsid w:val="00501A69"/>
    <w:rsid w:val="00501AE8"/>
    <w:rsid w:val="00501B96"/>
    <w:rsid w:val="00501C93"/>
    <w:rsid w:val="00501CA2"/>
    <w:rsid w:val="00501CCF"/>
    <w:rsid w:val="00501D13"/>
    <w:rsid w:val="00501D21"/>
    <w:rsid w:val="00501EDF"/>
    <w:rsid w:val="00501F12"/>
    <w:rsid w:val="00501F7E"/>
    <w:rsid w:val="00502006"/>
    <w:rsid w:val="0050201D"/>
    <w:rsid w:val="00502023"/>
    <w:rsid w:val="0050214E"/>
    <w:rsid w:val="00502162"/>
    <w:rsid w:val="0050249E"/>
    <w:rsid w:val="005024FC"/>
    <w:rsid w:val="0050251B"/>
    <w:rsid w:val="005025E4"/>
    <w:rsid w:val="00502606"/>
    <w:rsid w:val="00502647"/>
    <w:rsid w:val="00502735"/>
    <w:rsid w:val="005027FF"/>
    <w:rsid w:val="00502807"/>
    <w:rsid w:val="005028C0"/>
    <w:rsid w:val="00502A53"/>
    <w:rsid w:val="00502A91"/>
    <w:rsid w:val="00502AB8"/>
    <w:rsid w:val="00502ADD"/>
    <w:rsid w:val="00502B75"/>
    <w:rsid w:val="00502BC0"/>
    <w:rsid w:val="00502CB8"/>
    <w:rsid w:val="00502F0F"/>
    <w:rsid w:val="00502FC5"/>
    <w:rsid w:val="0050300D"/>
    <w:rsid w:val="00503038"/>
    <w:rsid w:val="00503071"/>
    <w:rsid w:val="0050310A"/>
    <w:rsid w:val="005031A9"/>
    <w:rsid w:val="0050326E"/>
    <w:rsid w:val="005033B8"/>
    <w:rsid w:val="005033EE"/>
    <w:rsid w:val="005035B8"/>
    <w:rsid w:val="00503653"/>
    <w:rsid w:val="00503890"/>
    <w:rsid w:val="005038AA"/>
    <w:rsid w:val="005038ED"/>
    <w:rsid w:val="00503B07"/>
    <w:rsid w:val="00503CB7"/>
    <w:rsid w:val="00503D13"/>
    <w:rsid w:val="00503E89"/>
    <w:rsid w:val="00503F9B"/>
    <w:rsid w:val="00503FA8"/>
    <w:rsid w:val="00504126"/>
    <w:rsid w:val="00504188"/>
    <w:rsid w:val="00504201"/>
    <w:rsid w:val="0050426B"/>
    <w:rsid w:val="00504316"/>
    <w:rsid w:val="005043BA"/>
    <w:rsid w:val="005043EB"/>
    <w:rsid w:val="00504425"/>
    <w:rsid w:val="0050462E"/>
    <w:rsid w:val="00504670"/>
    <w:rsid w:val="00504703"/>
    <w:rsid w:val="00504835"/>
    <w:rsid w:val="00504913"/>
    <w:rsid w:val="00504915"/>
    <w:rsid w:val="005049A3"/>
    <w:rsid w:val="005049DA"/>
    <w:rsid w:val="00504B0B"/>
    <w:rsid w:val="00504B2A"/>
    <w:rsid w:val="00504CEE"/>
    <w:rsid w:val="00504CFC"/>
    <w:rsid w:val="00504D75"/>
    <w:rsid w:val="00504D93"/>
    <w:rsid w:val="00504E5F"/>
    <w:rsid w:val="00504E65"/>
    <w:rsid w:val="00504F6F"/>
    <w:rsid w:val="00505079"/>
    <w:rsid w:val="005050D2"/>
    <w:rsid w:val="00505166"/>
    <w:rsid w:val="00505189"/>
    <w:rsid w:val="0050525C"/>
    <w:rsid w:val="005052E7"/>
    <w:rsid w:val="0050535B"/>
    <w:rsid w:val="005053B4"/>
    <w:rsid w:val="005054A1"/>
    <w:rsid w:val="0050553F"/>
    <w:rsid w:val="00505688"/>
    <w:rsid w:val="005057E1"/>
    <w:rsid w:val="00505828"/>
    <w:rsid w:val="00505860"/>
    <w:rsid w:val="00505914"/>
    <w:rsid w:val="0050591E"/>
    <w:rsid w:val="00505B8D"/>
    <w:rsid w:val="00505BD2"/>
    <w:rsid w:val="00505C3E"/>
    <w:rsid w:val="00505C7D"/>
    <w:rsid w:val="00505D43"/>
    <w:rsid w:val="00505DA5"/>
    <w:rsid w:val="00505E6E"/>
    <w:rsid w:val="0050607A"/>
    <w:rsid w:val="0050620E"/>
    <w:rsid w:val="00506211"/>
    <w:rsid w:val="00506262"/>
    <w:rsid w:val="0050636F"/>
    <w:rsid w:val="00506413"/>
    <w:rsid w:val="00506430"/>
    <w:rsid w:val="005064B6"/>
    <w:rsid w:val="005064E2"/>
    <w:rsid w:val="00506520"/>
    <w:rsid w:val="0050655B"/>
    <w:rsid w:val="005065A0"/>
    <w:rsid w:val="005066F7"/>
    <w:rsid w:val="005067A4"/>
    <w:rsid w:val="00506BF0"/>
    <w:rsid w:val="00506C98"/>
    <w:rsid w:val="00506D94"/>
    <w:rsid w:val="00506E3F"/>
    <w:rsid w:val="00506EFB"/>
    <w:rsid w:val="00506FD3"/>
    <w:rsid w:val="00507111"/>
    <w:rsid w:val="00507144"/>
    <w:rsid w:val="00507156"/>
    <w:rsid w:val="005071CF"/>
    <w:rsid w:val="005072CA"/>
    <w:rsid w:val="0050733B"/>
    <w:rsid w:val="0050736B"/>
    <w:rsid w:val="005073B5"/>
    <w:rsid w:val="00507457"/>
    <w:rsid w:val="00507564"/>
    <w:rsid w:val="00507674"/>
    <w:rsid w:val="0050767F"/>
    <w:rsid w:val="005078DC"/>
    <w:rsid w:val="00507959"/>
    <w:rsid w:val="00507AAB"/>
    <w:rsid w:val="00507ACD"/>
    <w:rsid w:val="00507B33"/>
    <w:rsid w:val="00507CC6"/>
    <w:rsid w:val="00507D0E"/>
    <w:rsid w:val="00507DAD"/>
    <w:rsid w:val="00507E2F"/>
    <w:rsid w:val="00507E3D"/>
    <w:rsid w:val="00507EAC"/>
    <w:rsid w:val="00507ED1"/>
    <w:rsid w:val="00507EE3"/>
    <w:rsid w:val="00507F5F"/>
    <w:rsid w:val="00507F70"/>
    <w:rsid w:val="00507FB5"/>
    <w:rsid w:val="00507FFB"/>
    <w:rsid w:val="00508999"/>
    <w:rsid w:val="00510018"/>
    <w:rsid w:val="00510345"/>
    <w:rsid w:val="00510349"/>
    <w:rsid w:val="00510402"/>
    <w:rsid w:val="005105F6"/>
    <w:rsid w:val="0051067E"/>
    <w:rsid w:val="005107D9"/>
    <w:rsid w:val="005108A8"/>
    <w:rsid w:val="00510BC0"/>
    <w:rsid w:val="00510CB4"/>
    <w:rsid w:val="00510D79"/>
    <w:rsid w:val="00510ECD"/>
    <w:rsid w:val="00510EF5"/>
    <w:rsid w:val="00510EF6"/>
    <w:rsid w:val="00511035"/>
    <w:rsid w:val="0051108C"/>
    <w:rsid w:val="00511121"/>
    <w:rsid w:val="00511129"/>
    <w:rsid w:val="00511176"/>
    <w:rsid w:val="005111C2"/>
    <w:rsid w:val="0051123E"/>
    <w:rsid w:val="0051124F"/>
    <w:rsid w:val="00511264"/>
    <w:rsid w:val="00511314"/>
    <w:rsid w:val="0051134C"/>
    <w:rsid w:val="0051144D"/>
    <w:rsid w:val="00511499"/>
    <w:rsid w:val="005114C8"/>
    <w:rsid w:val="00511736"/>
    <w:rsid w:val="00511787"/>
    <w:rsid w:val="0051178C"/>
    <w:rsid w:val="0051183C"/>
    <w:rsid w:val="0051197F"/>
    <w:rsid w:val="00511AC6"/>
    <w:rsid w:val="00511AD1"/>
    <w:rsid w:val="00511AD3"/>
    <w:rsid w:val="00511BED"/>
    <w:rsid w:val="00511CAD"/>
    <w:rsid w:val="00511D59"/>
    <w:rsid w:val="00511D9D"/>
    <w:rsid w:val="00511DE1"/>
    <w:rsid w:val="0051203E"/>
    <w:rsid w:val="00512059"/>
    <w:rsid w:val="0051205B"/>
    <w:rsid w:val="00512063"/>
    <w:rsid w:val="005120DD"/>
    <w:rsid w:val="005120E7"/>
    <w:rsid w:val="0051215D"/>
    <w:rsid w:val="005121BD"/>
    <w:rsid w:val="00512205"/>
    <w:rsid w:val="00512213"/>
    <w:rsid w:val="00512249"/>
    <w:rsid w:val="0051227D"/>
    <w:rsid w:val="0051229C"/>
    <w:rsid w:val="005122DC"/>
    <w:rsid w:val="005124DC"/>
    <w:rsid w:val="0051251D"/>
    <w:rsid w:val="0051265B"/>
    <w:rsid w:val="00512690"/>
    <w:rsid w:val="00512874"/>
    <w:rsid w:val="005128C3"/>
    <w:rsid w:val="00512997"/>
    <w:rsid w:val="00512A79"/>
    <w:rsid w:val="00512B21"/>
    <w:rsid w:val="00512B22"/>
    <w:rsid w:val="00512BDD"/>
    <w:rsid w:val="00512C2A"/>
    <w:rsid w:val="00512C6B"/>
    <w:rsid w:val="00512CEB"/>
    <w:rsid w:val="00512D10"/>
    <w:rsid w:val="00513045"/>
    <w:rsid w:val="005131DD"/>
    <w:rsid w:val="00513200"/>
    <w:rsid w:val="005132E9"/>
    <w:rsid w:val="0051331B"/>
    <w:rsid w:val="00513412"/>
    <w:rsid w:val="00513474"/>
    <w:rsid w:val="00513638"/>
    <w:rsid w:val="00513681"/>
    <w:rsid w:val="00513774"/>
    <w:rsid w:val="005137B1"/>
    <w:rsid w:val="005137B3"/>
    <w:rsid w:val="005137D7"/>
    <w:rsid w:val="005137E4"/>
    <w:rsid w:val="0051391A"/>
    <w:rsid w:val="00513943"/>
    <w:rsid w:val="005139DD"/>
    <w:rsid w:val="00513A88"/>
    <w:rsid w:val="00513AFC"/>
    <w:rsid w:val="00513B37"/>
    <w:rsid w:val="00513BE3"/>
    <w:rsid w:val="00513CA9"/>
    <w:rsid w:val="00513D26"/>
    <w:rsid w:val="00514034"/>
    <w:rsid w:val="005140CB"/>
    <w:rsid w:val="00514158"/>
    <w:rsid w:val="00514189"/>
    <w:rsid w:val="00514238"/>
    <w:rsid w:val="00514296"/>
    <w:rsid w:val="00514319"/>
    <w:rsid w:val="005144A9"/>
    <w:rsid w:val="00514561"/>
    <w:rsid w:val="00514797"/>
    <w:rsid w:val="005147AC"/>
    <w:rsid w:val="005147C8"/>
    <w:rsid w:val="005148E8"/>
    <w:rsid w:val="005148EB"/>
    <w:rsid w:val="005149CC"/>
    <w:rsid w:val="00514AE5"/>
    <w:rsid w:val="00514D17"/>
    <w:rsid w:val="00514D4C"/>
    <w:rsid w:val="00514DA4"/>
    <w:rsid w:val="00514DAC"/>
    <w:rsid w:val="00514DC5"/>
    <w:rsid w:val="00514E00"/>
    <w:rsid w:val="00514FB4"/>
    <w:rsid w:val="005150AC"/>
    <w:rsid w:val="0051512B"/>
    <w:rsid w:val="005151AF"/>
    <w:rsid w:val="005151D8"/>
    <w:rsid w:val="00515265"/>
    <w:rsid w:val="00515296"/>
    <w:rsid w:val="0051529B"/>
    <w:rsid w:val="005152E8"/>
    <w:rsid w:val="0051535F"/>
    <w:rsid w:val="00515378"/>
    <w:rsid w:val="005153EC"/>
    <w:rsid w:val="00515400"/>
    <w:rsid w:val="00515433"/>
    <w:rsid w:val="00515557"/>
    <w:rsid w:val="00515592"/>
    <w:rsid w:val="0051562B"/>
    <w:rsid w:val="0051562C"/>
    <w:rsid w:val="005156CA"/>
    <w:rsid w:val="005156E7"/>
    <w:rsid w:val="0051571F"/>
    <w:rsid w:val="00515789"/>
    <w:rsid w:val="005158A0"/>
    <w:rsid w:val="0051593B"/>
    <w:rsid w:val="00515990"/>
    <w:rsid w:val="005159A4"/>
    <w:rsid w:val="005159B6"/>
    <w:rsid w:val="00515A6B"/>
    <w:rsid w:val="00515BC1"/>
    <w:rsid w:val="00515C0C"/>
    <w:rsid w:val="00515C2F"/>
    <w:rsid w:val="00515C72"/>
    <w:rsid w:val="00515D33"/>
    <w:rsid w:val="00515D83"/>
    <w:rsid w:val="00515D88"/>
    <w:rsid w:val="00515E9B"/>
    <w:rsid w:val="00515F08"/>
    <w:rsid w:val="0051617D"/>
    <w:rsid w:val="00516363"/>
    <w:rsid w:val="0051638C"/>
    <w:rsid w:val="005165A2"/>
    <w:rsid w:val="00516669"/>
    <w:rsid w:val="00516749"/>
    <w:rsid w:val="005168AD"/>
    <w:rsid w:val="00516922"/>
    <w:rsid w:val="00516A8C"/>
    <w:rsid w:val="00516B3A"/>
    <w:rsid w:val="00516CBE"/>
    <w:rsid w:val="00516D20"/>
    <w:rsid w:val="00516D8F"/>
    <w:rsid w:val="00516DBF"/>
    <w:rsid w:val="00516F0A"/>
    <w:rsid w:val="00517025"/>
    <w:rsid w:val="00517086"/>
    <w:rsid w:val="00517260"/>
    <w:rsid w:val="00517355"/>
    <w:rsid w:val="00517485"/>
    <w:rsid w:val="0051752E"/>
    <w:rsid w:val="00517636"/>
    <w:rsid w:val="0051767E"/>
    <w:rsid w:val="0051771B"/>
    <w:rsid w:val="00517789"/>
    <w:rsid w:val="005177A4"/>
    <w:rsid w:val="005177DE"/>
    <w:rsid w:val="0051784F"/>
    <w:rsid w:val="005178E4"/>
    <w:rsid w:val="0051792F"/>
    <w:rsid w:val="0051793E"/>
    <w:rsid w:val="00517963"/>
    <w:rsid w:val="005179C0"/>
    <w:rsid w:val="00517A68"/>
    <w:rsid w:val="00517B30"/>
    <w:rsid w:val="00517C58"/>
    <w:rsid w:val="00517CAE"/>
    <w:rsid w:val="00517CE4"/>
    <w:rsid w:val="00517D63"/>
    <w:rsid w:val="00517DB4"/>
    <w:rsid w:val="00517DCF"/>
    <w:rsid w:val="00517E10"/>
    <w:rsid w:val="00517E23"/>
    <w:rsid w:val="00517E60"/>
    <w:rsid w:val="00517F23"/>
    <w:rsid w:val="00517F53"/>
    <w:rsid w:val="00517F9D"/>
    <w:rsid w:val="0052004D"/>
    <w:rsid w:val="005202C8"/>
    <w:rsid w:val="00520319"/>
    <w:rsid w:val="00520342"/>
    <w:rsid w:val="0052041B"/>
    <w:rsid w:val="00520434"/>
    <w:rsid w:val="00520446"/>
    <w:rsid w:val="005204BC"/>
    <w:rsid w:val="00520575"/>
    <w:rsid w:val="005205BF"/>
    <w:rsid w:val="005205CC"/>
    <w:rsid w:val="0052069D"/>
    <w:rsid w:val="005206C1"/>
    <w:rsid w:val="0052077F"/>
    <w:rsid w:val="005207EA"/>
    <w:rsid w:val="005208BB"/>
    <w:rsid w:val="005208CF"/>
    <w:rsid w:val="005208EE"/>
    <w:rsid w:val="005209B0"/>
    <w:rsid w:val="00520A4D"/>
    <w:rsid w:val="00520A8A"/>
    <w:rsid w:val="00520B47"/>
    <w:rsid w:val="00520B87"/>
    <w:rsid w:val="00520BBC"/>
    <w:rsid w:val="00520C35"/>
    <w:rsid w:val="00520C98"/>
    <w:rsid w:val="00520D0F"/>
    <w:rsid w:val="00520E28"/>
    <w:rsid w:val="00520E47"/>
    <w:rsid w:val="00520E57"/>
    <w:rsid w:val="00520E79"/>
    <w:rsid w:val="00520E89"/>
    <w:rsid w:val="005210E7"/>
    <w:rsid w:val="0052127A"/>
    <w:rsid w:val="0052132D"/>
    <w:rsid w:val="0052134B"/>
    <w:rsid w:val="005213A6"/>
    <w:rsid w:val="00521490"/>
    <w:rsid w:val="0052157D"/>
    <w:rsid w:val="00521698"/>
    <w:rsid w:val="00521727"/>
    <w:rsid w:val="00521801"/>
    <w:rsid w:val="005219B3"/>
    <w:rsid w:val="00521AD0"/>
    <w:rsid w:val="00521B86"/>
    <w:rsid w:val="00521D60"/>
    <w:rsid w:val="00521DD0"/>
    <w:rsid w:val="00521E07"/>
    <w:rsid w:val="00521ECE"/>
    <w:rsid w:val="00521F79"/>
    <w:rsid w:val="00521FC6"/>
    <w:rsid w:val="0052211D"/>
    <w:rsid w:val="00522353"/>
    <w:rsid w:val="00522359"/>
    <w:rsid w:val="0052235A"/>
    <w:rsid w:val="00522392"/>
    <w:rsid w:val="00522489"/>
    <w:rsid w:val="005224F3"/>
    <w:rsid w:val="0052252D"/>
    <w:rsid w:val="005225F0"/>
    <w:rsid w:val="00522672"/>
    <w:rsid w:val="005226FE"/>
    <w:rsid w:val="00522754"/>
    <w:rsid w:val="005227BE"/>
    <w:rsid w:val="005227C8"/>
    <w:rsid w:val="005227CB"/>
    <w:rsid w:val="00522827"/>
    <w:rsid w:val="00522859"/>
    <w:rsid w:val="0052296A"/>
    <w:rsid w:val="00522996"/>
    <w:rsid w:val="00522B08"/>
    <w:rsid w:val="00522B15"/>
    <w:rsid w:val="00522B34"/>
    <w:rsid w:val="00522B3C"/>
    <w:rsid w:val="00522B90"/>
    <w:rsid w:val="00522BA1"/>
    <w:rsid w:val="00522BB0"/>
    <w:rsid w:val="00522CE3"/>
    <w:rsid w:val="00522CEF"/>
    <w:rsid w:val="00522DC2"/>
    <w:rsid w:val="00523037"/>
    <w:rsid w:val="005230AB"/>
    <w:rsid w:val="005231C0"/>
    <w:rsid w:val="005232D4"/>
    <w:rsid w:val="00523314"/>
    <w:rsid w:val="00523440"/>
    <w:rsid w:val="0052348B"/>
    <w:rsid w:val="0052352C"/>
    <w:rsid w:val="005235C0"/>
    <w:rsid w:val="005235CE"/>
    <w:rsid w:val="0052361D"/>
    <w:rsid w:val="0052362F"/>
    <w:rsid w:val="005238C2"/>
    <w:rsid w:val="00523980"/>
    <w:rsid w:val="00523992"/>
    <w:rsid w:val="005239BB"/>
    <w:rsid w:val="005239FB"/>
    <w:rsid w:val="00523A9A"/>
    <w:rsid w:val="00523AFC"/>
    <w:rsid w:val="00523B60"/>
    <w:rsid w:val="00523CFB"/>
    <w:rsid w:val="00523D37"/>
    <w:rsid w:val="00523DF4"/>
    <w:rsid w:val="00523ED1"/>
    <w:rsid w:val="00523FD6"/>
    <w:rsid w:val="0052406C"/>
    <w:rsid w:val="00524101"/>
    <w:rsid w:val="00524109"/>
    <w:rsid w:val="00524140"/>
    <w:rsid w:val="0052417F"/>
    <w:rsid w:val="00524183"/>
    <w:rsid w:val="0052435E"/>
    <w:rsid w:val="005243C2"/>
    <w:rsid w:val="005243FC"/>
    <w:rsid w:val="00524406"/>
    <w:rsid w:val="00524441"/>
    <w:rsid w:val="00524451"/>
    <w:rsid w:val="00524467"/>
    <w:rsid w:val="00524543"/>
    <w:rsid w:val="0052468B"/>
    <w:rsid w:val="00524720"/>
    <w:rsid w:val="00524745"/>
    <w:rsid w:val="00524827"/>
    <w:rsid w:val="00524851"/>
    <w:rsid w:val="00524859"/>
    <w:rsid w:val="005248C9"/>
    <w:rsid w:val="00524988"/>
    <w:rsid w:val="00524991"/>
    <w:rsid w:val="005249E2"/>
    <w:rsid w:val="00524C73"/>
    <w:rsid w:val="00524CE6"/>
    <w:rsid w:val="00524D14"/>
    <w:rsid w:val="00524E24"/>
    <w:rsid w:val="00524F9D"/>
    <w:rsid w:val="00524FD6"/>
    <w:rsid w:val="00525294"/>
    <w:rsid w:val="005252D5"/>
    <w:rsid w:val="0052530F"/>
    <w:rsid w:val="00525314"/>
    <w:rsid w:val="005254A9"/>
    <w:rsid w:val="0052556F"/>
    <w:rsid w:val="005256C0"/>
    <w:rsid w:val="0052574B"/>
    <w:rsid w:val="00525751"/>
    <w:rsid w:val="0052578A"/>
    <w:rsid w:val="00525803"/>
    <w:rsid w:val="0052584C"/>
    <w:rsid w:val="00525863"/>
    <w:rsid w:val="00525908"/>
    <w:rsid w:val="00525944"/>
    <w:rsid w:val="00525988"/>
    <w:rsid w:val="0052599E"/>
    <w:rsid w:val="00525AB6"/>
    <w:rsid w:val="00525ACA"/>
    <w:rsid w:val="00525B2A"/>
    <w:rsid w:val="00525CC4"/>
    <w:rsid w:val="00525D89"/>
    <w:rsid w:val="00525D8D"/>
    <w:rsid w:val="00525E21"/>
    <w:rsid w:val="00525E39"/>
    <w:rsid w:val="00525EEB"/>
    <w:rsid w:val="00525F7C"/>
    <w:rsid w:val="00525F9C"/>
    <w:rsid w:val="00525FA7"/>
    <w:rsid w:val="00526128"/>
    <w:rsid w:val="00526178"/>
    <w:rsid w:val="005261B2"/>
    <w:rsid w:val="0052621B"/>
    <w:rsid w:val="0052642C"/>
    <w:rsid w:val="0052643A"/>
    <w:rsid w:val="005264B1"/>
    <w:rsid w:val="005264C6"/>
    <w:rsid w:val="0052652E"/>
    <w:rsid w:val="005266F4"/>
    <w:rsid w:val="00526801"/>
    <w:rsid w:val="00526855"/>
    <w:rsid w:val="00526919"/>
    <w:rsid w:val="0052697B"/>
    <w:rsid w:val="005269F5"/>
    <w:rsid w:val="00526A2B"/>
    <w:rsid w:val="00526AED"/>
    <w:rsid w:val="00526B8A"/>
    <w:rsid w:val="00526BCE"/>
    <w:rsid w:val="00526C3D"/>
    <w:rsid w:val="00526C8F"/>
    <w:rsid w:val="00526CF0"/>
    <w:rsid w:val="00526E85"/>
    <w:rsid w:val="005270D4"/>
    <w:rsid w:val="005270FA"/>
    <w:rsid w:val="0052712C"/>
    <w:rsid w:val="005271DA"/>
    <w:rsid w:val="00527222"/>
    <w:rsid w:val="0052724A"/>
    <w:rsid w:val="005272D5"/>
    <w:rsid w:val="005272D8"/>
    <w:rsid w:val="005272F4"/>
    <w:rsid w:val="00527427"/>
    <w:rsid w:val="005274A8"/>
    <w:rsid w:val="0052753F"/>
    <w:rsid w:val="005275FA"/>
    <w:rsid w:val="005276D8"/>
    <w:rsid w:val="00527737"/>
    <w:rsid w:val="00527A64"/>
    <w:rsid w:val="00527C35"/>
    <w:rsid w:val="00527E06"/>
    <w:rsid w:val="00527E78"/>
    <w:rsid w:val="00527FCE"/>
    <w:rsid w:val="00527FF5"/>
    <w:rsid w:val="005300D0"/>
    <w:rsid w:val="00530166"/>
    <w:rsid w:val="005301D7"/>
    <w:rsid w:val="00530221"/>
    <w:rsid w:val="005302D4"/>
    <w:rsid w:val="005302E2"/>
    <w:rsid w:val="00530460"/>
    <w:rsid w:val="00530466"/>
    <w:rsid w:val="0053052B"/>
    <w:rsid w:val="0053060A"/>
    <w:rsid w:val="00530723"/>
    <w:rsid w:val="00530732"/>
    <w:rsid w:val="00530739"/>
    <w:rsid w:val="0053078F"/>
    <w:rsid w:val="005307E5"/>
    <w:rsid w:val="00530887"/>
    <w:rsid w:val="005308BB"/>
    <w:rsid w:val="005308CC"/>
    <w:rsid w:val="0053090D"/>
    <w:rsid w:val="0053091D"/>
    <w:rsid w:val="005309D8"/>
    <w:rsid w:val="00530ACC"/>
    <w:rsid w:val="00530AD7"/>
    <w:rsid w:val="00530B50"/>
    <w:rsid w:val="00530C3C"/>
    <w:rsid w:val="00530C9C"/>
    <w:rsid w:val="00530DD7"/>
    <w:rsid w:val="00530E33"/>
    <w:rsid w:val="00530F40"/>
    <w:rsid w:val="0053100A"/>
    <w:rsid w:val="00531069"/>
    <w:rsid w:val="0053124E"/>
    <w:rsid w:val="0053130D"/>
    <w:rsid w:val="0053131B"/>
    <w:rsid w:val="00531390"/>
    <w:rsid w:val="005313DA"/>
    <w:rsid w:val="00531478"/>
    <w:rsid w:val="005314BE"/>
    <w:rsid w:val="0053152C"/>
    <w:rsid w:val="00531545"/>
    <w:rsid w:val="00531786"/>
    <w:rsid w:val="00531915"/>
    <w:rsid w:val="00531A8F"/>
    <w:rsid w:val="00531A99"/>
    <w:rsid w:val="00531B71"/>
    <w:rsid w:val="00531B73"/>
    <w:rsid w:val="00531BF0"/>
    <w:rsid w:val="00531BF1"/>
    <w:rsid w:val="00531C02"/>
    <w:rsid w:val="00531C04"/>
    <w:rsid w:val="00531C5D"/>
    <w:rsid w:val="00531D89"/>
    <w:rsid w:val="00531EB3"/>
    <w:rsid w:val="00531F44"/>
    <w:rsid w:val="00531F56"/>
    <w:rsid w:val="0053210E"/>
    <w:rsid w:val="00532138"/>
    <w:rsid w:val="0053218B"/>
    <w:rsid w:val="00532199"/>
    <w:rsid w:val="005323E9"/>
    <w:rsid w:val="0053247D"/>
    <w:rsid w:val="0053249A"/>
    <w:rsid w:val="005324CB"/>
    <w:rsid w:val="00532514"/>
    <w:rsid w:val="00532525"/>
    <w:rsid w:val="005325DA"/>
    <w:rsid w:val="00532747"/>
    <w:rsid w:val="0053278C"/>
    <w:rsid w:val="00532A3D"/>
    <w:rsid w:val="00532A89"/>
    <w:rsid w:val="00532AC0"/>
    <w:rsid w:val="00532BB9"/>
    <w:rsid w:val="00532D8B"/>
    <w:rsid w:val="00532E16"/>
    <w:rsid w:val="00532E21"/>
    <w:rsid w:val="00532E2B"/>
    <w:rsid w:val="00532E60"/>
    <w:rsid w:val="00532EDC"/>
    <w:rsid w:val="00532F3B"/>
    <w:rsid w:val="00532F9C"/>
    <w:rsid w:val="00532FB0"/>
    <w:rsid w:val="00533042"/>
    <w:rsid w:val="005330A2"/>
    <w:rsid w:val="0053310C"/>
    <w:rsid w:val="00533158"/>
    <w:rsid w:val="00533161"/>
    <w:rsid w:val="0053317D"/>
    <w:rsid w:val="00533250"/>
    <w:rsid w:val="0053326D"/>
    <w:rsid w:val="005332DF"/>
    <w:rsid w:val="0053342D"/>
    <w:rsid w:val="00533528"/>
    <w:rsid w:val="005335FB"/>
    <w:rsid w:val="00533662"/>
    <w:rsid w:val="00533784"/>
    <w:rsid w:val="0053379C"/>
    <w:rsid w:val="005338EA"/>
    <w:rsid w:val="00533969"/>
    <w:rsid w:val="005339AC"/>
    <w:rsid w:val="00533A8C"/>
    <w:rsid w:val="00533C2C"/>
    <w:rsid w:val="00533CC0"/>
    <w:rsid w:val="00533D34"/>
    <w:rsid w:val="00533DAF"/>
    <w:rsid w:val="00533DE6"/>
    <w:rsid w:val="00533DF3"/>
    <w:rsid w:val="00533EA8"/>
    <w:rsid w:val="00533EDA"/>
    <w:rsid w:val="00533F3C"/>
    <w:rsid w:val="005340AD"/>
    <w:rsid w:val="00534105"/>
    <w:rsid w:val="0053430F"/>
    <w:rsid w:val="00534380"/>
    <w:rsid w:val="005343DA"/>
    <w:rsid w:val="00534407"/>
    <w:rsid w:val="0053441D"/>
    <w:rsid w:val="005344DC"/>
    <w:rsid w:val="005345F1"/>
    <w:rsid w:val="005346A6"/>
    <w:rsid w:val="005346C6"/>
    <w:rsid w:val="00534776"/>
    <w:rsid w:val="00534778"/>
    <w:rsid w:val="00534892"/>
    <w:rsid w:val="005348CB"/>
    <w:rsid w:val="0053492E"/>
    <w:rsid w:val="0053496E"/>
    <w:rsid w:val="00534978"/>
    <w:rsid w:val="0053497D"/>
    <w:rsid w:val="005349D6"/>
    <w:rsid w:val="00534A50"/>
    <w:rsid w:val="00534AA7"/>
    <w:rsid w:val="00534B53"/>
    <w:rsid w:val="00534B84"/>
    <w:rsid w:val="00534BB5"/>
    <w:rsid w:val="00534BF9"/>
    <w:rsid w:val="00534C07"/>
    <w:rsid w:val="00534DE4"/>
    <w:rsid w:val="00534DEB"/>
    <w:rsid w:val="00534E91"/>
    <w:rsid w:val="00534EFC"/>
    <w:rsid w:val="00534F0C"/>
    <w:rsid w:val="00534FF4"/>
    <w:rsid w:val="00534FFA"/>
    <w:rsid w:val="00535032"/>
    <w:rsid w:val="00535208"/>
    <w:rsid w:val="00535262"/>
    <w:rsid w:val="0053538C"/>
    <w:rsid w:val="0053539E"/>
    <w:rsid w:val="005353CA"/>
    <w:rsid w:val="00535408"/>
    <w:rsid w:val="0053548F"/>
    <w:rsid w:val="005355A8"/>
    <w:rsid w:val="005356C6"/>
    <w:rsid w:val="005356D8"/>
    <w:rsid w:val="005357A7"/>
    <w:rsid w:val="0053588B"/>
    <w:rsid w:val="0053599E"/>
    <w:rsid w:val="005359FD"/>
    <w:rsid w:val="00535A07"/>
    <w:rsid w:val="00535A49"/>
    <w:rsid w:val="00535B9D"/>
    <w:rsid w:val="00535C61"/>
    <w:rsid w:val="00535CE9"/>
    <w:rsid w:val="00535DAE"/>
    <w:rsid w:val="00535E58"/>
    <w:rsid w:val="00535F54"/>
    <w:rsid w:val="00535F7C"/>
    <w:rsid w:val="00535FB5"/>
    <w:rsid w:val="0053604F"/>
    <w:rsid w:val="005360C8"/>
    <w:rsid w:val="005360ED"/>
    <w:rsid w:val="005360F9"/>
    <w:rsid w:val="00536193"/>
    <w:rsid w:val="00536207"/>
    <w:rsid w:val="00536257"/>
    <w:rsid w:val="00536299"/>
    <w:rsid w:val="0053635D"/>
    <w:rsid w:val="005363FF"/>
    <w:rsid w:val="0053648F"/>
    <w:rsid w:val="005364C0"/>
    <w:rsid w:val="00536513"/>
    <w:rsid w:val="005366C7"/>
    <w:rsid w:val="005367CF"/>
    <w:rsid w:val="00536976"/>
    <w:rsid w:val="00536986"/>
    <w:rsid w:val="00536994"/>
    <w:rsid w:val="005369C2"/>
    <w:rsid w:val="00536A3B"/>
    <w:rsid w:val="00536A5F"/>
    <w:rsid w:val="00536AFA"/>
    <w:rsid w:val="00536B34"/>
    <w:rsid w:val="00536C05"/>
    <w:rsid w:val="00536C12"/>
    <w:rsid w:val="00536C59"/>
    <w:rsid w:val="00536D6A"/>
    <w:rsid w:val="00536EFD"/>
    <w:rsid w:val="00537131"/>
    <w:rsid w:val="0053713C"/>
    <w:rsid w:val="005372A2"/>
    <w:rsid w:val="005372C0"/>
    <w:rsid w:val="005372DE"/>
    <w:rsid w:val="00537312"/>
    <w:rsid w:val="005374FC"/>
    <w:rsid w:val="00537526"/>
    <w:rsid w:val="005375BA"/>
    <w:rsid w:val="00537727"/>
    <w:rsid w:val="00537736"/>
    <w:rsid w:val="0053776F"/>
    <w:rsid w:val="005377D8"/>
    <w:rsid w:val="005377F1"/>
    <w:rsid w:val="00537885"/>
    <w:rsid w:val="00537896"/>
    <w:rsid w:val="005378A8"/>
    <w:rsid w:val="00537955"/>
    <w:rsid w:val="005379EC"/>
    <w:rsid w:val="00537A68"/>
    <w:rsid w:val="00537DD1"/>
    <w:rsid w:val="00537E1A"/>
    <w:rsid w:val="00537FE0"/>
    <w:rsid w:val="0054001B"/>
    <w:rsid w:val="00540076"/>
    <w:rsid w:val="00540104"/>
    <w:rsid w:val="00540121"/>
    <w:rsid w:val="00540182"/>
    <w:rsid w:val="005402F7"/>
    <w:rsid w:val="0054039A"/>
    <w:rsid w:val="005403D6"/>
    <w:rsid w:val="005404BF"/>
    <w:rsid w:val="005405A7"/>
    <w:rsid w:val="005405FC"/>
    <w:rsid w:val="0054072E"/>
    <w:rsid w:val="005407D4"/>
    <w:rsid w:val="005407EA"/>
    <w:rsid w:val="00540848"/>
    <w:rsid w:val="005408CD"/>
    <w:rsid w:val="005409B4"/>
    <w:rsid w:val="005409C8"/>
    <w:rsid w:val="005409D1"/>
    <w:rsid w:val="00540A66"/>
    <w:rsid w:val="00540AAF"/>
    <w:rsid w:val="00540BBE"/>
    <w:rsid w:val="00540C1B"/>
    <w:rsid w:val="00540C9F"/>
    <w:rsid w:val="00540DC9"/>
    <w:rsid w:val="00540DF3"/>
    <w:rsid w:val="00540DF6"/>
    <w:rsid w:val="00540EA0"/>
    <w:rsid w:val="00540EB2"/>
    <w:rsid w:val="00540F52"/>
    <w:rsid w:val="0054102F"/>
    <w:rsid w:val="0054114E"/>
    <w:rsid w:val="005411B9"/>
    <w:rsid w:val="00541208"/>
    <w:rsid w:val="00541260"/>
    <w:rsid w:val="00541263"/>
    <w:rsid w:val="00541275"/>
    <w:rsid w:val="005412C0"/>
    <w:rsid w:val="005412EC"/>
    <w:rsid w:val="005412F0"/>
    <w:rsid w:val="005412F5"/>
    <w:rsid w:val="00541356"/>
    <w:rsid w:val="005413BC"/>
    <w:rsid w:val="0054143F"/>
    <w:rsid w:val="00541463"/>
    <w:rsid w:val="005414BE"/>
    <w:rsid w:val="00541526"/>
    <w:rsid w:val="005415A8"/>
    <w:rsid w:val="005415B4"/>
    <w:rsid w:val="00541652"/>
    <w:rsid w:val="0054166C"/>
    <w:rsid w:val="00541706"/>
    <w:rsid w:val="00541757"/>
    <w:rsid w:val="00541773"/>
    <w:rsid w:val="0054177F"/>
    <w:rsid w:val="00541790"/>
    <w:rsid w:val="005417A4"/>
    <w:rsid w:val="00541811"/>
    <w:rsid w:val="00541848"/>
    <w:rsid w:val="005418A2"/>
    <w:rsid w:val="005418C4"/>
    <w:rsid w:val="00541914"/>
    <w:rsid w:val="00541998"/>
    <w:rsid w:val="005419D7"/>
    <w:rsid w:val="005419DC"/>
    <w:rsid w:val="00541B6D"/>
    <w:rsid w:val="00541BD0"/>
    <w:rsid w:val="00541C3A"/>
    <w:rsid w:val="00541C96"/>
    <w:rsid w:val="00541C9C"/>
    <w:rsid w:val="00541D07"/>
    <w:rsid w:val="00541D5C"/>
    <w:rsid w:val="00541F17"/>
    <w:rsid w:val="00541F51"/>
    <w:rsid w:val="00541F59"/>
    <w:rsid w:val="00541F97"/>
    <w:rsid w:val="00541FFD"/>
    <w:rsid w:val="00542034"/>
    <w:rsid w:val="0054210B"/>
    <w:rsid w:val="00542129"/>
    <w:rsid w:val="0054219B"/>
    <w:rsid w:val="005421CD"/>
    <w:rsid w:val="00542215"/>
    <w:rsid w:val="0054221C"/>
    <w:rsid w:val="00542325"/>
    <w:rsid w:val="00542464"/>
    <w:rsid w:val="00542489"/>
    <w:rsid w:val="005424C8"/>
    <w:rsid w:val="005424D3"/>
    <w:rsid w:val="005424EC"/>
    <w:rsid w:val="00542544"/>
    <w:rsid w:val="00542688"/>
    <w:rsid w:val="00542746"/>
    <w:rsid w:val="0054276D"/>
    <w:rsid w:val="00542778"/>
    <w:rsid w:val="00542795"/>
    <w:rsid w:val="00542799"/>
    <w:rsid w:val="005427BF"/>
    <w:rsid w:val="00542900"/>
    <w:rsid w:val="00542A3D"/>
    <w:rsid w:val="00542AD4"/>
    <w:rsid w:val="00542AFF"/>
    <w:rsid w:val="00542B17"/>
    <w:rsid w:val="00542B34"/>
    <w:rsid w:val="00542CE3"/>
    <w:rsid w:val="00542CF1"/>
    <w:rsid w:val="00542E02"/>
    <w:rsid w:val="00542FC4"/>
    <w:rsid w:val="00543072"/>
    <w:rsid w:val="00543389"/>
    <w:rsid w:val="00543402"/>
    <w:rsid w:val="00543483"/>
    <w:rsid w:val="005434DC"/>
    <w:rsid w:val="0054354A"/>
    <w:rsid w:val="00543691"/>
    <w:rsid w:val="0054379F"/>
    <w:rsid w:val="005437C0"/>
    <w:rsid w:val="00543809"/>
    <w:rsid w:val="005438CD"/>
    <w:rsid w:val="0054398B"/>
    <w:rsid w:val="0054399B"/>
    <w:rsid w:val="00543A2F"/>
    <w:rsid w:val="00543BAE"/>
    <w:rsid w:val="00543BCD"/>
    <w:rsid w:val="00543BF3"/>
    <w:rsid w:val="00543C5F"/>
    <w:rsid w:val="00543C88"/>
    <w:rsid w:val="00543CAA"/>
    <w:rsid w:val="00543CC3"/>
    <w:rsid w:val="00543DBC"/>
    <w:rsid w:val="00543E30"/>
    <w:rsid w:val="00543EBB"/>
    <w:rsid w:val="00543F9F"/>
    <w:rsid w:val="00543FA9"/>
    <w:rsid w:val="0054409B"/>
    <w:rsid w:val="005440DB"/>
    <w:rsid w:val="00544114"/>
    <w:rsid w:val="00544395"/>
    <w:rsid w:val="00544468"/>
    <w:rsid w:val="00544502"/>
    <w:rsid w:val="0054455C"/>
    <w:rsid w:val="00544572"/>
    <w:rsid w:val="0054457E"/>
    <w:rsid w:val="0054466F"/>
    <w:rsid w:val="0054474C"/>
    <w:rsid w:val="00544798"/>
    <w:rsid w:val="00544A44"/>
    <w:rsid w:val="00544AC5"/>
    <w:rsid w:val="00544B00"/>
    <w:rsid w:val="00544B1A"/>
    <w:rsid w:val="00544B6A"/>
    <w:rsid w:val="00544C59"/>
    <w:rsid w:val="00544C69"/>
    <w:rsid w:val="00544CED"/>
    <w:rsid w:val="00544E04"/>
    <w:rsid w:val="00544F7C"/>
    <w:rsid w:val="00544F7E"/>
    <w:rsid w:val="00545063"/>
    <w:rsid w:val="00545087"/>
    <w:rsid w:val="00545117"/>
    <w:rsid w:val="00545174"/>
    <w:rsid w:val="005451BF"/>
    <w:rsid w:val="005451E8"/>
    <w:rsid w:val="0054520C"/>
    <w:rsid w:val="00545226"/>
    <w:rsid w:val="00545281"/>
    <w:rsid w:val="005454AB"/>
    <w:rsid w:val="00545536"/>
    <w:rsid w:val="005455D3"/>
    <w:rsid w:val="005456EE"/>
    <w:rsid w:val="00545725"/>
    <w:rsid w:val="00545798"/>
    <w:rsid w:val="0054579F"/>
    <w:rsid w:val="00545956"/>
    <w:rsid w:val="005459F3"/>
    <w:rsid w:val="00545A12"/>
    <w:rsid w:val="00545ABD"/>
    <w:rsid w:val="00545AE8"/>
    <w:rsid w:val="00545B00"/>
    <w:rsid w:val="00545C13"/>
    <w:rsid w:val="00545C21"/>
    <w:rsid w:val="00545CCE"/>
    <w:rsid w:val="00545D05"/>
    <w:rsid w:val="00545D8E"/>
    <w:rsid w:val="00545E28"/>
    <w:rsid w:val="00545E3A"/>
    <w:rsid w:val="00545F2A"/>
    <w:rsid w:val="0054602F"/>
    <w:rsid w:val="00546059"/>
    <w:rsid w:val="005461EC"/>
    <w:rsid w:val="0054625D"/>
    <w:rsid w:val="005462A7"/>
    <w:rsid w:val="005462C6"/>
    <w:rsid w:val="005462E0"/>
    <w:rsid w:val="00546312"/>
    <w:rsid w:val="0054637B"/>
    <w:rsid w:val="005463A3"/>
    <w:rsid w:val="005464E8"/>
    <w:rsid w:val="00546776"/>
    <w:rsid w:val="0054683D"/>
    <w:rsid w:val="0054683F"/>
    <w:rsid w:val="005468E8"/>
    <w:rsid w:val="005468E9"/>
    <w:rsid w:val="00546A11"/>
    <w:rsid w:val="00546A55"/>
    <w:rsid w:val="00546A68"/>
    <w:rsid w:val="00546ACD"/>
    <w:rsid w:val="00546BC8"/>
    <w:rsid w:val="00546C0B"/>
    <w:rsid w:val="00546C66"/>
    <w:rsid w:val="00546CD8"/>
    <w:rsid w:val="00546E0A"/>
    <w:rsid w:val="00546E12"/>
    <w:rsid w:val="00546E27"/>
    <w:rsid w:val="00546E5D"/>
    <w:rsid w:val="00547115"/>
    <w:rsid w:val="005471B6"/>
    <w:rsid w:val="005471C6"/>
    <w:rsid w:val="00547252"/>
    <w:rsid w:val="00547286"/>
    <w:rsid w:val="005472CB"/>
    <w:rsid w:val="00547301"/>
    <w:rsid w:val="0054737F"/>
    <w:rsid w:val="0054747B"/>
    <w:rsid w:val="005474F6"/>
    <w:rsid w:val="005476E6"/>
    <w:rsid w:val="00547714"/>
    <w:rsid w:val="005477DF"/>
    <w:rsid w:val="00547918"/>
    <w:rsid w:val="00547B7E"/>
    <w:rsid w:val="00547BD9"/>
    <w:rsid w:val="00547CAA"/>
    <w:rsid w:val="00547D4D"/>
    <w:rsid w:val="00547E6C"/>
    <w:rsid w:val="00547EFD"/>
    <w:rsid w:val="00547F26"/>
    <w:rsid w:val="00550001"/>
    <w:rsid w:val="0055000A"/>
    <w:rsid w:val="0055003E"/>
    <w:rsid w:val="00550094"/>
    <w:rsid w:val="005500ED"/>
    <w:rsid w:val="0055013A"/>
    <w:rsid w:val="005501A7"/>
    <w:rsid w:val="005501CB"/>
    <w:rsid w:val="0055024D"/>
    <w:rsid w:val="0055031A"/>
    <w:rsid w:val="00550335"/>
    <w:rsid w:val="00550349"/>
    <w:rsid w:val="00550461"/>
    <w:rsid w:val="00550569"/>
    <w:rsid w:val="005505B6"/>
    <w:rsid w:val="00550679"/>
    <w:rsid w:val="0055074F"/>
    <w:rsid w:val="005507B5"/>
    <w:rsid w:val="00550879"/>
    <w:rsid w:val="005508E9"/>
    <w:rsid w:val="0055093D"/>
    <w:rsid w:val="0055099C"/>
    <w:rsid w:val="00550A97"/>
    <w:rsid w:val="00550AD4"/>
    <w:rsid w:val="00550B2D"/>
    <w:rsid w:val="00550C68"/>
    <w:rsid w:val="00550E06"/>
    <w:rsid w:val="00550E47"/>
    <w:rsid w:val="00550EA4"/>
    <w:rsid w:val="00550EE4"/>
    <w:rsid w:val="00550FD5"/>
    <w:rsid w:val="00551182"/>
    <w:rsid w:val="005511AC"/>
    <w:rsid w:val="00551221"/>
    <w:rsid w:val="005512BA"/>
    <w:rsid w:val="00551342"/>
    <w:rsid w:val="00551429"/>
    <w:rsid w:val="0055149A"/>
    <w:rsid w:val="005515F7"/>
    <w:rsid w:val="0055166E"/>
    <w:rsid w:val="00551771"/>
    <w:rsid w:val="005517FB"/>
    <w:rsid w:val="005518D0"/>
    <w:rsid w:val="00551A7C"/>
    <w:rsid w:val="00551A90"/>
    <w:rsid w:val="00551AEB"/>
    <w:rsid w:val="00551BC9"/>
    <w:rsid w:val="00551BEF"/>
    <w:rsid w:val="00551C7A"/>
    <w:rsid w:val="00551E52"/>
    <w:rsid w:val="00551EB7"/>
    <w:rsid w:val="005520E0"/>
    <w:rsid w:val="00552213"/>
    <w:rsid w:val="0055227B"/>
    <w:rsid w:val="00552315"/>
    <w:rsid w:val="005523BA"/>
    <w:rsid w:val="0055251F"/>
    <w:rsid w:val="00552522"/>
    <w:rsid w:val="0055259E"/>
    <w:rsid w:val="005525BC"/>
    <w:rsid w:val="0055266F"/>
    <w:rsid w:val="0055275E"/>
    <w:rsid w:val="0055279B"/>
    <w:rsid w:val="005527AF"/>
    <w:rsid w:val="005527C4"/>
    <w:rsid w:val="005527FC"/>
    <w:rsid w:val="0055281E"/>
    <w:rsid w:val="00552853"/>
    <w:rsid w:val="0055290D"/>
    <w:rsid w:val="00552998"/>
    <w:rsid w:val="00552A94"/>
    <w:rsid w:val="00552AB5"/>
    <w:rsid w:val="00552AB7"/>
    <w:rsid w:val="00552B1D"/>
    <w:rsid w:val="00552B42"/>
    <w:rsid w:val="00552B4A"/>
    <w:rsid w:val="00552B56"/>
    <w:rsid w:val="00552C85"/>
    <w:rsid w:val="00552CA8"/>
    <w:rsid w:val="00552CC9"/>
    <w:rsid w:val="00552F0F"/>
    <w:rsid w:val="00552FA4"/>
    <w:rsid w:val="005530E3"/>
    <w:rsid w:val="00553190"/>
    <w:rsid w:val="005531A6"/>
    <w:rsid w:val="0055333B"/>
    <w:rsid w:val="00553461"/>
    <w:rsid w:val="005534F1"/>
    <w:rsid w:val="00553704"/>
    <w:rsid w:val="005537F7"/>
    <w:rsid w:val="00553815"/>
    <w:rsid w:val="0055384D"/>
    <w:rsid w:val="0055393D"/>
    <w:rsid w:val="0055394B"/>
    <w:rsid w:val="0055398F"/>
    <w:rsid w:val="005539C3"/>
    <w:rsid w:val="005539E7"/>
    <w:rsid w:val="00553AF0"/>
    <w:rsid w:val="00553B36"/>
    <w:rsid w:val="00553B9E"/>
    <w:rsid w:val="00553BBB"/>
    <w:rsid w:val="00553BFA"/>
    <w:rsid w:val="00553CA4"/>
    <w:rsid w:val="00553D2B"/>
    <w:rsid w:val="00553D85"/>
    <w:rsid w:val="00553DB9"/>
    <w:rsid w:val="00553E18"/>
    <w:rsid w:val="00553E66"/>
    <w:rsid w:val="00553F53"/>
    <w:rsid w:val="00553FC1"/>
    <w:rsid w:val="00554005"/>
    <w:rsid w:val="00554040"/>
    <w:rsid w:val="0055405F"/>
    <w:rsid w:val="005540DF"/>
    <w:rsid w:val="005542A2"/>
    <w:rsid w:val="005542B2"/>
    <w:rsid w:val="005543AD"/>
    <w:rsid w:val="005543AE"/>
    <w:rsid w:val="005543C8"/>
    <w:rsid w:val="00554407"/>
    <w:rsid w:val="0055447A"/>
    <w:rsid w:val="0055448F"/>
    <w:rsid w:val="005544CA"/>
    <w:rsid w:val="0055454F"/>
    <w:rsid w:val="00554550"/>
    <w:rsid w:val="00554552"/>
    <w:rsid w:val="005545FD"/>
    <w:rsid w:val="00554616"/>
    <w:rsid w:val="0055461A"/>
    <w:rsid w:val="00554662"/>
    <w:rsid w:val="005546E4"/>
    <w:rsid w:val="00554784"/>
    <w:rsid w:val="00554864"/>
    <w:rsid w:val="005549D7"/>
    <w:rsid w:val="00554A37"/>
    <w:rsid w:val="00554A85"/>
    <w:rsid w:val="00554B4B"/>
    <w:rsid w:val="00554BA2"/>
    <w:rsid w:val="00554D5F"/>
    <w:rsid w:val="00554D74"/>
    <w:rsid w:val="00554D80"/>
    <w:rsid w:val="00554D95"/>
    <w:rsid w:val="00554E10"/>
    <w:rsid w:val="00554F17"/>
    <w:rsid w:val="00555124"/>
    <w:rsid w:val="005551DE"/>
    <w:rsid w:val="0055526F"/>
    <w:rsid w:val="00555277"/>
    <w:rsid w:val="00555320"/>
    <w:rsid w:val="0055537B"/>
    <w:rsid w:val="0055537D"/>
    <w:rsid w:val="005553E0"/>
    <w:rsid w:val="00555601"/>
    <w:rsid w:val="00555639"/>
    <w:rsid w:val="0055569F"/>
    <w:rsid w:val="005556CB"/>
    <w:rsid w:val="00555709"/>
    <w:rsid w:val="005558A1"/>
    <w:rsid w:val="00555972"/>
    <w:rsid w:val="00555979"/>
    <w:rsid w:val="00555998"/>
    <w:rsid w:val="00555A07"/>
    <w:rsid w:val="00555B35"/>
    <w:rsid w:val="00555B70"/>
    <w:rsid w:val="00555CE0"/>
    <w:rsid w:val="00555D5B"/>
    <w:rsid w:val="00555DE8"/>
    <w:rsid w:val="00555E09"/>
    <w:rsid w:val="00555E13"/>
    <w:rsid w:val="00555EFA"/>
    <w:rsid w:val="00555F86"/>
    <w:rsid w:val="00555FF0"/>
    <w:rsid w:val="00556039"/>
    <w:rsid w:val="00556119"/>
    <w:rsid w:val="00556422"/>
    <w:rsid w:val="005564A3"/>
    <w:rsid w:val="005567A4"/>
    <w:rsid w:val="00556883"/>
    <w:rsid w:val="0055698B"/>
    <w:rsid w:val="005569D8"/>
    <w:rsid w:val="00556A92"/>
    <w:rsid w:val="00556C37"/>
    <w:rsid w:val="00556D77"/>
    <w:rsid w:val="00556DC3"/>
    <w:rsid w:val="00556DD0"/>
    <w:rsid w:val="00556DDF"/>
    <w:rsid w:val="00556EF0"/>
    <w:rsid w:val="00556F55"/>
    <w:rsid w:val="00557061"/>
    <w:rsid w:val="005571BF"/>
    <w:rsid w:val="005572ED"/>
    <w:rsid w:val="00557442"/>
    <w:rsid w:val="00557494"/>
    <w:rsid w:val="0055752B"/>
    <w:rsid w:val="00557562"/>
    <w:rsid w:val="00557574"/>
    <w:rsid w:val="00557832"/>
    <w:rsid w:val="005578A8"/>
    <w:rsid w:val="005579DB"/>
    <w:rsid w:val="00557A07"/>
    <w:rsid w:val="00557A19"/>
    <w:rsid w:val="00557A4F"/>
    <w:rsid w:val="00557A8C"/>
    <w:rsid w:val="00557ADF"/>
    <w:rsid w:val="00557B95"/>
    <w:rsid w:val="00557C76"/>
    <w:rsid w:val="00557CB1"/>
    <w:rsid w:val="00557CE1"/>
    <w:rsid w:val="00557E80"/>
    <w:rsid w:val="00557F16"/>
    <w:rsid w:val="0055C50C"/>
    <w:rsid w:val="00560001"/>
    <w:rsid w:val="00560091"/>
    <w:rsid w:val="0056015D"/>
    <w:rsid w:val="005601D4"/>
    <w:rsid w:val="005602BC"/>
    <w:rsid w:val="00560311"/>
    <w:rsid w:val="0056054D"/>
    <w:rsid w:val="00560551"/>
    <w:rsid w:val="00560576"/>
    <w:rsid w:val="005605F2"/>
    <w:rsid w:val="00560636"/>
    <w:rsid w:val="005607BF"/>
    <w:rsid w:val="00560800"/>
    <w:rsid w:val="00560843"/>
    <w:rsid w:val="00560861"/>
    <w:rsid w:val="00560B6D"/>
    <w:rsid w:val="00560B9B"/>
    <w:rsid w:val="00560CF4"/>
    <w:rsid w:val="00560D1E"/>
    <w:rsid w:val="00560D81"/>
    <w:rsid w:val="00560E04"/>
    <w:rsid w:val="00560E98"/>
    <w:rsid w:val="005611D7"/>
    <w:rsid w:val="005612BC"/>
    <w:rsid w:val="00561349"/>
    <w:rsid w:val="00561375"/>
    <w:rsid w:val="005613A6"/>
    <w:rsid w:val="005614C7"/>
    <w:rsid w:val="005614DC"/>
    <w:rsid w:val="0056151C"/>
    <w:rsid w:val="005618C0"/>
    <w:rsid w:val="005618DF"/>
    <w:rsid w:val="005618F1"/>
    <w:rsid w:val="00561943"/>
    <w:rsid w:val="005619B9"/>
    <w:rsid w:val="00561A44"/>
    <w:rsid w:val="00561A90"/>
    <w:rsid w:val="00561B42"/>
    <w:rsid w:val="00561B92"/>
    <w:rsid w:val="00561BC2"/>
    <w:rsid w:val="00561BD2"/>
    <w:rsid w:val="00561BE4"/>
    <w:rsid w:val="00561C38"/>
    <w:rsid w:val="00561C90"/>
    <w:rsid w:val="00561DEE"/>
    <w:rsid w:val="00561E14"/>
    <w:rsid w:val="00561E72"/>
    <w:rsid w:val="00562076"/>
    <w:rsid w:val="005621AD"/>
    <w:rsid w:val="00562390"/>
    <w:rsid w:val="00562465"/>
    <w:rsid w:val="005624F3"/>
    <w:rsid w:val="00562732"/>
    <w:rsid w:val="00562789"/>
    <w:rsid w:val="005627E7"/>
    <w:rsid w:val="0056285A"/>
    <w:rsid w:val="005628FE"/>
    <w:rsid w:val="00562947"/>
    <w:rsid w:val="00562975"/>
    <w:rsid w:val="0056298F"/>
    <w:rsid w:val="005629D3"/>
    <w:rsid w:val="00562AB3"/>
    <w:rsid w:val="00562B54"/>
    <w:rsid w:val="00562D7F"/>
    <w:rsid w:val="00562E1F"/>
    <w:rsid w:val="00562E38"/>
    <w:rsid w:val="00562E62"/>
    <w:rsid w:val="00562E87"/>
    <w:rsid w:val="00562EBF"/>
    <w:rsid w:val="00562EE4"/>
    <w:rsid w:val="00562F34"/>
    <w:rsid w:val="005630C7"/>
    <w:rsid w:val="005630CD"/>
    <w:rsid w:val="00563156"/>
    <w:rsid w:val="00563166"/>
    <w:rsid w:val="00563302"/>
    <w:rsid w:val="00563386"/>
    <w:rsid w:val="00563397"/>
    <w:rsid w:val="005633EC"/>
    <w:rsid w:val="0056352A"/>
    <w:rsid w:val="00563551"/>
    <w:rsid w:val="0056358F"/>
    <w:rsid w:val="0056373C"/>
    <w:rsid w:val="005637C7"/>
    <w:rsid w:val="00563811"/>
    <w:rsid w:val="005638E0"/>
    <w:rsid w:val="00563982"/>
    <w:rsid w:val="00563A83"/>
    <w:rsid w:val="00563AF5"/>
    <w:rsid w:val="00563B6B"/>
    <w:rsid w:val="00563B7E"/>
    <w:rsid w:val="00563CE6"/>
    <w:rsid w:val="00563D13"/>
    <w:rsid w:val="00563D26"/>
    <w:rsid w:val="00563DD0"/>
    <w:rsid w:val="00563DF6"/>
    <w:rsid w:val="00563E08"/>
    <w:rsid w:val="00563E38"/>
    <w:rsid w:val="00563EC1"/>
    <w:rsid w:val="00563EEC"/>
    <w:rsid w:val="00563EF9"/>
    <w:rsid w:val="00564004"/>
    <w:rsid w:val="00564258"/>
    <w:rsid w:val="005642A6"/>
    <w:rsid w:val="0056437A"/>
    <w:rsid w:val="005643B0"/>
    <w:rsid w:val="00564481"/>
    <w:rsid w:val="00564597"/>
    <w:rsid w:val="005645C3"/>
    <w:rsid w:val="0056461C"/>
    <w:rsid w:val="00564683"/>
    <w:rsid w:val="005646F9"/>
    <w:rsid w:val="00564761"/>
    <w:rsid w:val="00564842"/>
    <w:rsid w:val="005649FC"/>
    <w:rsid w:val="00564A44"/>
    <w:rsid w:val="00564B12"/>
    <w:rsid w:val="00564B3E"/>
    <w:rsid w:val="00564B6E"/>
    <w:rsid w:val="00564C01"/>
    <w:rsid w:val="00564C33"/>
    <w:rsid w:val="00564C6E"/>
    <w:rsid w:val="00564D04"/>
    <w:rsid w:val="00564D08"/>
    <w:rsid w:val="00564DB7"/>
    <w:rsid w:val="00564EDA"/>
    <w:rsid w:val="00564F56"/>
    <w:rsid w:val="00564F68"/>
    <w:rsid w:val="00565028"/>
    <w:rsid w:val="00565051"/>
    <w:rsid w:val="005650A1"/>
    <w:rsid w:val="00565129"/>
    <w:rsid w:val="0056516E"/>
    <w:rsid w:val="0056521F"/>
    <w:rsid w:val="00565443"/>
    <w:rsid w:val="0056555B"/>
    <w:rsid w:val="00565696"/>
    <w:rsid w:val="00565777"/>
    <w:rsid w:val="005657A0"/>
    <w:rsid w:val="0056584F"/>
    <w:rsid w:val="005659EA"/>
    <w:rsid w:val="00565A8D"/>
    <w:rsid w:val="00565BDB"/>
    <w:rsid w:val="00565C27"/>
    <w:rsid w:val="00565C38"/>
    <w:rsid w:val="00565CCB"/>
    <w:rsid w:val="00565E17"/>
    <w:rsid w:val="00565E23"/>
    <w:rsid w:val="00565E8A"/>
    <w:rsid w:val="00565FEB"/>
    <w:rsid w:val="00566077"/>
    <w:rsid w:val="005660D2"/>
    <w:rsid w:val="00566120"/>
    <w:rsid w:val="005662AB"/>
    <w:rsid w:val="005662E7"/>
    <w:rsid w:val="005663A6"/>
    <w:rsid w:val="00566594"/>
    <w:rsid w:val="005665DA"/>
    <w:rsid w:val="0056662B"/>
    <w:rsid w:val="005666A7"/>
    <w:rsid w:val="005666AD"/>
    <w:rsid w:val="0056670E"/>
    <w:rsid w:val="0056671F"/>
    <w:rsid w:val="0056672D"/>
    <w:rsid w:val="0056678D"/>
    <w:rsid w:val="005667B0"/>
    <w:rsid w:val="00566922"/>
    <w:rsid w:val="005669B1"/>
    <w:rsid w:val="00566A9F"/>
    <w:rsid w:val="00566B6C"/>
    <w:rsid w:val="00566BF4"/>
    <w:rsid w:val="00566C6B"/>
    <w:rsid w:val="00566D22"/>
    <w:rsid w:val="00566D3E"/>
    <w:rsid w:val="00566D6C"/>
    <w:rsid w:val="00566DCC"/>
    <w:rsid w:val="00566F85"/>
    <w:rsid w:val="00566FCA"/>
    <w:rsid w:val="00567178"/>
    <w:rsid w:val="005672E9"/>
    <w:rsid w:val="00567333"/>
    <w:rsid w:val="00567597"/>
    <w:rsid w:val="005675F5"/>
    <w:rsid w:val="00567621"/>
    <w:rsid w:val="005676A9"/>
    <w:rsid w:val="00567746"/>
    <w:rsid w:val="0056774C"/>
    <w:rsid w:val="005677CA"/>
    <w:rsid w:val="00567845"/>
    <w:rsid w:val="00567872"/>
    <w:rsid w:val="0056789D"/>
    <w:rsid w:val="005678D8"/>
    <w:rsid w:val="005679D2"/>
    <w:rsid w:val="00567A8E"/>
    <w:rsid w:val="00567A9C"/>
    <w:rsid w:val="00567AD4"/>
    <w:rsid w:val="00567AEC"/>
    <w:rsid w:val="00567B50"/>
    <w:rsid w:val="00567B82"/>
    <w:rsid w:val="00567BB9"/>
    <w:rsid w:val="00567CE2"/>
    <w:rsid w:val="00567DCE"/>
    <w:rsid w:val="00567FFD"/>
    <w:rsid w:val="0056802E"/>
    <w:rsid w:val="005700A2"/>
    <w:rsid w:val="00570215"/>
    <w:rsid w:val="00570274"/>
    <w:rsid w:val="005702D2"/>
    <w:rsid w:val="005703A6"/>
    <w:rsid w:val="005703AB"/>
    <w:rsid w:val="005705BC"/>
    <w:rsid w:val="005705D7"/>
    <w:rsid w:val="0057063E"/>
    <w:rsid w:val="00570654"/>
    <w:rsid w:val="005706EE"/>
    <w:rsid w:val="00570772"/>
    <w:rsid w:val="00570806"/>
    <w:rsid w:val="00570870"/>
    <w:rsid w:val="00570886"/>
    <w:rsid w:val="00570932"/>
    <w:rsid w:val="00570981"/>
    <w:rsid w:val="005709ED"/>
    <w:rsid w:val="00570BFE"/>
    <w:rsid w:val="00570CCD"/>
    <w:rsid w:val="00570D74"/>
    <w:rsid w:val="00570D8D"/>
    <w:rsid w:val="00570ED7"/>
    <w:rsid w:val="00570F5A"/>
    <w:rsid w:val="00571039"/>
    <w:rsid w:val="005710FB"/>
    <w:rsid w:val="0057116A"/>
    <w:rsid w:val="005711E1"/>
    <w:rsid w:val="0057126A"/>
    <w:rsid w:val="00571364"/>
    <w:rsid w:val="0057137B"/>
    <w:rsid w:val="005714AF"/>
    <w:rsid w:val="005714B5"/>
    <w:rsid w:val="005714C6"/>
    <w:rsid w:val="0057155A"/>
    <w:rsid w:val="005716F7"/>
    <w:rsid w:val="0057170A"/>
    <w:rsid w:val="00571742"/>
    <w:rsid w:val="0057175F"/>
    <w:rsid w:val="005717CD"/>
    <w:rsid w:val="00571836"/>
    <w:rsid w:val="0057191F"/>
    <w:rsid w:val="0057196D"/>
    <w:rsid w:val="00571970"/>
    <w:rsid w:val="00571A3C"/>
    <w:rsid w:val="00571A6C"/>
    <w:rsid w:val="00571D1D"/>
    <w:rsid w:val="00571D93"/>
    <w:rsid w:val="00571ED0"/>
    <w:rsid w:val="00571F1E"/>
    <w:rsid w:val="00571FE9"/>
    <w:rsid w:val="005720CB"/>
    <w:rsid w:val="00572248"/>
    <w:rsid w:val="00572455"/>
    <w:rsid w:val="005725DD"/>
    <w:rsid w:val="005726C4"/>
    <w:rsid w:val="00572772"/>
    <w:rsid w:val="005727BA"/>
    <w:rsid w:val="0057280B"/>
    <w:rsid w:val="0057282C"/>
    <w:rsid w:val="005728DC"/>
    <w:rsid w:val="005728E4"/>
    <w:rsid w:val="00572939"/>
    <w:rsid w:val="00572966"/>
    <w:rsid w:val="00572979"/>
    <w:rsid w:val="00572A11"/>
    <w:rsid w:val="00572A3A"/>
    <w:rsid w:val="00572ABB"/>
    <w:rsid w:val="00572CE7"/>
    <w:rsid w:val="00572D5C"/>
    <w:rsid w:val="00572E43"/>
    <w:rsid w:val="00572EDD"/>
    <w:rsid w:val="00572F65"/>
    <w:rsid w:val="00572F72"/>
    <w:rsid w:val="00573031"/>
    <w:rsid w:val="00573032"/>
    <w:rsid w:val="00573091"/>
    <w:rsid w:val="005730CE"/>
    <w:rsid w:val="005731B6"/>
    <w:rsid w:val="005731BF"/>
    <w:rsid w:val="0057322B"/>
    <w:rsid w:val="00573291"/>
    <w:rsid w:val="00573329"/>
    <w:rsid w:val="005733EE"/>
    <w:rsid w:val="00573429"/>
    <w:rsid w:val="0057351A"/>
    <w:rsid w:val="00573549"/>
    <w:rsid w:val="005735BE"/>
    <w:rsid w:val="00573611"/>
    <w:rsid w:val="00573619"/>
    <w:rsid w:val="0057377D"/>
    <w:rsid w:val="005738D3"/>
    <w:rsid w:val="0057390C"/>
    <w:rsid w:val="005739E9"/>
    <w:rsid w:val="005739FB"/>
    <w:rsid w:val="00573A21"/>
    <w:rsid w:val="00573A56"/>
    <w:rsid w:val="00573C17"/>
    <w:rsid w:val="00573CFD"/>
    <w:rsid w:val="00573D3E"/>
    <w:rsid w:val="00573DD0"/>
    <w:rsid w:val="00573E82"/>
    <w:rsid w:val="00573E9D"/>
    <w:rsid w:val="00573EA0"/>
    <w:rsid w:val="00573EA5"/>
    <w:rsid w:val="00574009"/>
    <w:rsid w:val="005740B3"/>
    <w:rsid w:val="005740BA"/>
    <w:rsid w:val="00574191"/>
    <w:rsid w:val="00574292"/>
    <w:rsid w:val="00574383"/>
    <w:rsid w:val="005743C5"/>
    <w:rsid w:val="00574455"/>
    <w:rsid w:val="005744F6"/>
    <w:rsid w:val="00574512"/>
    <w:rsid w:val="00574538"/>
    <w:rsid w:val="00574708"/>
    <w:rsid w:val="0057476A"/>
    <w:rsid w:val="00574777"/>
    <w:rsid w:val="00574778"/>
    <w:rsid w:val="005747A3"/>
    <w:rsid w:val="0057482A"/>
    <w:rsid w:val="00574957"/>
    <w:rsid w:val="0057496C"/>
    <w:rsid w:val="005749FF"/>
    <w:rsid w:val="00574A23"/>
    <w:rsid w:val="00574A92"/>
    <w:rsid w:val="00574B12"/>
    <w:rsid w:val="00574C7D"/>
    <w:rsid w:val="00574D2E"/>
    <w:rsid w:val="00574E24"/>
    <w:rsid w:val="00574E49"/>
    <w:rsid w:val="00574F11"/>
    <w:rsid w:val="00574F4F"/>
    <w:rsid w:val="0057508B"/>
    <w:rsid w:val="00575104"/>
    <w:rsid w:val="0057510B"/>
    <w:rsid w:val="005751D8"/>
    <w:rsid w:val="00575204"/>
    <w:rsid w:val="0057523D"/>
    <w:rsid w:val="00575248"/>
    <w:rsid w:val="00575271"/>
    <w:rsid w:val="005752AB"/>
    <w:rsid w:val="005752B6"/>
    <w:rsid w:val="0057547C"/>
    <w:rsid w:val="005754E1"/>
    <w:rsid w:val="00575625"/>
    <w:rsid w:val="00575655"/>
    <w:rsid w:val="00575763"/>
    <w:rsid w:val="005757BD"/>
    <w:rsid w:val="00575820"/>
    <w:rsid w:val="00575851"/>
    <w:rsid w:val="0057589B"/>
    <w:rsid w:val="005758EF"/>
    <w:rsid w:val="0057596E"/>
    <w:rsid w:val="00575AE6"/>
    <w:rsid w:val="00575C18"/>
    <w:rsid w:val="00575C4B"/>
    <w:rsid w:val="00575C5D"/>
    <w:rsid w:val="00575CCE"/>
    <w:rsid w:val="00575D02"/>
    <w:rsid w:val="00575D21"/>
    <w:rsid w:val="00575E06"/>
    <w:rsid w:val="00575EEB"/>
    <w:rsid w:val="00575FB0"/>
    <w:rsid w:val="00575FE3"/>
    <w:rsid w:val="00576045"/>
    <w:rsid w:val="00576082"/>
    <w:rsid w:val="005760C7"/>
    <w:rsid w:val="005760E8"/>
    <w:rsid w:val="005760F3"/>
    <w:rsid w:val="0057610C"/>
    <w:rsid w:val="005761FE"/>
    <w:rsid w:val="0057624E"/>
    <w:rsid w:val="00576288"/>
    <w:rsid w:val="0057638C"/>
    <w:rsid w:val="00576487"/>
    <w:rsid w:val="005764DB"/>
    <w:rsid w:val="00576532"/>
    <w:rsid w:val="00576549"/>
    <w:rsid w:val="00576598"/>
    <w:rsid w:val="005766C6"/>
    <w:rsid w:val="00576819"/>
    <w:rsid w:val="0057691E"/>
    <w:rsid w:val="00576940"/>
    <w:rsid w:val="00576A66"/>
    <w:rsid w:val="00576AD9"/>
    <w:rsid w:val="00576C12"/>
    <w:rsid w:val="00576C5E"/>
    <w:rsid w:val="00576C8D"/>
    <w:rsid w:val="00576D73"/>
    <w:rsid w:val="00576E77"/>
    <w:rsid w:val="00576E86"/>
    <w:rsid w:val="00576EDE"/>
    <w:rsid w:val="00576F5E"/>
    <w:rsid w:val="00576F95"/>
    <w:rsid w:val="00577031"/>
    <w:rsid w:val="00577039"/>
    <w:rsid w:val="00577106"/>
    <w:rsid w:val="0057712A"/>
    <w:rsid w:val="00577145"/>
    <w:rsid w:val="005771F0"/>
    <w:rsid w:val="00577216"/>
    <w:rsid w:val="005772D7"/>
    <w:rsid w:val="005772E3"/>
    <w:rsid w:val="0057741C"/>
    <w:rsid w:val="00577424"/>
    <w:rsid w:val="00577492"/>
    <w:rsid w:val="00577500"/>
    <w:rsid w:val="00577527"/>
    <w:rsid w:val="0057754E"/>
    <w:rsid w:val="00577555"/>
    <w:rsid w:val="00577720"/>
    <w:rsid w:val="0057774D"/>
    <w:rsid w:val="00577837"/>
    <w:rsid w:val="005778D2"/>
    <w:rsid w:val="005779CA"/>
    <w:rsid w:val="005779ED"/>
    <w:rsid w:val="00577A35"/>
    <w:rsid w:val="00577A88"/>
    <w:rsid w:val="00577B92"/>
    <w:rsid w:val="00577BB5"/>
    <w:rsid w:val="00577C36"/>
    <w:rsid w:val="00577C39"/>
    <w:rsid w:val="00577D08"/>
    <w:rsid w:val="00577D38"/>
    <w:rsid w:val="00577DF6"/>
    <w:rsid w:val="00577E44"/>
    <w:rsid w:val="00577F43"/>
    <w:rsid w:val="00577F95"/>
    <w:rsid w:val="00580068"/>
    <w:rsid w:val="0058007B"/>
    <w:rsid w:val="0058014E"/>
    <w:rsid w:val="0058015A"/>
    <w:rsid w:val="005801DB"/>
    <w:rsid w:val="005801DE"/>
    <w:rsid w:val="0058027D"/>
    <w:rsid w:val="005802C6"/>
    <w:rsid w:val="00580347"/>
    <w:rsid w:val="00580414"/>
    <w:rsid w:val="0058042A"/>
    <w:rsid w:val="005804A0"/>
    <w:rsid w:val="005805A9"/>
    <w:rsid w:val="00580612"/>
    <w:rsid w:val="0058061F"/>
    <w:rsid w:val="0058068A"/>
    <w:rsid w:val="005806CE"/>
    <w:rsid w:val="005807A9"/>
    <w:rsid w:val="0058090B"/>
    <w:rsid w:val="0058091B"/>
    <w:rsid w:val="0058098D"/>
    <w:rsid w:val="005809DF"/>
    <w:rsid w:val="00580A2C"/>
    <w:rsid w:val="00580A9F"/>
    <w:rsid w:val="00580AA0"/>
    <w:rsid w:val="00580B13"/>
    <w:rsid w:val="00580B15"/>
    <w:rsid w:val="00580BBC"/>
    <w:rsid w:val="00580C91"/>
    <w:rsid w:val="00580D7C"/>
    <w:rsid w:val="00580DDA"/>
    <w:rsid w:val="00580E3D"/>
    <w:rsid w:val="00580F09"/>
    <w:rsid w:val="00580FB7"/>
    <w:rsid w:val="00580FD8"/>
    <w:rsid w:val="00581096"/>
    <w:rsid w:val="005812F0"/>
    <w:rsid w:val="005815D5"/>
    <w:rsid w:val="005815ED"/>
    <w:rsid w:val="0058165C"/>
    <w:rsid w:val="00581865"/>
    <w:rsid w:val="0058189B"/>
    <w:rsid w:val="005819CC"/>
    <w:rsid w:val="00581B6F"/>
    <w:rsid w:val="00581B9B"/>
    <w:rsid w:val="00581BAF"/>
    <w:rsid w:val="00581BD9"/>
    <w:rsid w:val="00581C11"/>
    <w:rsid w:val="00581C30"/>
    <w:rsid w:val="00581C4F"/>
    <w:rsid w:val="00581D26"/>
    <w:rsid w:val="00581D3A"/>
    <w:rsid w:val="00581D6F"/>
    <w:rsid w:val="00581DE6"/>
    <w:rsid w:val="00581DF9"/>
    <w:rsid w:val="00581E63"/>
    <w:rsid w:val="00581F84"/>
    <w:rsid w:val="00581FB2"/>
    <w:rsid w:val="0058204F"/>
    <w:rsid w:val="0058207A"/>
    <w:rsid w:val="0058208E"/>
    <w:rsid w:val="005821AD"/>
    <w:rsid w:val="005821F7"/>
    <w:rsid w:val="00582241"/>
    <w:rsid w:val="0058238C"/>
    <w:rsid w:val="005823E4"/>
    <w:rsid w:val="0058241C"/>
    <w:rsid w:val="0058247F"/>
    <w:rsid w:val="005826B6"/>
    <w:rsid w:val="00582779"/>
    <w:rsid w:val="0058278F"/>
    <w:rsid w:val="0058284F"/>
    <w:rsid w:val="005828B7"/>
    <w:rsid w:val="005828C1"/>
    <w:rsid w:val="005829A8"/>
    <w:rsid w:val="005829DA"/>
    <w:rsid w:val="00582BA3"/>
    <w:rsid w:val="00582C9B"/>
    <w:rsid w:val="00582D97"/>
    <w:rsid w:val="00582D99"/>
    <w:rsid w:val="00582E1C"/>
    <w:rsid w:val="00582EB3"/>
    <w:rsid w:val="00582FE8"/>
    <w:rsid w:val="00582FED"/>
    <w:rsid w:val="0058305D"/>
    <w:rsid w:val="00583078"/>
    <w:rsid w:val="005830B5"/>
    <w:rsid w:val="00583198"/>
    <w:rsid w:val="005831E7"/>
    <w:rsid w:val="0058322E"/>
    <w:rsid w:val="00583331"/>
    <w:rsid w:val="005833E0"/>
    <w:rsid w:val="005835E1"/>
    <w:rsid w:val="005836AB"/>
    <w:rsid w:val="005836BB"/>
    <w:rsid w:val="005837D8"/>
    <w:rsid w:val="005837DC"/>
    <w:rsid w:val="00583910"/>
    <w:rsid w:val="00583920"/>
    <w:rsid w:val="00583B72"/>
    <w:rsid w:val="00583BB3"/>
    <w:rsid w:val="00583BB7"/>
    <w:rsid w:val="00583CCC"/>
    <w:rsid w:val="00583D48"/>
    <w:rsid w:val="00583F58"/>
    <w:rsid w:val="00583FBD"/>
    <w:rsid w:val="00583FF2"/>
    <w:rsid w:val="005840B1"/>
    <w:rsid w:val="00584118"/>
    <w:rsid w:val="0058413B"/>
    <w:rsid w:val="0058417F"/>
    <w:rsid w:val="00584184"/>
    <w:rsid w:val="005841AF"/>
    <w:rsid w:val="00584205"/>
    <w:rsid w:val="00584369"/>
    <w:rsid w:val="0058436F"/>
    <w:rsid w:val="00584428"/>
    <w:rsid w:val="0058443D"/>
    <w:rsid w:val="005844AD"/>
    <w:rsid w:val="005844DB"/>
    <w:rsid w:val="005844F6"/>
    <w:rsid w:val="0058462F"/>
    <w:rsid w:val="00584634"/>
    <w:rsid w:val="00584652"/>
    <w:rsid w:val="00584671"/>
    <w:rsid w:val="005847B0"/>
    <w:rsid w:val="005847E3"/>
    <w:rsid w:val="005848FE"/>
    <w:rsid w:val="00584905"/>
    <w:rsid w:val="00584919"/>
    <w:rsid w:val="00584959"/>
    <w:rsid w:val="00584982"/>
    <w:rsid w:val="00584A18"/>
    <w:rsid w:val="00584A45"/>
    <w:rsid w:val="00584A9A"/>
    <w:rsid w:val="00584ABA"/>
    <w:rsid w:val="00584B0C"/>
    <w:rsid w:val="00584B4E"/>
    <w:rsid w:val="00584BA4"/>
    <w:rsid w:val="00584C0C"/>
    <w:rsid w:val="00584C6D"/>
    <w:rsid w:val="00584D10"/>
    <w:rsid w:val="00584DAC"/>
    <w:rsid w:val="00584E23"/>
    <w:rsid w:val="00584E62"/>
    <w:rsid w:val="00584EAB"/>
    <w:rsid w:val="00585067"/>
    <w:rsid w:val="005850D0"/>
    <w:rsid w:val="0058515B"/>
    <w:rsid w:val="00585276"/>
    <w:rsid w:val="005852B4"/>
    <w:rsid w:val="0058544E"/>
    <w:rsid w:val="0058556A"/>
    <w:rsid w:val="005855B2"/>
    <w:rsid w:val="005855B7"/>
    <w:rsid w:val="00585604"/>
    <w:rsid w:val="0058578C"/>
    <w:rsid w:val="005857D0"/>
    <w:rsid w:val="00585A09"/>
    <w:rsid w:val="00585A6C"/>
    <w:rsid w:val="00585B81"/>
    <w:rsid w:val="00585D66"/>
    <w:rsid w:val="00585DFB"/>
    <w:rsid w:val="00585E85"/>
    <w:rsid w:val="00585E8B"/>
    <w:rsid w:val="00585E9D"/>
    <w:rsid w:val="00585EFC"/>
    <w:rsid w:val="00585F9A"/>
    <w:rsid w:val="00585FB5"/>
    <w:rsid w:val="00586005"/>
    <w:rsid w:val="00586025"/>
    <w:rsid w:val="0058604D"/>
    <w:rsid w:val="00586054"/>
    <w:rsid w:val="005860E8"/>
    <w:rsid w:val="00586175"/>
    <w:rsid w:val="00586222"/>
    <w:rsid w:val="0058623E"/>
    <w:rsid w:val="00586241"/>
    <w:rsid w:val="00586255"/>
    <w:rsid w:val="0058630D"/>
    <w:rsid w:val="005863A2"/>
    <w:rsid w:val="00586487"/>
    <w:rsid w:val="00586514"/>
    <w:rsid w:val="0058653A"/>
    <w:rsid w:val="0058658C"/>
    <w:rsid w:val="005865B7"/>
    <w:rsid w:val="005865C3"/>
    <w:rsid w:val="00586618"/>
    <w:rsid w:val="00586647"/>
    <w:rsid w:val="005866A1"/>
    <w:rsid w:val="0058670A"/>
    <w:rsid w:val="00586829"/>
    <w:rsid w:val="005869E4"/>
    <w:rsid w:val="00586B7C"/>
    <w:rsid w:val="00586C62"/>
    <w:rsid w:val="00586C64"/>
    <w:rsid w:val="00586C73"/>
    <w:rsid w:val="00586CD2"/>
    <w:rsid w:val="00586CFB"/>
    <w:rsid w:val="00586D8B"/>
    <w:rsid w:val="00586DE7"/>
    <w:rsid w:val="00586E84"/>
    <w:rsid w:val="00586E87"/>
    <w:rsid w:val="00586FB7"/>
    <w:rsid w:val="00587011"/>
    <w:rsid w:val="00587117"/>
    <w:rsid w:val="0058711F"/>
    <w:rsid w:val="0058713A"/>
    <w:rsid w:val="005871B9"/>
    <w:rsid w:val="00587239"/>
    <w:rsid w:val="0058723A"/>
    <w:rsid w:val="00587242"/>
    <w:rsid w:val="00587379"/>
    <w:rsid w:val="005874CD"/>
    <w:rsid w:val="005876A5"/>
    <w:rsid w:val="005876BD"/>
    <w:rsid w:val="005876D3"/>
    <w:rsid w:val="005878FA"/>
    <w:rsid w:val="005879BA"/>
    <w:rsid w:val="00587A1C"/>
    <w:rsid w:val="00587B6D"/>
    <w:rsid w:val="00587C02"/>
    <w:rsid w:val="00587EF6"/>
    <w:rsid w:val="00587F95"/>
    <w:rsid w:val="00587FDF"/>
    <w:rsid w:val="00590017"/>
    <w:rsid w:val="0059005B"/>
    <w:rsid w:val="005900A1"/>
    <w:rsid w:val="005900D0"/>
    <w:rsid w:val="005900DC"/>
    <w:rsid w:val="00590105"/>
    <w:rsid w:val="0059013C"/>
    <w:rsid w:val="00590211"/>
    <w:rsid w:val="00590225"/>
    <w:rsid w:val="00590227"/>
    <w:rsid w:val="00590298"/>
    <w:rsid w:val="005902AE"/>
    <w:rsid w:val="0059039D"/>
    <w:rsid w:val="00590442"/>
    <w:rsid w:val="00590462"/>
    <w:rsid w:val="0059053D"/>
    <w:rsid w:val="00590574"/>
    <w:rsid w:val="0059067F"/>
    <w:rsid w:val="00590720"/>
    <w:rsid w:val="00590746"/>
    <w:rsid w:val="005907A0"/>
    <w:rsid w:val="0059081D"/>
    <w:rsid w:val="005908F7"/>
    <w:rsid w:val="0059098F"/>
    <w:rsid w:val="005909A3"/>
    <w:rsid w:val="005909E0"/>
    <w:rsid w:val="005909FA"/>
    <w:rsid w:val="00590AD1"/>
    <w:rsid w:val="00590C79"/>
    <w:rsid w:val="00590DE7"/>
    <w:rsid w:val="00590E13"/>
    <w:rsid w:val="00590E25"/>
    <w:rsid w:val="00590EA5"/>
    <w:rsid w:val="00590ED4"/>
    <w:rsid w:val="00590EF4"/>
    <w:rsid w:val="00590F83"/>
    <w:rsid w:val="0059101F"/>
    <w:rsid w:val="00591077"/>
    <w:rsid w:val="00591078"/>
    <w:rsid w:val="005910AD"/>
    <w:rsid w:val="005910D6"/>
    <w:rsid w:val="00591257"/>
    <w:rsid w:val="00591262"/>
    <w:rsid w:val="0059134C"/>
    <w:rsid w:val="0059135C"/>
    <w:rsid w:val="0059142F"/>
    <w:rsid w:val="0059160B"/>
    <w:rsid w:val="0059173F"/>
    <w:rsid w:val="005917C3"/>
    <w:rsid w:val="0059183D"/>
    <w:rsid w:val="00591850"/>
    <w:rsid w:val="00591886"/>
    <w:rsid w:val="005919F7"/>
    <w:rsid w:val="00591A9E"/>
    <w:rsid w:val="00591AB0"/>
    <w:rsid w:val="00591B7E"/>
    <w:rsid w:val="00591C2F"/>
    <w:rsid w:val="00591C78"/>
    <w:rsid w:val="00591CDC"/>
    <w:rsid w:val="00591D2B"/>
    <w:rsid w:val="00591D43"/>
    <w:rsid w:val="00591D9C"/>
    <w:rsid w:val="00591E26"/>
    <w:rsid w:val="00591E9A"/>
    <w:rsid w:val="00591FFE"/>
    <w:rsid w:val="0059217B"/>
    <w:rsid w:val="00592275"/>
    <w:rsid w:val="00592420"/>
    <w:rsid w:val="00592685"/>
    <w:rsid w:val="005926E1"/>
    <w:rsid w:val="005926FF"/>
    <w:rsid w:val="0059273F"/>
    <w:rsid w:val="005927B5"/>
    <w:rsid w:val="005927D7"/>
    <w:rsid w:val="005928F9"/>
    <w:rsid w:val="00592905"/>
    <w:rsid w:val="005929BB"/>
    <w:rsid w:val="00592A2A"/>
    <w:rsid w:val="00592A32"/>
    <w:rsid w:val="00592A45"/>
    <w:rsid w:val="00592A65"/>
    <w:rsid w:val="00592D75"/>
    <w:rsid w:val="00592ECA"/>
    <w:rsid w:val="00592F70"/>
    <w:rsid w:val="00592FD0"/>
    <w:rsid w:val="005930CD"/>
    <w:rsid w:val="00593204"/>
    <w:rsid w:val="0059328D"/>
    <w:rsid w:val="0059329C"/>
    <w:rsid w:val="005932BA"/>
    <w:rsid w:val="00593350"/>
    <w:rsid w:val="005933A9"/>
    <w:rsid w:val="005933E9"/>
    <w:rsid w:val="00593447"/>
    <w:rsid w:val="0059350B"/>
    <w:rsid w:val="0059356D"/>
    <w:rsid w:val="00593599"/>
    <w:rsid w:val="00593678"/>
    <w:rsid w:val="00593689"/>
    <w:rsid w:val="005936D7"/>
    <w:rsid w:val="005938EE"/>
    <w:rsid w:val="00593946"/>
    <w:rsid w:val="00593954"/>
    <w:rsid w:val="00593BE8"/>
    <w:rsid w:val="00593C44"/>
    <w:rsid w:val="00593C7E"/>
    <w:rsid w:val="00593D7E"/>
    <w:rsid w:val="00593D91"/>
    <w:rsid w:val="00593E28"/>
    <w:rsid w:val="00593EA1"/>
    <w:rsid w:val="00593EA7"/>
    <w:rsid w:val="00593F44"/>
    <w:rsid w:val="00593F84"/>
    <w:rsid w:val="00594067"/>
    <w:rsid w:val="00594107"/>
    <w:rsid w:val="00594126"/>
    <w:rsid w:val="005942C6"/>
    <w:rsid w:val="0059436A"/>
    <w:rsid w:val="0059437E"/>
    <w:rsid w:val="005943CD"/>
    <w:rsid w:val="00594430"/>
    <w:rsid w:val="00594453"/>
    <w:rsid w:val="005944B2"/>
    <w:rsid w:val="005944B9"/>
    <w:rsid w:val="005946DB"/>
    <w:rsid w:val="005946DC"/>
    <w:rsid w:val="005946E7"/>
    <w:rsid w:val="005946FC"/>
    <w:rsid w:val="00594766"/>
    <w:rsid w:val="00594795"/>
    <w:rsid w:val="00594804"/>
    <w:rsid w:val="00594812"/>
    <w:rsid w:val="005948D2"/>
    <w:rsid w:val="00594916"/>
    <w:rsid w:val="005949AA"/>
    <w:rsid w:val="005949BB"/>
    <w:rsid w:val="00594A76"/>
    <w:rsid w:val="00594A87"/>
    <w:rsid w:val="00594D10"/>
    <w:rsid w:val="00594D6B"/>
    <w:rsid w:val="00594E62"/>
    <w:rsid w:val="00594F71"/>
    <w:rsid w:val="0059501D"/>
    <w:rsid w:val="00595057"/>
    <w:rsid w:val="00595089"/>
    <w:rsid w:val="005951AA"/>
    <w:rsid w:val="005952F5"/>
    <w:rsid w:val="00595480"/>
    <w:rsid w:val="00595564"/>
    <w:rsid w:val="00595629"/>
    <w:rsid w:val="0059569A"/>
    <w:rsid w:val="00595727"/>
    <w:rsid w:val="005957B2"/>
    <w:rsid w:val="005958A6"/>
    <w:rsid w:val="0059592C"/>
    <w:rsid w:val="005959C5"/>
    <w:rsid w:val="005959E2"/>
    <w:rsid w:val="005959F9"/>
    <w:rsid w:val="00595A5C"/>
    <w:rsid w:val="00595C06"/>
    <w:rsid w:val="00595CAD"/>
    <w:rsid w:val="00595CC2"/>
    <w:rsid w:val="00595DAB"/>
    <w:rsid w:val="00595DCD"/>
    <w:rsid w:val="00595E52"/>
    <w:rsid w:val="00595EDE"/>
    <w:rsid w:val="00595F32"/>
    <w:rsid w:val="00595F9C"/>
    <w:rsid w:val="00595FE4"/>
    <w:rsid w:val="00596022"/>
    <w:rsid w:val="00596108"/>
    <w:rsid w:val="00596109"/>
    <w:rsid w:val="00596128"/>
    <w:rsid w:val="005962A1"/>
    <w:rsid w:val="005962FB"/>
    <w:rsid w:val="0059630F"/>
    <w:rsid w:val="005963CC"/>
    <w:rsid w:val="00596422"/>
    <w:rsid w:val="005964AB"/>
    <w:rsid w:val="005964CF"/>
    <w:rsid w:val="0059651C"/>
    <w:rsid w:val="00596583"/>
    <w:rsid w:val="0059663D"/>
    <w:rsid w:val="0059663F"/>
    <w:rsid w:val="005966CE"/>
    <w:rsid w:val="0059671F"/>
    <w:rsid w:val="00596753"/>
    <w:rsid w:val="00596771"/>
    <w:rsid w:val="00596887"/>
    <w:rsid w:val="005968C5"/>
    <w:rsid w:val="005968E8"/>
    <w:rsid w:val="00596931"/>
    <w:rsid w:val="00596944"/>
    <w:rsid w:val="00596A2D"/>
    <w:rsid w:val="00596AA1"/>
    <w:rsid w:val="00596C70"/>
    <w:rsid w:val="00596D05"/>
    <w:rsid w:val="00596DE4"/>
    <w:rsid w:val="00596EB5"/>
    <w:rsid w:val="00596EE3"/>
    <w:rsid w:val="00596F39"/>
    <w:rsid w:val="0059716A"/>
    <w:rsid w:val="00597179"/>
    <w:rsid w:val="005971BD"/>
    <w:rsid w:val="00597261"/>
    <w:rsid w:val="00597279"/>
    <w:rsid w:val="005972C4"/>
    <w:rsid w:val="0059734E"/>
    <w:rsid w:val="00597477"/>
    <w:rsid w:val="00597508"/>
    <w:rsid w:val="0059756F"/>
    <w:rsid w:val="005976A1"/>
    <w:rsid w:val="005976DF"/>
    <w:rsid w:val="0059773C"/>
    <w:rsid w:val="0059789C"/>
    <w:rsid w:val="00597963"/>
    <w:rsid w:val="0059798B"/>
    <w:rsid w:val="00597A2D"/>
    <w:rsid w:val="00597A3B"/>
    <w:rsid w:val="00597AC1"/>
    <w:rsid w:val="00597AC9"/>
    <w:rsid w:val="00597ACC"/>
    <w:rsid w:val="00597AD0"/>
    <w:rsid w:val="00597B06"/>
    <w:rsid w:val="00597B31"/>
    <w:rsid w:val="00597BBB"/>
    <w:rsid w:val="00597BD3"/>
    <w:rsid w:val="00597CF4"/>
    <w:rsid w:val="00597D64"/>
    <w:rsid w:val="00597FC6"/>
    <w:rsid w:val="005A00D5"/>
    <w:rsid w:val="005A0168"/>
    <w:rsid w:val="005A01CB"/>
    <w:rsid w:val="005A01DE"/>
    <w:rsid w:val="005A01EE"/>
    <w:rsid w:val="005A01FF"/>
    <w:rsid w:val="005A0274"/>
    <w:rsid w:val="005A0291"/>
    <w:rsid w:val="005A030B"/>
    <w:rsid w:val="005A0326"/>
    <w:rsid w:val="005A035F"/>
    <w:rsid w:val="005A0383"/>
    <w:rsid w:val="005A04AE"/>
    <w:rsid w:val="005A04DF"/>
    <w:rsid w:val="005A05FA"/>
    <w:rsid w:val="005A08D4"/>
    <w:rsid w:val="005A08FE"/>
    <w:rsid w:val="005A0998"/>
    <w:rsid w:val="005A0AB4"/>
    <w:rsid w:val="005A0B5D"/>
    <w:rsid w:val="005A0BA2"/>
    <w:rsid w:val="005A0BA8"/>
    <w:rsid w:val="005A0BBF"/>
    <w:rsid w:val="005A0C2C"/>
    <w:rsid w:val="005A0E18"/>
    <w:rsid w:val="005A0E40"/>
    <w:rsid w:val="005A0EFC"/>
    <w:rsid w:val="005A0FCD"/>
    <w:rsid w:val="005A114F"/>
    <w:rsid w:val="005A1155"/>
    <w:rsid w:val="005A1167"/>
    <w:rsid w:val="005A12B8"/>
    <w:rsid w:val="005A1343"/>
    <w:rsid w:val="005A1378"/>
    <w:rsid w:val="005A13A7"/>
    <w:rsid w:val="005A13FB"/>
    <w:rsid w:val="005A1466"/>
    <w:rsid w:val="005A14D5"/>
    <w:rsid w:val="005A1538"/>
    <w:rsid w:val="005A15D3"/>
    <w:rsid w:val="005A15D6"/>
    <w:rsid w:val="005A1692"/>
    <w:rsid w:val="005A1826"/>
    <w:rsid w:val="005A182B"/>
    <w:rsid w:val="005A184B"/>
    <w:rsid w:val="005A188B"/>
    <w:rsid w:val="005A19B8"/>
    <w:rsid w:val="005A19DB"/>
    <w:rsid w:val="005A1A57"/>
    <w:rsid w:val="005A1AE9"/>
    <w:rsid w:val="005A1B7B"/>
    <w:rsid w:val="005A1BD9"/>
    <w:rsid w:val="005A1D1B"/>
    <w:rsid w:val="005A1E5C"/>
    <w:rsid w:val="005A1F89"/>
    <w:rsid w:val="005A2144"/>
    <w:rsid w:val="005A21C5"/>
    <w:rsid w:val="005A22C4"/>
    <w:rsid w:val="005A22EC"/>
    <w:rsid w:val="005A233E"/>
    <w:rsid w:val="005A2360"/>
    <w:rsid w:val="005A2375"/>
    <w:rsid w:val="005A237F"/>
    <w:rsid w:val="005A24E6"/>
    <w:rsid w:val="005A2513"/>
    <w:rsid w:val="005A253A"/>
    <w:rsid w:val="005A254F"/>
    <w:rsid w:val="005A257E"/>
    <w:rsid w:val="005A2760"/>
    <w:rsid w:val="005A296E"/>
    <w:rsid w:val="005A29A8"/>
    <w:rsid w:val="005A2A66"/>
    <w:rsid w:val="005A2C1B"/>
    <w:rsid w:val="005A2CDA"/>
    <w:rsid w:val="005A2DC5"/>
    <w:rsid w:val="005A2E1B"/>
    <w:rsid w:val="005A2E1F"/>
    <w:rsid w:val="005A2E55"/>
    <w:rsid w:val="005A2EFC"/>
    <w:rsid w:val="005A313B"/>
    <w:rsid w:val="005A316B"/>
    <w:rsid w:val="005A31B8"/>
    <w:rsid w:val="005A3283"/>
    <w:rsid w:val="005A32CD"/>
    <w:rsid w:val="005A32D5"/>
    <w:rsid w:val="005A3454"/>
    <w:rsid w:val="005A35DF"/>
    <w:rsid w:val="005A3628"/>
    <w:rsid w:val="005A38A0"/>
    <w:rsid w:val="005A39B4"/>
    <w:rsid w:val="005A3A23"/>
    <w:rsid w:val="005A3A3D"/>
    <w:rsid w:val="005A3A5D"/>
    <w:rsid w:val="005A3A7F"/>
    <w:rsid w:val="005A3BCB"/>
    <w:rsid w:val="005A3C03"/>
    <w:rsid w:val="005A3C30"/>
    <w:rsid w:val="005A3C77"/>
    <w:rsid w:val="005A3D27"/>
    <w:rsid w:val="005A3E34"/>
    <w:rsid w:val="005A3ED3"/>
    <w:rsid w:val="005A3FF9"/>
    <w:rsid w:val="005A404F"/>
    <w:rsid w:val="005A4155"/>
    <w:rsid w:val="005A418F"/>
    <w:rsid w:val="005A426A"/>
    <w:rsid w:val="005A4413"/>
    <w:rsid w:val="005A4442"/>
    <w:rsid w:val="005A4450"/>
    <w:rsid w:val="005A4562"/>
    <w:rsid w:val="005A457F"/>
    <w:rsid w:val="005A45B1"/>
    <w:rsid w:val="005A46C2"/>
    <w:rsid w:val="005A46E9"/>
    <w:rsid w:val="005A475B"/>
    <w:rsid w:val="005A489C"/>
    <w:rsid w:val="005A49D8"/>
    <w:rsid w:val="005A4A13"/>
    <w:rsid w:val="005A4ADC"/>
    <w:rsid w:val="005A4B5B"/>
    <w:rsid w:val="005A4BFE"/>
    <w:rsid w:val="005A4D50"/>
    <w:rsid w:val="005A4DDA"/>
    <w:rsid w:val="005A4E0F"/>
    <w:rsid w:val="005A4E21"/>
    <w:rsid w:val="005A4F80"/>
    <w:rsid w:val="005A4F9C"/>
    <w:rsid w:val="005A500A"/>
    <w:rsid w:val="005A5068"/>
    <w:rsid w:val="005A50CD"/>
    <w:rsid w:val="005A50EF"/>
    <w:rsid w:val="005A50FB"/>
    <w:rsid w:val="005A5229"/>
    <w:rsid w:val="005A52C0"/>
    <w:rsid w:val="005A5302"/>
    <w:rsid w:val="005A5345"/>
    <w:rsid w:val="005A534E"/>
    <w:rsid w:val="005A5379"/>
    <w:rsid w:val="005A543F"/>
    <w:rsid w:val="005A5471"/>
    <w:rsid w:val="005A553C"/>
    <w:rsid w:val="005A55C6"/>
    <w:rsid w:val="005A561F"/>
    <w:rsid w:val="005A5648"/>
    <w:rsid w:val="005A5686"/>
    <w:rsid w:val="005A5798"/>
    <w:rsid w:val="005A59B0"/>
    <w:rsid w:val="005A59D4"/>
    <w:rsid w:val="005A5A11"/>
    <w:rsid w:val="005A5A42"/>
    <w:rsid w:val="005A5AAB"/>
    <w:rsid w:val="005A5B4B"/>
    <w:rsid w:val="005A5C67"/>
    <w:rsid w:val="005A5CF0"/>
    <w:rsid w:val="005A5D1D"/>
    <w:rsid w:val="005A5D65"/>
    <w:rsid w:val="005A5DED"/>
    <w:rsid w:val="005A5F5A"/>
    <w:rsid w:val="005A602E"/>
    <w:rsid w:val="005A6068"/>
    <w:rsid w:val="005A60B6"/>
    <w:rsid w:val="005A612E"/>
    <w:rsid w:val="005A61C5"/>
    <w:rsid w:val="005A61E6"/>
    <w:rsid w:val="005A61E9"/>
    <w:rsid w:val="005A623F"/>
    <w:rsid w:val="005A62C4"/>
    <w:rsid w:val="005A631D"/>
    <w:rsid w:val="005A63C0"/>
    <w:rsid w:val="005A6439"/>
    <w:rsid w:val="005A64D2"/>
    <w:rsid w:val="005A65C1"/>
    <w:rsid w:val="005A668D"/>
    <w:rsid w:val="005A6735"/>
    <w:rsid w:val="005A6789"/>
    <w:rsid w:val="005A6897"/>
    <w:rsid w:val="005A68D4"/>
    <w:rsid w:val="005A6947"/>
    <w:rsid w:val="005A699E"/>
    <w:rsid w:val="005A6BBE"/>
    <w:rsid w:val="005A6C74"/>
    <w:rsid w:val="005A6CE0"/>
    <w:rsid w:val="005A6D03"/>
    <w:rsid w:val="005A6D58"/>
    <w:rsid w:val="005A6D8F"/>
    <w:rsid w:val="005A6DAE"/>
    <w:rsid w:val="005A6DCD"/>
    <w:rsid w:val="005A6DD4"/>
    <w:rsid w:val="005A6E64"/>
    <w:rsid w:val="005A6E9F"/>
    <w:rsid w:val="005A6EC7"/>
    <w:rsid w:val="005A6EEC"/>
    <w:rsid w:val="005A6F4A"/>
    <w:rsid w:val="005A6FD3"/>
    <w:rsid w:val="005A703F"/>
    <w:rsid w:val="005A70F9"/>
    <w:rsid w:val="005A7193"/>
    <w:rsid w:val="005A71A4"/>
    <w:rsid w:val="005A71FF"/>
    <w:rsid w:val="005A7314"/>
    <w:rsid w:val="005A73B9"/>
    <w:rsid w:val="005A73BF"/>
    <w:rsid w:val="005A7405"/>
    <w:rsid w:val="005A744F"/>
    <w:rsid w:val="005A7467"/>
    <w:rsid w:val="005A749C"/>
    <w:rsid w:val="005A756A"/>
    <w:rsid w:val="005A75AC"/>
    <w:rsid w:val="005A76E8"/>
    <w:rsid w:val="005A77C7"/>
    <w:rsid w:val="005A77DA"/>
    <w:rsid w:val="005A7836"/>
    <w:rsid w:val="005A7892"/>
    <w:rsid w:val="005A7982"/>
    <w:rsid w:val="005A79B1"/>
    <w:rsid w:val="005A7B48"/>
    <w:rsid w:val="005A7B8E"/>
    <w:rsid w:val="005A7BBE"/>
    <w:rsid w:val="005A7BE2"/>
    <w:rsid w:val="005A7C97"/>
    <w:rsid w:val="005A7DB1"/>
    <w:rsid w:val="005A7DE9"/>
    <w:rsid w:val="005A7E1A"/>
    <w:rsid w:val="005A7ED6"/>
    <w:rsid w:val="005AD45B"/>
    <w:rsid w:val="005B000C"/>
    <w:rsid w:val="005B00A9"/>
    <w:rsid w:val="005B0120"/>
    <w:rsid w:val="005B013C"/>
    <w:rsid w:val="005B026F"/>
    <w:rsid w:val="005B02F5"/>
    <w:rsid w:val="005B03B4"/>
    <w:rsid w:val="005B0433"/>
    <w:rsid w:val="005B04F3"/>
    <w:rsid w:val="005B061C"/>
    <w:rsid w:val="005B0626"/>
    <w:rsid w:val="005B0652"/>
    <w:rsid w:val="005B06E0"/>
    <w:rsid w:val="005B07A9"/>
    <w:rsid w:val="005B07BC"/>
    <w:rsid w:val="005B0845"/>
    <w:rsid w:val="005B08D3"/>
    <w:rsid w:val="005B0996"/>
    <w:rsid w:val="005B09FD"/>
    <w:rsid w:val="005B0A19"/>
    <w:rsid w:val="005B0B68"/>
    <w:rsid w:val="005B0B75"/>
    <w:rsid w:val="005B0D66"/>
    <w:rsid w:val="005B0D9D"/>
    <w:rsid w:val="005B0EA6"/>
    <w:rsid w:val="005B106D"/>
    <w:rsid w:val="005B10D6"/>
    <w:rsid w:val="005B111C"/>
    <w:rsid w:val="005B116F"/>
    <w:rsid w:val="005B11DB"/>
    <w:rsid w:val="005B1260"/>
    <w:rsid w:val="005B12D7"/>
    <w:rsid w:val="005B133E"/>
    <w:rsid w:val="005B13A0"/>
    <w:rsid w:val="005B13DB"/>
    <w:rsid w:val="005B13F1"/>
    <w:rsid w:val="005B145C"/>
    <w:rsid w:val="005B1485"/>
    <w:rsid w:val="005B1503"/>
    <w:rsid w:val="005B1559"/>
    <w:rsid w:val="005B15D5"/>
    <w:rsid w:val="005B16AF"/>
    <w:rsid w:val="005B1753"/>
    <w:rsid w:val="005B17CE"/>
    <w:rsid w:val="005B1841"/>
    <w:rsid w:val="005B1A08"/>
    <w:rsid w:val="005B1C7E"/>
    <w:rsid w:val="005B1CCB"/>
    <w:rsid w:val="005B1E2F"/>
    <w:rsid w:val="005B1E38"/>
    <w:rsid w:val="005B1EE3"/>
    <w:rsid w:val="005B1F87"/>
    <w:rsid w:val="005B2011"/>
    <w:rsid w:val="005B21B5"/>
    <w:rsid w:val="005B2230"/>
    <w:rsid w:val="005B2265"/>
    <w:rsid w:val="005B238F"/>
    <w:rsid w:val="005B23EF"/>
    <w:rsid w:val="005B2406"/>
    <w:rsid w:val="005B2439"/>
    <w:rsid w:val="005B2497"/>
    <w:rsid w:val="005B25D7"/>
    <w:rsid w:val="005B261C"/>
    <w:rsid w:val="005B26A9"/>
    <w:rsid w:val="005B2711"/>
    <w:rsid w:val="005B27AE"/>
    <w:rsid w:val="005B29F9"/>
    <w:rsid w:val="005B2A18"/>
    <w:rsid w:val="005B2A1D"/>
    <w:rsid w:val="005B2ADA"/>
    <w:rsid w:val="005B2AE6"/>
    <w:rsid w:val="005B2B58"/>
    <w:rsid w:val="005B2BE2"/>
    <w:rsid w:val="005B2C1F"/>
    <w:rsid w:val="005B2E07"/>
    <w:rsid w:val="005B2E1F"/>
    <w:rsid w:val="005B2ECA"/>
    <w:rsid w:val="005B2ED1"/>
    <w:rsid w:val="005B2EDB"/>
    <w:rsid w:val="005B2FFA"/>
    <w:rsid w:val="005B315C"/>
    <w:rsid w:val="005B323D"/>
    <w:rsid w:val="005B326F"/>
    <w:rsid w:val="005B3358"/>
    <w:rsid w:val="005B3422"/>
    <w:rsid w:val="005B3465"/>
    <w:rsid w:val="005B355B"/>
    <w:rsid w:val="005B35A9"/>
    <w:rsid w:val="005B3702"/>
    <w:rsid w:val="005B37A8"/>
    <w:rsid w:val="005B388B"/>
    <w:rsid w:val="005B38DF"/>
    <w:rsid w:val="005B38ED"/>
    <w:rsid w:val="005B398D"/>
    <w:rsid w:val="005B3999"/>
    <w:rsid w:val="005B3A53"/>
    <w:rsid w:val="005B3B24"/>
    <w:rsid w:val="005B3C68"/>
    <w:rsid w:val="005B3CFD"/>
    <w:rsid w:val="005B3D13"/>
    <w:rsid w:val="005B3DE0"/>
    <w:rsid w:val="005B3F76"/>
    <w:rsid w:val="005B3FDA"/>
    <w:rsid w:val="005B40F8"/>
    <w:rsid w:val="005B4141"/>
    <w:rsid w:val="005B4221"/>
    <w:rsid w:val="005B431D"/>
    <w:rsid w:val="005B44B5"/>
    <w:rsid w:val="005B44CC"/>
    <w:rsid w:val="005B466D"/>
    <w:rsid w:val="005B46E1"/>
    <w:rsid w:val="005B4898"/>
    <w:rsid w:val="005B48C3"/>
    <w:rsid w:val="005B4920"/>
    <w:rsid w:val="005B496A"/>
    <w:rsid w:val="005B4A90"/>
    <w:rsid w:val="005B4AB9"/>
    <w:rsid w:val="005B4C1E"/>
    <w:rsid w:val="005B4D1D"/>
    <w:rsid w:val="005B4DED"/>
    <w:rsid w:val="005B4DF2"/>
    <w:rsid w:val="005B4E0B"/>
    <w:rsid w:val="005B4E0C"/>
    <w:rsid w:val="005B4E14"/>
    <w:rsid w:val="005B4EA7"/>
    <w:rsid w:val="005B4EBF"/>
    <w:rsid w:val="005B4EC5"/>
    <w:rsid w:val="005B4EF7"/>
    <w:rsid w:val="005B4F1B"/>
    <w:rsid w:val="005B4F4A"/>
    <w:rsid w:val="005B5140"/>
    <w:rsid w:val="005B5146"/>
    <w:rsid w:val="005B5150"/>
    <w:rsid w:val="005B5167"/>
    <w:rsid w:val="005B5253"/>
    <w:rsid w:val="005B538C"/>
    <w:rsid w:val="005B5474"/>
    <w:rsid w:val="005B547E"/>
    <w:rsid w:val="005B5485"/>
    <w:rsid w:val="005B54DD"/>
    <w:rsid w:val="005B5599"/>
    <w:rsid w:val="005B5724"/>
    <w:rsid w:val="005B581E"/>
    <w:rsid w:val="005B582C"/>
    <w:rsid w:val="005B58BB"/>
    <w:rsid w:val="005B58D1"/>
    <w:rsid w:val="005B5922"/>
    <w:rsid w:val="005B595C"/>
    <w:rsid w:val="005B5979"/>
    <w:rsid w:val="005B59D8"/>
    <w:rsid w:val="005B5A3E"/>
    <w:rsid w:val="005B5C14"/>
    <w:rsid w:val="005B607A"/>
    <w:rsid w:val="005B614A"/>
    <w:rsid w:val="005B63F4"/>
    <w:rsid w:val="005B649A"/>
    <w:rsid w:val="005B65F7"/>
    <w:rsid w:val="005B668E"/>
    <w:rsid w:val="005B66D7"/>
    <w:rsid w:val="005B67CF"/>
    <w:rsid w:val="005B682A"/>
    <w:rsid w:val="005B682C"/>
    <w:rsid w:val="005B6A6B"/>
    <w:rsid w:val="005B6F44"/>
    <w:rsid w:val="005B6FF5"/>
    <w:rsid w:val="005B70B3"/>
    <w:rsid w:val="005B725C"/>
    <w:rsid w:val="005B727E"/>
    <w:rsid w:val="005B7288"/>
    <w:rsid w:val="005B73B9"/>
    <w:rsid w:val="005B745B"/>
    <w:rsid w:val="005B74E2"/>
    <w:rsid w:val="005B7614"/>
    <w:rsid w:val="005B76E2"/>
    <w:rsid w:val="005B7730"/>
    <w:rsid w:val="005B7732"/>
    <w:rsid w:val="005B78EA"/>
    <w:rsid w:val="005B7A67"/>
    <w:rsid w:val="005B7AFF"/>
    <w:rsid w:val="005B7CB8"/>
    <w:rsid w:val="005B7CFB"/>
    <w:rsid w:val="005B7D56"/>
    <w:rsid w:val="005B7D6D"/>
    <w:rsid w:val="005B7D70"/>
    <w:rsid w:val="005B7FB6"/>
    <w:rsid w:val="005C0046"/>
    <w:rsid w:val="005C00F4"/>
    <w:rsid w:val="005C020A"/>
    <w:rsid w:val="005C026B"/>
    <w:rsid w:val="005C027E"/>
    <w:rsid w:val="005C0331"/>
    <w:rsid w:val="005C033A"/>
    <w:rsid w:val="005C0354"/>
    <w:rsid w:val="005C040B"/>
    <w:rsid w:val="005C0434"/>
    <w:rsid w:val="005C0477"/>
    <w:rsid w:val="005C04C7"/>
    <w:rsid w:val="005C050C"/>
    <w:rsid w:val="005C05A3"/>
    <w:rsid w:val="005C05E8"/>
    <w:rsid w:val="005C0621"/>
    <w:rsid w:val="005C07A4"/>
    <w:rsid w:val="005C0823"/>
    <w:rsid w:val="005C0973"/>
    <w:rsid w:val="005C0BFE"/>
    <w:rsid w:val="005C0C0C"/>
    <w:rsid w:val="005C0C32"/>
    <w:rsid w:val="005C0C39"/>
    <w:rsid w:val="005C0C95"/>
    <w:rsid w:val="005C0CE1"/>
    <w:rsid w:val="005C0D37"/>
    <w:rsid w:val="005C0F66"/>
    <w:rsid w:val="005C0F7C"/>
    <w:rsid w:val="005C0F82"/>
    <w:rsid w:val="005C1066"/>
    <w:rsid w:val="005C11C4"/>
    <w:rsid w:val="005C11D1"/>
    <w:rsid w:val="005C1317"/>
    <w:rsid w:val="005C13B5"/>
    <w:rsid w:val="005C13D7"/>
    <w:rsid w:val="005C1464"/>
    <w:rsid w:val="005C152E"/>
    <w:rsid w:val="005C1619"/>
    <w:rsid w:val="005C1643"/>
    <w:rsid w:val="005C1670"/>
    <w:rsid w:val="005C16B2"/>
    <w:rsid w:val="005C170F"/>
    <w:rsid w:val="005C1798"/>
    <w:rsid w:val="005C18D2"/>
    <w:rsid w:val="005C1942"/>
    <w:rsid w:val="005C196A"/>
    <w:rsid w:val="005C19DF"/>
    <w:rsid w:val="005C1C13"/>
    <w:rsid w:val="005C1E62"/>
    <w:rsid w:val="005C1E87"/>
    <w:rsid w:val="005C1FAB"/>
    <w:rsid w:val="005C204E"/>
    <w:rsid w:val="005C226D"/>
    <w:rsid w:val="005C23E3"/>
    <w:rsid w:val="005C240C"/>
    <w:rsid w:val="005C2609"/>
    <w:rsid w:val="005C264D"/>
    <w:rsid w:val="005C2700"/>
    <w:rsid w:val="005C2785"/>
    <w:rsid w:val="005C2799"/>
    <w:rsid w:val="005C2830"/>
    <w:rsid w:val="005C2848"/>
    <w:rsid w:val="005C2864"/>
    <w:rsid w:val="005C2955"/>
    <w:rsid w:val="005C2A89"/>
    <w:rsid w:val="005C2B24"/>
    <w:rsid w:val="005C2BD4"/>
    <w:rsid w:val="005C2BD5"/>
    <w:rsid w:val="005C2D8E"/>
    <w:rsid w:val="005C2E2A"/>
    <w:rsid w:val="005C2E87"/>
    <w:rsid w:val="005C2ECB"/>
    <w:rsid w:val="005C3068"/>
    <w:rsid w:val="005C307F"/>
    <w:rsid w:val="005C3102"/>
    <w:rsid w:val="005C315F"/>
    <w:rsid w:val="005C31B4"/>
    <w:rsid w:val="005C31B5"/>
    <w:rsid w:val="005C31C0"/>
    <w:rsid w:val="005C31C6"/>
    <w:rsid w:val="005C3247"/>
    <w:rsid w:val="005C32E7"/>
    <w:rsid w:val="005C3335"/>
    <w:rsid w:val="005C33D3"/>
    <w:rsid w:val="005C3434"/>
    <w:rsid w:val="005C345A"/>
    <w:rsid w:val="005C3476"/>
    <w:rsid w:val="005C3660"/>
    <w:rsid w:val="005C3733"/>
    <w:rsid w:val="005C3947"/>
    <w:rsid w:val="005C394F"/>
    <w:rsid w:val="005C397E"/>
    <w:rsid w:val="005C3B6C"/>
    <w:rsid w:val="005C3B8F"/>
    <w:rsid w:val="005C3CB3"/>
    <w:rsid w:val="005C3E5B"/>
    <w:rsid w:val="005C3F67"/>
    <w:rsid w:val="005C3F76"/>
    <w:rsid w:val="005C3F7C"/>
    <w:rsid w:val="005C3FD8"/>
    <w:rsid w:val="005C4148"/>
    <w:rsid w:val="005C4247"/>
    <w:rsid w:val="005C429E"/>
    <w:rsid w:val="005C4380"/>
    <w:rsid w:val="005C4385"/>
    <w:rsid w:val="005C4512"/>
    <w:rsid w:val="005C45D0"/>
    <w:rsid w:val="005C4614"/>
    <w:rsid w:val="005C4849"/>
    <w:rsid w:val="005C485D"/>
    <w:rsid w:val="005C4906"/>
    <w:rsid w:val="005C4939"/>
    <w:rsid w:val="005C4999"/>
    <w:rsid w:val="005C49F9"/>
    <w:rsid w:val="005C4A71"/>
    <w:rsid w:val="005C4A74"/>
    <w:rsid w:val="005C4BBE"/>
    <w:rsid w:val="005C4C19"/>
    <w:rsid w:val="005C4CDB"/>
    <w:rsid w:val="005C4CFB"/>
    <w:rsid w:val="005C4D37"/>
    <w:rsid w:val="005C4D53"/>
    <w:rsid w:val="005C4DD2"/>
    <w:rsid w:val="005C4DE0"/>
    <w:rsid w:val="005C4F01"/>
    <w:rsid w:val="005C4FCB"/>
    <w:rsid w:val="005C4FF8"/>
    <w:rsid w:val="005C4FFF"/>
    <w:rsid w:val="005C501C"/>
    <w:rsid w:val="005C511E"/>
    <w:rsid w:val="005C5156"/>
    <w:rsid w:val="005C519D"/>
    <w:rsid w:val="005C522C"/>
    <w:rsid w:val="005C52DC"/>
    <w:rsid w:val="005C5437"/>
    <w:rsid w:val="005C549F"/>
    <w:rsid w:val="005C5525"/>
    <w:rsid w:val="005C5589"/>
    <w:rsid w:val="005C5635"/>
    <w:rsid w:val="005C56D8"/>
    <w:rsid w:val="005C56FD"/>
    <w:rsid w:val="005C57EA"/>
    <w:rsid w:val="005C5B1D"/>
    <w:rsid w:val="005C5B67"/>
    <w:rsid w:val="005C5B92"/>
    <w:rsid w:val="005C5BA4"/>
    <w:rsid w:val="005C5BAA"/>
    <w:rsid w:val="005C5D1B"/>
    <w:rsid w:val="005C5E3C"/>
    <w:rsid w:val="005C5FE9"/>
    <w:rsid w:val="005C6001"/>
    <w:rsid w:val="005C6360"/>
    <w:rsid w:val="005C6362"/>
    <w:rsid w:val="005C638D"/>
    <w:rsid w:val="005C651A"/>
    <w:rsid w:val="005C655B"/>
    <w:rsid w:val="005C65C3"/>
    <w:rsid w:val="005C6654"/>
    <w:rsid w:val="005C6711"/>
    <w:rsid w:val="005C6812"/>
    <w:rsid w:val="005C68B2"/>
    <w:rsid w:val="005C69EB"/>
    <w:rsid w:val="005C6A46"/>
    <w:rsid w:val="005C6ADE"/>
    <w:rsid w:val="005C6B2D"/>
    <w:rsid w:val="005C6BAF"/>
    <w:rsid w:val="005C6BC1"/>
    <w:rsid w:val="005C6C50"/>
    <w:rsid w:val="005C6D8D"/>
    <w:rsid w:val="005C6DD2"/>
    <w:rsid w:val="005C6F62"/>
    <w:rsid w:val="005C6F68"/>
    <w:rsid w:val="005C6FC9"/>
    <w:rsid w:val="005C7002"/>
    <w:rsid w:val="005C7079"/>
    <w:rsid w:val="005C7105"/>
    <w:rsid w:val="005C7135"/>
    <w:rsid w:val="005C7144"/>
    <w:rsid w:val="005C71C6"/>
    <w:rsid w:val="005C724C"/>
    <w:rsid w:val="005C7262"/>
    <w:rsid w:val="005C72A6"/>
    <w:rsid w:val="005C7369"/>
    <w:rsid w:val="005C7409"/>
    <w:rsid w:val="005C751C"/>
    <w:rsid w:val="005C756C"/>
    <w:rsid w:val="005C7653"/>
    <w:rsid w:val="005C7706"/>
    <w:rsid w:val="005C7722"/>
    <w:rsid w:val="005C77C8"/>
    <w:rsid w:val="005C77C9"/>
    <w:rsid w:val="005C7896"/>
    <w:rsid w:val="005C7A90"/>
    <w:rsid w:val="005C7B1E"/>
    <w:rsid w:val="005C7B83"/>
    <w:rsid w:val="005C7C4C"/>
    <w:rsid w:val="005C7C74"/>
    <w:rsid w:val="005C7CD1"/>
    <w:rsid w:val="005C7CFC"/>
    <w:rsid w:val="005C7EB0"/>
    <w:rsid w:val="005C7EE8"/>
    <w:rsid w:val="005C7F11"/>
    <w:rsid w:val="005D0029"/>
    <w:rsid w:val="005D0040"/>
    <w:rsid w:val="005D00F2"/>
    <w:rsid w:val="005D00F5"/>
    <w:rsid w:val="005D016B"/>
    <w:rsid w:val="005D0341"/>
    <w:rsid w:val="005D0588"/>
    <w:rsid w:val="005D060E"/>
    <w:rsid w:val="005D0656"/>
    <w:rsid w:val="005D06EB"/>
    <w:rsid w:val="005D0799"/>
    <w:rsid w:val="005D0864"/>
    <w:rsid w:val="005D08F7"/>
    <w:rsid w:val="005D0995"/>
    <w:rsid w:val="005D0B35"/>
    <w:rsid w:val="005D0BA1"/>
    <w:rsid w:val="005D0C04"/>
    <w:rsid w:val="005D0C25"/>
    <w:rsid w:val="005D0C95"/>
    <w:rsid w:val="005D0D80"/>
    <w:rsid w:val="005D0DBC"/>
    <w:rsid w:val="005D0DC6"/>
    <w:rsid w:val="005D0E12"/>
    <w:rsid w:val="005D0E4E"/>
    <w:rsid w:val="005D0F3F"/>
    <w:rsid w:val="005D0FB7"/>
    <w:rsid w:val="005D1012"/>
    <w:rsid w:val="005D1048"/>
    <w:rsid w:val="005D106B"/>
    <w:rsid w:val="005D12E2"/>
    <w:rsid w:val="005D1448"/>
    <w:rsid w:val="005D152A"/>
    <w:rsid w:val="005D1556"/>
    <w:rsid w:val="005D1576"/>
    <w:rsid w:val="005D1595"/>
    <w:rsid w:val="005D15F5"/>
    <w:rsid w:val="005D1637"/>
    <w:rsid w:val="005D16ED"/>
    <w:rsid w:val="005D17BE"/>
    <w:rsid w:val="005D17DA"/>
    <w:rsid w:val="005D191D"/>
    <w:rsid w:val="005D1985"/>
    <w:rsid w:val="005D19AF"/>
    <w:rsid w:val="005D19F7"/>
    <w:rsid w:val="005D1A40"/>
    <w:rsid w:val="005D1AAC"/>
    <w:rsid w:val="005D1AC8"/>
    <w:rsid w:val="005D1B15"/>
    <w:rsid w:val="005D1B64"/>
    <w:rsid w:val="005D1C61"/>
    <w:rsid w:val="005D1E12"/>
    <w:rsid w:val="005D1E45"/>
    <w:rsid w:val="005D1E66"/>
    <w:rsid w:val="005D1EC9"/>
    <w:rsid w:val="005D1ED4"/>
    <w:rsid w:val="005D1F44"/>
    <w:rsid w:val="005D1FE6"/>
    <w:rsid w:val="005D2013"/>
    <w:rsid w:val="005D208A"/>
    <w:rsid w:val="005D20D7"/>
    <w:rsid w:val="005D20E4"/>
    <w:rsid w:val="005D22E4"/>
    <w:rsid w:val="005D2460"/>
    <w:rsid w:val="005D2487"/>
    <w:rsid w:val="005D24F5"/>
    <w:rsid w:val="005D2834"/>
    <w:rsid w:val="005D2843"/>
    <w:rsid w:val="005D287A"/>
    <w:rsid w:val="005D28FB"/>
    <w:rsid w:val="005D2B40"/>
    <w:rsid w:val="005D2BC3"/>
    <w:rsid w:val="005D2DDC"/>
    <w:rsid w:val="005D2DF5"/>
    <w:rsid w:val="005D2E39"/>
    <w:rsid w:val="005D2E97"/>
    <w:rsid w:val="005D2F84"/>
    <w:rsid w:val="005D2FEB"/>
    <w:rsid w:val="005D3042"/>
    <w:rsid w:val="005D3103"/>
    <w:rsid w:val="005D3136"/>
    <w:rsid w:val="005D31EE"/>
    <w:rsid w:val="005D333F"/>
    <w:rsid w:val="005D3354"/>
    <w:rsid w:val="005D3481"/>
    <w:rsid w:val="005D34AB"/>
    <w:rsid w:val="005D3543"/>
    <w:rsid w:val="005D35A8"/>
    <w:rsid w:val="005D36B3"/>
    <w:rsid w:val="005D3769"/>
    <w:rsid w:val="005D3775"/>
    <w:rsid w:val="005D3790"/>
    <w:rsid w:val="005D37CE"/>
    <w:rsid w:val="005D3831"/>
    <w:rsid w:val="005D385E"/>
    <w:rsid w:val="005D38AA"/>
    <w:rsid w:val="005D398B"/>
    <w:rsid w:val="005D3BD8"/>
    <w:rsid w:val="005D3C36"/>
    <w:rsid w:val="005D3C41"/>
    <w:rsid w:val="005D3C9D"/>
    <w:rsid w:val="005D3DAB"/>
    <w:rsid w:val="005D3E21"/>
    <w:rsid w:val="005D3E40"/>
    <w:rsid w:val="005D3E46"/>
    <w:rsid w:val="005D3EC4"/>
    <w:rsid w:val="005D3EFA"/>
    <w:rsid w:val="005D3F70"/>
    <w:rsid w:val="005D3FBD"/>
    <w:rsid w:val="005D4082"/>
    <w:rsid w:val="005D41ED"/>
    <w:rsid w:val="005D41F5"/>
    <w:rsid w:val="005D42F0"/>
    <w:rsid w:val="005D43C0"/>
    <w:rsid w:val="005D440A"/>
    <w:rsid w:val="005D44F7"/>
    <w:rsid w:val="005D453B"/>
    <w:rsid w:val="005D4597"/>
    <w:rsid w:val="005D4697"/>
    <w:rsid w:val="005D4728"/>
    <w:rsid w:val="005D479D"/>
    <w:rsid w:val="005D481F"/>
    <w:rsid w:val="005D4A0C"/>
    <w:rsid w:val="005D4BD4"/>
    <w:rsid w:val="005D4C73"/>
    <w:rsid w:val="005D4C90"/>
    <w:rsid w:val="005D4CD1"/>
    <w:rsid w:val="005D4CD8"/>
    <w:rsid w:val="005D4D09"/>
    <w:rsid w:val="005D4E5F"/>
    <w:rsid w:val="005D4ECA"/>
    <w:rsid w:val="005D5192"/>
    <w:rsid w:val="005D527C"/>
    <w:rsid w:val="005D52D3"/>
    <w:rsid w:val="005D54BA"/>
    <w:rsid w:val="005D553A"/>
    <w:rsid w:val="005D5561"/>
    <w:rsid w:val="005D5621"/>
    <w:rsid w:val="005D572E"/>
    <w:rsid w:val="005D5747"/>
    <w:rsid w:val="005D5750"/>
    <w:rsid w:val="005D584A"/>
    <w:rsid w:val="005D5997"/>
    <w:rsid w:val="005D59EA"/>
    <w:rsid w:val="005D5A89"/>
    <w:rsid w:val="005D5B0E"/>
    <w:rsid w:val="005D5B48"/>
    <w:rsid w:val="005D5C49"/>
    <w:rsid w:val="005D5C5F"/>
    <w:rsid w:val="005D5DC3"/>
    <w:rsid w:val="005D5E8F"/>
    <w:rsid w:val="005D5F06"/>
    <w:rsid w:val="005D5FBE"/>
    <w:rsid w:val="005D6110"/>
    <w:rsid w:val="005D611D"/>
    <w:rsid w:val="005D6219"/>
    <w:rsid w:val="005D621D"/>
    <w:rsid w:val="005D631E"/>
    <w:rsid w:val="005D63EE"/>
    <w:rsid w:val="005D6423"/>
    <w:rsid w:val="005D642B"/>
    <w:rsid w:val="005D6574"/>
    <w:rsid w:val="005D6639"/>
    <w:rsid w:val="005D6643"/>
    <w:rsid w:val="005D666D"/>
    <w:rsid w:val="005D669F"/>
    <w:rsid w:val="005D674C"/>
    <w:rsid w:val="005D6807"/>
    <w:rsid w:val="005D6889"/>
    <w:rsid w:val="005D68BC"/>
    <w:rsid w:val="005D68F7"/>
    <w:rsid w:val="005D6940"/>
    <w:rsid w:val="005D6A20"/>
    <w:rsid w:val="005D6DDE"/>
    <w:rsid w:val="005D6DF0"/>
    <w:rsid w:val="005D6F26"/>
    <w:rsid w:val="005D6FC1"/>
    <w:rsid w:val="005D6FD8"/>
    <w:rsid w:val="005D702D"/>
    <w:rsid w:val="005D70C1"/>
    <w:rsid w:val="005D70CF"/>
    <w:rsid w:val="005D71B5"/>
    <w:rsid w:val="005D7205"/>
    <w:rsid w:val="005D7263"/>
    <w:rsid w:val="005D7312"/>
    <w:rsid w:val="005D7350"/>
    <w:rsid w:val="005D74D7"/>
    <w:rsid w:val="005D7617"/>
    <w:rsid w:val="005D7685"/>
    <w:rsid w:val="005D76BD"/>
    <w:rsid w:val="005D7707"/>
    <w:rsid w:val="005D7805"/>
    <w:rsid w:val="005D78B8"/>
    <w:rsid w:val="005D7A46"/>
    <w:rsid w:val="005D7A8B"/>
    <w:rsid w:val="005D7BE8"/>
    <w:rsid w:val="005D7CDC"/>
    <w:rsid w:val="005D7CEB"/>
    <w:rsid w:val="005D7D45"/>
    <w:rsid w:val="005D7DA4"/>
    <w:rsid w:val="005D7EA4"/>
    <w:rsid w:val="005D7F1D"/>
    <w:rsid w:val="005D7F2C"/>
    <w:rsid w:val="005D7F73"/>
    <w:rsid w:val="005E027F"/>
    <w:rsid w:val="005E0291"/>
    <w:rsid w:val="005E02DB"/>
    <w:rsid w:val="005E037B"/>
    <w:rsid w:val="005E03BA"/>
    <w:rsid w:val="005E0442"/>
    <w:rsid w:val="005E046C"/>
    <w:rsid w:val="005E04B3"/>
    <w:rsid w:val="005E0594"/>
    <w:rsid w:val="005E067E"/>
    <w:rsid w:val="005E0690"/>
    <w:rsid w:val="005E0788"/>
    <w:rsid w:val="005E08C7"/>
    <w:rsid w:val="005E08FD"/>
    <w:rsid w:val="005E09D1"/>
    <w:rsid w:val="005E0AF0"/>
    <w:rsid w:val="005E0B7E"/>
    <w:rsid w:val="005E0B8D"/>
    <w:rsid w:val="005E0BFB"/>
    <w:rsid w:val="005E0C9A"/>
    <w:rsid w:val="005E0D4A"/>
    <w:rsid w:val="005E0D5A"/>
    <w:rsid w:val="005E0DC9"/>
    <w:rsid w:val="005E0E33"/>
    <w:rsid w:val="005E0EA4"/>
    <w:rsid w:val="005E0F0F"/>
    <w:rsid w:val="005E0F15"/>
    <w:rsid w:val="005E0F2E"/>
    <w:rsid w:val="005E1039"/>
    <w:rsid w:val="005E104D"/>
    <w:rsid w:val="005E1092"/>
    <w:rsid w:val="005E10BE"/>
    <w:rsid w:val="005E1183"/>
    <w:rsid w:val="005E11B2"/>
    <w:rsid w:val="005E1273"/>
    <w:rsid w:val="005E136A"/>
    <w:rsid w:val="005E138C"/>
    <w:rsid w:val="005E14C3"/>
    <w:rsid w:val="005E158D"/>
    <w:rsid w:val="005E159A"/>
    <w:rsid w:val="005E15D1"/>
    <w:rsid w:val="005E1605"/>
    <w:rsid w:val="005E1643"/>
    <w:rsid w:val="005E16D6"/>
    <w:rsid w:val="005E17AC"/>
    <w:rsid w:val="005E1838"/>
    <w:rsid w:val="005E1A14"/>
    <w:rsid w:val="005E1A7F"/>
    <w:rsid w:val="005E1AD9"/>
    <w:rsid w:val="005E1B69"/>
    <w:rsid w:val="005E1C27"/>
    <w:rsid w:val="005E1C6E"/>
    <w:rsid w:val="005E1E0B"/>
    <w:rsid w:val="005E1E32"/>
    <w:rsid w:val="005E1E46"/>
    <w:rsid w:val="005E1E65"/>
    <w:rsid w:val="005E1E6E"/>
    <w:rsid w:val="005E1F58"/>
    <w:rsid w:val="005E1FEA"/>
    <w:rsid w:val="005E1FEC"/>
    <w:rsid w:val="005E2003"/>
    <w:rsid w:val="005E2021"/>
    <w:rsid w:val="005E20F1"/>
    <w:rsid w:val="005E210A"/>
    <w:rsid w:val="005E21D0"/>
    <w:rsid w:val="005E23A6"/>
    <w:rsid w:val="005E23F1"/>
    <w:rsid w:val="005E243E"/>
    <w:rsid w:val="005E244F"/>
    <w:rsid w:val="005E2458"/>
    <w:rsid w:val="005E2517"/>
    <w:rsid w:val="005E2542"/>
    <w:rsid w:val="005E2562"/>
    <w:rsid w:val="005E25BD"/>
    <w:rsid w:val="005E260C"/>
    <w:rsid w:val="005E2737"/>
    <w:rsid w:val="005E2906"/>
    <w:rsid w:val="005E2970"/>
    <w:rsid w:val="005E298C"/>
    <w:rsid w:val="005E299E"/>
    <w:rsid w:val="005E2CC3"/>
    <w:rsid w:val="005E2DD9"/>
    <w:rsid w:val="005E2E08"/>
    <w:rsid w:val="005E2ED2"/>
    <w:rsid w:val="005E2F17"/>
    <w:rsid w:val="005E2F6D"/>
    <w:rsid w:val="005E305B"/>
    <w:rsid w:val="005E31CC"/>
    <w:rsid w:val="005E3241"/>
    <w:rsid w:val="005E326F"/>
    <w:rsid w:val="005E348E"/>
    <w:rsid w:val="005E3527"/>
    <w:rsid w:val="005E3540"/>
    <w:rsid w:val="005E36A0"/>
    <w:rsid w:val="005E36FB"/>
    <w:rsid w:val="005E378D"/>
    <w:rsid w:val="005E38C3"/>
    <w:rsid w:val="005E38F0"/>
    <w:rsid w:val="005E38F2"/>
    <w:rsid w:val="005E3A74"/>
    <w:rsid w:val="005E3B00"/>
    <w:rsid w:val="005E3B8B"/>
    <w:rsid w:val="005E3BFE"/>
    <w:rsid w:val="005E3CC3"/>
    <w:rsid w:val="005E3D19"/>
    <w:rsid w:val="005E3D63"/>
    <w:rsid w:val="005E3D88"/>
    <w:rsid w:val="005E3E18"/>
    <w:rsid w:val="005E3EA9"/>
    <w:rsid w:val="005E3EEF"/>
    <w:rsid w:val="005E4003"/>
    <w:rsid w:val="005E404D"/>
    <w:rsid w:val="005E405B"/>
    <w:rsid w:val="005E4060"/>
    <w:rsid w:val="005E40CB"/>
    <w:rsid w:val="005E40D1"/>
    <w:rsid w:val="005E4169"/>
    <w:rsid w:val="005E4225"/>
    <w:rsid w:val="005E42E3"/>
    <w:rsid w:val="005E44B6"/>
    <w:rsid w:val="005E4516"/>
    <w:rsid w:val="005E4527"/>
    <w:rsid w:val="005E45EA"/>
    <w:rsid w:val="005E4657"/>
    <w:rsid w:val="005E4675"/>
    <w:rsid w:val="005E47AC"/>
    <w:rsid w:val="005E48C6"/>
    <w:rsid w:val="005E48CF"/>
    <w:rsid w:val="005E4970"/>
    <w:rsid w:val="005E4975"/>
    <w:rsid w:val="005E49CA"/>
    <w:rsid w:val="005E4A8C"/>
    <w:rsid w:val="005E4A9B"/>
    <w:rsid w:val="005E4AAA"/>
    <w:rsid w:val="005E4B29"/>
    <w:rsid w:val="005E4D25"/>
    <w:rsid w:val="005E4DFC"/>
    <w:rsid w:val="005E4E07"/>
    <w:rsid w:val="005E4EE7"/>
    <w:rsid w:val="005E4F69"/>
    <w:rsid w:val="005E500F"/>
    <w:rsid w:val="005E5054"/>
    <w:rsid w:val="005E5133"/>
    <w:rsid w:val="005E518A"/>
    <w:rsid w:val="005E5277"/>
    <w:rsid w:val="005E528B"/>
    <w:rsid w:val="005E53DA"/>
    <w:rsid w:val="005E5408"/>
    <w:rsid w:val="005E5420"/>
    <w:rsid w:val="005E5434"/>
    <w:rsid w:val="005E54D6"/>
    <w:rsid w:val="005E54F1"/>
    <w:rsid w:val="005E5531"/>
    <w:rsid w:val="005E55C8"/>
    <w:rsid w:val="005E5701"/>
    <w:rsid w:val="005E570B"/>
    <w:rsid w:val="005E5894"/>
    <w:rsid w:val="005E5900"/>
    <w:rsid w:val="005E594C"/>
    <w:rsid w:val="005E597F"/>
    <w:rsid w:val="005E5A4A"/>
    <w:rsid w:val="005E5C05"/>
    <w:rsid w:val="005E5C88"/>
    <w:rsid w:val="005E5CD3"/>
    <w:rsid w:val="005E5D54"/>
    <w:rsid w:val="005E5F35"/>
    <w:rsid w:val="005E5F72"/>
    <w:rsid w:val="005E60DD"/>
    <w:rsid w:val="005E61FA"/>
    <w:rsid w:val="005E620A"/>
    <w:rsid w:val="005E621A"/>
    <w:rsid w:val="005E6230"/>
    <w:rsid w:val="005E6263"/>
    <w:rsid w:val="005E63B7"/>
    <w:rsid w:val="005E6431"/>
    <w:rsid w:val="005E656F"/>
    <w:rsid w:val="005E6620"/>
    <w:rsid w:val="005E6798"/>
    <w:rsid w:val="005E68FD"/>
    <w:rsid w:val="005E6A29"/>
    <w:rsid w:val="005E6A40"/>
    <w:rsid w:val="005E6AE8"/>
    <w:rsid w:val="005E6BD2"/>
    <w:rsid w:val="005E6BFB"/>
    <w:rsid w:val="005E6C55"/>
    <w:rsid w:val="005E6C56"/>
    <w:rsid w:val="005E6C5D"/>
    <w:rsid w:val="005E6CDD"/>
    <w:rsid w:val="005E6E0D"/>
    <w:rsid w:val="005E6E6D"/>
    <w:rsid w:val="005E6EAC"/>
    <w:rsid w:val="005E6FDB"/>
    <w:rsid w:val="005E7018"/>
    <w:rsid w:val="005E711C"/>
    <w:rsid w:val="005E714C"/>
    <w:rsid w:val="005E7183"/>
    <w:rsid w:val="005E748A"/>
    <w:rsid w:val="005E7496"/>
    <w:rsid w:val="005E74D5"/>
    <w:rsid w:val="005E76BD"/>
    <w:rsid w:val="005E7967"/>
    <w:rsid w:val="005E79FE"/>
    <w:rsid w:val="005E7A3F"/>
    <w:rsid w:val="005E7AEC"/>
    <w:rsid w:val="005E7B8F"/>
    <w:rsid w:val="005E7BB8"/>
    <w:rsid w:val="005E7F74"/>
    <w:rsid w:val="005F006B"/>
    <w:rsid w:val="005F0073"/>
    <w:rsid w:val="005F012A"/>
    <w:rsid w:val="005F0203"/>
    <w:rsid w:val="005F0262"/>
    <w:rsid w:val="005F026D"/>
    <w:rsid w:val="005F033C"/>
    <w:rsid w:val="005F042B"/>
    <w:rsid w:val="005F04DD"/>
    <w:rsid w:val="005F0533"/>
    <w:rsid w:val="005F057E"/>
    <w:rsid w:val="005F066A"/>
    <w:rsid w:val="005F06CB"/>
    <w:rsid w:val="005F075A"/>
    <w:rsid w:val="005F0769"/>
    <w:rsid w:val="005F077A"/>
    <w:rsid w:val="005F0785"/>
    <w:rsid w:val="005F082D"/>
    <w:rsid w:val="005F090B"/>
    <w:rsid w:val="005F0944"/>
    <w:rsid w:val="005F0A77"/>
    <w:rsid w:val="005F0A85"/>
    <w:rsid w:val="005F0ACB"/>
    <w:rsid w:val="005F0E12"/>
    <w:rsid w:val="005F0EA7"/>
    <w:rsid w:val="005F0EFB"/>
    <w:rsid w:val="005F110E"/>
    <w:rsid w:val="005F1118"/>
    <w:rsid w:val="005F1140"/>
    <w:rsid w:val="005F1176"/>
    <w:rsid w:val="005F11A8"/>
    <w:rsid w:val="005F11E7"/>
    <w:rsid w:val="005F12EC"/>
    <w:rsid w:val="005F1524"/>
    <w:rsid w:val="005F16BE"/>
    <w:rsid w:val="005F16FE"/>
    <w:rsid w:val="005F171D"/>
    <w:rsid w:val="005F1747"/>
    <w:rsid w:val="005F17B1"/>
    <w:rsid w:val="005F17E3"/>
    <w:rsid w:val="005F1881"/>
    <w:rsid w:val="005F189C"/>
    <w:rsid w:val="005F18C1"/>
    <w:rsid w:val="005F1A5E"/>
    <w:rsid w:val="005F1AC6"/>
    <w:rsid w:val="005F1B11"/>
    <w:rsid w:val="005F1B20"/>
    <w:rsid w:val="005F1B51"/>
    <w:rsid w:val="005F1C0E"/>
    <w:rsid w:val="005F1CD9"/>
    <w:rsid w:val="005F1D22"/>
    <w:rsid w:val="005F1D38"/>
    <w:rsid w:val="005F1DF7"/>
    <w:rsid w:val="005F1DF9"/>
    <w:rsid w:val="005F1E35"/>
    <w:rsid w:val="005F1EB6"/>
    <w:rsid w:val="005F1ED0"/>
    <w:rsid w:val="005F1EED"/>
    <w:rsid w:val="005F1F38"/>
    <w:rsid w:val="005F2006"/>
    <w:rsid w:val="005F20A0"/>
    <w:rsid w:val="005F2123"/>
    <w:rsid w:val="005F233A"/>
    <w:rsid w:val="005F2379"/>
    <w:rsid w:val="005F2473"/>
    <w:rsid w:val="005F250D"/>
    <w:rsid w:val="005F2568"/>
    <w:rsid w:val="005F26FA"/>
    <w:rsid w:val="005F27DA"/>
    <w:rsid w:val="005F28D3"/>
    <w:rsid w:val="005F290A"/>
    <w:rsid w:val="005F2A4E"/>
    <w:rsid w:val="005F2AB4"/>
    <w:rsid w:val="005F2AE0"/>
    <w:rsid w:val="005F2B53"/>
    <w:rsid w:val="005F2C88"/>
    <w:rsid w:val="005F2CF2"/>
    <w:rsid w:val="005F2D4A"/>
    <w:rsid w:val="005F2E2D"/>
    <w:rsid w:val="005F3128"/>
    <w:rsid w:val="005F3266"/>
    <w:rsid w:val="005F32B0"/>
    <w:rsid w:val="005F337D"/>
    <w:rsid w:val="005F33F6"/>
    <w:rsid w:val="005F3450"/>
    <w:rsid w:val="005F35E4"/>
    <w:rsid w:val="005F3661"/>
    <w:rsid w:val="005F384A"/>
    <w:rsid w:val="005F38BB"/>
    <w:rsid w:val="005F3921"/>
    <w:rsid w:val="005F3955"/>
    <w:rsid w:val="005F3992"/>
    <w:rsid w:val="005F39A8"/>
    <w:rsid w:val="005F3AA8"/>
    <w:rsid w:val="005F3AF0"/>
    <w:rsid w:val="005F3B00"/>
    <w:rsid w:val="005F3CC6"/>
    <w:rsid w:val="005F3D6D"/>
    <w:rsid w:val="005F3E7B"/>
    <w:rsid w:val="005F405F"/>
    <w:rsid w:val="005F4060"/>
    <w:rsid w:val="005F40B5"/>
    <w:rsid w:val="005F415C"/>
    <w:rsid w:val="005F4213"/>
    <w:rsid w:val="005F4383"/>
    <w:rsid w:val="005F4420"/>
    <w:rsid w:val="005F44C6"/>
    <w:rsid w:val="005F44DA"/>
    <w:rsid w:val="005F457F"/>
    <w:rsid w:val="005F4660"/>
    <w:rsid w:val="005F4703"/>
    <w:rsid w:val="005F476B"/>
    <w:rsid w:val="005F47C5"/>
    <w:rsid w:val="005F4942"/>
    <w:rsid w:val="005F4989"/>
    <w:rsid w:val="005F4A3F"/>
    <w:rsid w:val="005F4C85"/>
    <w:rsid w:val="005F4DF8"/>
    <w:rsid w:val="005F4E64"/>
    <w:rsid w:val="005F4EC5"/>
    <w:rsid w:val="005F4F21"/>
    <w:rsid w:val="005F4F96"/>
    <w:rsid w:val="005F5017"/>
    <w:rsid w:val="005F504C"/>
    <w:rsid w:val="005F504D"/>
    <w:rsid w:val="005F5075"/>
    <w:rsid w:val="005F509A"/>
    <w:rsid w:val="005F50BF"/>
    <w:rsid w:val="005F50F1"/>
    <w:rsid w:val="005F51B2"/>
    <w:rsid w:val="005F51EF"/>
    <w:rsid w:val="005F520D"/>
    <w:rsid w:val="005F5290"/>
    <w:rsid w:val="005F546D"/>
    <w:rsid w:val="005F551A"/>
    <w:rsid w:val="005F5550"/>
    <w:rsid w:val="005F5578"/>
    <w:rsid w:val="005F58CA"/>
    <w:rsid w:val="005F5968"/>
    <w:rsid w:val="005F5A08"/>
    <w:rsid w:val="005F5A21"/>
    <w:rsid w:val="005F5A76"/>
    <w:rsid w:val="005F5BE7"/>
    <w:rsid w:val="005F5C81"/>
    <w:rsid w:val="005F5D85"/>
    <w:rsid w:val="005F5DF6"/>
    <w:rsid w:val="005F5E2C"/>
    <w:rsid w:val="005F5E33"/>
    <w:rsid w:val="005F5E44"/>
    <w:rsid w:val="005F5EA0"/>
    <w:rsid w:val="005F5F5F"/>
    <w:rsid w:val="005F6095"/>
    <w:rsid w:val="005F609D"/>
    <w:rsid w:val="005F60DD"/>
    <w:rsid w:val="005F60FD"/>
    <w:rsid w:val="005F6104"/>
    <w:rsid w:val="005F6109"/>
    <w:rsid w:val="005F61D6"/>
    <w:rsid w:val="005F61EC"/>
    <w:rsid w:val="005F62F3"/>
    <w:rsid w:val="005F633C"/>
    <w:rsid w:val="005F653A"/>
    <w:rsid w:val="005F6656"/>
    <w:rsid w:val="005F6658"/>
    <w:rsid w:val="005F668D"/>
    <w:rsid w:val="005F66FC"/>
    <w:rsid w:val="005F6773"/>
    <w:rsid w:val="005F678C"/>
    <w:rsid w:val="005F679F"/>
    <w:rsid w:val="005F6836"/>
    <w:rsid w:val="005F6853"/>
    <w:rsid w:val="005F68AF"/>
    <w:rsid w:val="005F68C8"/>
    <w:rsid w:val="005F6931"/>
    <w:rsid w:val="005F6B4F"/>
    <w:rsid w:val="005F6B90"/>
    <w:rsid w:val="005F6DDE"/>
    <w:rsid w:val="005F7064"/>
    <w:rsid w:val="005F70B6"/>
    <w:rsid w:val="005F70F1"/>
    <w:rsid w:val="005F7107"/>
    <w:rsid w:val="005F711A"/>
    <w:rsid w:val="005F7145"/>
    <w:rsid w:val="005F7253"/>
    <w:rsid w:val="005F7281"/>
    <w:rsid w:val="005F72A6"/>
    <w:rsid w:val="005F7395"/>
    <w:rsid w:val="005F73FA"/>
    <w:rsid w:val="005F745B"/>
    <w:rsid w:val="005F751B"/>
    <w:rsid w:val="005F7555"/>
    <w:rsid w:val="005F755E"/>
    <w:rsid w:val="005F757F"/>
    <w:rsid w:val="005F76E7"/>
    <w:rsid w:val="005F770E"/>
    <w:rsid w:val="005F78D9"/>
    <w:rsid w:val="005F791A"/>
    <w:rsid w:val="005F79A4"/>
    <w:rsid w:val="005F7A6C"/>
    <w:rsid w:val="005F7A85"/>
    <w:rsid w:val="005F7A8F"/>
    <w:rsid w:val="005F7AF2"/>
    <w:rsid w:val="005F7C31"/>
    <w:rsid w:val="005F7C9C"/>
    <w:rsid w:val="005F7CCE"/>
    <w:rsid w:val="005F7D31"/>
    <w:rsid w:val="005F7DCF"/>
    <w:rsid w:val="005F7EB2"/>
    <w:rsid w:val="005F7F48"/>
    <w:rsid w:val="005F7FC9"/>
    <w:rsid w:val="00600039"/>
    <w:rsid w:val="00600040"/>
    <w:rsid w:val="00600050"/>
    <w:rsid w:val="0060007E"/>
    <w:rsid w:val="00600084"/>
    <w:rsid w:val="00600111"/>
    <w:rsid w:val="0060015E"/>
    <w:rsid w:val="00600315"/>
    <w:rsid w:val="006003E7"/>
    <w:rsid w:val="006003F5"/>
    <w:rsid w:val="00600428"/>
    <w:rsid w:val="0060043D"/>
    <w:rsid w:val="006005A1"/>
    <w:rsid w:val="00600617"/>
    <w:rsid w:val="00600676"/>
    <w:rsid w:val="0060071D"/>
    <w:rsid w:val="006007A1"/>
    <w:rsid w:val="006007C2"/>
    <w:rsid w:val="00600818"/>
    <w:rsid w:val="00600866"/>
    <w:rsid w:val="006008C6"/>
    <w:rsid w:val="00600934"/>
    <w:rsid w:val="00600974"/>
    <w:rsid w:val="0060097D"/>
    <w:rsid w:val="00600B3E"/>
    <w:rsid w:val="00600C11"/>
    <w:rsid w:val="00600CB2"/>
    <w:rsid w:val="00600CB4"/>
    <w:rsid w:val="00600D2E"/>
    <w:rsid w:val="00600DAA"/>
    <w:rsid w:val="00600E42"/>
    <w:rsid w:val="00600EC4"/>
    <w:rsid w:val="00601136"/>
    <w:rsid w:val="0060120A"/>
    <w:rsid w:val="00601257"/>
    <w:rsid w:val="00601297"/>
    <w:rsid w:val="00601456"/>
    <w:rsid w:val="00601491"/>
    <w:rsid w:val="006014F1"/>
    <w:rsid w:val="0060151C"/>
    <w:rsid w:val="0060157A"/>
    <w:rsid w:val="006016B8"/>
    <w:rsid w:val="00601839"/>
    <w:rsid w:val="006018E7"/>
    <w:rsid w:val="00601B27"/>
    <w:rsid w:val="00601B8C"/>
    <w:rsid w:val="00601C27"/>
    <w:rsid w:val="00601CCD"/>
    <w:rsid w:val="00601CD1"/>
    <w:rsid w:val="00601D12"/>
    <w:rsid w:val="00601D5B"/>
    <w:rsid w:val="00601E35"/>
    <w:rsid w:val="00601EC4"/>
    <w:rsid w:val="00601EED"/>
    <w:rsid w:val="00601FEA"/>
    <w:rsid w:val="00602075"/>
    <w:rsid w:val="00602078"/>
    <w:rsid w:val="006021D0"/>
    <w:rsid w:val="006021F2"/>
    <w:rsid w:val="006021FB"/>
    <w:rsid w:val="00602279"/>
    <w:rsid w:val="0060235F"/>
    <w:rsid w:val="006023CB"/>
    <w:rsid w:val="0060241F"/>
    <w:rsid w:val="006024F5"/>
    <w:rsid w:val="006025AF"/>
    <w:rsid w:val="006025D0"/>
    <w:rsid w:val="006025DE"/>
    <w:rsid w:val="006025DF"/>
    <w:rsid w:val="006026F8"/>
    <w:rsid w:val="0060273A"/>
    <w:rsid w:val="00602842"/>
    <w:rsid w:val="006028F0"/>
    <w:rsid w:val="006029BC"/>
    <w:rsid w:val="006029EA"/>
    <w:rsid w:val="00602AFF"/>
    <w:rsid w:val="00602CE5"/>
    <w:rsid w:val="00602D65"/>
    <w:rsid w:val="00602D93"/>
    <w:rsid w:val="00602F77"/>
    <w:rsid w:val="00602F93"/>
    <w:rsid w:val="00602FA5"/>
    <w:rsid w:val="0060314D"/>
    <w:rsid w:val="006031A3"/>
    <w:rsid w:val="006031CB"/>
    <w:rsid w:val="006031E1"/>
    <w:rsid w:val="00603234"/>
    <w:rsid w:val="006032DC"/>
    <w:rsid w:val="006032F8"/>
    <w:rsid w:val="00603461"/>
    <w:rsid w:val="0060364D"/>
    <w:rsid w:val="0060365B"/>
    <w:rsid w:val="00603693"/>
    <w:rsid w:val="006037D1"/>
    <w:rsid w:val="006037DD"/>
    <w:rsid w:val="006038AD"/>
    <w:rsid w:val="00603A09"/>
    <w:rsid w:val="00603AE9"/>
    <w:rsid w:val="00603B33"/>
    <w:rsid w:val="00603B9D"/>
    <w:rsid w:val="00603D81"/>
    <w:rsid w:val="00603DBE"/>
    <w:rsid w:val="00603E32"/>
    <w:rsid w:val="00603E74"/>
    <w:rsid w:val="00603EA0"/>
    <w:rsid w:val="00603EA1"/>
    <w:rsid w:val="00603EA8"/>
    <w:rsid w:val="00603EB2"/>
    <w:rsid w:val="00603F7F"/>
    <w:rsid w:val="00603FF8"/>
    <w:rsid w:val="006041DF"/>
    <w:rsid w:val="006042E6"/>
    <w:rsid w:val="00604598"/>
    <w:rsid w:val="006045DB"/>
    <w:rsid w:val="006046AE"/>
    <w:rsid w:val="006046B0"/>
    <w:rsid w:val="006047B1"/>
    <w:rsid w:val="00604860"/>
    <w:rsid w:val="006049E9"/>
    <w:rsid w:val="006049F8"/>
    <w:rsid w:val="00604AD3"/>
    <w:rsid w:val="00604AF4"/>
    <w:rsid w:val="00604B34"/>
    <w:rsid w:val="00604B47"/>
    <w:rsid w:val="00604BA2"/>
    <w:rsid w:val="00604D5A"/>
    <w:rsid w:val="00604DCE"/>
    <w:rsid w:val="00604E0F"/>
    <w:rsid w:val="00604E5A"/>
    <w:rsid w:val="00604F35"/>
    <w:rsid w:val="00604F46"/>
    <w:rsid w:val="00604FD8"/>
    <w:rsid w:val="0060502C"/>
    <w:rsid w:val="00605043"/>
    <w:rsid w:val="0060505E"/>
    <w:rsid w:val="006050C2"/>
    <w:rsid w:val="006050CC"/>
    <w:rsid w:val="0060519A"/>
    <w:rsid w:val="006051E5"/>
    <w:rsid w:val="0060535E"/>
    <w:rsid w:val="00605446"/>
    <w:rsid w:val="006054F1"/>
    <w:rsid w:val="0060558A"/>
    <w:rsid w:val="00605661"/>
    <w:rsid w:val="006056B4"/>
    <w:rsid w:val="00605760"/>
    <w:rsid w:val="00605781"/>
    <w:rsid w:val="006057F6"/>
    <w:rsid w:val="00605958"/>
    <w:rsid w:val="0060598A"/>
    <w:rsid w:val="006059A1"/>
    <w:rsid w:val="00605A12"/>
    <w:rsid w:val="00605B79"/>
    <w:rsid w:val="00605BCE"/>
    <w:rsid w:val="00605D26"/>
    <w:rsid w:val="00605D7E"/>
    <w:rsid w:val="00605E8A"/>
    <w:rsid w:val="00605EC1"/>
    <w:rsid w:val="00605ED8"/>
    <w:rsid w:val="00605EE2"/>
    <w:rsid w:val="00605EEB"/>
    <w:rsid w:val="00605F02"/>
    <w:rsid w:val="00605F49"/>
    <w:rsid w:val="00605FFB"/>
    <w:rsid w:val="00606025"/>
    <w:rsid w:val="00606027"/>
    <w:rsid w:val="00606220"/>
    <w:rsid w:val="0060636D"/>
    <w:rsid w:val="006063DE"/>
    <w:rsid w:val="006065A3"/>
    <w:rsid w:val="006066F2"/>
    <w:rsid w:val="00606735"/>
    <w:rsid w:val="00606806"/>
    <w:rsid w:val="00606935"/>
    <w:rsid w:val="00606A50"/>
    <w:rsid w:val="00606A81"/>
    <w:rsid w:val="00606AE5"/>
    <w:rsid w:val="00606B2E"/>
    <w:rsid w:val="00606B56"/>
    <w:rsid w:val="00606BB3"/>
    <w:rsid w:val="00606BC1"/>
    <w:rsid w:val="00606BDC"/>
    <w:rsid w:val="00606EB7"/>
    <w:rsid w:val="00606FB0"/>
    <w:rsid w:val="00607077"/>
    <w:rsid w:val="00607085"/>
    <w:rsid w:val="00607088"/>
    <w:rsid w:val="006071FC"/>
    <w:rsid w:val="0060724C"/>
    <w:rsid w:val="0060728C"/>
    <w:rsid w:val="006072B5"/>
    <w:rsid w:val="00607446"/>
    <w:rsid w:val="00607570"/>
    <w:rsid w:val="006075CF"/>
    <w:rsid w:val="006076DB"/>
    <w:rsid w:val="00607735"/>
    <w:rsid w:val="00607923"/>
    <w:rsid w:val="0060793D"/>
    <w:rsid w:val="00607945"/>
    <w:rsid w:val="00607A45"/>
    <w:rsid w:val="00607A59"/>
    <w:rsid w:val="00607B32"/>
    <w:rsid w:val="00607B4E"/>
    <w:rsid w:val="00607B5B"/>
    <w:rsid w:val="00607BA8"/>
    <w:rsid w:val="00607C68"/>
    <w:rsid w:val="00607C91"/>
    <w:rsid w:val="00607C9B"/>
    <w:rsid w:val="00607CA6"/>
    <w:rsid w:val="00607D21"/>
    <w:rsid w:val="00607D7A"/>
    <w:rsid w:val="00607DA4"/>
    <w:rsid w:val="00607DCA"/>
    <w:rsid w:val="00607E1D"/>
    <w:rsid w:val="00607E61"/>
    <w:rsid w:val="00607F04"/>
    <w:rsid w:val="00610183"/>
    <w:rsid w:val="006101BF"/>
    <w:rsid w:val="006101D4"/>
    <w:rsid w:val="0061022A"/>
    <w:rsid w:val="00610297"/>
    <w:rsid w:val="006102E0"/>
    <w:rsid w:val="006102F7"/>
    <w:rsid w:val="006103C0"/>
    <w:rsid w:val="006103F6"/>
    <w:rsid w:val="00610534"/>
    <w:rsid w:val="006105F0"/>
    <w:rsid w:val="006106CB"/>
    <w:rsid w:val="00610753"/>
    <w:rsid w:val="00610789"/>
    <w:rsid w:val="0061078A"/>
    <w:rsid w:val="006108BD"/>
    <w:rsid w:val="0061091C"/>
    <w:rsid w:val="006109BE"/>
    <w:rsid w:val="00610BC7"/>
    <w:rsid w:val="00610BD3"/>
    <w:rsid w:val="00610C3A"/>
    <w:rsid w:val="00610CEB"/>
    <w:rsid w:val="00610D4F"/>
    <w:rsid w:val="00610DC7"/>
    <w:rsid w:val="00610EEB"/>
    <w:rsid w:val="00610FA0"/>
    <w:rsid w:val="0061130C"/>
    <w:rsid w:val="0061136C"/>
    <w:rsid w:val="00611449"/>
    <w:rsid w:val="006114B2"/>
    <w:rsid w:val="006114C3"/>
    <w:rsid w:val="00611509"/>
    <w:rsid w:val="00611573"/>
    <w:rsid w:val="00611631"/>
    <w:rsid w:val="006116E8"/>
    <w:rsid w:val="00611759"/>
    <w:rsid w:val="00611808"/>
    <w:rsid w:val="00611974"/>
    <w:rsid w:val="00611A6D"/>
    <w:rsid w:val="00611B72"/>
    <w:rsid w:val="00611C20"/>
    <w:rsid w:val="00611C27"/>
    <w:rsid w:val="00611C52"/>
    <w:rsid w:val="00611DD3"/>
    <w:rsid w:val="00611E27"/>
    <w:rsid w:val="00611E4F"/>
    <w:rsid w:val="00612076"/>
    <w:rsid w:val="00612101"/>
    <w:rsid w:val="0061213B"/>
    <w:rsid w:val="0061216F"/>
    <w:rsid w:val="0061217D"/>
    <w:rsid w:val="006121C1"/>
    <w:rsid w:val="00612263"/>
    <w:rsid w:val="00612266"/>
    <w:rsid w:val="006123F7"/>
    <w:rsid w:val="006124BA"/>
    <w:rsid w:val="006124FF"/>
    <w:rsid w:val="00612670"/>
    <w:rsid w:val="00612873"/>
    <w:rsid w:val="006128AF"/>
    <w:rsid w:val="0061297F"/>
    <w:rsid w:val="00612A0C"/>
    <w:rsid w:val="00612A5F"/>
    <w:rsid w:val="00612B5E"/>
    <w:rsid w:val="00612BCB"/>
    <w:rsid w:val="00612C22"/>
    <w:rsid w:val="00612D51"/>
    <w:rsid w:val="00612DAF"/>
    <w:rsid w:val="00613095"/>
    <w:rsid w:val="006131C2"/>
    <w:rsid w:val="00613209"/>
    <w:rsid w:val="006132EA"/>
    <w:rsid w:val="00613381"/>
    <w:rsid w:val="00613394"/>
    <w:rsid w:val="006133FA"/>
    <w:rsid w:val="006133FC"/>
    <w:rsid w:val="00613473"/>
    <w:rsid w:val="00613528"/>
    <w:rsid w:val="00613780"/>
    <w:rsid w:val="00613847"/>
    <w:rsid w:val="006138D1"/>
    <w:rsid w:val="0061396B"/>
    <w:rsid w:val="00613B10"/>
    <w:rsid w:val="00613B42"/>
    <w:rsid w:val="00613B77"/>
    <w:rsid w:val="00613C84"/>
    <w:rsid w:val="00613D44"/>
    <w:rsid w:val="00613D74"/>
    <w:rsid w:val="00613DA9"/>
    <w:rsid w:val="00613E32"/>
    <w:rsid w:val="00613E34"/>
    <w:rsid w:val="00613EB1"/>
    <w:rsid w:val="00613EF3"/>
    <w:rsid w:val="006140F0"/>
    <w:rsid w:val="006142DA"/>
    <w:rsid w:val="006143A3"/>
    <w:rsid w:val="006143D7"/>
    <w:rsid w:val="00614449"/>
    <w:rsid w:val="0061445D"/>
    <w:rsid w:val="00614536"/>
    <w:rsid w:val="00614546"/>
    <w:rsid w:val="0061460F"/>
    <w:rsid w:val="006146EB"/>
    <w:rsid w:val="006147FF"/>
    <w:rsid w:val="00614846"/>
    <w:rsid w:val="00614921"/>
    <w:rsid w:val="00614A8E"/>
    <w:rsid w:val="00614AC9"/>
    <w:rsid w:val="00614AF5"/>
    <w:rsid w:val="00614AFB"/>
    <w:rsid w:val="00614B0B"/>
    <w:rsid w:val="00614B78"/>
    <w:rsid w:val="00614BFA"/>
    <w:rsid w:val="00614CD0"/>
    <w:rsid w:val="00614CFA"/>
    <w:rsid w:val="00614D8E"/>
    <w:rsid w:val="00614EBF"/>
    <w:rsid w:val="006150D3"/>
    <w:rsid w:val="00615124"/>
    <w:rsid w:val="006151C1"/>
    <w:rsid w:val="0061522F"/>
    <w:rsid w:val="00615240"/>
    <w:rsid w:val="0061533B"/>
    <w:rsid w:val="00615383"/>
    <w:rsid w:val="0061559B"/>
    <w:rsid w:val="00615649"/>
    <w:rsid w:val="0061569F"/>
    <w:rsid w:val="006156B6"/>
    <w:rsid w:val="00615836"/>
    <w:rsid w:val="006158DD"/>
    <w:rsid w:val="0061593A"/>
    <w:rsid w:val="0061596B"/>
    <w:rsid w:val="00615A53"/>
    <w:rsid w:val="00615A8E"/>
    <w:rsid w:val="00615C5D"/>
    <w:rsid w:val="00615D40"/>
    <w:rsid w:val="00615D5D"/>
    <w:rsid w:val="00615D71"/>
    <w:rsid w:val="00615E53"/>
    <w:rsid w:val="00615F5D"/>
    <w:rsid w:val="00615FAA"/>
    <w:rsid w:val="0061612B"/>
    <w:rsid w:val="006161B2"/>
    <w:rsid w:val="00616241"/>
    <w:rsid w:val="0061625E"/>
    <w:rsid w:val="0061639B"/>
    <w:rsid w:val="006163DE"/>
    <w:rsid w:val="006163F4"/>
    <w:rsid w:val="00616549"/>
    <w:rsid w:val="00616619"/>
    <w:rsid w:val="00616630"/>
    <w:rsid w:val="0061666A"/>
    <w:rsid w:val="0061672A"/>
    <w:rsid w:val="0061672C"/>
    <w:rsid w:val="00616749"/>
    <w:rsid w:val="006167D1"/>
    <w:rsid w:val="006168EA"/>
    <w:rsid w:val="00616A35"/>
    <w:rsid w:val="00616AB6"/>
    <w:rsid w:val="00616AD8"/>
    <w:rsid w:val="00616B11"/>
    <w:rsid w:val="00616B69"/>
    <w:rsid w:val="00616B76"/>
    <w:rsid w:val="00616BC5"/>
    <w:rsid w:val="00616CB3"/>
    <w:rsid w:val="00616CD2"/>
    <w:rsid w:val="00616CE6"/>
    <w:rsid w:val="00616DB2"/>
    <w:rsid w:val="00616E05"/>
    <w:rsid w:val="00616E1D"/>
    <w:rsid w:val="00616E3F"/>
    <w:rsid w:val="00616E56"/>
    <w:rsid w:val="00616F01"/>
    <w:rsid w:val="006170BB"/>
    <w:rsid w:val="00617133"/>
    <w:rsid w:val="006172F8"/>
    <w:rsid w:val="006173FC"/>
    <w:rsid w:val="0061755E"/>
    <w:rsid w:val="00617625"/>
    <w:rsid w:val="0061764B"/>
    <w:rsid w:val="006176F8"/>
    <w:rsid w:val="00617821"/>
    <w:rsid w:val="0061789E"/>
    <w:rsid w:val="006178CF"/>
    <w:rsid w:val="0061792E"/>
    <w:rsid w:val="00617A7E"/>
    <w:rsid w:val="00617A85"/>
    <w:rsid w:val="00617B74"/>
    <w:rsid w:val="00617CFF"/>
    <w:rsid w:val="00617D75"/>
    <w:rsid w:val="00617FDE"/>
    <w:rsid w:val="0062001D"/>
    <w:rsid w:val="0062002A"/>
    <w:rsid w:val="006201AD"/>
    <w:rsid w:val="006201DD"/>
    <w:rsid w:val="006203A6"/>
    <w:rsid w:val="00620446"/>
    <w:rsid w:val="0062044D"/>
    <w:rsid w:val="00620468"/>
    <w:rsid w:val="006204E3"/>
    <w:rsid w:val="006204F8"/>
    <w:rsid w:val="0062061D"/>
    <w:rsid w:val="00620684"/>
    <w:rsid w:val="00620751"/>
    <w:rsid w:val="00620836"/>
    <w:rsid w:val="00620853"/>
    <w:rsid w:val="00620896"/>
    <w:rsid w:val="006208CC"/>
    <w:rsid w:val="00620953"/>
    <w:rsid w:val="00620B62"/>
    <w:rsid w:val="00620B92"/>
    <w:rsid w:val="00620BC8"/>
    <w:rsid w:val="00620D09"/>
    <w:rsid w:val="00620D81"/>
    <w:rsid w:val="00620E24"/>
    <w:rsid w:val="00620E2C"/>
    <w:rsid w:val="00620E38"/>
    <w:rsid w:val="00620F75"/>
    <w:rsid w:val="00621018"/>
    <w:rsid w:val="00621182"/>
    <w:rsid w:val="00621282"/>
    <w:rsid w:val="006212A5"/>
    <w:rsid w:val="006212DE"/>
    <w:rsid w:val="0062142D"/>
    <w:rsid w:val="00621475"/>
    <w:rsid w:val="0062148C"/>
    <w:rsid w:val="006214FA"/>
    <w:rsid w:val="00621591"/>
    <w:rsid w:val="006215B1"/>
    <w:rsid w:val="00621730"/>
    <w:rsid w:val="006217C4"/>
    <w:rsid w:val="00621811"/>
    <w:rsid w:val="006218BE"/>
    <w:rsid w:val="006218F7"/>
    <w:rsid w:val="0062194B"/>
    <w:rsid w:val="00621A36"/>
    <w:rsid w:val="00621B36"/>
    <w:rsid w:val="00621B67"/>
    <w:rsid w:val="00621BB3"/>
    <w:rsid w:val="00621BE8"/>
    <w:rsid w:val="00621C39"/>
    <w:rsid w:val="00621DEB"/>
    <w:rsid w:val="00621E34"/>
    <w:rsid w:val="00621EA4"/>
    <w:rsid w:val="00621F8F"/>
    <w:rsid w:val="00621FB8"/>
    <w:rsid w:val="00622205"/>
    <w:rsid w:val="0062223B"/>
    <w:rsid w:val="00622288"/>
    <w:rsid w:val="00622330"/>
    <w:rsid w:val="00622341"/>
    <w:rsid w:val="00622347"/>
    <w:rsid w:val="006223B8"/>
    <w:rsid w:val="00622453"/>
    <w:rsid w:val="0062277C"/>
    <w:rsid w:val="0062281E"/>
    <w:rsid w:val="006228C1"/>
    <w:rsid w:val="006228FF"/>
    <w:rsid w:val="00622980"/>
    <w:rsid w:val="00622981"/>
    <w:rsid w:val="00622A58"/>
    <w:rsid w:val="00622AB8"/>
    <w:rsid w:val="00622B18"/>
    <w:rsid w:val="00622B94"/>
    <w:rsid w:val="00622C5A"/>
    <w:rsid w:val="00622CCE"/>
    <w:rsid w:val="00622D78"/>
    <w:rsid w:val="00622D8D"/>
    <w:rsid w:val="00622E36"/>
    <w:rsid w:val="00622E5A"/>
    <w:rsid w:val="00622E6A"/>
    <w:rsid w:val="006231EC"/>
    <w:rsid w:val="006232AB"/>
    <w:rsid w:val="006234A5"/>
    <w:rsid w:val="006234FF"/>
    <w:rsid w:val="0062361A"/>
    <w:rsid w:val="00623667"/>
    <w:rsid w:val="0062369F"/>
    <w:rsid w:val="00623743"/>
    <w:rsid w:val="00623821"/>
    <w:rsid w:val="00623866"/>
    <w:rsid w:val="00623947"/>
    <w:rsid w:val="006239D3"/>
    <w:rsid w:val="00623A85"/>
    <w:rsid w:val="00623D16"/>
    <w:rsid w:val="00623D75"/>
    <w:rsid w:val="00623DB1"/>
    <w:rsid w:val="00623F68"/>
    <w:rsid w:val="00623F8C"/>
    <w:rsid w:val="006240AB"/>
    <w:rsid w:val="00624124"/>
    <w:rsid w:val="0062412F"/>
    <w:rsid w:val="0062414E"/>
    <w:rsid w:val="00624188"/>
    <w:rsid w:val="006242DD"/>
    <w:rsid w:val="006243CD"/>
    <w:rsid w:val="006243DF"/>
    <w:rsid w:val="006243ED"/>
    <w:rsid w:val="00624436"/>
    <w:rsid w:val="0062459F"/>
    <w:rsid w:val="00624640"/>
    <w:rsid w:val="00624650"/>
    <w:rsid w:val="00624653"/>
    <w:rsid w:val="00624756"/>
    <w:rsid w:val="00624760"/>
    <w:rsid w:val="0062477E"/>
    <w:rsid w:val="0062484C"/>
    <w:rsid w:val="006248B3"/>
    <w:rsid w:val="006248BE"/>
    <w:rsid w:val="0062491F"/>
    <w:rsid w:val="0062494F"/>
    <w:rsid w:val="00624A49"/>
    <w:rsid w:val="00624A56"/>
    <w:rsid w:val="00624A8F"/>
    <w:rsid w:val="00624AE3"/>
    <w:rsid w:val="00624BD8"/>
    <w:rsid w:val="00624CA4"/>
    <w:rsid w:val="00624DA2"/>
    <w:rsid w:val="00624DE7"/>
    <w:rsid w:val="00624EC5"/>
    <w:rsid w:val="00624FE1"/>
    <w:rsid w:val="00625072"/>
    <w:rsid w:val="006250DD"/>
    <w:rsid w:val="00625177"/>
    <w:rsid w:val="00625180"/>
    <w:rsid w:val="006251A6"/>
    <w:rsid w:val="006251E0"/>
    <w:rsid w:val="00625260"/>
    <w:rsid w:val="00625346"/>
    <w:rsid w:val="0062550E"/>
    <w:rsid w:val="0062552E"/>
    <w:rsid w:val="006255AA"/>
    <w:rsid w:val="006255BE"/>
    <w:rsid w:val="0062579A"/>
    <w:rsid w:val="006257C9"/>
    <w:rsid w:val="00625872"/>
    <w:rsid w:val="006258DC"/>
    <w:rsid w:val="00625B47"/>
    <w:rsid w:val="00625B95"/>
    <w:rsid w:val="00625BF5"/>
    <w:rsid w:val="00625BFD"/>
    <w:rsid w:val="00625C03"/>
    <w:rsid w:val="00625C7A"/>
    <w:rsid w:val="00625CF8"/>
    <w:rsid w:val="00625D96"/>
    <w:rsid w:val="00625DB2"/>
    <w:rsid w:val="00625E0C"/>
    <w:rsid w:val="00625F4D"/>
    <w:rsid w:val="00625F62"/>
    <w:rsid w:val="00626014"/>
    <w:rsid w:val="00626033"/>
    <w:rsid w:val="00626183"/>
    <w:rsid w:val="006262A2"/>
    <w:rsid w:val="00626335"/>
    <w:rsid w:val="006263B1"/>
    <w:rsid w:val="006263D2"/>
    <w:rsid w:val="006264C9"/>
    <w:rsid w:val="006264ED"/>
    <w:rsid w:val="006264EF"/>
    <w:rsid w:val="0062666E"/>
    <w:rsid w:val="006266C6"/>
    <w:rsid w:val="00626733"/>
    <w:rsid w:val="0062681D"/>
    <w:rsid w:val="0062684C"/>
    <w:rsid w:val="006268DB"/>
    <w:rsid w:val="00626935"/>
    <w:rsid w:val="0062697C"/>
    <w:rsid w:val="006269C8"/>
    <w:rsid w:val="00626ACA"/>
    <w:rsid w:val="00626AD6"/>
    <w:rsid w:val="00626BE7"/>
    <w:rsid w:val="00626CB7"/>
    <w:rsid w:val="00626D5B"/>
    <w:rsid w:val="00626DC6"/>
    <w:rsid w:val="00626DE2"/>
    <w:rsid w:val="00626DE3"/>
    <w:rsid w:val="00626E4B"/>
    <w:rsid w:val="00626E99"/>
    <w:rsid w:val="00626EA1"/>
    <w:rsid w:val="00626EE7"/>
    <w:rsid w:val="00626EF9"/>
    <w:rsid w:val="00626F1D"/>
    <w:rsid w:val="00626FC0"/>
    <w:rsid w:val="006270FA"/>
    <w:rsid w:val="006272B3"/>
    <w:rsid w:val="00627330"/>
    <w:rsid w:val="006273D1"/>
    <w:rsid w:val="006273DE"/>
    <w:rsid w:val="00627436"/>
    <w:rsid w:val="00627474"/>
    <w:rsid w:val="006274D1"/>
    <w:rsid w:val="006274F5"/>
    <w:rsid w:val="00627572"/>
    <w:rsid w:val="00627628"/>
    <w:rsid w:val="00627693"/>
    <w:rsid w:val="00627751"/>
    <w:rsid w:val="00627790"/>
    <w:rsid w:val="006277BD"/>
    <w:rsid w:val="006278A7"/>
    <w:rsid w:val="006278C7"/>
    <w:rsid w:val="0062799E"/>
    <w:rsid w:val="00627A24"/>
    <w:rsid w:val="00627A39"/>
    <w:rsid w:val="00627D40"/>
    <w:rsid w:val="00627E1C"/>
    <w:rsid w:val="00627E27"/>
    <w:rsid w:val="00627E97"/>
    <w:rsid w:val="00627EB0"/>
    <w:rsid w:val="00627F25"/>
    <w:rsid w:val="00627F72"/>
    <w:rsid w:val="00627FDF"/>
    <w:rsid w:val="006301BB"/>
    <w:rsid w:val="00630233"/>
    <w:rsid w:val="0063032A"/>
    <w:rsid w:val="00630374"/>
    <w:rsid w:val="006303D7"/>
    <w:rsid w:val="006303DC"/>
    <w:rsid w:val="00630442"/>
    <w:rsid w:val="00630444"/>
    <w:rsid w:val="00630459"/>
    <w:rsid w:val="006304C7"/>
    <w:rsid w:val="006304CE"/>
    <w:rsid w:val="00630576"/>
    <w:rsid w:val="0063065F"/>
    <w:rsid w:val="0063070E"/>
    <w:rsid w:val="0063090B"/>
    <w:rsid w:val="00630950"/>
    <w:rsid w:val="00630956"/>
    <w:rsid w:val="0063098A"/>
    <w:rsid w:val="00630D05"/>
    <w:rsid w:val="00630D0A"/>
    <w:rsid w:val="00630DB2"/>
    <w:rsid w:val="00630E5F"/>
    <w:rsid w:val="00630FB4"/>
    <w:rsid w:val="006310C3"/>
    <w:rsid w:val="006311B3"/>
    <w:rsid w:val="00631252"/>
    <w:rsid w:val="00631270"/>
    <w:rsid w:val="00631277"/>
    <w:rsid w:val="0063137C"/>
    <w:rsid w:val="0063139D"/>
    <w:rsid w:val="006313A3"/>
    <w:rsid w:val="0063145B"/>
    <w:rsid w:val="00631592"/>
    <w:rsid w:val="006315EF"/>
    <w:rsid w:val="00631606"/>
    <w:rsid w:val="0063194E"/>
    <w:rsid w:val="00631958"/>
    <w:rsid w:val="00631A21"/>
    <w:rsid w:val="00631A6F"/>
    <w:rsid w:val="00631BAE"/>
    <w:rsid w:val="00631BE4"/>
    <w:rsid w:val="00631CE9"/>
    <w:rsid w:val="00631D57"/>
    <w:rsid w:val="00631D5D"/>
    <w:rsid w:val="00631D92"/>
    <w:rsid w:val="00631DEE"/>
    <w:rsid w:val="00631F9B"/>
    <w:rsid w:val="00631FA7"/>
    <w:rsid w:val="006321E2"/>
    <w:rsid w:val="006321ED"/>
    <w:rsid w:val="00632263"/>
    <w:rsid w:val="0063231B"/>
    <w:rsid w:val="0063234B"/>
    <w:rsid w:val="006323B8"/>
    <w:rsid w:val="006323E9"/>
    <w:rsid w:val="00632648"/>
    <w:rsid w:val="00632660"/>
    <w:rsid w:val="00632672"/>
    <w:rsid w:val="00632724"/>
    <w:rsid w:val="00632751"/>
    <w:rsid w:val="0063275B"/>
    <w:rsid w:val="0063297B"/>
    <w:rsid w:val="0063298B"/>
    <w:rsid w:val="00632C3E"/>
    <w:rsid w:val="00632C45"/>
    <w:rsid w:val="00632C74"/>
    <w:rsid w:val="00632D07"/>
    <w:rsid w:val="00632D15"/>
    <w:rsid w:val="00632D7B"/>
    <w:rsid w:val="00632D7D"/>
    <w:rsid w:val="00632D8B"/>
    <w:rsid w:val="00632F10"/>
    <w:rsid w:val="00632F41"/>
    <w:rsid w:val="00632F97"/>
    <w:rsid w:val="00632FC1"/>
    <w:rsid w:val="006330AB"/>
    <w:rsid w:val="006331E2"/>
    <w:rsid w:val="00633335"/>
    <w:rsid w:val="0063334B"/>
    <w:rsid w:val="0063338F"/>
    <w:rsid w:val="00633481"/>
    <w:rsid w:val="00633552"/>
    <w:rsid w:val="006336F0"/>
    <w:rsid w:val="006337E1"/>
    <w:rsid w:val="0063387E"/>
    <w:rsid w:val="006339D0"/>
    <w:rsid w:val="00633A4D"/>
    <w:rsid w:val="00633AC0"/>
    <w:rsid w:val="00633B78"/>
    <w:rsid w:val="00633B89"/>
    <w:rsid w:val="00633C38"/>
    <w:rsid w:val="00633DB3"/>
    <w:rsid w:val="00633E3F"/>
    <w:rsid w:val="00633EBB"/>
    <w:rsid w:val="00633F4A"/>
    <w:rsid w:val="006340AC"/>
    <w:rsid w:val="006340B4"/>
    <w:rsid w:val="00634169"/>
    <w:rsid w:val="0063419F"/>
    <w:rsid w:val="006342D4"/>
    <w:rsid w:val="00634337"/>
    <w:rsid w:val="0063439D"/>
    <w:rsid w:val="006343C0"/>
    <w:rsid w:val="0063445C"/>
    <w:rsid w:val="0063449B"/>
    <w:rsid w:val="006345E6"/>
    <w:rsid w:val="006345FE"/>
    <w:rsid w:val="00634676"/>
    <w:rsid w:val="006346DF"/>
    <w:rsid w:val="0063477C"/>
    <w:rsid w:val="00634890"/>
    <w:rsid w:val="00634A2A"/>
    <w:rsid w:val="00634A8E"/>
    <w:rsid w:val="00634B75"/>
    <w:rsid w:val="00634CB9"/>
    <w:rsid w:val="00634DCD"/>
    <w:rsid w:val="00634DE6"/>
    <w:rsid w:val="00634E62"/>
    <w:rsid w:val="006350BE"/>
    <w:rsid w:val="006350F1"/>
    <w:rsid w:val="006350F8"/>
    <w:rsid w:val="0063519A"/>
    <w:rsid w:val="006352A8"/>
    <w:rsid w:val="006352E6"/>
    <w:rsid w:val="0063535A"/>
    <w:rsid w:val="006353AF"/>
    <w:rsid w:val="00635434"/>
    <w:rsid w:val="006354A6"/>
    <w:rsid w:val="0063550C"/>
    <w:rsid w:val="00635524"/>
    <w:rsid w:val="00635588"/>
    <w:rsid w:val="006355CF"/>
    <w:rsid w:val="0063561E"/>
    <w:rsid w:val="00635762"/>
    <w:rsid w:val="00635768"/>
    <w:rsid w:val="00635A9B"/>
    <w:rsid w:val="00635B6F"/>
    <w:rsid w:val="00635BAE"/>
    <w:rsid w:val="00635C27"/>
    <w:rsid w:val="00635ED2"/>
    <w:rsid w:val="00635FC5"/>
    <w:rsid w:val="00635FF0"/>
    <w:rsid w:val="00636059"/>
    <w:rsid w:val="0063606A"/>
    <w:rsid w:val="00636143"/>
    <w:rsid w:val="006362C5"/>
    <w:rsid w:val="0063630E"/>
    <w:rsid w:val="006363AB"/>
    <w:rsid w:val="006363EB"/>
    <w:rsid w:val="00636403"/>
    <w:rsid w:val="0063642A"/>
    <w:rsid w:val="006364F0"/>
    <w:rsid w:val="00636593"/>
    <w:rsid w:val="00636650"/>
    <w:rsid w:val="0063666C"/>
    <w:rsid w:val="006366A8"/>
    <w:rsid w:val="00636734"/>
    <w:rsid w:val="00636750"/>
    <w:rsid w:val="006368C9"/>
    <w:rsid w:val="006368D2"/>
    <w:rsid w:val="006368F8"/>
    <w:rsid w:val="006369CF"/>
    <w:rsid w:val="006369D5"/>
    <w:rsid w:val="00636A51"/>
    <w:rsid w:val="00636B00"/>
    <w:rsid w:val="00636B4B"/>
    <w:rsid w:val="00636C13"/>
    <w:rsid w:val="00636CE0"/>
    <w:rsid w:val="00636FA4"/>
    <w:rsid w:val="0063703C"/>
    <w:rsid w:val="00637151"/>
    <w:rsid w:val="00637183"/>
    <w:rsid w:val="00637224"/>
    <w:rsid w:val="006372BD"/>
    <w:rsid w:val="0063732D"/>
    <w:rsid w:val="0063734D"/>
    <w:rsid w:val="00637354"/>
    <w:rsid w:val="006373CD"/>
    <w:rsid w:val="00637489"/>
    <w:rsid w:val="006374FC"/>
    <w:rsid w:val="00637517"/>
    <w:rsid w:val="0063769B"/>
    <w:rsid w:val="0063769E"/>
    <w:rsid w:val="00637757"/>
    <w:rsid w:val="00637810"/>
    <w:rsid w:val="00637889"/>
    <w:rsid w:val="006378FC"/>
    <w:rsid w:val="00637945"/>
    <w:rsid w:val="0063799D"/>
    <w:rsid w:val="006379F9"/>
    <w:rsid w:val="00637A5E"/>
    <w:rsid w:val="00637ABC"/>
    <w:rsid w:val="00637ACF"/>
    <w:rsid w:val="00637AF9"/>
    <w:rsid w:val="00637B42"/>
    <w:rsid w:val="00637BC2"/>
    <w:rsid w:val="00637C37"/>
    <w:rsid w:val="00637C5B"/>
    <w:rsid w:val="00637C92"/>
    <w:rsid w:val="00637DE3"/>
    <w:rsid w:val="00637DFC"/>
    <w:rsid w:val="00637E99"/>
    <w:rsid w:val="00637FB2"/>
    <w:rsid w:val="00640080"/>
    <w:rsid w:val="0064016F"/>
    <w:rsid w:val="0064024E"/>
    <w:rsid w:val="006402A7"/>
    <w:rsid w:val="006402BB"/>
    <w:rsid w:val="006402E7"/>
    <w:rsid w:val="006404EB"/>
    <w:rsid w:val="006405CB"/>
    <w:rsid w:val="0064062D"/>
    <w:rsid w:val="00640652"/>
    <w:rsid w:val="00640684"/>
    <w:rsid w:val="0064081B"/>
    <w:rsid w:val="006408D9"/>
    <w:rsid w:val="006408E6"/>
    <w:rsid w:val="006408FF"/>
    <w:rsid w:val="006409E2"/>
    <w:rsid w:val="00640AFD"/>
    <w:rsid w:val="00640C7C"/>
    <w:rsid w:val="00640C8E"/>
    <w:rsid w:val="00640CD1"/>
    <w:rsid w:val="00640DF2"/>
    <w:rsid w:val="00640E37"/>
    <w:rsid w:val="00640EE9"/>
    <w:rsid w:val="00640F98"/>
    <w:rsid w:val="00641061"/>
    <w:rsid w:val="00641121"/>
    <w:rsid w:val="00641143"/>
    <w:rsid w:val="00641241"/>
    <w:rsid w:val="006413BE"/>
    <w:rsid w:val="00641407"/>
    <w:rsid w:val="006414B1"/>
    <w:rsid w:val="006416A6"/>
    <w:rsid w:val="006416D2"/>
    <w:rsid w:val="0064171B"/>
    <w:rsid w:val="0064186F"/>
    <w:rsid w:val="00641964"/>
    <w:rsid w:val="0064198C"/>
    <w:rsid w:val="006419EE"/>
    <w:rsid w:val="00641A27"/>
    <w:rsid w:val="00641B22"/>
    <w:rsid w:val="00641B3A"/>
    <w:rsid w:val="00641C06"/>
    <w:rsid w:val="00641D56"/>
    <w:rsid w:val="00641EFF"/>
    <w:rsid w:val="00641F0D"/>
    <w:rsid w:val="00641F11"/>
    <w:rsid w:val="00641F4E"/>
    <w:rsid w:val="00642027"/>
    <w:rsid w:val="0064206F"/>
    <w:rsid w:val="00642092"/>
    <w:rsid w:val="0064221F"/>
    <w:rsid w:val="00642232"/>
    <w:rsid w:val="00642283"/>
    <w:rsid w:val="00642289"/>
    <w:rsid w:val="006422BF"/>
    <w:rsid w:val="0064231C"/>
    <w:rsid w:val="0064238E"/>
    <w:rsid w:val="00642471"/>
    <w:rsid w:val="0064248D"/>
    <w:rsid w:val="0064253E"/>
    <w:rsid w:val="00642592"/>
    <w:rsid w:val="006425AF"/>
    <w:rsid w:val="0064271A"/>
    <w:rsid w:val="006427FD"/>
    <w:rsid w:val="00642807"/>
    <w:rsid w:val="00642820"/>
    <w:rsid w:val="006428A5"/>
    <w:rsid w:val="006428BB"/>
    <w:rsid w:val="006428FA"/>
    <w:rsid w:val="00642905"/>
    <w:rsid w:val="00642930"/>
    <w:rsid w:val="00642964"/>
    <w:rsid w:val="00642976"/>
    <w:rsid w:val="0064298E"/>
    <w:rsid w:val="006429DF"/>
    <w:rsid w:val="00642A14"/>
    <w:rsid w:val="00642ABE"/>
    <w:rsid w:val="00642AE5"/>
    <w:rsid w:val="00642B64"/>
    <w:rsid w:val="00642C9C"/>
    <w:rsid w:val="00642D58"/>
    <w:rsid w:val="00642DC1"/>
    <w:rsid w:val="00642DC8"/>
    <w:rsid w:val="00642E63"/>
    <w:rsid w:val="00642E6A"/>
    <w:rsid w:val="00642E9E"/>
    <w:rsid w:val="00642EE5"/>
    <w:rsid w:val="00642F3E"/>
    <w:rsid w:val="00642FC3"/>
    <w:rsid w:val="00642FCA"/>
    <w:rsid w:val="006430AC"/>
    <w:rsid w:val="00643146"/>
    <w:rsid w:val="00643165"/>
    <w:rsid w:val="0064318E"/>
    <w:rsid w:val="0064323A"/>
    <w:rsid w:val="006432A0"/>
    <w:rsid w:val="006432F7"/>
    <w:rsid w:val="006435BE"/>
    <w:rsid w:val="0064369F"/>
    <w:rsid w:val="0064377D"/>
    <w:rsid w:val="0064378E"/>
    <w:rsid w:val="006437F6"/>
    <w:rsid w:val="006438B2"/>
    <w:rsid w:val="0064394D"/>
    <w:rsid w:val="00643A51"/>
    <w:rsid w:val="00643AF1"/>
    <w:rsid w:val="00643B52"/>
    <w:rsid w:val="00643BD0"/>
    <w:rsid w:val="00643C24"/>
    <w:rsid w:val="00643C78"/>
    <w:rsid w:val="00643CFA"/>
    <w:rsid w:val="00643E3F"/>
    <w:rsid w:val="00643E8F"/>
    <w:rsid w:val="00643E9C"/>
    <w:rsid w:val="0064400E"/>
    <w:rsid w:val="0064409E"/>
    <w:rsid w:val="006440A9"/>
    <w:rsid w:val="00644216"/>
    <w:rsid w:val="0064422D"/>
    <w:rsid w:val="006442B7"/>
    <w:rsid w:val="006442B9"/>
    <w:rsid w:val="006444ED"/>
    <w:rsid w:val="006446D8"/>
    <w:rsid w:val="006446E2"/>
    <w:rsid w:val="006446F9"/>
    <w:rsid w:val="00644705"/>
    <w:rsid w:val="00644854"/>
    <w:rsid w:val="00644897"/>
    <w:rsid w:val="006448C5"/>
    <w:rsid w:val="00644A3E"/>
    <w:rsid w:val="00644A70"/>
    <w:rsid w:val="00644AEC"/>
    <w:rsid w:val="00644AF5"/>
    <w:rsid w:val="00644BF2"/>
    <w:rsid w:val="00644C20"/>
    <w:rsid w:val="00644C53"/>
    <w:rsid w:val="00644C8F"/>
    <w:rsid w:val="00644CDA"/>
    <w:rsid w:val="00644D45"/>
    <w:rsid w:val="00644D4F"/>
    <w:rsid w:val="00644E02"/>
    <w:rsid w:val="006452CF"/>
    <w:rsid w:val="00645365"/>
    <w:rsid w:val="0064536D"/>
    <w:rsid w:val="00645373"/>
    <w:rsid w:val="00645409"/>
    <w:rsid w:val="00645466"/>
    <w:rsid w:val="006454F7"/>
    <w:rsid w:val="006455BC"/>
    <w:rsid w:val="006455CE"/>
    <w:rsid w:val="006455F3"/>
    <w:rsid w:val="00645706"/>
    <w:rsid w:val="0064577B"/>
    <w:rsid w:val="006457A2"/>
    <w:rsid w:val="006457E9"/>
    <w:rsid w:val="0064581F"/>
    <w:rsid w:val="0064589C"/>
    <w:rsid w:val="006458FE"/>
    <w:rsid w:val="006459F5"/>
    <w:rsid w:val="00645A2B"/>
    <w:rsid w:val="00645B10"/>
    <w:rsid w:val="00645B14"/>
    <w:rsid w:val="00645B26"/>
    <w:rsid w:val="00645C86"/>
    <w:rsid w:val="00645CC4"/>
    <w:rsid w:val="00645D63"/>
    <w:rsid w:val="00645DFD"/>
    <w:rsid w:val="00645E0D"/>
    <w:rsid w:val="00645EDE"/>
    <w:rsid w:val="00645F3D"/>
    <w:rsid w:val="00646080"/>
    <w:rsid w:val="00646191"/>
    <w:rsid w:val="00646236"/>
    <w:rsid w:val="006463D3"/>
    <w:rsid w:val="00646523"/>
    <w:rsid w:val="00646534"/>
    <w:rsid w:val="0064664C"/>
    <w:rsid w:val="006466A3"/>
    <w:rsid w:val="00646715"/>
    <w:rsid w:val="0064677F"/>
    <w:rsid w:val="00646789"/>
    <w:rsid w:val="00646912"/>
    <w:rsid w:val="00646919"/>
    <w:rsid w:val="0064691E"/>
    <w:rsid w:val="00646A07"/>
    <w:rsid w:val="00646A08"/>
    <w:rsid w:val="00646A0E"/>
    <w:rsid w:val="00646A13"/>
    <w:rsid w:val="00646BFD"/>
    <w:rsid w:val="00646C12"/>
    <w:rsid w:val="00646C77"/>
    <w:rsid w:val="00646CD3"/>
    <w:rsid w:val="00646CD4"/>
    <w:rsid w:val="00646D57"/>
    <w:rsid w:val="00646D89"/>
    <w:rsid w:val="00646E62"/>
    <w:rsid w:val="00646E97"/>
    <w:rsid w:val="00646EBD"/>
    <w:rsid w:val="00646F9A"/>
    <w:rsid w:val="006472F8"/>
    <w:rsid w:val="006472F9"/>
    <w:rsid w:val="0064746A"/>
    <w:rsid w:val="006474A2"/>
    <w:rsid w:val="00647718"/>
    <w:rsid w:val="00647742"/>
    <w:rsid w:val="00647750"/>
    <w:rsid w:val="00647774"/>
    <w:rsid w:val="0064780D"/>
    <w:rsid w:val="00647833"/>
    <w:rsid w:val="00647865"/>
    <w:rsid w:val="006478ED"/>
    <w:rsid w:val="00647951"/>
    <w:rsid w:val="0064797E"/>
    <w:rsid w:val="00647A77"/>
    <w:rsid w:val="00647B2C"/>
    <w:rsid w:val="00647B9A"/>
    <w:rsid w:val="00647BE6"/>
    <w:rsid w:val="00647BF6"/>
    <w:rsid w:val="00647C26"/>
    <w:rsid w:val="00647D8B"/>
    <w:rsid w:val="00647EF6"/>
    <w:rsid w:val="00650074"/>
    <w:rsid w:val="006502E0"/>
    <w:rsid w:val="00650340"/>
    <w:rsid w:val="00650347"/>
    <w:rsid w:val="00650394"/>
    <w:rsid w:val="00650469"/>
    <w:rsid w:val="0065055B"/>
    <w:rsid w:val="006505BE"/>
    <w:rsid w:val="0065060F"/>
    <w:rsid w:val="0065064C"/>
    <w:rsid w:val="00650847"/>
    <w:rsid w:val="00650888"/>
    <w:rsid w:val="006508D9"/>
    <w:rsid w:val="00650A07"/>
    <w:rsid w:val="00650BBF"/>
    <w:rsid w:val="00650CCA"/>
    <w:rsid w:val="00650CDC"/>
    <w:rsid w:val="00650D76"/>
    <w:rsid w:val="00650DB5"/>
    <w:rsid w:val="00650ED4"/>
    <w:rsid w:val="00650F50"/>
    <w:rsid w:val="00650F55"/>
    <w:rsid w:val="00650FA1"/>
    <w:rsid w:val="00650FB3"/>
    <w:rsid w:val="0065106F"/>
    <w:rsid w:val="0065107C"/>
    <w:rsid w:val="00651092"/>
    <w:rsid w:val="00651252"/>
    <w:rsid w:val="00651336"/>
    <w:rsid w:val="0065159A"/>
    <w:rsid w:val="00651615"/>
    <w:rsid w:val="00651674"/>
    <w:rsid w:val="006516F4"/>
    <w:rsid w:val="00651753"/>
    <w:rsid w:val="00651811"/>
    <w:rsid w:val="0065186B"/>
    <w:rsid w:val="006518BA"/>
    <w:rsid w:val="006518F3"/>
    <w:rsid w:val="00651904"/>
    <w:rsid w:val="00651928"/>
    <w:rsid w:val="0065195B"/>
    <w:rsid w:val="006519CE"/>
    <w:rsid w:val="00651A1B"/>
    <w:rsid w:val="00651A76"/>
    <w:rsid w:val="00651ACE"/>
    <w:rsid w:val="00651B5B"/>
    <w:rsid w:val="00651C98"/>
    <w:rsid w:val="00651CD3"/>
    <w:rsid w:val="00651D41"/>
    <w:rsid w:val="00651E7C"/>
    <w:rsid w:val="00651E8C"/>
    <w:rsid w:val="00651F1B"/>
    <w:rsid w:val="00651FE5"/>
    <w:rsid w:val="0065200A"/>
    <w:rsid w:val="0065203C"/>
    <w:rsid w:val="00652070"/>
    <w:rsid w:val="006520B0"/>
    <w:rsid w:val="006520BA"/>
    <w:rsid w:val="0065213D"/>
    <w:rsid w:val="00652203"/>
    <w:rsid w:val="006522A1"/>
    <w:rsid w:val="0065239E"/>
    <w:rsid w:val="006523D2"/>
    <w:rsid w:val="0065241F"/>
    <w:rsid w:val="0065247A"/>
    <w:rsid w:val="0065250C"/>
    <w:rsid w:val="0065255A"/>
    <w:rsid w:val="006525CB"/>
    <w:rsid w:val="0065260E"/>
    <w:rsid w:val="00652651"/>
    <w:rsid w:val="006527C5"/>
    <w:rsid w:val="0065286A"/>
    <w:rsid w:val="006528ED"/>
    <w:rsid w:val="00652A70"/>
    <w:rsid w:val="00652A79"/>
    <w:rsid w:val="00652B8D"/>
    <w:rsid w:val="00652C3A"/>
    <w:rsid w:val="00652C78"/>
    <w:rsid w:val="00652D55"/>
    <w:rsid w:val="00652F3E"/>
    <w:rsid w:val="00652F77"/>
    <w:rsid w:val="0065300C"/>
    <w:rsid w:val="00653014"/>
    <w:rsid w:val="00653140"/>
    <w:rsid w:val="006531B7"/>
    <w:rsid w:val="00653269"/>
    <w:rsid w:val="0065330C"/>
    <w:rsid w:val="0065331B"/>
    <w:rsid w:val="006533FF"/>
    <w:rsid w:val="0065353C"/>
    <w:rsid w:val="006535CA"/>
    <w:rsid w:val="006535D7"/>
    <w:rsid w:val="00653665"/>
    <w:rsid w:val="00653739"/>
    <w:rsid w:val="006537BC"/>
    <w:rsid w:val="00653830"/>
    <w:rsid w:val="00653B24"/>
    <w:rsid w:val="00653C50"/>
    <w:rsid w:val="00653C78"/>
    <w:rsid w:val="00653CEF"/>
    <w:rsid w:val="00653D01"/>
    <w:rsid w:val="00653D04"/>
    <w:rsid w:val="00653D2F"/>
    <w:rsid w:val="00653D53"/>
    <w:rsid w:val="00653E04"/>
    <w:rsid w:val="00653EE6"/>
    <w:rsid w:val="00653EE8"/>
    <w:rsid w:val="00653F0D"/>
    <w:rsid w:val="00653F6B"/>
    <w:rsid w:val="00654005"/>
    <w:rsid w:val="006540D2"/>
    <w:rsid w:val="00654181"/>
    <w:rsid w:val="0065418E"/>
    <w:rsid w:val="00654203"/>
    <w:rsid w:val="006542EC"/>
    <w:rsid w:val="0065430A"/>
    <w:rsid w:val="00654323"/>
    <w:rsid w:val="0065438F"/>
    <w:rsid w:val="006543AD"/>
    <w:rsid w:val="006543DA"/>
    <w:rsid w:val="006543EE"/>
    <w:rsid w:val="0065443F"/>
    <w:rsid w:val="00654449"/>
    <w:rsid w:val="00654501"/>
    <w:rsid w:val="006545B1"/>
    <w:rsid w:val="006545D4"/>
    <w:rsid w:val="0065481B"/>
    <w:rsid w:val="00654828"/>
    <w:rsid w:val="0065496E"/>
    <w:rsid w:val="00654B8C"/>
    <w:rsid w:val="00654BE6"/>
    <w:rsid w:val="00654C5E"/>
    <w:rsid w:val="00654D6D"/>
    <w:rsid w:val="00654D8C"/>
    <w:rsid w:val="00654DB8"/>
    <w:rsid w:val="00654ED3"/>
    <w:rsid w:val="00654ED6"/>
    <w:rsid w:val="00654F87"/>
    <w:rsid w:val="00654F98"/>
    <w:rsid w:val="00654FA9"/>
    <w:rsid w:val="00654FF0"/>
    <w:rsid w:val="0065508B"/>
    <w:rsid w:val="00655193"/>
    <w:rsid w:val="006552EA"/>
    <w:rsid w:val="006553C0"/>
    <w:rsid w:val="00655429"/>
    <w:rsid w:val="006555AE"/>
    <w:rsid w:val="006555B9"/>
    <w:rsid w:val="00655685"/>
    <w:rsid w:val="006556C5"/>
    <w:rsid w:val="006556DC"/>
    <w:rsid w:val="006556F4"/>
    <w:rsid w:val="00655717"/>
    <w:rsid w:val="0065580B"/>
    <w:rsid w:val="00655A9C"/>
    <w:rsid w:val="00655AB0"/>
    <w:rsid w:val="00655ACD"/>
    <w:rsid w:val="00655B16"/>
    <w:rsid w:val="00655B40"/>
    <w:rsid w:val="00655B99"/>
    <w:rsid w:val="00655CDC"/>
    <w:rsid w:val="00655D5A"/>
    <w:rsid w:val="00655D7B"/>
    <w:rsid w:val="00655E41"/>
    <w:rsid w:val="00655E6D"/>
    <w:rsid w:val="00655EA4"/>
    <w:rsid w:val="00655EAF"/>
    <w:rsid w:val="0065603A"/>
    <w:rsid w:val="0065608E"/>
    <w:rsid w:val="006560C3"/>
    <w:rsid w:val="00656180"/>
    <w:rsid w:val="0065625C"/>
    <w:rsid w:val="006562FC"/>
    <w:rsid w:val="0065639B"/>
    <w:rsid w:val="0065639E"/>
    <w:rsid w:val="006563BA"/>
    <w:rsid w:val="00656414"/>
    <w:rsid w:val="0065642C"/>
    <w:rsid w:val="006564A8"/>
    <w:rsid w:val="006564C9"/>
    <w:rsid w:val="00656523"/>
    <w:rsid w:val="0065653D"/>
    <w:rsid w:val="006565B0"/>
    <w:rsid w:val="006565FB"/>
    <w:rsid w:val="00656620"/>
    <w:rsid w:val="0065666B"/>
    <w:rsid w:val="00656807"/>
    <w:rsid w:val="00656826"/>
    <w:rsid w:val="00656922"/>
    <w:rsid w:val="00656A42"/>
    <w:rsid w:val="00656A7B"/>
    <w:rsid w:val="00656AB2"/>
    <w:rsid w:val="00656B84"/>
    <w:rsid w:val="00656BDD"/>
    <w:rsid w:val="00656CBD"/>
    <w:rsid w:val="00656CC9"/>
    <w:rsid w:val="00656CDD"/>
    <w:rsid w:val="00656DE6"/>
    <w:rsid w:val="00656E64"/>
    <w:rsid w:val="00656E6B"/>
    <w:rsid w:val="00656EA6"/>
    <w:rsid w:val="00656F3B"/>
    <w:rsid w:val="00656F50"/>
    <w:rsid w:val="00656FC4"/>
    <w:rsid w:val="006570B9"/>
    <w:rsid w:val="00657146"/>
    <w:rsid w:val="00657159"/>
    <w:rsid w:val="0065717E"/>
    <w:rsid w:val="0065722A"/>
    <w:rsid w:val="0065726A"/>
    <w:rsid w:val="006572DE"/>
    <w:rsid w:val="006572FF"/>
    <w:rsid w:val="00657345"/>
    <w:rsid w:val="006573B3"/>
    <w:rsid w:val="006573F0"/>
    <w:rsid w:val="00657409"/>
    <w:rsid w:val="006574F6"/>
    <w:rsid w:val="00657516"/>
    <w:rsid w:val="0065762F"/>
    <w:rsid w:val="006576C5"/>
    <w:rsid w:val="006576E5"/>
    <w:rsid w:val="006576FF"/>
    <w:rsid w:val="00657730"/>
    <w:rsid w:val="006577A0"/>
    <w:rsid w:val="0065781E"/>
    <w:rsid w:val="00657857"/>
    <w:rsid w:val="006578D5"/>
    <w:rsid w:val="006579BF"/>
    <w:rsid w:val="00657A37"/>
    <w:rsid w:val="00657A6C"/>
    <w:rsid w:val="00657BFA"/>
    <w:rsid w:val="00657D22"/>
    <w:rsid w:val="00657D3E"/>
    <w:rsid w:val="00657D49"/>
    <w:rsid w:val="00657D72"/>
    <w:rsid w:val="00660064"/>
    <w:rsid w:val="00660077"/>
    <w:rsid w:val="0066021D"/>
    <w:rsid w:val="0066025D"/>
    <w:rsid w:val="00660284"/>
    <w:rsid w:val="00660294"/>
    <w:rsid w:val="006603A0"/>
    <w:rsid w:val="0066040F"/>
    <w:rsid w:val="0066049C"/>
    <w:rsid w:val="0066052F"/>
    <w:rsid w:val="00660624"/>
    <w:rsid w:val="0066073F"/>
    <w:rsid w:val="00660752"/>
    <w:rsid w:val="0066076E"/>
    <w:rsid w:val="00660844"/>
    <w:rsid w:val="0066085F"/>
    <w:rsid w:val="00660878"/>
    <w:rsid w:val="006608C9"/>
    <w:rsid w:val="006608E4"/>
    <w:rsid w:val="006608F1"/>
    <w:rsid w:val="00660950"/>
    <w:rsid w:val="00660BE3"/>
    <w:rsid w:val="00660C87"/>
    <w:rsid w:val="00660EBD"/>
    <w:rsid w:val="00660EC9"/>
    <w:rsid w:val="00660FEA"/>
    <w:rsid w:val="0066105C"/>
    <w:rsid w:val="00661117"/>
    <w:rsid w:val="00661169"/>
    <w:rsid w:val="006611C3"/>
    <w:rsid w:val="0066122E"/>
    <w:rsid w:val="00661414"/>
    <w:rsid w:val="00661539"/>
    <w:rsid w:val="00661541"/>
    <w:rsid w:val="00661581"/>
    <w:rsid w:val="00661599"/>
    <w:rsid w:val="0066159D"/>
    <w:rsid w:val="006616C4"/>
    <w:rsid w:val="006616FA"/>
    <w:rsid w:val="0066170D"/>
    <w:rsid w:val="00661713"/>
    <w:rsid w:val="00661764"/>
    <w:rsid w:val="006617F5"/>
    <w:rsid w:val="0066184B"/>
    <w:rsid w:val="0066190F"/>
    <w:rsid w:val="00661A81"/>
    <w:rsid w:val="00661A91"/>
    <w:rsid w:val="00661B12"/>
    <w:rsid w:val="00661B4F"/>
    <w:rsid w:val="00661D87"/>
    <w:rsid w:val="00661DD8"/>
    <w:rsid w:val="00661E06"/>
    <w:rsid w:val="00661E15"/>
    <w:rsid w:val="00661E80"/>
    <w:rsid w:val="00662038"/>
    <w:rsid w:val="006620A4"/>
    <w:rsid w:val="006620E4"/>
    <w:rsid w:val="00662128"/>
    <w:rsid w:val="00662148"/>
    <w:rsid w:val="00662234"/>
    <w:rsid w:val="00662236"/>
    <w:rsid w:val="0066230B"/>
    <w:rsid w:val="0066238B"/>
    <w:rsid w:val="006623F0"/>
    <w:rsid w:val="006623F3"/>
    <w:rsid w:val="006625D8"/>
    <w:rsid w:val="0066270C"/>
    <w:rsid w:val="006627A6"/>
    <w:rsid w:val="006627F4"/>
    <w:rsid w:val="0066281B"/>
    <w:rsid w:val="00662861"/>
    <w:rsid w:val="00662883"/>
    <w:rsid w:val="006629B7"/>
    <w:rsid w:val="00662C08"/>
    <w:rsid w:val="00662C2F"/>
    <w:rsid w:val="00662D5E"/>
    <w:rsid w:val="00662DDD"/>
    <w:rsid w:val="00662E7E"/>
    <w:rsid w:val="00662E86"/>
    <w:rsid w:val="006630AC"/>
    <w:rsid w:val="006630D6"/>
    <w:rsid w:val="0066312B"/>
    <w:rsid w:val="0066318A"/>
    <w:rsid w:val="006631B4"/>
    <w:rsid w:val="00663219"/>
    <w:rsid w:val="0066327B"/>
    <w:rsid w:val="00663288"/>
    <w:rsid w:val="006632AF"/>
    <w:rsid w:val="00663338"/>
    <w:rsid w:val="006633B1"/>
    <w:rsid w:val="0066344F"/>
    <w:rsid w:val="006634D7"/>
    <w:rsid w:val="0066350C"/>
    <w:rsid w:val="00663535"/>
    <w:rsid w:val="0066358B"/>
    <w:rsid w:val="00663603"/>
    <w:rsid w:val="00663668"/>
    <w:rsid w:val="00663693"/>
    <w:rsid w:val="00663730"/>
    <w:rsid w:val="00663746"/>
    <w:rsid w:val="00663751"/>
    <w:rsid w:val="006637ED"/>
    <w:rsid w:val="0066380B"/>
    <w:rsid w:val="00663811"/>
    <w:rsid w:val="006638D6"/>
    <w:rsid w:val="00663912"/>
    <w:rsid w:val="00663971"/>
    <w:rsid w:val="00663983"/>
    <w:rsid w:val="00663ABC"/>
    <w:rsid w:val="00663AFC"/>
    <w:rsid w:val="00663B0F"/>
    <w:rsid w:val="00663B2F"/>
    <w:rsid w:val="00663B6C"/>
    <w:rsid w:val="00663BE1"/>
    <w:rsid w:val="00663C0C"/>
    <w:rsid w:val="00663C2C"/>
    <w:rsid w:val="00663C94"/>
    <w:rsid w:val="00663CCB"/>
    <w:rsid w:val="00663D12"/>
    <w:rsid w:val="00663D22"/>
    <w:rsid w:val="00663E4F"/>
    <w:rsid w:val="00663EA3"/>
    <w:rsid w:val="00663EC5"/>
    <w:rsid w:val="00663F6B"/>
    <w:rsid w:val="00664014"/>
    <w:rsid w:val="0066406C"/>
    <w:rsid w:val="006640B8"/>
    <w:rsid w:val="006641B4"/>
    <w:rsid w:val="006641BD"/>
    <w:rsid w:val="006641D7"/>
    <w:rsid w:val="006642FC"/>
    <w:rsid w:val="0066435D"/>
    <w:rsid w:val="00664364"/>
    <w:rsid w:val="006643DA"/>
    <w:rsid w:val="0066456C"/>
    <w:rsid w:val="006645A5"/>
    <w:rsid w:val="00664604"/>
    <w:rsid w:val="00664670"/>
    <w:rsid w:val="0066470E"/>
    <w:rsid w:val="00664797"/>
    <w:rsid w:val="006648F4"/>
    <w:rsid w:val="0066498B"/>
    <w:rsid w:val="006649A7"/>
    <w:rsid w:val="006649B1"/>
    <w:rsid w:val="006649B8"/>
    <w:rsid w:val="00664B66"/>
    <w:rsid w:val="00664BAC"/>
    <w:rsid w:val="00664C5C"/>
    <w:rsid w:val="00664CB8"/>
    <w:rsid w:val="00664CD5"/>
    <w:rsid w:val="00664D7D"/>
    <w:rsid w:val="00664DA8"/>
    <w:rsid w:val="00664DB6"/>
    <w:rsid w:val="00664DCF"/>
    <w:rsid w:val="00664E14"/>
    <w:rsid w:val="00664F0C"/>
    <w:rsid w:val="00665030"/>
    <w:rsid w:val="00665076"/>
    <w:rsid w:val="00665114"/>
    <w:rsid w:val="00665220"/>
    <w:rsid w:val="0066524B"/>
    <w:rsid w:val="006652EC"/>
    <w:rsid w:val="006653D2"/>
    <w:rsid w:val="006654FB"/>
    <w:rsid w:val="00665517"/>
    <w:rsid w:val="00665579"/>
    <w:rsid w:val="00665729"/>
    <w:rsid w:val="00665793"/>
    <w:rsid w:val="006657F5"/>
    <w:rsid w:val="00665A0F"/>
    <w:rsid w:val="00665A2B"/>
    <w:rsid w:val="00665A93"/>
    <w:rsid w:val="00665ACA"/>
    <w:rsid w:val="00665B5B"/>
    <w:rsid w:val="00665C84"/>
    <w:rsid w:val="00665CDA"/>
    <w:rsid w:val="00665CF3"/>
    <w:rsid w:val="00665D0A"/>
    <w:rsid w:val="00665DF4"/>
    <w:rsid w:val="00665E17"/>
    <w:rsid w:val="00665E44"/>
    <w:rsid w:val="00665E80"/>
    <w:rsid w:val="00665E87"/>
    <w:rsid w:val="00665F63"/>
    <w:rsid w:val="0066605A"/>
    <w:rsid w:val="006661F4"/>
    <w:rsid w:val="006664A0"/>
    <w:rsid w:val="006664F3"/>
    <w:rsid w:val="006664F6"/>
    <w:rsid w:val="00666951"/>
    <w:rsid w:val="0066698F"/>
    <w:rsid w:val="006669F7"/>
    <w:rsid w:val="00666B3D"/>
    <w:rsid w:val="00666BA0"/>
    <w:rsid w:val="00666C1E"/>
    <w:rsid w:val="00666CF7"/>
    <w:rsid w:val="00666D54"/>
    <w:rsid w:val="00666D68"/>
    <w:rsid w:val="00666DFD"/>
    <w:rsid w:val="00666E2D"/>
    <w:rsid w:val="0066703D"/>
    <w:rsid w:val="0066703E"/>
    <w:rsid w:val="006670C6"/>
    <w:rsid w:val="0066729F"/>
    <w:rsid w:val="00667308"/>
    <w:rsid w:val="0066734A"/>
    <w:rsid w:val="006673E6"/>
    <w:rsid w:val="00667409"/>
    <w:rsid w:val="006674A1"/>
    <w:rsid w:val="006674F4"/>
    <w:rsid w:val="0066767F"/>
    <w:rsid w:val="0066772F"/>
    <w:rsid w:val="006677C9"/>
    <w:rsid w:val="0066780F"/>
    <w:rsid w:val="00667922"/>
    <w:rsid w:val="00667A32"/>
    <w:rsid w:val="00667C5A"/>
    <w:rsid w:val="00667CB2"/>
    <w:rsid w:val="00667CC2"/>
    <w:rsid w:val="00667CE6"/>
    <w:rsid w:val="00667DB4"/>
    <w:rsid w:val="00667DE9"/>
    <w:rsid w:val="00667E20"/>
    <w:rsid w:val="00667E7D"/>
    <w:rsid w:val="0066F1F4"/>
    <w:rsid w:val="0067000F"/>
    <w:rsid w:val="00670033"/>
    <w:rsid w:val="00670049"/>
    <w:rsid w:val="0067006D"/>
    <w:rsid w:val="006700A5"/>
    <w:rsid w:val="00670137"/>
    <w:rsid w:val="00670151"/>
    <w:rsid w:val="006702FE"/>
    <w:rsid w:val="006703A8"/>
    <w:rsid w:val="006703F3"/>
    <w:rsid w:val="006703F8"/>
    <w:rsid w:val="0067040A"/>
    <w:rsid w:val="0067044A"/>
    <w:rsid w:val="006704D3"/>
    <w:rsid w:val="006705B7"/>
    <w:rsid w:val="006706F4"/>
    <w:rsid w:val="0067074B"/>
    <w:rsid w:val="006707F0"/>
    <w:rsid w:val="006709CB"/>
    <w:rsid w:val="00670A27"/>
    <w:rsid w:val="00670A96"/>
    <w:rsid w:val="00670ACF"/>
    <w:rsid w:val="00670BF2"/>
    <w:rsid w:val="00670C25"/>
    <w:rsid w:val="00670C95"/>
    <w:rsid w:val="00670D25"/>
    <w:rsid w:val="00670E0A"/>
    <w:rsid w:val="00670E3B"/>
    <w:rsid w:val="00670E5F"/>
    <w:rsid w:val="00670E67"/>
    <w:rsid w:val="00670F3D"/>
    <w:rsid w:val="00670FF8"/>
    <w:rsid w:val="00670FFE"/>
    <w:rsid w:val="00671050"/>
    <w:rsid w:val="0067118B"/>
    <w:rsid w:val="00671320"/>
    <w:rsid w:val="00671333"/>
    <w:rsid w:val="006713A3"/>
    <w:rsid w:val="006713EF"/>
    <w:rsid w:val="00671421"/>
    <w:rsid w:val="00671432"/>
    <w:rsid w:val="0067146C"/>
    <w:rsid w:val="00671529"/>
    <w:rsid w:val="0067163D"/>
    <w:rsid w:val="006717D7"/>
    <w:rsid w:val="006717F8"/>
    <w:rsid w:val="00671833"/>
    <w:rsid w:val="00671894"/>
    <w:rsid w:val="00671899"/>
    <w:rsid w:val="006718D0"/>
    <w:rsid w:val="00671A13"/>
    <w:rsid w:val="00671A88"/>
    <w:rsid w:val="00671AC3"/>
    <w:rsid w:val="00671ACB"/>
    <w:rsid w:val="00671C57"/>
    <w:rsid w:val="00671E85"/>
    <w:rsid w:val="00671E8E"/>
    <w:rsid w:val="00671EB5"/>
    <w:rsid w:val="00671F42"/>
    <w:rsid w:val="00671F65"/>
    <w:rsid w:val="00671F73"/>
    <w:rsid w:val="0067200D"/>
    <w:rsid w:val="00672180"/>
    <w:rsid w:val="00672255"/>
    <w:rsid w:val="0067228E"/>
    <w:rsid w:val="006722B1"/>
    <w:rsid w:val="0067232C"/>
    <w:rsid w:val="00672339"/>
    <w:rsid w:val="00672459"/>
    <w:rsid w:val="006724EA"/>
    <w:rsid w:val="0067258C"/>
    <w:rsid w:val="00672688"/>
    <w:rsid w:val="0067270C"/>
    <w:rsid w:val="00672719"/>
    <w:rsid w:val="0067278E"/>
    <w:rsid w:val="0067279E"/>
    <w:rsid w:val="006727FC"/>
    <w:rsid w:val="00672869"/>
    <w:rsid w:val="006728EC"/>
    <w:rsid w:val="0067294F"/>
    <w:rsid w:val="00672985"/>
    <w:rsid w:val="006729FF"/>
    <w:rsid w:val="00672A76"/>
    <w:rsid w:val="00672AD1"/>
    <w:rsid w:val="00672C9E"/>
    <w:rsid w:val="00672D0F"/>
    <w:rsid w:val="00672DCA"/>
    <w:rsid w:val="00672E83"/>
    <w:rsid w:val="00672EBB"/>
    <w:rsid w:val="00672EC1"/>
    <w:rsid w:val="00672EF5"/>
    <w:rsid w:val="00673149"/>
    <w:rsid w:val="0067318A"/>
    <w:rsid w:val="00673291"/>
    <w:rsid w:val="006732B2"/>
    <w:rsid w:val="006732E1"/>
    <w:rsid w:val="0067332B"/>
    <w:rsid w:val="0067332D"/>
    <w:rsid w:val="00673385"/>
    <w:rsid w:val="0067339C"/>
    <w:rsid w:val="0067339F"/>
    <w:rsid w:val="006733D3"/>
    <w:rsid w:val="006733FF"/>
    <w:rsid w:val="00673460"/>
    <w:rsid w:val="006735D4"/>
    <w:rsid w:val="006735E1"/>
    <w:rsid w:val="006735F4"/>
    <w:rsid w:val="00673690"/>
    <w:rsid w:val="00673881"/>
    <w:rsid w:val="00673974"/>
    <w:rsid w:val="00673986"/>
    <w:rsid w:val="006739E4"/>
    <w:rsid w:val="006739EB"/>
    <w:rsid w:val="00673A60"/>
    <w:rsid w:val="00673A84"/>
    <w:rsid w:val="00673B5F"/>
    <w:rsid w:val="00673C0B"/>
    <w:rsid w:val="00673CF7"/>
    <w:rsid w:val="00673DA9"/>
    <w:rsid w:val="00673E10"/>
    <w:rsid w:val="00673E85"/>
    <w:rsid w:val="00673EB1"/>
    <w:rsid w:val="00673EDA"/>
    <w:rsid w:val="00673EE4"/>
    <w:rsid w:val="00673EE5"/>
    <w:rsid w:val="00673F3A"/>
    <w:rsid w:val="0067402C"/>
    <w:rsid w:val="00674197"/>
    <w:rsid w:val="006741DF"/>
    <w:rsid w:val="0067421B"/>
    <w:rsid w:val="00674310"/>
    <w:rsid w:val="006744DA"/>
    <w:rsid w:val="00674501"/>
    <w:rsid w:val="0067462C"/>
    <w:rsid w:val="006746AC"/>
    <w:rsid w:val="006746BF"/>
    <w:rsid w:val="0067471D"/>
    <w:rsid w:val="0067474E"/>
    <w:rsid w:val="0067476F"/>
    <w:rsid w:val="0067481C"/>
    <w:rsid w:val="006748DE"/>
    <w:rsid w:val="0067499B"/>
    <w:rsid w:val="00674AD7"/>
    <w:rsid w:val="00674B96"/>
    <w:rsid w:val="00674C58"/>
    <w:rsid w:val="00674D04"/>
    <w:rsid w:val="00674D39"/>
    <w:rsid w:val="00674E71"/>
    <w:rsid w:val="00674F62"/>
    <w:rsid w:val="00674FA7"/>
    <w:rsid w:val="00674FD8"/>
    <w:rsid w:val="00674FED"/>
    <w:rsid w:val="00675160"/>
    <w:rsid w:val="0067522E"/>
    <w:rsid w:val="006752AC"/>
    <w:rsid w:val="00675304"/>
    <w:rsid w:val="00675379"/>
    <w:rsid w:val="00675455"/>
    <w:rsid w:val="0067546B"/>
    <w:rsid w:val="006755C1"/>
    <w:rsid w:val="00675726"/>
    <w:rsid w:val="00675748"/>
    <w:rsid w:val="00675900"/>
    <w:rsid w:val="00675946"/>
    <w:rsid w:val="00675952"/>
    <w:rsid w:val="006759A8"/>
    <w:rsid w:val="00675A8C"/>
    <w:rsid w:val="00675B74"/>
    <w:rsid w:val="00675C7E"/>
    <w:rsid w:val="00675CB3"/>
    <w:rsid w:val="00675E83"/>
    <w:rsid w:val="00675EE7"/>
    <w:rsid w:val="00675F76"/>
    <w:rsid w:val="0067605F"/>
    <w:rsid w:val="00676087"/>
    <w:rsid w:val="006761BE"/>
    <w:rsid w:val="00676219"/>
    <w:rsid w:val="00676286"/>
    <w:rsid w:val="00676292"/>
    <w:rsid w:val="006764AB"/>
    <w:rsid w:val="006764D9"/>
    <w:rsid w:val="006764E2"/>
    <w:rsid w:val="006764F1"/>
    <w:rsid w:val="00676508"/>
    <w:rsid w:val="0067655B"/>
    <w:rsid w:val="00676687"/>
    <w:rsid w:val="006767DC"/>
    <w:rsid w:val="006768A2"/>
    <w:rsid w:val="00676A34"/>
    <w:rsid w:val="00676AEC"/>
    <w:rsid w:val="00676B8D"/>
    <w:rsid w:val="00676C6F"/>
    <w:rsid w:val="00676CE3"/>
    <w:rsid w:val="00676D4F"/>
    <w:rsid w:val="00676D5B"/>
    <w:rsid w:val="00676E05"/>
    <w:rsid w:val="00676EF5"/>
    <w:rsid w:val="00676EFA"/>
    <w:rsid w:val="00676EFD"/>
    <w:rsid w:val="00676F6C"/>
    <w:rsid w:val="006770C6"/>
    <w:rsid w:val="00677115"/>
    <w:rsid w:val="006771FF"/>
    <w:rsid w:val="006772B4"/>
    <w:rsid w:val="006772F4"/>
    <w:rsid w:val="00677320"/>
    <w:rsid w:val="006773C5"/>
    <w:rsid w:val="0067755C"/>
    <w:rsid w:val="006775B1"/>
    <w:rsid w:val="00677654"/>
    <w:rsid w:val="00677744"/>
    <w:rsid w:val="00677802"/>
    <w:rsid w:val="006778A6"/>
    <w:rsid w:val="00677AF5"/>
    <w:rsid w:val="00677B90"/>
    <w:rsid w:val="00677B92"/>
    <w:rsid w:val="00677C71"/>
    <w:rsid w:val="00677E2B"/>
    <w:rsid w:val="00677F90"/>
    <w:rsid w:val="006801E1"/>
    <w:rsid w:val="00680227"/>
    <w:rsid w:val="0068024A"/>
    <w:rsid w:val="006802A1"/>
    <w:rsid w:val="006802AD"/>
    <w:rsid w:val="006802C6"/>
    <w:rsid w:val="00680327"/>
    <w:rsid w:val="0068041F"/>
    <w:rsid w:val="00680435"/>
    <w:rsid w:val="006805FD"/>
    <w:rsid w:val="00680600"/>
    <w:rsid w:val="00680719"/>
    <w:rsid w:val="00680850"/>
    <w:rsid w:val="006808ED"/>
    <w:rsid w:val="0068095E"/>
    <w:rsid w:val="00680970"/>
    <w:rsid w:val="00680A05"/>
    <w:rsid w:val="00680A40"/>
    <w:rsid w:val="00680AF2"/>
    <w:rsid w:val="00680CBA"/>
    <w:rsid w:val="00680D35"/>
    <w:rsid w:val="00680E15"/>
    <w:rsid w:val="00680EAB"/>
    <w:rsid w:val="00680EC2"/>
    <w:rsid w:val="00680ECF"/>
    <w:rsid w:val="00680F37"/>
    <w:rsid w:val="00680F70"/>
    <w:rsid w:val="00680FF4"/>
    <w:rsid w:val="00680FF7"/>
    <w:rsid w:val="00680FF9"/>
    <w:rsid w:val="0068108F"/>
    <w:rsid w:val="00681123"/>
    <w:rsid w:val="0068114A"/>
    <w:rsid w:val="0068119B"/>
    <w:rsid w:val="006811E2"/>
    <w:rsid w:val="0068122F"/>
    <w:rsid w:val="00681260"/>
    <w:rsid w:val="006812BE"/>
    <w:rsid w:val="006812CD"/>
    <w:rsid w:val="006813E3"/>
    <w:rsid w:val="0068154F"/>
    <w:rsid w:val="00681587"/>
    <w:rsid w:val="0068158A"/>
    <w:rsid w:val="00681621"/>
    <w:rsid w:val="00681802"/>
    <w:rsid w:val="006818C5"/>
    <w:rsid w:val="006818E7"/>
    <w:rsid w:val="006819ED"/>
    <w:rsid w:val="00681A7F"/>
    <w:rsid w:val="00681AA8"/>
    <w:rsid w:val="00681B7E"/>
    <w:rsid w:val="00681BE0"/>
    <w:rsid w:val="00681C0D"/>
    <w:rsid w:val="00681C36"/>
    <w:rsid w:val="00681E4C"/>
    <w:rsid w:val="00681EA3"/>
    <w:rsid w:val="00681FB2"/>
    <w:rsid w:val="0068200C"/>
    <w:rsid w:val="0068206B"/>
    <w:rsid w:val="0068207E"/>
    <w:rsid w:val="006820D3"/>
    <w:rsid w:val="0068211D"/>
    <w:rsid w:val="00682128"/>
    <w:rsid w:val="006821E8"/>
    <w:rsid w:val="00682263"/>
    <w:rsid w:val="00682459"/>
    <w:rsid w:val="00682464"/>
    <w:rsid w:val="00682577"/>
    <w:rsid w:val="006825A6"/>
    <w:rsid w:val="006825F7"/>
    <w:rsid w:val="006826CE"/>
    <w:rsid w:val="006827F0"/>
    <w:rsid w:val="006827F7"/>
    <w:rsid w:val="0068286B"/>
    <w:rsid w:val="006828BB"/>
    <w:rsid w:val="00682A05"/>
    <w:rsid w:val="00682AE8"/>
    <w:rsid w:val="00682BD1"/>
    <w:rsid w:val="00682C85"/>
    <w:rsid w:val="00682D28"/>
    <w:rsid w:val="00682D44"/>
    <w:rsid w:val="00682D97"/>
    <w:rsid w:val="00682DED"/>
    <w:rsid w:val="00682E4A"/>
    <w:rsid w:val="00682E51"/>
    <w:rsid w:val="00682F0B"/>
    <w:rsid w:val="00682FC8"/>
    <w:rsid w:val="00682FC9"/>
    <w:rsid w:val="00683034"/>
    <w:rsid w:val="0068316B"/>
    <w:rsid w:val="006832C3"/>
    <w:rsid w:val="006832E9"/>
    <w:rsid w:val="00683401"/>
    <w:rsid w:val="0068346E"/>
    <w:rsid w:val="00683491"/>
    <w:rsid w:val="00683656"/>
    <w:rsid w:val="006836EF"/>
    <w:rsid w:val="006839D3"/>
    <w:rsid w:val="00683A7F"/>
    <w:rsid w:val="00683AEA"/>
    <w:rsid w:val="00683C9C"/>
    <w:rsid w:val="00683CAE"/>
    <w:rsid w:val="00683DE4"/>
    <w:rsid w:val="00683F7B"/>
    <w:rsid w:val="00683FCC"/>
    <w:rsid w:val="00683FF3"/>
    <w:rsid w:val="006841A3"/>
    <w:rsid w:val="006841ED"/>
    <w:rsid w:val="00684239"/>
    <w:rsid w:val="006843BB"/>
    <w:rsid w:val="00684497"/>
    <w:rsid w:val="0068454A"/>
    <w:rsid w:val="00684666"/>
    <w:rsid w:val="006846B5"/>
    <w:rsid w:val="006848C0"/>
    <w:rsid w:val="00684995"/>
    <w:rsid w:val="00684ADD"/>
    <w:rsid w:val="00684BA3"/>
    <w:rsid w:val="00684C13"/>
    <w:rsid w:val="00684CEE"/>
    <w:rsid w:val="00684E71"/>
    <w:rsid w:val="00684E74"/>
    <w:rsid w:val="00684EB6"/>
    <w:rsid w:val="00684F2E"/>
    <w:rsid w:val="00684FDE"/>
    <w:rsid w:val="0068500C"/>
    <w:rsid w:val="0068503B"/>
    <w:rsid w:val="006850D9"/>
    <w:rsid w:val="006850E5"/>
    <w:rsid w:val="0068519F"/>
    <w:rsid w:val="00685234"/>
    <w:rsid w:val="00685267"/>
    <w:rsid w:val="006852D8"/>
    <w:rsid w:val="006853EF"/>
    <w:rsid w:val="006854C6"/>
    <w:rsid w:val="00685502"/>
    <w:rsid w:val="0068551D"/>
    <w:rsid w:val="00685565"/>
    <w:rsid w:val="00685594"/>
    <w:rsid w:val="00685630"/>
    <w:rsid w:val="006856C6"/>
    <w:rsid w:val="0068574F"/>
    <w:rsid w:val="00685816"/>
    <w:rsid w:val="006858C9"/>
    <w:rsid w:val="0068594D"/>
    <w:rsid w:val="00685A40"/>
    <w:rsid w:val="00685B5F"/>
    <w:rsid w:val="00685BA0"/>
    <w:rsid w:val="00685BC5"/>
    <w:rsid w:val="00685BD8"/>
    <w:rsid w:val="00685BE2"/>
    <w:rsid w:val="00685CB4"/>
    <w:rsid w:val="00685CE7"/>
    <w:rsid w:val="00685D82"/>
    <w:rsid w:val="00685DA0"/>
    <w:rsid w:val="00685DD6"/>
    <w:rsid w:val="00685E65"/>
    <w:rsid w:val="00685E6F"/>
    <w:rsid w:val="00685E74"/>
    <w:rsid w:val="00685EDA"/>
    <w:rsid w:val="00685F43"/>
    <w:rsid w:val="00685FF4"/>
    <w:rsid w:val="00686047"/>
    <w:rsid w:val="006860F7"/>
    <w:rsid w:val="00686100"/>
    <w:rsid w:val="00686182"/>
    <w:rsid w:val="00686198"/>
    <w:rsid w:val="0068621B"/>
    <w:rsid w:val="006862A4"/>
    <w:rsid w:val="00686402"/>
    <w:rsid w:val="0068676E"/>
    <w:rsid w:val="0068679A"/>
    <w:rsid w:val="00686826"/>
    <w:rsid w:val="00686886"/>
    <w:rsid w:val="006868DF"/>
    <w:rsid w:val="00686966"/>
    <w:rsid w:val="0068698C"/>
    <w:rsid w:val="006869BB"/>
    <w:rsid w:val="006869C9"/>
    <w:rsid w:val="00686A24"/>
    <w:rsid w:val="00686A69"/>
    <w:rsid w:val="00686A87"/>
    <w:rsid w:val="00686ACC"/>
    <w:rsid w:val="00686BBC"/>
    <w:rsid w:val="00686BE1"/>
    <w:rsid w:val="00686C29"/>
    <w:rsid w:val="00686CEB"/>
    <w:rsid w:val="00686D04"/>
    <w:rsid w:val="00686DEB"/>
    <w:rsid w:val="00686E6C"/>
    <w:rsid w:val="00686EA7"/>
    <w:rsid w:val="00686EE5"/>
    <w:rsid w:val="00686F99"/>
    <w:rsid w:val="00687028"/>
    <w:rsid w:val="006870B5"/>
    <w:rsid w:val="0068717A"/>
    <w:rsid w:val="00687189"/>
    <w:rsid w:val="006871BD"/>
    <w:rsid w:val="006872B5"/>
    <w:rsid w:val="006872C3"/>
    <w:rsid w:val="0068736F"/>
    <w:rsid w:val="00687438"/>
    <w:rsid w:val="0068764A"/>
    <w:rsid w:val="00687676"/>
    <w:rsid w:val="0068771C"/>
    <w:rsid w:val="0068778B"/>
    <w:rsid w:val="00687903"/>
    <w:rsid w:val="00687A22"/>
    <w:rsid w:val="00687A2A"/>
    <w:rsid w:val="00687A66"/>
    <w:rsid w:val="00687AD0"/>
    <w:rsid w:val="00687B8F"/>
    <w:rsid w:val="00687D1C"/>
    <w:rsid w:val="00687E65"/>
    <w:rsid w:val="00687E70"/>
    <w:rsid w:val="00687ED4"/>
    <w:rsid w:val="00687F35"/>
    <w:rsid w:val="00690074"/>
    <w:rsid w:val="0069009E"/>
    <w:rsid w:val="006900B7"/>
    <w:rsid w:val="00690119"/>
    <w:rsid w:val="0069012C"/>
    <w:rsid w:val="0069029E"/>
    <w:rsid w:val="0069030C"/>
    <w:rsid w:val="00690394"/>
    <w:rsid w:val="00690416"/>
    <w:rsid w:val="006904F7"/>
    <w:rsid w:val="00690523"/>
    <w:rsid w:val="0069055B"/>
    <w:rsid w:val="00690635"/>
    <w:rsid w:val="0069068B"/>
    <w:rsid w:val="006906D1"/>
    <w:rsid w:val="00690716"/>
    <w:rsid w:val="00690739"/>
    <w:rsid w:val="006907E3"/>
    <w:rsid w:val="006907FD"/>
    <w:rsid w:val="0069081D"/>
    <w:rsid w:val="00690930"/>
    <w:rsid w:val="00690953"/>
    <w:rsid w:val="0069097A"/>
    <w:rsid w:val="00690A27"/>
    <w:rsid w:val="00690A2B"/>
    <w:rsid w:val="00690B95"/>
    <w:rsid w:val="00690CC7"/>
    <w:rsid w:val="00690D3D"/>
    <w:rsid w:val="00690D79"/>
    <w:rsid w:val="00690DB8"/>
    <w:rsid w:val="00690DDE"/>
    <w:rsid w:val="00690DE2"/>
    <w:rsid w:val="00690FFC"/>
    <w:rsid w:val="0069102E"/>
    <w:rsid w:val="00691158"/>
    <w:rsid w:val="0069118D"/>
    <w:rsid w:val="006911C0"/>
    <w:rsid w:val="006911D5"/>
    <w:rsid w:val="00691333"/>
    <w:rsid w:val="0069151B"/>
    <w:rsid w:val="0069153A"/>
    <w:rsid w:val="00691607"/>
    <w:rsid w:val="00691624"/>
    <w:rsid w:val="006916E9"/>
    <w:rsid w:val="006917C2"/>
    <w:rsid w:val="006917D0"/>
    <w:rsid w:val="006917E8"/>
    <w:rsid w:val="006918B9"/>
    <w:rsid w:val="00691931"/>
    <w:rsid w:val="0069196A"/>
    <w:rsid w:val="00691A77"/>
    <w:rsid w:val="00691ADE"/>
    <w:rsid w:val="00691B04"/>
    <w:rsid w:val="00691B1A"/>
    <w:rsid w:val="00691B4C"/>
    <w:rsid w:val="00691CC6"/>
    <w:rsid w:val="00691DDC"/>
    <w:rsid w:val="00691E4B"/>
    <w:rsid w:val="00691F03"/>
    <w:rsid w:val="00691F55"/>
    <w:rsid w:val="0069209C"/>
    <w:rsid w:val="006920B9"/>
    <w:rsid w:val="006920FA"/>
    <w:rsid w:val="0069228E"/>
    <w:rsid w:val="00692394"/>
    <w:rsid w:val="00692437"/>
    <w:rsid w:val="006924AC"/>
    <w:rsid w:val="006924D9"/>
    <w:rsid w:val="0069254F"/>
    <w:rsid w:val="00692696"/>
    <w:rsid w:val="006926D4"/>
    <w:rsid w:val="006926DD"/>
    <w:rsid w:val="006927B2"/>
    <w:rsid w:val="006927F7"/>
    <w:rsid w:val="00692835"/>
    <w:rsid w:val="0069288B"/>
    <w:rsid w:val="006928DB"/>
    <w:rsid w:val="00692A25"/>
    <w:rsid w:val="00692A29"/>
    <w:rsid w:val="00692A4B"/>
    <w:rsid w:val="00692A6B"/>
    <w:rsid w:val="00692AA1"/>
    <w:rsid w:val="00692AA7"/>
    <w:rsid w:val="00692D5A"/>
    <w:rsid w:val="00692D9F"/>
    <w:rsid w:val="00692E1D"/>
    <w:rsid w:val="00693003"/>
    <w:rsid w:val="00693052"/>
    <w:rsid w:val="00693073"/>
    <w:rsid w:val="006930CB"/>
    <w:rsid w:val="006932AB"/>
    <w:rsid w:val="006932AF"/>
    <w:rsid w:val="006933EA"/>
    <w:rsid w:val="00693481"/>
    <w:rsid w:val="00693491"/>
    <w:rsid w:val="006934B5"/>
    <w:rsid w:val="006934DA"/>
    <w:rsid w:val="006936BC"/>
    <w:rsid w:val="006936CB"/>
    <w:rsid w:val="00693704"/>
    <w:rsid w:val="0069371C"/>
    <w:rsid w:val="006937AF"/>
    <w:rsid w:val="006937DA"/>
    <w:rsid w:val="00693878"/>
    <w:rsid w:val="006938A1"/>
    <w:rsid w:val="00693BBE"/>
    <w:rsid w:val="00693C63"/>
    <w:rsid w:val="00693C77"/>
    <w:rsid w:val="00693CA6"/>
    <w:rsid w:val="00693DC4"/>
    <w:rsid w:val="00693E94"/>
    <w:rsid w:val="00693EB9"/>
    <w:rsid w:val="00693EC9"/>
    <w:rsid w:val="00693EF8"/>
    <w:rsid w:val="00693F44"/>
    <w:rsid w:val="00694013"/>
    <w:rsid w:val="00694095"/>
    <w:rsid w:val="006940D5"/>
    <w:rsid w:val="0069411B"/>
    <w:rsid w:val="006941D0"/>
    <w:rsid w:val="00694321"/>
    <w:rsid w:val="0069440C"/>
    <w:rsid w:val="0069442D"/>
    <w:rsid w:val="00694493"/>
    <w:rsid w:val="006944C0"/>
    <w:rsid w:val="006944D6"/>
    <w:rsid w:val="0069450A"/>
    <w:rsid w:val="0069452E"/>
    <w:rsid w:val="00694686"/>
    <w:rsid w:val="006946B3"/>
    <w:rsid w:val="006946DF"/>
    <w:rsid w:val="00694762"/>
    <w:rsid w:val="0069477F"/>
    <w:rsid w:val="0069479D"/>
    <w:rsid w:val="00694814"/>
    <w:rsid w:val="006949AB"/>
    <w:rsid w:val="006949AC"/>
    <w:rsid w:val="00694A04"/>
    <w:rsid w:val="00694A30"/>
    <w:rsid w:val="00694AD2"/>
    <w:rsid w:val="00694B2D"/>
    <w:rsid w:val="00694BA4"/>
    <w:rsid w:val="00694BD9"/>
    <w:rsid w:val="00694D5A"/>
    <w:rsid w:val="00694E22"/>
    <w:rsid w:val="00694E37"/>
    <w:rsid w:val="00694E4B"/>
    <w:rsid w:val="00694FC2"/>
    <w:rsid w:val="00694FDA"/>
    <w:rsid w:val="00695115"/>
    <w:rsid w:val="00695159"/>
    <w:rsid w:val="00695161"/>
    <w:rsid w:val="0069542B"/>
    <w:rsid w:val="0069543A"/>
    <w:rsid w:val="0069549E"/>
    <w:rsid w:val="00695507"/>
    <w:rsid w:val="0069550F"/>
    <w:rsid w:val="00695534"/>
    <w:rsid w:val="00695581"/>
    <w:rsid w:val="00695596"/>
    <w:rsid w:val="006955BC"/>
    <w:rsid w:val="00695624"/>
    <w:rsid w:val="00695682"/>
    <w:rsid w:val="0069568C"/>
    <w:rsid w:val="006956A2"/>
    <w:rsid w:val="0069576A"/>
    <w:rsid w:val="006957DA"/>
    <w:rsid w:val="0069583D"/>
    <w:rsid w:val="00695899"/>
    <w:rsid w:val="006958EC"/>
    <w:rsid w:val="006959C7"/>
    <w:rsid w:val="00695A00"/>
    <w:rsid w:val="00695A39"/>
    <w:rsid w:val="00695AEC"/>
    <w:rsid w:val="00695D82"/>
    <w:rsid w:val="00695E6C"/>
    <w:rsid w:val="00695F28"/>
    <w:rsid w:val="00695FAA"/>
    <w:rsid w:val="00696117"/>
    <w:rsid w:val="0069617B"/>
    <w:rsid w:val="0069624B"/>
    <w:rsid w:val="006963EC"/>
    <w:rsid w:val="006965AA"/>
    <w:rsid w:val="0069661B"/>
    <w:rsid w:val="0069663E"/>
    <w:rsid w:val="0069665D"/>
    <w:rsid w:val="00696661"/>
    <w:rsid w:val="00696690"/>
    <w:rsid w:val="006966D5"/>
    <w:rsid w:val="00696775"/>
    <w:rsid w:val="0069679F"/>
    <w:rsid w:val="006968A3"/>
    <w:rsid w:val="00696927"/>
    <w:rsid w:val="00696967"/>
    <w:rsid w:val="00696A88"/>
    <w:rsid w:val="00696AD1"/>
    <w:rsid w:val="00696C19"/>
    <w:rsid w:val="00696C39"/>
    <w:rsid w:val="00696C61"/>
    <w:rsid w:val="00696D1D"/>
    <w:rsid w:val="00696D20"/>
    <w:rsid w:val="00696DBE"/>
    <w:rsid w:val="00696DC4"/>
    <w:rsid w:val="00696DC8"/>
    <w:rsid w:val="00696DF0"/>
    <w:rsid w:val="00696E0D"/>
    <w:rsid w:val="00696E5F"/>
    <w:rsid w:val="00696EF0"/>
    <w:rsid w:val="00696FFB"/>
    <w:rsid w:val="0069714E"/>
    <w:rsid w:val="00697173"/>
    <w:rsid w:val="006971B2"/>
    <w:rsid w:val="0069724A"/>
    <w:rsid w:val="00697442"/>
    <w:rsid w:val="006974E3"/>
    <w:rsid w:val="00697520"/>
    <w:rsid w:val="00697575"/>
    <w:rsid w:val="006976EF"/>
    <w:rsid w:val="00697781"/>
    <w:rsid w:val="006979AE"/>
    <w:rsid w:val="00697A8F"/>
    <w:rsid w:val="00697C29"/>
    <w:rsid w:val="00697C39"/>
    <w:rsid w:val="00697C8E"/>
    <w:rsid w:val="00697D40"/>
    <w:rsid w:val="00697F01"/>
    <w:rsid w:val="00697F88"/>
    <w:rsid w:val="00697F94"/>
    <w:rsid w:val="006A0004"/>
    <w:rsid w:val="006A010B"/>
    <w:rsid w:val="006A0299"/>
    <w:rsid w:val="006A02E0"/>
    <w:rsid w:val="006A037B"/>
    <w:rsid w:val="006A03D0"/>
    <w:rsid w:val="006A03E0"/>
    <w:rsid w:val="006A048B"/>
    <w:rsid w:val="006A0625"/>
    <w:rsid w:val="006A0703"/>
    <w:rsid w:val="006A0757"/>
    <w:rsid w:val="006A0888"/>
    <w:rsid w:val="006A08F0"/>
    <w:rsid w:val="006A0975"/>
    <w:rsid w:val="006A09BC"/>
    <w:rsid w:val="006A09C5"/>
    <w:rsid w:val="006A0AA8"/>
    <w:rsid w:val="006A0B09"/>
    <w:rsid w:val="006A0B56"/>
    <w:rsid w:val="006A0C32"/>
    <w:rsid w:val="006A0C76"/>
    <w:rsid w:val="006A0C7F"/>
    <w:rsid w:val="006A0C95"/>
    <w:rsid w:val="006A0CBC"/>
    <w:rsid w:val="006A0D43"/>
    <w:rsid w:val="006A0DFD"/>
    <w:rsid w:val="006A0E36"/>
    <w:rsid w:val="006A0EEF"/>
    <w:rsid w:val="006A0F6C"/>
    <w:rsid w:val="006A0FB5"/>
    <w:rsid w:val="006A110D"/>
    <w:rsid w:val="006A1271"/>
    <w:rsid w:val="006A127E"/>
    <w:rsid w:val="006A12B7"/>
    <w:rsid w:val="006A145D"/>
    <w:rsid w:val="006A1556"/>
    <w:rsid w:val="006A1675"/>
    <w:rsid w:val="006A16B4"/>
    <w:rsid w:val="006A180C"/>
    <w:rsid w:val="006A182B"/>
    <w:rsid w:val="006A184B"/>
    <w:rsid w:val="006A1857"/>
    <w:rsid w:val="006A198A"/>
    <w:rsid w:val="006A19B1"/>
    <w:rsid w:val="006A19D6"/>
    <w:rsid w:val="006A19E9"/>
    <w:rsid w:val="006A1B7A"/>
    <w:rsid w:val="006A1BBB"/>
    <w:rsid w:val="006A1C99"/>
    <w:rsid w:val="006A1CD4"/>
    <w:rsid w:val="006A1CF3"/>
    <w:rsid w:val="006A1DC6"/>
    <w:rsid w:val="006A1E48"/>
    <w:rsid w:val="006A1E50"/>
    <w:rsid w:val="006A1F2D"/>
    <w:rsid w:val="006A1F2F"/>
    <w:rsid w:val="006A1F5C"/>
    <w:rsid w:val="006A1F84"/>
    <w:rsid w:val="006A1FB8"/>
    <w:rsid w:val="006A208C"/>
    <w:rsid w:val="006A21C4"/>
    <w:rsid w:val="006A224C"/>
    <w:rsid w:val="006A24BD"/>
    <w:rsid w:val="006A258F"/>
    <w:rsid w:val="006A25EC"/>
    <w:rsid w:val="006A262A"/>
    <w:rsid w:val="006A2745"/>
    <w:rsid w:val="006A282B"/>
    <w:rsid w:val="006A28AF"/>
    <w:rsid w:val="006A291D"/>
    <w:rsid w:val="006A293C"/>
    <w:rsid w:val="006A2B0A"/>
    <w:rsid w:val="006A2C5B"/>
    <w:rsid w:val="006A2D34"/>
    <w:rsid w:val="006A2DC9"/>
    <w:rsid w:val="006A2DE0"/>
    <w:rsid w:val="006A2DF7"/>
    <w:rsid w:val="006A2EE9"/>
    <w:rsid w:val="006A2EFE"/>
    <w:rsid w:val="006A2F1F"/>
    <w:rsid w:val="006A2FA3"/>
    <w:rsid w:val="006A30F4"/>
    <w:rsid w:val="006A30FF"/>
    <w:rsid w:val="006A3182"/>
    <w:rsid w:val="006A3255"/>
    <w:rsid w:val="006A32F6"/>
    <w:rsid w:val="006A333B"/>
    <w:rsid w:val="006A337C"/>
    <w:rsid w:val="006A342B"/>
    <w:rsid w:val="006A34FE"/>
    <w:rsid w:val="006A3561"/>
    <w:rsid w:val="006A3624"/>
    <w:rsid w:val="006A3655"/>
    <w:rsid w:val="006A36CE"/>
    <w:rsid w:val="006A36E1"/>
    <w:rsid w:val="006A370D"/>
    <w:rsid w:val="006A381B"/>
    <w:rsid w:val="006A38D9"/>
    <w:rsid w:val="006A39E4"/>
    <w:rsid w:val="006A3A74"/>
    <w:rsid w:val="006A3A96"/>
    <w:rsid w:val="006A3B2A"/>
    <w:rsid w:val="006A3BA5"/>
    <w:rsid w:val="006A3CAB"/>
    <w:rsid w:val="006A3D9E"/>
    <w:rsid w:val="006A3DE3"/>
    <w:rsid w:val="006A3DEE"/>
    <w:rsid w:val="006A3E4B"/>
    <w:rsid w:val="006A3E92"/>
    <w:rsid w:val="006A3F33"/>
    <w:rsid w:val="006A3F7D"/>
    <w:rsid w:val="006A3FC1"/>
    <w:rsid w:val="006A40D2"/>
    <w:rsid w:val="006A4116"/>
    <w:rsid w:val="006A415B"/>
    <w:rsid w:val="006A41D1"/>
    <w:rsid w:val="006A44C5"/>
    <w:rsid w:val="006A44D6"/>
    <w:rsid w:val="006A4544"/>
    <w:rsid w:val="006A4596"/>
    <w:rsid w:val="006A45A6"/>
    <w:rsid w:val="006A45BA"/>
    <w:rsid w:val="006A468E"/>
    <w:rsid w:val="006A46B6"/>
    <w:rsid w:val="006A46E8"/>
    <w:rsid w:val="006A46F3"/>
    <w:rsid w:val="006A4816"/>
    <w:rsid w:val="006A4882"/>
    <w:rsid w:val="006A48C5"/>
    <w:rsid w:val="006A492E"/>
    <w:rsid w:val="006A4991"/>
    <w:rsid w:val="006A49EA"/>
    <w:rsid w:val="006A4AA1"/>
    <w:rsid w:val="006A4B27"/>
    <w:rsid w:val="006A4B45"/>
    <w:rsid w:val="006A4BA8"/>
    <w:rsid w:val="006A4D35"/>
    <w:rsid w:val="006A4D57"/>
    <w:rsid w:val="006A4D77"/>
    <w:rsid w:val="006A501B"/>
    <w:rsid w:val="006A50B1"/>
    <w:rsid w:val="006A510A"/>
    <w:rsid w:val="006A517D"/>
    <w:rsid w:val="006A5348"/>
    <w:rsid w:val="006A570D"/>
    <w:rsid w:val="006A571E"/>
    <w:rsid w:val="006A5813"/>
    <w:rsid w:val="006A5894"/>
    <w:rsid w:val="006A5941"/>
    <w:rsid w:val="006A59FE"/>
    <w:rsid w:val="006A5AFC"/>
    <w:rsid w:val="006A5B7F"/>
    <w:rsid w:val="006A5BEF"/>
    <w:rsid w:val="006A5C37"/>
    <w:rsid w:val="006A5C47"/>
    <w:rsid w:val="006A5CD6"/>
    <w:rsid w:val="006A5D13"/>
    <w:rsid w:val="006A5EA9"/>
    <w:rsid w:val="006A5F02"/>
    <w:rsid w:val="006A5F76"/>
    <w:rsid w:val="006A61D3"/>
    <w:rsid w:val="006A62D2"/>
    <w:rsid w:val="006A62E9"/>
    <w:rsid w:val="006A638C"/>
    <w:rsid w:val="006A63D3"/>
    <w:rsid w:val="006A64B5"/>
    <w:rsid w:val="006A64C6"/>
    <w:rsid w:val="006A668A"/>
    <w:rsid w:val="006A66C5"/>
    <w:rsid w:val="006A670F"/>
    <w:rsid w:val="006A6767"/>
    <w:rsid w:val="006A67B7"/>
    <w:rsid w:val="006A68EB"/>
    <w:rsid w:val="006A690D"/>
    <w:rsid w:val="006A695F"/>
    <w:rsid w:val="006A69C3"/>
    <w:rsid w:val="006A6A53"/>
    <w:rsid w:val="006A6A6E"/>
    <w:rsid w:val="006A6B2F"/>
    <w:rsid w:val="006A6B43"/>
    <w:rsid w:val="006A6B76"/>
    <w:rsid w:val="006A6B7C"/>
    <w:rsid w:val="006A6C32"/>
    <w:rsid w:val="006A6CBC"/>
    <w:rsid w:val="006A6D3E"/>
    <w:rsid w:val="006A6DD0"/>
    <w:rsid w:val="006A6DDA"/>
    <w:rsid w:val="006A6E23"/>
    <w:rsid w:val="006A6F77"/>
    <w:rsid w:val="006A6F97"/>
    <w:rsid w:val="006A701E"/>
    <w:rsid w:val="006A703D"/>
    <w:rsid w:val="006A70F4"/>
    <w:rsid w:val="006A7186"/>
    <w:rsid w:val="006A71D6"/>
    <w:rsid w:val="006A727C"/>
    <w:rsid w:val="006A7290"/>
    <w:rsid w:val="006A72AE"/>
    <w:rsid w:val="006A7304"/>
    <w:rsid w:val="006A7319"/>
    <w:rsid w:val="006A7343"/>
    <w:rsid w:val="006A734E"/>
    <w:rsid w:val="006A7383"/>
    <w:rsid w:val="006A73B0"/>
    <w:rsid w:val="006A7499"/>
    <w:rsid w:val="006A74E7"/>
    <w:rsid w:val="006A75A8"/>
    <w:rsid w:val="006A7686"/>
    <w:rsid w:val="006A775A"/>
    <w:rsid w:val="006A7801"/>
    <w:rsid w:val="006A7819"/>
    <w:rsid w:val="006A7829"/>
    <w:rsid w:val="006A7875"/>
    <w:rsid w:val="006A78A1"/>
    <w:rsid w:val="006A799B"/>
    <w:rsid w:val="006A7B99"/>
    <w:rsid w:val="006A7C29"/>
    <w:rsid w:val="006A7C51"/>
    <w:rsid w:val="006A7CA1"/>
    <w:rsid w:val="006A7D0D"/>
    <w:rsid w:val="006A7DBE"/>
    <w:rsid w:val="006A7EA3"/>
    <w:rsid w:val="006A7F40"/>
    <w:rsid w:val="006A7F6F"/>
    <w:rsid w:val="006A7FA1"/>
    <w:rsid w:val="006A7FCA"/>
    <w:rsid w:val="006B0031"/>
    <w:rsid w:val="006B0038"/>
    <w:rsid w:val="006B0069"/>
    <w:rsid w:val="006B016C"/>
    <w:rsid w:val="006B01AD"/>
    <w:rsid w:val="006B0204"/>
    <w:rsid w:val="006B0209"/>
    <w:rsid w:val="006B021D"/>
    <w:rsid w:val="006B0296"/>
    <w:rsid w:val="006B02AA"/>
    <w:rsid w:val="006B02F6"/>
    <w:rsid w:val="006B03ED"/>
    <w:rsid w:val="006B043F"/>
    <w:rsid w:val="006B04D0"/>
    <w:rsid w:val="006B04E6"/>
    <w:rsid w:val="006B04ED"/>
    <w:rsid w:val="006B0507"/>
    <w:rsid w:val="006B05AE"/>
    <w:rsid w:val="006B05B8"/>
    <w:rsid w:val="006B05DB"/>
    <w:rsid w:val="006B05DC"/>
    <w:rsid w:val="006B0608"/>
    <w:rsid w:val="006B0620"/>
    <w:rsid w:val="006B0638"/>
    <w:rsid w:val="006B07A2"/>
    <w:rsid w:val="006B08BE"/>
    <w:rsid w:val="006B08FD"/>
    <w:rsid w:val="006B0977"/>
    <w:rsid w:val="006B0A51"/>
    <w:rsid w:val="006B0AF1"/>
    <w:rsid w:val="006B0AFE"/>
    <w:rsid w:val="006B0B26"/>
    <w:rsid w:val="006B0BD6"/>
    <w:rsid w:val="006B0CB6"/>
    <w:rsid w:val="006B0D19"/>
    <w:rsid w:val="006B0D47"/>
    <w:rsid w:val="006B0D5E"/>
    <w:rsid w:val="006B0D7F"/>
    <w:rsid w:val="006B0EAD"/>
    <w:rsid w:val="006B0EB7"/>
    <w:rsid w:val="006B0F41"/>
    <w:rsid w:val="006B1031"/>
    <w:rsid w:val="006B107A"/>
    <w:rsid w:val="006B113C"/>
    <w:rsid w:val="006B1172"/>
    <w:rsid w:val="006B1185"/>
    <w:rsid w:val="006B11AF"/>
    <w:rsid w:val="006B11F4"/>
    <w:rsid w:val="006B1202"/>
    <w:rsid w:val="006B1236"/>
    <w:rsid w:val="006B12DA"/>
    <w:rsid w:val="006B135C"/>
    <w:rsid w:val="006B1528"/>
    <w:rsid w:val="006B1536"/>
    <w:rsid w:val="006B16AE"/>
    <w:rsid w:val="006B173A"/>
    <w:rsid w:val="006B17BE"/>
    <w:rsid w:val="006B17C7"/>
    <w:rsid w:val="006B17F3"/>
    <w:rsid w:val="006B17F8"/>
    <w:rsid w:val="006B1902"/>
    <w:rsid w:val="006B1946"/>
    <w:rsid w:val="006B1A60"/>
    <w:rsid w:val="006B1B91"/>
    <w:rsid w:val="006B1C8F"/>
    <w:rsid w:val="006B1CDE"/>
    <w:rsid w:val="006B1D1E"/>
    <w:rsid w:val="006B1D40"/>
    <w:rsid w:val="006B1E01"/>
    <w:rsid w:val="006B1E48"/>
    <w:rsid w:val="006B1E4B"/>
    <w:rsid w:val="006B1E81"/>
    <w:rsid w:val="006B1F12"/>
    <w:rsid w:val="006B1F7B"/>
    <w:rsid w:val="006B1FA3"/>
    <w:rsid w:val="006B205D"/>
    <w:rsid w:val="006B2132"/>
    <w:rsid w:val="006B2134"/>
    <w:rsid w:val="006B21A1"/>
    <w:rsid w:val="006B222A"/>
    <w:rsid w:val="006B2289"/>
    <w:rsid w:val="006B2308"/>
    <w:rsid w:val="006B233D"/>
    <w:rsid w:val="006B2369"/>
    <w:rsid w:val="006B24EA"/>
    <w:rsid w:val="006B24F3"/>
    <w:rsid w:val="006B257E"/>
    <w:rsid w:val="006B2580"/>
    <w:rsid w:val="006B25A2"/>
    <w:rsid w:val="006B25FB"/>
    <w:rsid w:val="006B2637"/>
    <w:rsid w:val="006B2678"/>
    <w:rsid w:val="006B268C"/>
    <w:rsid w:val="006B26D6"/>
    <w:rsid w:val="006B27B5"/>
    <w:rsid w:val="006B27B6"/>
    <w:rsid w:val="006B27EE"/>
    <w:rsid w:val="006B28A1"/>
    <w:rsid w:val="006B28C6"/>
    <w:rsid w:val="006B2962"/>
    <w:rsid w:val="006B29C9"/>
    <w:rsid w:val="006B29E4"/>
    <w:rsid w:val="006B2A0A"/>
    <w:rsid w:val="006B2BC6"/>
    <w:rsid w:val="006B2BFE"/>
    <w:rsid w:val="006B2C42"/>
    <w:rsid w:val="006B2CAC"/>
    <w:rsid w:val="006B2D61"/>
    <w:rsid w:val="006B2D7C"/>
    <w:rsid w:val="006B2DCD"/>
    <w:rsid w:val="006B2DE9"/>
    <w:rsid w:val="006B2E18"/>
    <w:rsid w:val="006B2E19"/>
    <w:rsid w:val="006B2EDF"/>
    <w:rsid w:val="006B2EEB"/>
    <w:rsid w:val="006B2F35"/>
    <w:rsid w:val="006B3003"/>
    <w:rsid w:val="006B3016"/>
    <w:rsid w:val="006B31B5"/>
    <w:rsid w:val="006B3263"/>
    <w:rsid w:val="006B32A0"/>
    <w:rsid w:val="006B3327"/>
    <w:rsid w:val="006B33B0"/>
    <w:rsid w:val="006B33D2"/>
    <w:rsid w:val="006B3407"/>
    <w:rsid w:val="006B34F6"/>
    <w:rsid w:val="006B358B"/>
    <w:rsid w:val="006B3595"/>
    <w:rsid w:val="006B3659"/>
    <w:rsid w:val="006B36A2"/>
    <w:rsid w:val="006B36C5"/>
    <w:rsid w:val="006B37ED"/>
    <w:rsid w:val="006B37F1"/>
    <w:rsid w:val="006B3928"/>
    <w:rsid w:val="006B3A7F"/>
    <w:rsid w:val="006B3AC2"/>
    <w:rsid w:val="006B3B96"/>
    <w:rsid w:val="006B3BF7"/>
    <w:rsid w:val="006B3C36"/>
    <w:rsid w:val="006B3DC5"/>
    <w:rsid w:val="006B3E89"/>
    <w:rsid w:val="006B3FBF"/>
    <w:rsid w:val="006B4072"/>
    <w:rsid w:val="006B413D"/>
    <w:rsid w:val="006B4165"/>
    <w:rsid w:val="006B41B8"/>
    <w:rsid w:val="006B4253"/>
    <w:rsid w:val="006B4290"/>
    <w:rsid w:val="006B4333"/>
    <w:rsid w:val="006B441B"/>
    <w:rsid w:val="006B441E"/>
    <w:rsid w:val="006B4461"/>
    <w:rsid w:val="006B4471"/>
    <w:rsid w:val="006B44F3"/>
    <w:rsid w:val="006B45F0"/>
    <w:rsid w:val="006B462D"/>
    <w:rsid w:val="006B46A1"/>
    <w:rsid w:val="006B46B9"/>
    <w:rsid w:val="006B477D"/>
    <w:rsid w:val="006B47FC"/>
    <w:rsid w:val="006B4874"/>
    <w:rsid w:val="006B4903"/>
    <w:rsid w:val="006B495A"/>
    <w:rsid w:val="006B4A9F"/>
    <w:rsid w:val="006B4AED"/>
    <w:rsid w:val="006B4B60"/>
    <w:rsid w:val="006B4BE3"/>
    <w:rsid w:val="006B4D4E"/>
    <w:rsid w:val="006B4E5D"/>
    <w:rsid w:val="006B4ED8"/>
    <w:rsid w:val="006B4EFF"/>
    <w:rsid w:val="006B4F0B"/>
    <w:rsid w:val="006B5005"/>
    <w:rsid w:val="006B518C"/>
    <w:rsid w:val="006B529B"/>
    <w:rsid w:val="006B5561"/>
    <w:rsid w:val="006B55A5"/>
    <w:rsid w:val="006B55C9"/>
    <w:rsid w:val="006B55E7"/>
    <w:rsid w:val="006B55F9"/>
    <w:rsid w:val="006B5648"/>
    <w:rsid w:val="006B5677"/>
    <w:rsid w:val="006B5696"/>
    <w:rsid w:val="006B56B6"/>
    <w:rsid w:val="006B5741"/>
    <w:rsid w:val="006B5837"/>
    <w:rsid w:val="006B588D"/>
    <w:rsid w:val="006B58A3"/>
    <w:rsid w:val="006B58BF"/>
    <w:rsid w:val="006B5AE7"/>
    <w:rsid w:val="006B5B28"/>
    <w:rsid w:val="006B5C93"/>
    <w:rsid w:val="006B5CC2"/>
    <w:rsid w:val="006B5D91"/>
    <w:rsid w:val="006B5E2B"/>
    <w:rsid w:val="006B5F0E"/>
    <w:rsid w:val="006B5F2D"/>
    <w:rsid w:val="006B5F40"/>
    <w:rsid w:val="006B5F59"/>
    <w:rsid w:val="006B5F71"/>
    <w:rsid w:val="006B5F7A"/>
    <w:rsid w:val="006B5FF1"/>
    <w:rsid w:val="006B60D7"/>
    <w:rsid w:val="006B61B3"/>
    <w:rsid w:val="006B61BF"/>
    <w:rsid w:val="006B62BB"/>
    <w:rsid w:val="006B62E9"/>
    <w:rsid w:val="006B62F1"/>
    <w:rsid w:val="006B6413"/>
    <w:rsid w:val="006B642B"/>
    <w:rsid w:val="006B64B1"/>
    <w:rsid w:val="006B64B6"/>
    <w:rsid w:val="006B67FF"/>
    <w:rsid w:val="006B6815"/>
    <w:rsid w:val="006B69BF"/>
    <w:rsid w:val="006B69CE"/>
    <w:rsid w:val="006B6A1A"/>
    <w:rsid w:val="006B6A5F"/>
    <w:rsid w:val="006B6BF1"/>
    <w:rsid w:val="006B6DE4"/>
    <w:rsid w:val="006B6EB1"/>
    <w:rsid w:val="006B7047"/>
    <w:rsid w:val="006B708C"/>
    <w:rsid w:val="006B70A0"/>
    <w:rsid w:val="006B717A"/>
    <w:rsid w:val="006B719F"/>
    <w:rsid w:val="006B72F2"/>
    <w:rsid w:val="006B7361"/>
    <w:rsid w:val="006B73DD"/>
    <w:rsid w:val="006B73FD"/>
    <w:rsid w:val="006B743E"/>
    <w:rsid w:val="006B748D"/>
    <w:rsid w:val="006B753D"/>
    <w:rsid w:val="006B7623"/>
    <w:rsid w:val="006B762D"/>
    <w:rsid w:val="006B769A"/>
    <w:rsid w:val="006B7859"/>
    <w:rsid w:val="006B786D"/>
    <w:rsid w:val="006B791D"/>
    <w:rsid w:val="006B797E"/>
    <w:rsid w:val="006B79FE"/>
    <w:rsid w:val="006B7A5E"/>
    <w:rsid w:val="006B7AA4"/>
    <w:rsid w:val="006B7AE0"/>
    <w:rsid w:val="006B7AE5"/>
    <w:rsid w:val="006B7B92"/>
    <w:rsid w:val="006B7BEE"/>
    <w:rsid w:val="006B7C57"/>
    <w:rsid w:val="006B7CFC"/>
    <w:rsid w:val="006B7D4F"/>
    <w:rsid w:val="006B7DCC"/>
    <w:rsid w:val="006B7F18"/>
    <w:rsid w:val="006B7F5E"/>
    <w:rsid w:val="006B7F94"/>
    <w:rsid w:val="006C00DA"/>
    <w:rsid w:val="006C00E3"/>
    <w:rsid w:val="006C01AA"/>
    <w:rsid w:val="006C01F1"/>
    <w:rsid w:val="006C02F3"/>
    <w:rsid w:val="006C0319"/>
    <w:rsid w:val="006C0326"/>
    <w:rsid w:val="006C0375"/>
    <w:rsid w:val="006C03BD"/>
    <w:rsid w:val="006C0629"/>
    <w:rsid w:val="006C06A2"/>
    <w:rsid w:val="006C06E5"/>
    <w:rsid w:val="006C06EF"/>
    <w:rsid w:val="006C0750"/>
    <w:rsid w:val="006C07E6"/>
    <w:rsid w:val="006C0819"/>
    <w:rsid w:val="006C081C"/>
    <w:rsid w:val="006C084D"/>
    <w:rsid w:val="006C0D58"/>
    <w:rsid w:val="006C0ECE"/>
    <w:rsid w:val="006C0F28"/>
    <w:rsid w:val="006C0FD3"/>
    <w:rsid w:val="006C0FED"/>
    <w:rsid w:val="006C10CB"/>
    <w:rsid w:val="006C112C"/>
    <w:rsid w:val="006C1175"/>
    <w:rsid w:val="006C11AC"/>
    <w:rsid w:val="006C11CF"/>
    <w:rsid w:val="006C12D2"/>
    <w:rsid w:val="006C138A"/>
    <w:rsid w:val="006C13A7"/>
    <w:rsid w:val="006C13F0"/>
    <w:rsid w:val="006C1467"/>
    <w:rsid w:val="006C1478"/>
    <w:rsid w:val="006C150C"/>
    <w:rsid w:val="006C1522"/>
    <w:rsid w:val="006C1549"/>
    <w:rsid w:val="006C159D"/>
    <w:rsid w:val="006C15AE"/>
    <w:rsid w:val="006C163C"/>
    <w:rsid w:val="006C16AF"/>
    <w:rsid w:val="006C16B2"/>
    <w:rsid w:val="006C16FF"/>
    <w:rsid w:val="006C177E"/>
    <w:rsid w:val="006C179E"/>
    <w:rsid w:val="006C19A7"/>
    <w:rsid w:val="006C1A89"/>
    <w:rsid w:val="006C1B5B"/>
    <w:rsid w:val="006C1BE5"/>
    <w:rsid w:val="006C1D33"/>
    <w:rsid w:val="006C1D73"/>
    <w:rsid w:val="006C1E05"/>
    <w:rsid w:val="006C1E53"/>
    <w:rsid w:val="006C1E5C"/>
    <w:rsid w:val="006C1EE1"/>
    <w:rsid w:val="006C2096"/>
    <w:rsid w:val="006C20A3"/>
    <w:rsid w:val="006C2108"/>
    <w:rsid w:val="006C216F"/>
    <w:rsid w:val="006C2203"/>
    <w:rsid w:val="006C2296"/>
    <w:rsid w:val="006C22CE"/>
    <w:rsid w:val="006C22EB"/>
    <w:rsid w:val="006C2370"/>
    <w:rsid w:val="006C23EF"/>
    <w:rsid w:val="006C2430"/>
    <w:rsid w:val="006C249E"/>
    <w:rsid w:val="006C261F"/>
    <w:rsid w:val="006C2676"/>
    <w:rsid w:val="006C276D"/>
    <w:rsid w:val="006C278A"/>
    <w:rsid w:val="006C27AF"/>
    <w:rsid w:val="006C2946"/>
    <w:rsid w:val="006C295B"/>
    <w:rsid w:val="006C297A"/>
    <w:rsid w:val="006C2998"/>
    <w:rsid w:val="006C2A27"/>
    <w:rsid w:val="006C2AF0"/>
    <w:rsid w:val="006C2C6B"/>
    <w:rsid w:val="006C2DCC"/>
    <w:rsid w:val="006C2DF8"/>
    <w:rsid w:val="006C2E21"/>
    <w:rsid w:val="006C2F8F"/>
    <w:rsid w:val="006C2FB5"/>
    <w:rsid w:val="006C3009"/>
    <w:rsid w:val="006C302E"/>
    <w:rsid w:val="006C3245"/>
    <w:rsid w:val="006C33E5"/>
    <w:rsid w:val="006C3414"/>
    <w:rsid w:val="006C349B"/>
    <w:rsid w:val="006C3549"/>
    <w:rsid w:val="006C35B4"/>
    <w:rsid w:val="006C3642"/>
    <w:rsid w:val="006C3849"/>
    <w:rsid w:val="006C3852"/>
    <w:rsid w:val="006C3990"/>
    <w:rsid w:val="006C3B11"/>
    <w:rsid w:val="006C3CB1"/>
    <w:rsid w:val="006C3D24"/>
    <w:rsid w:val="006C3D94"/>
    <w:rsid w:val="006C3EA9"/>
    <w:rsid w:val="006C3F77"/>
    <w:rsid w:val="006C3F7F"/>
    <w:rsid w:val="006C3FE3"/>
    <w:rsid w:val="006C4093"/>
    <w:rsid w:val="006C40FE"/>
    <w:rsid w:val="006C41B8"/>
    <w:rsid w:val="006C41E3"/>
    <w:rsid w:val="006C4290"/>
    <w:rsid w:val="006C429F"/>
    <w:rsid w:val="006C42AD"/>
    <w:rsid w:val="006C42B0"/>
    <w:rsid w:val="006C4452"/>
    <w:rsid w:val="006C4470"/>
    <w:rsid w:val="006C44FD"/>
    <w:rsid w:val="006C452E"/>
    <w:rsid w:val="006C454E"/>
    <w:rsid w:val="006C4562"/>
    <w:rsid w:val="006C4566"/>
    <w:rsid w:val="006C46AC"/>
    <w:rsid w:val="006C473E"/>
    <w:rsid w:val="006C48C6"/>
    <w:rsid w:val="006C4A75"/>
    <w:rsid w:val="006C4B22"/>
    <w:rsid w:val="006C4BBD"/>
    <w:rsid w:val="006C4C03"/>
    <w:rsid w:val="006C4C15"/>
    <w:rsid w:val="006C4CC7"/>
    <w:rsid w:val="006C4D41"/>
    <w:rsid w:val="006C4E74"/>
    <w:rsid w:val="006C4F57"/>
    <w:rsid w:val="006C4F8B"/>
    <w:rsid w:val="006C501A"/>
    <w:rsid w:val="006C5118"/>
    <w:rsid w:val="006C5145"/>
    <w:rsid w:val="006C5153"/>
    <w:rsid w:val="006C51CA"/>
    <w:rsid w:val="006C521E"/>
    <w:rsid w:val="006C537C"/>
    <w:rsid w:val="006C540D"/>
    <w:rsid w:val="006C547F"/>
    <w:rsid w:val="006C548F"/>
    <w:rsid w:val="006C557B"/>
    <w:rsid w:val="006C55AB"/>
    <w:rsid w:val="006C5647"/>
    <w:rsid w:val="006C571F"/>
    <w:rsid w:val="006C574E"/>
    <w:rsid w:val="006C57DD"/>
    <w:rsid w:val="006C584A"/>
    <w:rsid w:val="006C5927"/>
    <w:rsid w:val="006C5B00"/>
    <w:rsid w:val="006C5B7A"/>
    <w:rsid w:val="006C5B9F"/>
    <w:rsid w:val="006C5C8E"/>
    <w:rsid w:val="006C5CB4"/>
    <w:rsid w:val="006C5ECB"/>
    <w:rsid w:val="006C6016"/>
    <w:rsid w:val="006C6122"/>
    <w:rsid w:val="006C619D"/>
    <w:rsid w:val="006C61C5"/>
    <w:rsid w:val="006C6205"/>
    <w:rsid w:val="006C6294"/>
    <w:rsid w:val="006C6389"/>
    <w:rsid w:val="006C63A2"/>
    <w:rsid w:val="006C64B7"/>
    <w:rsid w:val="006C64D0"/>
    <w:rsid w:val="006C64F8"/>
    <w:rsid w:val="006C64FE"/>
    <w:rsid w:val="006C65B5"/>
    <w:rsid w:val="006C65D9"/>
    <w:rsid w:val="006C6602"/>
    <w:rsid w:val="006C67D7"/>
    <w:rsid w:val="006C6841"/>
    <w:rsid w:val="006C6858"/>
    <w:rsid w:val="006C68FC"/>
    <w:rsid w:val="006C696D"/>
    <w:rsid w:val="006C69A7"/>
    <w:rsid w:val="006C6AEE"/>
    <w:rsid w:val="006C6BA8"/>
    <w:rsid w:val="006C6BD8"/>
    <w:rsid w:val="006C6BEF"/>
    <w:rsid w:val="006C6C9F"/>
    <w:rsid w:val="006C6D27"/>
    <w:rsid w:val="006C6D75"/>
    <w:rsid w:val="006C6E36"/>
    <w:rsid w:val="006C6F22"/>
    <w:rsid w:val="006C6F4D"/>
    <w:rsid w:val="006C6F53"/>
    <w:rsid w:val="006C6F92"/>
    <w:rsid w:val="006C6FA9"/>
    <w:rsid w:val="006C7046"/>
    <w:rsid w:val="006C71DD"/>
    <w:rsid w:val="006C74B0"/>
    <w:rsid w:val="006C7585"/>
    <w:rsid w:val="006C7599"/>
    <w:rsid w:val="006C7735"/>
    <w:rsid w:val="006C776F"/>
    <w:rsid w:val="006C7846"/>
    <w:rsid w:val="006C7856"/>
    <w:rsid w:val="006C7880"/>
    <w:rsid w:val="006C788D"/>
    <w:rsid w:val="006C78DB"/>
    <w:rsid w:val="006C78DC"/>
    <w:rsid w:val="006C790C"/>
    <w:rsid w:val="006C7934"/>
    <w:rsid w:val="006C795B"/>
    <w:rsid w:val="006C7B10"/>
    <w:rsid w:val="006C7B5D"/>
    <w:rsid w:val="006C7B70"/>
    <w:rsid w:val="006C7C32"/>
    <w:rsid w:val="006C7C4A"/>
    <w:rsid w:val="006C7C54"/>
    <w:rsid w:val="006C7D15"/>
    <w:rsid w:val="006C7D74"/>
    <w:rsid w:val="006C7DCC"/>
    <w:rsid w:val="006C7EDC"/>
    <w:rsid w:val="006C7F6E"/>
    <w:rsid w:val="006D0011"/>
    <w:rsid w:val="006D0092"/>
    <w:rsid w:val="006D00C0"/>
    <w:rsid w:val="006D00CA"/>
    <w:rsid w:val="006D0152"/>
    <w:rsid w:val="006D01D6"/>
    <w:rsid w:val="006D02E5"/>
    <w:rsid w:val="006D0326"/>
    <w:rsid w:val="006D0396"/>
    <w:rsid w:val="006D03F7"/>
    <w:rsid w:val="006D0430"/>
    <w:rsid w:val="006D07F7"/>
    <w:rsid w:val="006D090A"/>
    <w:rsid w:val="006D0992"/>
    <w:rsid w:val="006D09F5"/>
    <w:rsid w:val="006D0A9B"/>
    <w:rsid w:val="006D0BFA"/>
    <w:rsid w:val="006D0CDB"/>
    <w:rsid w:val="006D0D0F"/>
    <w:rsid w:val="006D0DF8"/>
    <w:rsid w:val="006D0EBA"/>
    <w:rsid w:val="006D0EF0"/>
    <w:rsid w:val="006D0F34"/>
    <w:rsid w:val="006D0F63"/>
    <w:rsid w:val="006D0F78"/>
    <w:rsid w:val="006D0FB2"/>
    <w:rsid w:val="006D0FC8"/>
    <w:rsid w:val="006D0FF7"/>
    <w:rsid w:val="006D101A"/>
    <w:rsid w:val="006D11A4"/>
    <w:rsid w:val="006D124D"/>
    <w:rsid w:val="006D12C3"/>
    <w:rsid w:val="006D1349"/>
    <w:rsid w:val="006D14F9"/>
    <w:rsid w:val="006D1624"/>
    <w:rsid w:val="006D1646"/>
    <w:rsid w:val="006D178E"/>
    <w:rsid w:val="006D191A"/>
    <w:rsid w:val="006D19B9"/>
    <w:rsid w:val="006D1A21"/>
    <w:rsid w:val="006D1A9C"/>
    <w:rsid w:val="006D1B52"/>
    <w:rsid w:val="006D1BD0"/>
    <w:rsid w:val="006D1C5F"/>
    <w:rsid w:val="006D1DBA"/>
    <w:rsid w:val="006D1F30"/>
    <w:rsid w:val="006D1FEB"/>
    <w:rsid w:val="006D20C8"/>
    <w:rsid w:val="006D2207"/>
    <w:rsid w:val="006D226A"/>
    <w:rsid w:val="006D22E4"/>
    <w:rsid w:val="006D2478"/>
    <w:rsid w:val="006D25A7"/>
    <w:rsid w:val="006D25BA"/>
    <w:rsid w:val="006D25F0"/>
    <w:rsid w:val="006D265B"/>
    <w:rsid w:val="006D26B5"/>
    <w:rsid w:val="006D2783"/>
    <w:rsid w:val="006D285C"/>
    <w:rsid w:val="006D2B2D"/>
    <w:rsid w:val="006D2B42"/>
    <w:rsid w:val="006D2BC0"/>
    <w:rsid w:val="006D2D15"/>
    <w:rsid w:val="006D2DAF"/>
    <w:rsid w:val="006D2DBC"/>
    <w:rsid w:val="006D3044"/>
    <w:rsid w:val="006D3051"/>
    <w:rsid w:val="006D3066"/>
    <w:rsid w:val="006D3118"/>
    <w:rsid w:val="006D3178"/>
    <w:rsid w:val="006D31B6"/>
    <w:rsid w:val="006D337F"/>
    <w:rsid w:val="006D33FC"/>
    <w:rsid w:val="006D3431"/>
    <w:rsid w:val="006D3464"/>
    <w:rsid w:val="006D3549"/>
    <w:rsid w:val="006D3A16"/>
    <w:rsid w:val="006D3B16"/>
    <w:rsid w:val="006D3B37"/>
    <w:rsid w:val="006D3BBF"/>
    <w:rsid w:val="006D3CFB"/>
    <w:rsid w:val="006D3E6A"/>
    <w:rsid w:val="006D3F04"/>
    <w:rsid w:val="006D3FB1"/>
    <w:rsid w:val="006D3FD0"/>
    <w:rsid w:val="006D3FD4"/>
    <w:rsid w:val="006D40E1"/>
    <w:rsid w:val="006D41D0"/>
    <w:rsid w:val="006D41F8"/>
    <w:rsid w:val="006D4208"/>
    <w:rsid w:val="006D4294"/>
    <w:rsid w:val="006D434A"/>
    <w:rsid w:val="006D434C"/>
    <w:rsid w:val="006D4356"/>
    <w:rsid w:val="006D43B3"/>
    <w:rsid w:val="006D460A"/>
    <w:rsid w:val="006D461D"/>
    <w:rsid w:val="006D46C7"/>
    <w:rsid w:val="006D471E"/>
    <w:rsid w:val="006D483B"/>
    <w:rsid w:val="006D48F7"/>
    <w:rsid w:val="006D4909"/>
    <w:rsid w:val="006D4926"/>
    <w:rsid w:val="006D497F"/>
    <w:rsid w:val="006D49DC"/>
    <w:rsid w:val="006D4A0C"/>
    <w:rsid w:val="006D4A45"/>
    <w:rsid w:val="006D4A79"/>
    <w:rsid w:val="006D4A8A"/>
    <w:rsid w:val="006D4B76"/>
    <w:rsid w:val="006D4B96"/>
    <w:rsid w:val="006D4CBD"/>
    <w:rsid w:val="006D4D10"/>
    <w:rsid w:val="006D4E00"/>
    <w:rsid w:val="006D4F03"/>
    <w:rsid w:val="006D4F55"/>
    <w:rsid w:val="006D50C3"/>
    <w:rsid w:val="006D5262"/>
    <w:rsid w:val="006D5340"/>
    <w:rsid w:val="006D5501"/>
    <w:rsid w:val="006D57B8"/>
    <w:rsid w:val="006D57E3"/>
    <w:rsid w:val="006D5810"/>
    <w:rsid w:val="006D5893"/>
    <w:rsid w:val="006D598A"/>
    <w:rsid w:val="006D5995"/>
    <w:rsid w:val="006D5A31"/>
    <w:rsid w:val="006D5A40"/>
    <w:rsid w:val="006D5B48"/>
    <w:rsid w:val="006D5BBB"/>
    <w:rsid w:val="006D5BD4"/>
    <w:rsid w:val="006D5BEA"/>
    <w:rsid w:val="006D5C76"/>
    <w:rsid w:val="006D5C7B"/>
    <w:rsid w:val="006D5CDE"/>
    <w:rsid w:val="006D5D16"/>
    <w:rsid w:val="006D5D9A"/>
    <w:rsid w:val="006D5E76"/>
    <w:rsid w:val="006D5FA1"/>
    <w:rsid w:val="006D6009"/>
    <w:rsid w:val="006D60A9"/>
    <w:rsid w:val="006D6372"/>
    <w:rsid w:val="006D63F4"/>
    <w:rsid w:val="006D64D9"/>
    <w:rsid w:val="006D655F"/>
    <w:rsid w:val="006D6635"/>
    <w:rsid w:val="006D6749"/>
    <w:rsid w:val="006D67A1"/>
    <w:rsid w:val="006D6807"/>
    <w:rsid w:val="006D6809"/>
    <w:rsid w:val="006D694D"/>
    <w:rsid w:val="006D69F3"/>
    <w:rsid w:val="006D6AF8"/>
    <w:rsid w:val="006D6C60"/>
    <w:rsid w:val="006D6CC0"/>
    <w:rsid w:val="006D6ED7"/>
    <w:rsid w:val="006D6EDC"/>
    <w:rsid w:val="006D6F0B"/>
    <w:rsid w:val="006D6FE5"/>
    <w:rsid w:val="006D7097"/>
    <w:rsid w:val="006D70DE"/>
    <w:rsid w:val="006D7147"/>
    <w:rsid w:val="006D71D2"/>
    <w:rsid w:val="006D72D4"/>
    <w:rsid w:val="006D73A1"/>
    <w:rsid w:val="006D7676"/>
    <w:rsid w:val="006D76AC"/>
    <w:rsid w:val="006D7993"/>
    <w:rsid w:val="006D79CB"/>
    <w:rsid w:val="006D7A17"/>
    <w:rsid w:val="006D7A4A"/>
    <w:rsid w:val="006D7B6D"/>
    <w:rsid w:val="006D7B85"/>
    <w:rsid w:val="006D7BE9"/>
    <w:rsid w:val="006D7E0B"/>
    <w:rsid w:val="006D7EA8"/>
    <w:rsid w:val="006D7F2F"/>
    <w:rsid w:val="006DA2F1"/>
    <w:rsid w:val="006E0176"/>
    <w:rsid w:val="006E0183"/>
    <w:rsid w:val="006E0185"/>
    <w:rsid w:val="006E021C"/>
    <w:rsid w:val="006E02D6"/>
    <w:rsid w:val="006E0332"/>
    <w:rsid w:val="006E0337"/>
    <w:rsid w:val="006E0430"/>
    <w:rsid w:val="006E062A"/>
    <w:rsid w:val="006E0684"/>
    <w:rsid w:val="006E082F"/>
    <w:rsid w:val="006E0950"/>
    <w:rsid w:val="006E0A2C"/>
    <w:rsid w:val="006E0B19"/>
    <w:rsid w:val="006E0BC2"/>
    <w:rsid w:val="006E0C1F"/>
    <w:rsid w:val="006E0C9D"/>
    <w:rsid w:val="006E0D10"/>
    <w:rsid w:val="006E0D76"/>
    <w:rsid w:val="006E0D83"/>
    <w:rsid w:val="006E0DA6"/>
    <w:rsid w:val="006E0E86"/>
    <w:rsid w:val="006E0FA1"/>
    <w:rsid w:val="006E0FED"/>
    <w:rsid w:val="006E1066"/>
    <w:rsid w:val="006E1090"/>
    <w:rsid w:val="006E117A"/>
    <w:rsid w:val="006E1358"/>
    <w:rsid w:val="006E1424"/>
    <w:rsid w:val="006E1509"/>
    <w:rsid w:val="006E1606"/>
    <w:rsid w:val="006E1684"/>
    <w:rsid w:val="006E16D2"/>
    <w:rsid w:val="006E1717"/>
    <w:rsid w:val="006E17E4"/>
    <w:rsid w:val="006E196D"/>
    <w:rsid w:val="006E1A46"/>
    <w:rsid w:val="006E1B6D"/>
    <w:rsid w:val="006E1BDE"/>
    <w:rsid w:val="006E1C33"/>
    <w:rsid w:val="006E1C8C"/>
    <w:rsid w:val="006E1C8D"/>
    <w:rsid w:val="006E1C9E"/>
    <w:rsid w:val="006E1D0C"/>
    <w:rsid w:val="006E1D62"/>
    <w:rsid w:val="006E1E08"/>
    <w:rsid w:val="006E1E0A"/>
    <w:rsid w:val="006E1E29"/>
    <w:rsid w:val="006E1F69"/>
    <w:rsid w:val="006E2065"/>
    <w:rsid w:val="006E2082"/>
    <w:rsid w:val="006E20B9"/>
    <w:rsid w:val="006E2108"/>
    <w:rsid w:val="006E2161"/>
    <w:rsid w:val="006E2173"/>
    <w:rsid w:val="006E25E0"/>
    <w:rsid w:val="006E2730"/>
    <w:rsid w:val="006E27AA"/>
    <w:rsid w:val="006E27AF"/>
    <w:rsid w:val="006E288C"/>
    <w:rsid w:val="006E299E"/>
    <w:rsid w:val="006E29E0"/>
    <w:rsid w:val="006E2A24"/>
    <w:rsid w:val="006E2ABC"/>
    <w:rsid w:val="006E2B0B"/>
    <w:rsid w:val="006E2C2F"/>
    <w:rsid w:val="006E2C38"/>
    <w:rsid w:val="006E2DE7"/>
    <w:rsid w:val="006E2E22"/>
    <w:rsid w:val="006E2E30"/>
    <w:rsid w:val="006E2FC9"/>
    <w:rsid w:val="006E3090"/>
    <w:rsid w:val="006E3266"/>
    <w:rsid w:val="006E328C"/>
    <w:rsid w:val="006E3390"/>
    <w:rsid w:val="006E33C8"/>
    <w:rsid w:val="006E3409"/>
    <w:rsid w:val="006E35D5"/>
    <w:rsid w:val="006E35DC"/>
    <w:rsid w:val="006E35FF"/>
    <w:rsid w:val="006E3703"/>
    <w:rsid w:val="006E3713"/>
    <w:rsid w:val="006E37CF"/>
    <w:rsid w:val="006E3981"/>
    <w:rsid w:val="006E3A31"/>
    <w:rsid w:val="006E3B64"/>
    <w:rsid w:val="006E3CD4"/>
    <w:rsid w:val="006E3DE9"/>
    <w:rsid w:val="006E3E37"/>
    <w:rsid w:val="006E3E68"/>
    <w:rsid w:val="006E3F54"/>
    <w:rsid w:val="006E4087"/>
    <w:rsid w:val="006E417D"/>
    <w:rsid w:val="006E418C"/>
    <w:rsid w:val="006E41AC"/>
    <w:rsid w:val="006E421B"/>
    <w:rsid w:val="006E42AC"/>
    <w:rsid w:val="006E42C7"/>
    <w:rsid w:val="006E43A4"/>
    <w:rsid w:val="006E44CA"/>
    <w:rsid w:val="006E45A2"/>
    <w:rsid w:val="006E45B9"/>
    <w:rsid w:val="006E464E"/>
    <w:rsid w:val="006E467A"/>
    <w:rsid w:val="006E4729"/>
    <w:rsid w:val="006E4731"/>
    <w:rsid w:val="006E47E0"/>
    <w:rsid w:val="006E485E"/>
    <w:rsid w:val="006E4A54"/>
    <w:rsid w:val="006E4ACB"/>
    <w:rsid w:val="006E4B15"/>
    <w:rsid w:val="006E4EC5"/>
    <w:rsid w:val="006E4F00"/>
    <w:rsid w:val="006E4F19"/>
    <w:rsid w:val="006E4F49"/>
    <w:rsid w:val="006E4F7F"/>
    <w:rsid w:val="006E4FAF"/>
    <w:rsid w:val="006E4FD9"/>
    <w:rsid w:val="006E5048"/>
    <w:rsid w:val="006E5109"/>
    <w:rsid w:val="006E5173"/>
    <w:rsid w:val="006E518D"/>
    <w:rsid w:val="006E523A"/>
    <w:rsid w:val="006E52C3"/>
    <w:rsid w:val="006E5444"/>
    <w:rsid w:val="006E54A9"/>
    <w:rsid w:val="006E550C"/>
    <w:rsid w:val="006E554A"/>
    <w:rsid w:val="006E56D4"/>
    <w:rsid w:val="006E5776"/>
    <w:rsid w:val="006E5888"/>
    <w:rsid w:val="006E588F"/>
    <w:rsid w:val="006E5976"/>
    <w:rsid w:val="006E5987"/>
    <w:rsid w:val="006E5A1B"/>
    <w:rsid w:val="006E5A60"/>
    <w:rsid w:val="006E5A70"/>
    <w:rsid w:val="006E5A7F"/>
    <w:rsid w:val="006E5AAE"/>
    <w:rsid w:val="006E5AD1"/>
    <w:rsid w:val="006E5D7A"/>
    <w:rsid w:val="006E5D92"/>
    <w:rsid w:val="006E5DB9"/>
    <w:rsid w:val="006E5E97"/>
    <w:rsid w:val="006E5FFB"/>
    <w:rsid w:val="006E600D"/>
    <w:rsid w:val="006E6033"/>
    <w:rsid w:val="006E6084"/>
    <w:rsid w:val="006E61A2"/>
    <w:rsid w:val="006E6216"/>
    <w:rsid w:val="006E63ED"/>
    <w:rsid w:val="006E6431"/>
    <w:rsid w:val="006E658D"/>
    <w:rsid w:val="006E66AD"/>
    <w:rsid w:val="006E67D5"/>
    <w:rsid w:val="006E682A"/>
    <w:rsid w:val="006E6902"/>
    <w:rsid w:val="006E6B8A"/>
    <w:rsid w:val="006E6C48"/>
    <w:rsid w:val="006E6C87"/>
    <w:rsid w:val="006E6CD9"/>
    <w:rsid w:val="006E6D93"/>
    <w:rsid w:val="006E6E35"/>
    <w:rsid w:val="006E6E71"/>
    <w:rsid w:val="006E70D9"/>
    <w:rsid w:val="006E71A8"/>
    <w:rsid w:val="006E71D4"/>
    <w:rsid w:val="006E71F1"/>
    <w:rsid w:val="006E7304"/>
    <w:rsid w:val="006E73B6"/>
    <w:rsid w:val="006E75A2"/>
    <w:rsid w:val="006E76E4"/>
    <w:rsid w:val="006E772A"/>
    <w:rsid w:val="006E7749"/>
    <w:rsid w:val="006E7772"/>
    <w:rsid w:val="006E77E5"/>
    <w:rsid w:val="006E78BD"/>
    <w:rsid w:val="006E78BE"/>
    <w:rsid w:val="006E78D1"/>
    <w:rsid w:val="006E7969"/>
    <w:rsid w:val="006E7A29"/>
    <w:rsid w:val="006E7A3E"/>
    <w:rsid w:val="006E7B9A"/>
    <w:rsid w:val="006E7BAC"/>
    <w:rsid w:val="006E7BB3"/>
    <w:rsid w:val="006E7C47"/>
    <w:rsid w:val="006E7CA5"/>
    <w:rsid w:val="006E7D61"/>
    <w:rsid w:val="006E7DC2"/>
    <w:rsid w:val="006E7E4B"/>
    <w:rsid w:val="006E7E7A"/>
    <w:rsid w:val="006E7FCB"/>
    <w:rsid w:val="006F0138"/>
    <w:rsid w:val="006F017B"/>
    <w:rsid w:val="006F0193"/>
    <w:rsid w:val="006F0245"/>
    <w:rsid w:val="006F02C6"/>
    <w:rsid w:val="006F0344"/>
    <w:rsid w:val="006F035E"/>
    <w:rsid w:val="006F037E"/>
    <w:rsid w:val="006F03EF"/>
    <w:rsid w:val="006F043C"/>
    <w:rsid w:val="006F0479"/>
    <w:rsid w:val="006F04B4"/>
    <w:rsid w:val="006F04EC"/>
    <w:rsid w:val="006F0524"/>
    <w:rsid w:val="006F05BA"/>
    <w:rsid w:val="006F0623"/>
    <w:rsid w:val="006F0644"/>
    <w:rsid w:val="006F064D"/>
    <w:rsid w:val="006F065B"/>
    <w:rsid w:val="006F065C"/>
    <w:rsid w:val="006F0717"/>
    <w:rsid w:val="006F0765"/>
    <w:rsid w:val="006F0923"/>
    <w:rsid w:val="006F095D"/>
    <w:rsid w:val="006F09FF"/>
    <w:rsid w:val="006F0A97"/>
    <w:rsid w:val="006F0AF7"/>
    <w:rsid w:val="006F0B99"/>
    <w:rsid w:val="006F0BE1"/>
    <w:rsid w:val="006F0C65"/>
    <w:rsid w:val="006F0CFA"/>
    <w:rsid w:val="006F0D5D"/>
    <w:rsid w:val="006F0E48"/>
    <w:rsid w:val="006F0E74"/>
    <w:rsid w:val="006F0E76"/>
    <w:rsid w:val="006F0EDC"/>
    <w:rsid w:val="006F1063"/>
    <w:rsid w:val="006F107D"/>
    <w:rsid w:val="006F126D"/>
    <w:rsid w:val="006F126F"/>
    <w:rsid w:val="006F1321"/>
    <w:rsid w:val="006F13CC"/>
    <w:rsid w:val="006F143D"/>
    <w:rsid w:val="006F14D6"/>
    <w:rsid w:val="006F1505"/>
    <w:rsid w:val="006F1639"/>
    <w:rsid w:val="006F16EC"/>
    <w:rsid w:val="006F17C0"/>
    <w:rsid w:val="006F17D7"/>
    <w:rsid w:val="006F192D"/>
    <w:rsid w:val="006F19AB"/>
    <w:rsid w:val="006F19B9"/>
    <w:rsid w:val="006F19D2"/>
    <w:rsid w:val="006F19D7"/>
    <w:rsid w:val="006F19FA"/>
    <w:rsid w:val="006F1A96"/>
    <w:rsid w:val="006F1B09"/>
    <w:rsid w:val="006F1BB7"/>
    <w:rsid w:val="006F1C7A"/>
    <w:rsid w:val="006F1C7F"/>
    <w:rsid w:val="006F1CAF"/>
    <w:rsid w:val="006F1CB9"/>
    <w:rsid w:val="006F1CDA"/>
    <w:rsid w:val="006F1D3B"/>
    <w:rsid w:val="006F1DAD"/>
    <w:rsid w:val="006F1DE8"/>
    <w:rsid w:val="006F1FB3"/>
    <w:rsid w:val="006F1FC5"/>
    <w:rsid w:val="006F200F"/>
    <w:rsid w:val="006F2068"/>
    <w:rsid w:val="006F211F"/>
    <w:rsid w:val="006F22AB"/>
    <w:rsid w:val="006F22AD"/>
    <w:rsid w:val="006F2388"/>
    <w:rsid w:val="006F241E"/>
    <w:rsid w:val="006F24A0"/>
    <w:rsid w:val="006F24B8"/>
    <w:rsid w:val="006F24CB"/>
    <w:rsid w:val="006F2514"/>
    <w:rsid w:val="006F257C"/>
    <w:rsid w:val="006F2584"/>
    <w:rsid w:val="006F25BA"/>
    <w:rsid w:val="006F25E7"/>
    <w:rsid w:val="006F28E2"/>
    <w:rsid w:val="006F2903"/>
    <w:rsid w:val="006F2904"/>
    <w:rsid w:val="006F2ACB"/>
    <w:rsid w:val="006F2AF7"/>
    <w:rsid w:val="006F2BA1"/>
    <w:rsid w:val="006F2BC6"/>
    <w:rsid w:val="006F2C29"/>
    <w:rsid w:val="006F2C3A"/>
    <w:rsid w:val="006F2F4B"/>
    <w:rsid w:val="006F2F6A"/>
    <w:rsid w:val="006F2F8C"/>
    <w:rsid w:val="006F2F99"/>
    <w:rsid w:val="006F301A"/>
    <w:rsid w:val="006F3027"/>
    <w:rsid w:val="006F3032"/>
    <w:rsid w:val="006F307E"/>
    <w:rsid w:val="006F30B8"/>
    <w:rsid w:val="006F317F"/>
    <w:rsid w:val="006F320E"/>
    <w:rsid w:val="006F3212"/>
    <w:rsid w:val="006F3326"/>
    <w:rsid w:val="006F346E"/>
    <w:rsid w:val="006F35E7"/>
    <w:rsid w:val="006F3623"/>
    <w:rsid w:val="006F36DB"/>
    <w:rsid w:val="006F37BB"/>
    <w:rsid w:val="006F37DB"/>
    <w:rsid w:val="006F37EC"/>
    <w:rsid w:val="006F3857"/>
    <w:rsid w:val="006F38F3"/>
    <w:rsid w:val="006F3A08"/>
    <w:rsid w:val="006F3A56"/>
    <w:rsid w:val="006F3B22"/>
    <w:rsid w:val="006F3BEF"/>
    <w:rsid w:val="006F3C39"/>
    <w:rsid w:val="006F3C40"/>
    <w:rsid w:val="006F3C8D"/>
    <w:rsid w:val="006F3C92"/>
    <w:rsid w:val="006F3D8F"/>
    <w:rsid w:val="006F3DC0"/>
    <w:rsid w:val="006F3EE4"/>
    <w:rsid w:val="006F3F60"/>
    <w:rsid w:val="006F404F"/>
    <w:rsid w:val="006F41BE"/>
    <w:rsid w:val="006F41CF"/>
    <w:rsid w:val="006F429D"/>
    <w:rsid w:val="006F42DA"/>
    <w:rsid w:val="006F42FC"/>
    <w:rsid w:val="006F430E"/>
    <w:rsid w:val="006F43B5"/>
    <w:rsid w:val="006F43D5"/>
    <w:rsid w:val="006F43E3"/>
    <w:rsid w:val="006F4429"/>
    <w:rsid w:val="006F4539"/>
    <w:rsid w:val="006F45AA"/>
    <w:rsid w:val="006F45D2"/>
    <w:rsid w:val="006F4684"/>
    <w:rsid w:val="006F4718"/>
    <w:rsid w:val="006F476C"/>
    <w:rsid w:val="006F489B"/>
    <w:rsid w:val="006F48D2"/>
    <w:rsid w:val="006F499D"/>
    <w:rsid w:val="006F49B0"/>
    <w:rsid w:val="006F4AB7"/>
    <w:rsid w:val="006F4AEC"/>
    <w:rsid w:val="006F4AFB"/>
    <w:rsid w:val="006F4C65"/>
    <w:rsid w:val="006F4C94"/>
    <w:rsid w:val="006F4D20"/>
    <w:rsid w:val="006F4D40"/>
    <w:rsid w:val="006F4D4D"/>
    <w:rsid w:val="006F4D51"/>
    <w:rsid w:val="006F4D7E"/>
    <w:rsid w:val="006F4E38"/>
    <w:rsid w:val="006F4E45"/>
    <w:rsid w:val="006F4E7B"/>
    <w:rsid w:val="006F4F90"/>
    <w:rsid w:val="006F506C"/>
    <w:rsid w:val="006F5155"/>
    <w:rsid w:val="006F5218"/>
    <w:rsid w:val="006F5248"/>
    <w:rsid w:val="006F5295"/>
    <w:rsid w:val="006F52D2"/>
    <w:rsid w:val="006F5442"/>
    <w:rsid w:val="006F54D6"/>
    <w:rsid w:val="006F55F3"/>
    <w:rsid w:val="006F585F"/>
    <w:rsid w:val="006F5920"/>
    <w:rsid w:val="006F5A54"/>
    <w:rsid w:val="006F5B2F"/>
    <w:rsid w:val="006F5B47"/>
    <w:rsid w:val="006F5C31"/>
    <w:rsid w:val="006F5D20"/>
    <w:rsid w:val="006F5DCC"/>
    <w:rsid w:val="006F5E5D"/>
    <w:rsid w:val="006F61AB"/>
    <w:rsid w:val="006F62B4"/>
    <w:rsid w:val="006F631B"/>
    <w:rsid w:val="006F6400"/>
    <w:rsid w:val="006F645E"/>
    <w:rsid w:val="006F65C2"/>
    <w:rsid w:val="006F6609"/>
    <w:rsid w:val="006F6610"/>
    <w:rsid w:val="006F66A5"/>
    <w:rsid w:val="006F6731"/>
    <w:rsid w:val="006F6734"/>
    <w:rsid w:val="006F674D"/>
    <w:rsid w:val="006F676D"/>
    <w:rsid w:val="006F68C2"/>
    <w:rsid w:val="006F69E1"/>
    <w:rsid w:val="006F6A7B"/>
    <w:rsid w:val="006F6AAB"/>
    <w:rsid w:val="006F6AC7"/>
    <w:rsid w:val="006F6B68"/>
    <w:rsid w:val="006F6CBA"/>
    <w:rsid w:val="006F6CBB"/>
    <w:rsid w:val="006F6D87"/>
    <w:rsid w:val="006F6DAC"/>
    <w:rsid w:val="006F6EB0"/>
    <w:rsid w:val="006F6ED4"/>
    <w:rsid w:val="006F6F0D"/>
    <w:rsid w:val="006F6FF8"/>
    <w:rsid w:val="006F7054"/>
    <w:rsid w:val="006F70A9"/>
    <w:rsid w:val="006F70C8"/>
    <w:rsid w:val="006F735E"/>
    <w:rsid w:val="006F73EB"/>
    <w:rsid w:val="006F744A"/>
    <w:rsid w:val="006F7463"/>
    <w:rsid w:val="006F75FD"/>
    <w:rsid w:val="006F7715"/>
    <w:rsid w:val="006F77D4"/>
    <w:rsid w:val="006F7870"/>
    <w:rsid w:val="006F78F5"/>
    <w:rsid w:val="006F795B"/>
    <w:rsid w:val="006F799E"/>
    <w:rsid w:val="006F79B3"/>
    <w:rsid w:val="006F79C4"/>
    <w:rsid w:val="006F79D2"/>
    <w:rsid w:val="006F7A00"/>
    <w:rsid w:val="006F7A62"/>
    <w:rsid w:val="006F7AA1"/>
    <w:rsid w:val="006F7C78"/>
    <w:rsid w:val="006F7C82"/>
    <w:rsid w:val="006F7CE5"/>
    <w:rsid w:val="006F7D82"/>
    <w:rsid w:val="006F7DC0"/>
    <w:rsid w:val="006F7F32"/>
    <w:rsid w:val="006FC8D0"/>
    <w:rsid w:val="00700152"/>
    <w:rsid w:val="0070038C"/>
    <w:rsid w:val="007004EB"/>
    <w:rsid w:val="00700553"/>
    <w:rsid w:val="007005DA"/>
    <w:rsid w:val="007005E2"/>
    <w:rsid w:val="00700611"/>
    <w:rsid w:val="007006E9"/>
    <w:rsid w:val="00700785"/>
    <w:rsid w:val="0070082C"/>
    <w:rsid w:val="0070085D"/>
    <w:rsid w:val="0070088C"/>
    <w:rsid w:val="007008AD"/>
    <w:rsid w:val="007008F0"/>
    <w:rsid w:val="00700AA4"/>
    <w:rsid w:val="00700B1A"/>
    <w:rsid w:val="00700B1C"/>
    <w:rsid w:val="00700BAD"/>
    <w:rsid w:val="00700CAD"/>
    <w:rsid w:val="00700CC7"/>
    <w:rsid w:val="00700CD0"/>
    <w:rsid w:val="00700CE5"/>
    <w:rsid w:val="00700D90"/>
    <w:rsid w:val="00700E35"/>
    <w:rsid w:val="00700E74"/>
    <w:rsid w:val="00701031"/>
    <w:rsid w:val="0070105F"/>
    <w:rsid w:val="007011A0"/>
    <w:rsid w:val="007011EF"/>
    <w:rsid w:val="00701245"/>
    <w:rsid w:val="007012E3"/>
    <w:rsid w:val="00701343"/>
    <w:rsid w:val="007014D9"/>
    <w:rsid w:val="00701510"/>
    <w:rsid w:val="0070157C"/>
    <w:rsid w:val="007015BF"/>
    <w:rsid w:val="007015D4"/>
    <w:rsid w:val="00701699"/>
    <w:rsid w:val="007016DE"/>
    <w:rsid w:val="007016E7"/>
    <w:rsid w:val="00701784"/>
    <w:rsid w:val="00701791"/>
    <w:rsid w:val="007017A0"/>
    <w:rsid w:val="007017F2"/>
    <w:rsid w:val="0070187E"/>
    <w:rsid w:val="007018B5"/>
    <w:rsid w:val="007019A9"/>
    <w:rsid w:val="00701AF1"/>
    <w:rsid w:val="00701B1C"/>
    <w:rsid w:val="00701B56"/>
    <w:rsid w:val="00701C3D"/>
    <w:rsid w:val="00701CAC"/>
    <w:rsid w:val="00701D16"/>
    <w:rsid w:val="00701D45"/>
    <w:rsid w:val="00701D95"/>
    <w:rsid w:val="00701E74"/>
    <w:rsid w:val="00701EFE"/>
    <w:rsid w:val="00701F0C"/>
    <w:rsid w:val="00701FB5"/>
    <w:rsid w:val="00702004"/>
    <w:rsid w:val="00702092"/>
    <w:rsid w:val="007020A9"/>
    <w:rsid w:val="00702161"/>
    <w:rsid w:val="007021B7"/>
    <w:rsid w:val="00702323"/>
    <w:rsid w:val="00702397"/>
    <w:rsid w:val="00702406"/>
    <w:rsid w:val="0070240F"/>
    <w:rsid w:val="0070241D"/>
    <w:rsid w:val="00702456"/>
    <w:rsid w:val="007024B9"/>
    <w:rsid w:val="007024E4"/>
    <w:rsid w:val="00702583"/>
    <w:rsid w:val="00702591"/>
    <w:rsid w:val="0070259C"/>
    <w:rsid w:val="00702668"/>
    <w:rsid w:val="0070275F"/>
    <w:rsid w:val="00702835"/>
    <w:rsid w:val="0070289B"/>
    <w:rsid w:val="007028DC"/>
    <w:rsid w:val="007028F4"/>
    <w:rsid w:val="00702903"/>
    <w:rsid w:val="00702942"/>
    <w:rsid w:val="00702951"/>
    <w:rsid w:val="00702992"/>
    <w:rsid w:val="00702A59"/>
    <w:rsid w:val="00702A98"/>
    <w:rsid w:val="00702B28"/>
    <w:rsid w:val="00702B36"/>
    <w:rsid w:val="00702B5D"/>
    <w:rsid w:val="00702B9A"/>
    <w:rsid w:val="00702B9E"/>
    <w:rsid w:val="00702C07"/>
    <w:rsid w:val="00702C3C"/>
    <w:rsid w:val="00702CDC"/>
    <w:rsid w:val="00702D8D"/>
    <w:rsid w:val="00702DF3"/>
    <w:rsid w:val="00702E79"/>
    <w:rsid w:val="00702EB9"/>
    <w:rsid w:val="00702FA3"/>
    <w:rsid w:val="00702FB7"/>
    <w:rsid w:val="0070301F"/>
    <w:rsid w:val="00703054"/>
    <w:rsid w:val="007030CC"/>
    <w:rsid w:val="0070311B"/>
    <w:rsid w:val="007032BF"/>
    <w:rsid w:val="00703338"/>
    <w:rsid w:val="007033CA"/>
    <w:rsid w:val="007033FF"/>
    <w:rsid w:val="007036C4"/>
    <w:rsid w:val="00703752"/>
    <w:rsid w:val="007038C4"/>
    <w:rsid w:val="0070392C"/>
    <w:rsid w:val="00703997"/>
    <w:rsid w:val="00703A3A"/>
    <w:rsid w:val="00703A4C"/>
    <w:rsid w:val="00703A8A"/>
    <w:rsid w:val="00703B95"/>
    <w:rsid w:val="00703B96"/>
    <w:rsid w:val="00703C56"/>
    <w:rsid w:val="00703E02"/>
    <w:rsid w:val="00703E80"/>
    <w:rsid w:val="00703EDB"/>
    <w:rsid w:val="00703F3B"/>
    <w:rsid w:val="00703F6A"/>
    <w:rsid w:val="00703F8F"/>
    <w:rsid w:val="007040A7"/>
    <w:rsid w:val="00704163"/>
    <w:rsid w:val="007041F3"/>
    <w:rsid w:val="00704276"/>
    <w:rsid w:val="00704433"/>
    <w:rsid w:val="00704449"/>
    <w:rsid w:val="007044CE"/>
    <w:rsid w:val="00704500"/>
    <w:rsid w:val="00704588"/>
    <w:rsid w:val="00704660"/>
    <w:rsid w:val="007046B1"/>
    <w:rsid w:val="007046CE"/>
    <w:rsid w:val="0070475D"/>
    <w:rsid w:val="007047C1"/>
    <w:rsid w:val="007047C7"/>
    <w:rsid w:val="0070489F"/>
    <w:rsid w:val="007048C3"/>
    <w:rsid w:val="007048E7"/>
    <w:rsid w:val="0070490B"/>
    <w:rsid w:val="007049A6"/>
    <w:rsid w:val="007049B7"/>
    <w:rsid w:val="007049C6"/>
    <w:rsid w:val="00704A33"/>
    <w:rsid w:val="00704C8F"/>
    <w:rsid w:val="00704CA4"/>
    <w:rsid w:val="00704CC8"/>
    <w:rsid w:val="00704CE1"/>
    <w:rsid w:val="00704D06"/>
    <w:rsid w:val="00704E8B"/>
    <w:rsid w:val="00704EE3"/>
    <w:rsid w:val="00704EE7"/>
    <w:rsid w:val="00704F64"/>
    <w:rsid w:val="00705038"/>
    <w:rsid w:val="0070505B"/>
    <w:rsid w:val="007050A2"/>
    <w:rsid w:val="00705164"/>
    <w:rsid w:val="00705169"/>
    <w:rsid w:val="007051BF"/>
    <w:rsid w:val="00705327"/>
    <w:rsid w:val="007053B8"/>
    <w:rsid w:val="007053F2"/>
    <w:rsid w:val="00705419"/>
    <w:rsid w:val="00705448"/>
    <w:rsid w:val="007054C7"/>
    <w:rsid w:val="00705521"/>
    <w:rsid w:val="00705524"/>
    <w:rsid w:val="00705535"/>
    <w:rsid w:val="0070573E"/>
    <w:rsid w:val="00705743"/>
    <w:rsid w:val="0070579E"/>
    <w:rsid w:val="007057D6"/>
    <w:rsid w:val="00705804"/>
    <w:rsid w:val="0070583B"/>
    <w:rsid w:val="00705843"/>
    <w:rsid w:val="007058C0"/>
    <w:rsid w:val="007059C8"/>
    <w:rsid w:val="007059D4"/>
    <w:rsid w:val="00705A14"/>
    <w:rsid w:val="00705A5C"/>
    <w:rsid w:val="00705ACD"/>
    <w:rsid w:val="00705AF7"/>
    <w:rsid w:val="00705BE5"/>
    <w:rsid w:val="00705C41"/>
    <w:rsid w:val="00705C96"/>
    <w:rsid w:val="00705CF5"/>
    <w:rsid w:val="00705D56"/>
    <w:rsid w:val="00705E27"/>
    <w:rsid w:val="00705E50"/>
    <w:rsid w:val="00705F66"/>
    <w:rsid w:val="00705F7F"/>
    <w:rsid w:val="0070604A"/>
    <w:rsid w:val="00706085"/>
    <w:rsid w:val="007060EC"/>
    <w:rsid w:val="007060F4"/>
    <w:rsid w:val="00706101"/>
    <w:rsid w:val="007061BD"/>
    <w:rsid w:val="007061D1"/>
    <w:rsid w:val="00706230"/>
    <w:rsid w:val="007062B9"/>
    <w:rsid w:val="007063B1"/>
    <w:rsid w:val="00706485"/>
    <w:rsid w:val="0070648B"/>
    <w:rsid w:val="00706508"/>
    <w:rsid w:val="00706564"/>
    <w:rsid w:val="0070673C"/>
    <w:rsid w:val="0070684F"/>
    <w:rsid w:val="00706851"/>
    <w:rsid w:val="00706923"/>
    <w:rsid w:val="007069CC"/>
    <w:rsid w:val="00706A16"/>
    <w:rsid w:val="00706A32"/>
    <w:rsid w:val="00706B84"/>
    <w:rsid w:val="00706B97"/>
    <w:rsid w:val="00706BB4"/>
    <w:rsid w:val="00706C82"/>
    <w:rsid w:val="00706D1F"/>
    <w:rsid w:val="00706D50"/>
    <w:rsid w:val="00706D90"/>
    <w:rsid w:val="00706D95"/>
    <w:rsid w:val="00706E1E"/>
    <w:rsid w:val="00706E3C"/>
    <w:rsid w:val="00706E4C"/>
    <w:rsid w:val="00706E8F"/>
    <w:rsid w:val="00707078"/>
    <w:rsid w:val="00707194"/>
    <w:rsid w:val="007071ED"/>
    <w:rsid w:val="0070722D"/>
    <w:rsid w:val="0070725F"/>
    <w:rsid w:val="00707268"/>
    <w:rsid w:val="0070730A"/>
    <w:rsid w:val="00707323"/>
    <w:rsid w:val="0070736C"/>
    <w:rsid w:val="007073AA"/>
    <w:rsid w:val="007073C0"/>
    <w:rsid w:val="007073ED"/>
    <w:rsid w:val="0070753C"/>
    <w:rsid w:val="00707598"/>
    <w:rsid w:val="0070762C"/>
    <w:rsid w:val="007076BF"/>
    <w:rsid w:val="00707704"/>
    <w:rsid w:val="00707750"/>
    <w:rsid w:val="00707779"/>
    <w:rsid w:val="007077F2"/>
    <w:rsid w:val="00707849"/>
    <w:rsid w:val="007078DC"/>
    <w:rsid w:val="007078E1"/>
    <w:rsid w:val="0070791A"/>
    <w:rsid w:val="00707991"/>
    <w:rsid w:val="007079BE"/>
    <w:rsid w:val="007079D2"/>
    <w:rsid w:val="007079E8"/>
    <w:rsid w:val="00707BC8"/>
    <w:rsid w:val="00707C45"/>
    <w:rsid w:val="00707C55"/>
    <w:rsid w:val="00707CE8"/>
    <w:rsid w:val="00707D2D"/>
    <w:rsid w:val="00707DD1"/>
    <w:rsid w:val="00707EC0"/>
    <w:rsid w:val="00707ED5"/>
    <w:rsid w:val="00707EF8"/>
    <w:rsid w:val="00707F68"/>
    <w:rsid w:val="00707FDA"/>
    <w:rsid w:val="00710002"/>
    <w:rsid w:val="00710018"/>
    <w:rsid w:val="007100DE"/>
    <w:rsid w:val="00710146"/>
    <w:rsid w:val="007102BF"/>
    <w:rsid w:val="00710474"/>
    <w:rsid w:val="007104E0"/>
    <w:rsid w:val="007104E8"/>
    <w:rsid w:val="007105BC"/>
    <w:rsid w:val="007105EB"/>
    <w:rsid w:val="007106DE"/>
    <w:rsid w:val="00710725"/>
    <w:rsid w:val="00710728"/>
    <w:rsid w:val="0071072A"/>
    <w:rsid w:val="00710824"/>
    <w:rsid w:val="0071082A"/>
    <w:rsid w:val="0071087D"/>
    <w:rsid w:val="00710A0D"/>
    <w:rsid w:val="00710A23"/>
    <w:rsid w:val="00710A2A"/>
    <w:rsid w:val="00710B1F"/>
    <w:rsid w:val="00710C26"/>
    <w:rsid w:val="00710C62"/>
    <w:rsid w:val="00710DC2"/>
    <w:rsid w:val="00710EA7"/>
    <w:rsid w:val="0071103C"/>
    <w:rsid w:val="007110CA"/>
    <w:rsid w:val="007112F0"/>
    <w:rsid w:val="00711335"/>
    <w:rsid w:val="00711340"/>
    <w:rsid w:val="007113A1"/>
    <w:rsid w:val="00711485"/>
    <w:rsid w:val="00711497"/>
    <w:rsid w:val="00711634"/>
    <w:rsid w:val="007116D8"/>
    <w:rsid w:val="0071170B"/>
    <w:rsid w:val="007117AD"/>
    <w:rsid w:val="007117CA"/>
    <w:rsid w:val="0071184C"/>
    <w:rsid w:val="00711A50"/>
    <w:rsid w:val="00711B0B"/>
    <w:rsid w:val="00711BC9"/>
    <w:rsid w:val="00711C31"/>
    <w:rsid w:val="00711C66"/>
    <w:rsid w:val="00711C76"/>
    <w:rsid w:val="00711C9C"/>
    <w:rsid w:val="00711CB1"/>
    <w:rsid w:val="00711E03"/>
    <w:rsid w:val="00711E0E"/>
    <w:rsid w:val="00711E76"/>
    <w:rsid w:val="00711E93"/>
    <w:rsid w:val="00711FAE"/>
    <w:rsid w:val="007121C8"/>
    <w:rsid w:val="007121D6"/>
    <w:rsid w:val="0071223A"/>
    <w:rsid w:val="00712297"/>
    <w:rsid w:val="007122B7"/>
    <w:rsid w:val="0071235D"/>
    <w:rsid w:val="00712425"/>
    <w:rsid w:val="00712583"/>
    <w:rsid w:val="00712608"/>
    <w:rsid w:val="00712667"/>
    <w:rsid w:val="007126AE"/>
    <w:rsid w:val="0071272A"/>
    <w:rsid w:val="007128DA"/>
    <w:rsid w:val="007129AC"/>
    <w:rsid w:val="00712B02"/>
    <w:rsid w:val="00712C66"/>
    <w:rsid w:val="00712CAF"/>
    <w:rsid w:val="00712E03"/>
    <w:rsid w:val="00712E38"/>
    <w:rsid w:val="00712E4D"/>
    <w:rsid w:val="00712FF6"/>
    <w:rsid w:val="00713020"/>
    <w:rsid w:val="0071304B"/>
    <w:rsid w:val="00713083"/>
    <w:rsid w:val="007130BC"/>
    <w:rsid w:val="007130EE"/>
    <w:rsid w:val="0071314D"/>
    <w:rsid w:val="00713153"/>
    <w:rsid w:val="007131EC"/>
    <w:rsid w:val="007132CE"/>
    <w:rsid w:val="00713454"/>
    <w:rsid w:val="0071361C"/>
    <w:rsid w:val="007136F5"/>
    <w:rsid w:val="0071370C"/>
    <w:rsid w:val="007137D4"/>
    <w:rsid w:val="007137D9"/>
    <w:rsid w:val="007138CB"/>
    <w:rsid w:val="00713ACB"/>
    <w:rsid w:val="00713B06"/>
    <w:rsid w:val="00713C1F"/>
    <w:rsid w:val="00713D2F"/>
    <w:rsid w:val="00713D7A"/>
    <w:rsid w:val="00713D9B"/>
    <w:rsid w:val="00714019"/>
    <w:rsid w:val="007140B1"/>
    <w:rsid w:val="0071411D"/>
    <w:rsid w:val="007141B7"/>
    <w:rsid w:val="00714247"/>
    <w:rsid w:val="00714294"/>
    <w:rsid w:val="00714338"/>
    <w:rsid w:val="00714452"/>
    <w:rsid w:val="00714533"/>
    <w:rsid w:val="00714602"/>
    <w:rsid w:val="00714690"/>
    <w:rsid w:val="007146D3"/>
    <w:rsid w:val="00714941"/>
    <w:rsid w:val="007149BB"/>
    <w:rsid w:val="00714A26"/>
    <w:rsid w:val="00714AB0"/>
    <w:rsid w:val="00714C41"/>
    <w:rsid w:val="00714DFC"/>
    <w:rsid w:val="00714E73"/>
    <w:rsid w:val="00714EC9"/>
    <w:rsid w:val="00714F07"/>
    <w:rsid w:val="00714F79"/>
    <w:rsid w:val="0071501E"/>
    <w:rsid w:val="00715090"/>
    <w:rsid w:val="00715167"/>
    <w:rsid w:val="007151D6"/>
    <w:rsid w:val="00715211"/>
    <w:rsid w:val="0071523D"/>
    <w:rsid w:val="0071535D"/>
    <w:rsid w:val="00715403"/>
    <w:rsid w:val="0071540B"/>
    <w:rsid w:val="007154CA"/>
    <w:rsid w:val="00715513"/>
    <w:rsid w:val="007155C1"/>
    <w:rsid w:val="0071577E"/>
    <w:rsid w:val="0071584E"/>
    <w:rsid w:val="007159FF"/>
    <w:rsid w:val="00715B14"/>
    <w:rsid w:val="00715C2B"/>
    <w:rsid w:val="00715C3B"/>
    <w:rsid w:val="00715DBA"/>
    <w:rsid w:val="00715DEB"/>
    <w:rsid w:val="00715F39"/>
    <w:rsid w:val="00715F4F"/>
    <w:rsid w:val="00716014"/>
    <w:rsid w:val="007162B3"/>
    <w:rsid w:val="007162E1"/>
    <w:rsid w:val="0071634F"/>
    <w:rsid w:val="0071655A"/>
    <w:rsid w:val="0071655D"/>
    <w:rsid w:val="00716571"/>
    <w:rsid w:val="0071659B"/>
    <w:rsid w:val="0071665C"/>
    <w:rsid w:val="007166C3"/>
    <w:rsid w:val="007166FD"/>
    <w:rsid w:val="0071673F"/>
    <w:rsid w:val="00716756"/>
    <w:rsid w:val="007167DB"/>
    <w:rsid w:val="00716A70"/>
    <w:rsid w:val="00716A99"/>
    <w:rsid w:val="00716CDD"/>
    <w:rsid w:val="00716E35"/>
    <w:rsid w:val="00716F17"/>
    <w:rsid w:val="00716F98"/>
    <w:rsid w:val="0071702E"/>
    <w:rsid w:val="00717071"/>
    <w:rsid w:val="007170D6"/>
    <w:rsid w:val="007171AD"/>
    <w:rsid w:val="007171AE"/>
    <w:rsid w:val="007171E7"/>
    <w:rsid w:val="007172B8"/>
    <w:rsid w:val="00717343"/>
    <w:rsid w:val="0071734D"/>
    <w:rsid w:val="00717390"/>
    <w:rsid w:val="0071741E"/>
    <w:rsid w:val="007174B7"/>
    <w:rsid w:val="00717519"/>
    <w:rsid w:val="007176C5"/>
    <w:rsid w:val="00717769"/>
    <w:rsid w:val="007178E7"/>
    <w:rsid w:val="007179DF"/>
    <w:rsid w:val="00717BE1"/>
    <w:rsid w:val="00717C89"/>
    <w:rsid w:val="00717C99"/>
    <w:rsid w:val="00717D87"/>
    <w:rsid w:val="00717D90"/>
    <w:rsid w:val="00717E2F"/>
    <w:rsid w:val="00717E3C"/>
    <w:rsid w:val="00717F84"/>
    <w:rsid w:val="00717FAD"/>
    <w:rsid w:val="0072000C"/>
    <w:rsid w:val="0072009F"/>
    <w:rsid w:val="0072025A"/>
    <w:rsid w:val="00720264"/>
    <w:rsid w:val="0072027D"/>
    <w:rsid w:val="0072038F"/>
    <w:rsid w:val="007204D7"/>
    <w:rsid w:val="0072050C"/>
    <w:rsid w:val="00720561"/>
    <w:rsid w:val="007205CA"/>
    <w:rsid w:val="007205E6"/>
    <w:rsid w:val="00720662"/>
    <w:rsid w:val="00720690"/>
    <w:rsid w:val="007206C5"/>
    <w:rsid w:val="007206D7"/>
    <w:rsid w:val="0072070E"/>
    <w:rsid w:val="007207FB"/>
    <w:rsid w:val="00720871"/>
    <w:rsid w:val="0072087F"/>
    <w:rsid w:val="007208B9"/>
    <w:rsid w:val="00720980"/>
    <w:rsid w:val="00720A4D"/>
    <w:rsid w:val="00720A9E"/>
    <w:rsid w:val="00720AEB"/>
    <w:rsid w:val="00720C1F"/>
    <w:rsid w:val="00720D21"/>
    <w:rsid w:val="00720D4F"/>
    <w:rsid w:val="00720D80"/>
    <w:rsid w:val="00720D8B"/>
    <w:rsid w:val="00720DC4"/>
    <w:rsid w:val="00720EFE"/>
    <w:rsid w:val="00720F2C"/>
    <w:rsid w:val="00720F3E"/>
    <w:rsid w:val="00720FB4"/>
    <w:rsid w:val="00720FEE"/>
    <w:rsid w:val="007210FE"/>
    <w:rsid w:val="0072115E"/>
    <w:rsid w:val="007211E5"/>
    <w:rsid w:val="0072123A"/>
    <w:rsid w:val="0072123E"/>
    <w:rsid w:val="00721283"/>
    <w:rsid w:val="007212A8"/>
    <w:rsid w:val="007212C5"/>
    <w:rsid w:val="00721359"/>
    <w:rsid w:val="00721448"/>
    <w:rsid w:val="00721506"/>
    <w:rsid w:val="00721540"/>
    <w:rsid w:val="00721589"/>
    <w:rsid w:val="0072178D"/>
    <w:rsid w:val="007218DF"/>
    <w:rsid w:val="0072193E"/>
    <w:rsid w:val="00721AE1"/>
    <w:rsid w:val="00721B93"/>
    <w:rsid w:val="00721C8D"/>
    <w:rsid w:val="00721CBD"/>
    <w:rsid w:val="00721D21"/>
    <w:rsid w:val="00721D4F"/>
    <w:rsid w:val="00721DDC"/>
    <w:rsid w:val="00721E49"/>
    <w:rsid w:val="00721E55"/>
    <w:rsid w:val="00721E8E"/>
    <w:rsid w:val="007220CC"/>
    <w:rsid w:val="00722149"/>
    <w:rsid w:val="007221C8"/>
    <w:rsid w:val="007222BF"/>
    <w:rsid w:val="00722340"/>
    <w:rsid w:val="007223BA"/>
    <w:rsid w:val="0072241D"/>
    <w:rsid w:val="00722553"/>
    <w:rsid w:val="007225BF"/>
    <w:rsid w:val="00722696"/>
    <w:rsid w:val="00722733"/>
    <w:rsid w:val="0072273F"/>
    <w:rsid w:val="007227C6"/>
    <w:rsid w:val="00722858"/>
    <w:rsid w:val="007228E2"/>
    <w:rsid w:val="00722961"/>
    <w:rsid w:val="00722D4C"/>
    <w:rsid w:val="00722DEC"/>
    <w:rsid w:val="00722E26"/>
    <w:rsid w:val="00722E4B"/>
    <w:rsid w:val="00722EA0"/>
    <w:rsid w:val="00722EE0"/>
    <w:rsid w:val="00722EF0"/>
    <w:rsid w:val="00722F40"/>
    <w:rsid w:val="00722F7A"/>
    <w:rsid w:val="00722F84"/>
    <w:rsid w:val="00722FFE"/>
    <w:rsid w:val="00723005"/>
    <w:rsid w:val="00723268"/>
    <w:rsid w:val="0072346A"/>
    <w:rsid w:val="0072356A"/>
    <w:rsid w:val="007235B7"/>
    <w:rsid w:val="007235F1"/>
    <w:rsid w:val="0072361F"/>
    <w:rsid w:val="00723682"/>
    <w:rsid w:val="0072372C"/>
    <w:rsid w:val="007237B6"/>
    <w:rsid w:val="007238A8"/>
    <w:rsid w:val="007238D1"/>
    <w:rsid w:val="007238F7"/>
    <w:rsid w:val="00723920"/>
    <w:rsid w:val="00723979"/>
    <w:rsid w:val="007239C0"/>
    <w:rsid w:val="00723A0A"/>
    <w:rsid w:val="00723A45"/>
    <w:rsid w:val="00723A8F"/>
    <w:rsid w:val="00723AB6"/>
    <w:rsid w:val="00723BDB"/>
    <w:rsid w:val="00723DFF"/>
    <w:rsid w:val="00723E7A"/>
    <w:rsid w:val="00723E81"/>
    <w:rsid w:val="00723F65"/>
    <w:rsid w:val="00723FB5"/>
    <w:rsid w:val="00723FE8"/>
    <w:rsid w:val="00724046"/>
    <w:rsid w:val="007240BC"/>
    <w:rsid w:val="0072419F"/>
    <w:rsid w:val="00724264"/>
    <w:rsid w:val="00724282"/>
    <w:rsid w:val="007242D0"/>
    <w:rsid w:val="0072437B"/>
    <w:rsid w:val="007243B9"/>
    <w:rsid w:val="00724582"/>
    <w:rsid w:val="00724662"/>
    <w:rsid w:val="00724888"/>
    <w:rsid w:val="0072492A"/>
    <w:rsid w:val="007249D2"/>
    <w:rsid w:val="00724A14"/>
    <w:rsid w:val="00724A66"/>
    <w:rsid w:val="00724B1A"/>
    <w:rsid w:val="00724B56"/>
    <w:rsid w:val="00724BD7"/>
    <w:rsid w:val="00724D47"/>
    <w:rsid w:val="00724DD4"/>
    <w:rsid w:val="00724DF4"/>
    <w:rsid w:val="00724E40"/>
    <w:rsid w:val="00724F1B"/>
    <w:rsid w:val="007250B3"/>
    <w:rsid w:val="00725117"/>
    <w:rsid w:val="0072516F"/>
    <w:rsid w:val="0072534A"/>
    <w:rsid w:val="007253B3"/>
    <w:rsid w:val="007254B1"/>
    <w:rsid w:val="007255AA"/>
    <w:rsid w:val="00725683"/>
    <w:rsid w:val="007256AB"/>
    <w:rsid w:val="00725719"/>
    <w:rsid w:val="00725764"/>
    <w:rsid w:val="0072582D"/>
    <w:rsid w:val="0072585D"/>
    <w:rsid w:val="00725884"/>
    <w:rsid w:val="00725913"/>
    <w:rsid w:val="007259F5"/>
    <w:rsid w:val="00725AE6"/>
    <w:rsid w:val="00725BA5"/>
    <w:rsid w:val="00725BB8"/>
    <w:rsid w:val="00725CAE"/>
    <w:rsid w:val="00725F83"/>
    <w:rsid w:val="00726057"/>
    <w:rsid w:val="0072606A"/>
    <w:rsid w:val="007261FD"/>
    <w:rsid w:val="0072623C"/>
    <w:rsid w:val="0072627A"/>
    <w:rsid w:val="0072627F"/>
    <w:rsid w:val="007263A3"/>
    <w:rsid w:val="00726415"/>
    <w:rsid w:val="00726480"/>
    <w:rsid w:val="0072648B"/>
    <w:rsid w:val="0072649E"/>
    <w:rsid w:val="00726590"/>
    <w:rsid w:val="00726600"/>
    <w:rsid w:val="00726694"/>
    <w:rsid w:val="007266B3"/>
    <w:rsid w:val="00726857"/>
    <w:rsid w:val="00726950"/>
    <w:rsid w:val="00726978"/>
    <w:rsid w:val="00726AC1"/>
    <w:rsid w:val="00726AFB"/>
    <w:rsid w:val="00726B08"/>
    <w:rsid w:val="00726B40"/>
    <w:rsid w:val="00726BBA"/>
    <w:rsid w:val="00726D3E"/>
    <w:rsid w:val="00726EB9"/>
    <w:rsid w:val="00726FCD"/>
    <w:rsid w:val="00727009"/>
    <w:rsid w:val="007270E1"/>
    <w:rsid w:val="007270F0"/>
    <w:rsid w:val="0072710E"/>
    <w:rsid w:val="007272AA"/>
    <w:rsid w:val="007272F4"/>
    <w:rsid w:val="0072730B"/>
    <w:rsid w:val="007273A0"/>
    <w:rsid w:val="0072740B"/>
    <w:rsid w:val="00727451"/>
    <w:rsid w:val="00727460"/>
    <w:rsid w:val="007274E5"/>
    <w:rsid w:val="007275BC"/>
    <w:rsid w:val="0072761D"/>
    <w:rsid w:val="0072763C"/>
    <w:rsid w:val="007277A3"/>
    <w:rsid w:val="0072792B"/>
    <w:rsid w:val="00727AD6"/>
    <w:rsid w:val="00727B34"/>
    <w:rsid w:val="00727B3D"/>
    <w:rsid w:val="00727B8E"/>
    <w:rsid w:val="00727B95"/>
    <w:rsid w:val="00727CC8"/>
    <w:rsid w:val="00727D92"/>
    <w:rsid w:val="00727E53"/>
    <w:rsid w:val="00727EEA"/>
    <w:rsid w:val="00727F02"/>
    <w:rsid w:val="0073000B"/>
    <w:rsid w:val="0073011C"/>
    <w:rsid w:val="00730194"/>
    <w:rsid w:val="0073019F"/>
    <w:rsid w:val="007301DE"/>
    <w:rsid w:val="007303D4"/>
    <w:rsid w:val="007303DF"/>
    <w:rsid w:val="00730419"/>
    <w:rsid w:val="0073042F"/>
    <w:rsid w:val="007304A6"/>
    <w:rsid w:val="007304C9"/>
    <w:rsid w:val="007304E2"/>
    <w:rsid w:val="007305BB"/>
    <w:rsid w:val="007305E1"/>
    <w:rsid w:val="007306A3"/>
    <w:rsid w:val="0073081C"/>
    <w:rsid w:val="00730838"/>
    <w:rsid w:val="007308AF"/>
    <w:rsid w:val="00730947"/>
    <w:rsid w:val="00730980"/>
    <w:rsid w:val="00730A3F"/>
    <w:rsid w:val="00730A53"/>
    <w:rsid w:val="00730A59"/>
    <w:rsid w:val="00730ABD"/>
    <w:rsid w:val="00730BD4"/>
    <w:rsid w:val="00730BFC"/>
    <w:rsid w:val="00730C4D"/>
    <w:rsid w:val="00730C90"/>
    <w:rsid w:val="00730CCA"/>
    <w:rsid w:val="00730DB3"/>
    <w:rsid w:val="00730EFE"/>
    <w:rsid w:val="00730F8D"/>
    <w:rsid w:val="00730FB9"/>
    <w:rsid w:val="00730FE3"/>
    <w:rsid w:val="0073103B"/>
    <w:rsid w:val="00731057"/>
    <w:rsid w:val="007310EF"/>
    <w:rsid w:val="00731114"/>
    <w:rsid w:val="007311A9"/>
    <w:rsid w:val="007311D1"/>
    <w:rsid w:val="007312BE"/>
    <w:rsid w:val="007313F8"/>
    <w:rsid w:val="007315D5"/>
    <w:rsid w:val="00731775"/>
    <w:rsid w:val="0073187A"/>
    <w:rsid w:val="007318DB"/>
    <w:rsid w:val="00731A19"/>
    <w:rsid w:val="00731A86"/>
    <w:rsid w:val="00731B05"/>
    <w:rsid w:val="00731B75"/>
    <w:rsid w:val="00731C5A"/>
    <w:rsid w:val="00731C64"/>
    <w:rsid w:val="00731CDE"/>
    <w:rsid w:val="00731D37"/>
    <w:rsid w:val="00731D87"/>
    <w:rsid w:val="00731DFD"/>
    <w:rsid w:val="00731F50"/>
    <w:rsid w:val="00731FD5"/>
    <w:rsid w:val="00731FF9"/>
    <w:rsid w:val="0073221A"/>
    <w:rsid w:val="00732277"/>
    <w:rsid w:val="0073229D"/>
    <w:rsid w:val="007322D9"/>
    <w:rsid w:val="007322EA"/>
    <w:rsid w:val="007324FC"/>
    <w:rsid w:val="007325A2"/>
    <w:rsid w:val="007325DE"/>
    <w:rsid w:val="007326A0"/>
    <w:rsid w:val="00732726"/>
    <w:rsid w:val="00732752"/>
    <w:rsid w:val="00732764"/>
    <w:rsid w:val="007327DB"/>
    <w:rsid w:val="00732872"/>
    <w:rsid w:val="0073292B"/>
    <w:rsid w:val="0073295C"/>
    <w:rsid w:val="00732B68"/>
    <w:rsid w:val="00732B6E"/>
    <w:rsid w:val="00732BCA"/>
    <w:rsid w:val="00732BF1"/>
    <w:rsid w:val="00732D3C"/>
    <w:rsid w:val="00732D91"/>
    <w:rsid w:val="00732D99"/>
    <w:rsid w:val="00732DF7"/>
    <w:rsid w:val="00732E66"/>
    <w:rsid w:val="00732EB9"/>
    <w:rsid w:val="00732ED2"/>
    <w:rsid w:val="00733033"/>
    <w:rsid w:val="00733213"/>
    <w:rsid w:val="007332CB"/>
    <w:rsid w:val="007332FF"/>
    <w:rsid w:val="00733420"/>
    <w:rsid w:val="00733477"/>
    <w:rsid w:val="007335FA"/>
    <w:rsid w:val="0073366D"/>
    <w:rsid w:val="0073382A"/>
    <w:rsid w:val="00733851"/>
    <w:rsid w:val="00733910"/>
    <w:rsid w:val="0073391D"/>
    <w:rsid w:val="00733925"/>
    <w:rsid w:val="00733A32"/>
    <w:rsid w:val="00733B2C"/>
    <w:rsid w:val="00733B71"/>
    <w:rsid w:val="00733BB1"/>
    <w:rsid w:val="00733C45"/>
    <w:rsid w:val="00733C71"/>
    <w:rsid w:val="00733D71"/>
    <w:rsid w:val="00733F68"/>
    <w:rsid w:val="00733F85"/>
    <w:rsid w:val="00733FEC"/>
    <w:rsid w:val="00734088"/>
    <w:rsid w:val="007340A8"/>
    <w:rsid w:val="0073410E"/>
    <w:rsid w:val="007341C6"/>
    <w:rsid w:val="007341C7"/>
    <w:rsid w:val="0073424D"/>
    <w:rsid w:val="0073443E"/>
    <w:rsid w:val="007344D0"/>
    <w:rsid w:val="00734624"/>
    <w:rsid w:val="00734663"/>
    <w:rsid w:val="0073467C"/>
    <w:rsid w:val="00734707"/>
    <w:rsid w:val="00734742"/>
    <w:rsid w:val="00734755"/>
    <w:rsid w:val="00734778"/>
    <w:rsid w:val="00734799"/>
    <w:rsid w:val="007347FA"/>
    <w:rsid w:val="007348EE"/>
    <w:rsid w:val="0073498F"/>
    <w:rsid w:val="00734A3F"/>
    <w:rsid w:val="00734A86"/>
    <w:rsid w:val="00734B88"/>
    <w:rsid w:val="00734D4D"/>
    <w:rsid w:val="00734E05"/>
    <w:rsid w:val="00734EF1"/>
    <w:rsid w:val="00734F60"/>
    <w:rsid w:val="00734FA9"/>
    <w:rsid w:val="00735058"/>
    <w:rsid w:val="007350BC"/>
    <w:rsid w:val="0073511D"/>
    <w:rsid w:val="007351A8"/>
    <w:rsid w:val="007351DC"/>
    <w:rsid w:val="00735229"/>
    <w:rsid w:val="0073523C"/>
    <w:rsid w:val="0073526E"/>
    <w:rsid w:val="00735356"/>
    <w:rsid w:val="0073536C"/>
    <w:rsid w:val="007353A3"/>
    <w:rsid w:val="0073552E"/>
    <w:rsid w:val="0073559F"/>
    <w:rsid w:val="00735646"/>
    <w:rsid w:val="0073564F"/>
    <w:rsid w:val="007357C6"/>
    <w:rsid w:val="0073583A"/>
    <w:rsid w:val="0073588B"/>
    <w:rsid w:val="007358BB"/>
    <w:rsid w:val="007358C1"/>
    <w:rsid w:val="007359CB"/>
    <w:rsid w:val="00735A9F"/>
    <w:rsid w:val="00735B9F"/>
    <w:rsid w:val="00735BC6"/>
    <w:rsid w:val="00735C27"/>
    <w:rsid w:val="00735C4D"/>
    <w:rsid w:val="00735D4B"/>
    <w:rsid w:val="00735DC2"/>
    <w:rsid w:val="00735E50"/>
    <w:rsid w:val="00735EF6"/>
    <w:rsid w:val="00736027"/>
    <w:rsid w:val="0073605B"/>
    <w:rsid w:val="007360D8"/>
    <w:rsid w:val="00736131"/>
    <w:rsid w:val="00736133"/>
    <w:rsid w:val="00736171"/>
    <w:rsid w:val="00736239"/>
    <w:rsid w:val="007362DE"/>
    <w:rsid w:val="00736366"/>
    <w:rsid w:val="007363A7"/>
    <w:rsid w:val="007363F0"/>
    <w:rsid w:val="00736409"/>
    <w:rsid w:val="0073643E"/>
    <w:rsid w:val="0073662F"/>
    <w:rsid w:val="00736774"/>
    <w:rsid w:val="00736804"/>
    <w:rsid w:val="007368A3"/>
    <w:rsid w:val="007368D2"/>
    <w:rsid w:val="007368F5"/>
    <w:rsid w:val="00736943"/>
    <w:rsid w:val="00736A92"/>
    <w:rsid w:val="00736B97"/>
    <w:rsid w:val="00736D1C"/>
    <w:rsid w:val="00736F49"/>
    <w:rsid w:val="0073703B"/>
    <w:rsid w:val="0073707B"/>
    <w:rsid w:val="00737179"/>
    <w:rsid w:val="00737185"/>
    <w:rsid w:val="007371C6"/>
    <w:rsid w:val="00737229"/>
    <w:rsid w:val="007372DD"/>
    <w:rsid w:val="007372F1"/>
    <w:rsid w:val="00737350"/>
    <w:rsid w:val="007373B7"/>
    <w:rsid w:val="007373C3"/>
    <w:rsid w:val="007373D5"/>
    <w:rsid w:val="00737518"/>
    <w:rsid w:val="00737523"/>
    <w:rsid w:val="00737534"/>
    <w:rsid w:val="00737603"/>
    <w:rsid w:val="0073760E"/>
    <w:rsid w:val="0073764F"/>
    <w:rsid w:val="00737704"/>
    <w:rsid w:val="00737720"/>
    <w:rsid w:val="0073773C"/>
    <w:rsid w:val="0073774E"/>
    <w:rsid w:val="007377A8"/>
    <w:rsid w:val="007377C0"/>
    <w:rsid w:val="00737803"/>
    <w:rsid w:val="00737AA7"/>
    <w:rsid w:val="00737ACB"/>
    <w:rsid w:val="00737B5D"/>
    <w:rsid w:val="00737B86"/>
    <w:rsid w:val="00737B9C"/>
    <w:rsid w:val="00737BFD"/>
    <w:rsid w:val="00737C3A"/>
    <w:rsid w:val="00737DC8"/>
    <w:rsid w:val="00737DE1"/>
    <w:rsid w:val="00737F00"/>
    <w:rsid w:val="00737F8D"/>
    <w:rsid w:val="00737FEF"/>
    <w:rsid w:val="007400C0"/>
    <w:rsid w:val="007400CB"/>
    <w:rsid w:val="007400D5"/>
    <w:rsid w:val="00740150"/>
    <w:rsid w:val="00740156"/>
    <w:rsid w:val="0074017A"/>
    <w:rsid w:val="0074018C"/>
    <w:rsid w:val="00740255"/>
    <w:rsid w:val="00740274"/>
    <w:rsid w:val="00740283"/>
    <w:rsid w:val="00740294"/>
    <w:rsid w:val="0074030D"/>
    <w:rsid w:val="00740319"/>
    <w:rsid w:val="00740368"/>
    <w:rsid w:val="00740453"/>
    <w:rsid w:val="007404E2"/>
    <w:rsid w:val="00740528"/>
    <w:rsid w:val="00740611"/>
    <w:rsid w:val="0074064B"/>
    <w:rsid w:val="0074067B"/>
    <w:rsid w:val="00740710"/>
    <w:rsid w:val="0074072E"/>
    <w:rsid w:val="00740788"/>
    <w:rsid w:val="007409A6"/>
    <w:rsid w:val="00740B5D"/>
    <w:rsid w:val="00740B6D"/>
    <w:rsid w:val="00740B72"/>
    <w:rsid w:val="00740BC2"/>
    <w:rsid w:val="00740BD7"/>
    <w:rsid w:val="00740C59"/>
    <w:rsid w:val="00740CB9"/>
    <w:rsid w:val="00740DB1"/>
    <w:rsid w:val="00740DC9"/>
    <w:rsid w:val="00740E83"/>
    <w:rsid w:val="00740E90"/>
    <w:rsid w:val="00740EAD"/>
    <w:rsid w:val="00740F46"/>
    <w:rsid w:val="00740FA2"/>
    <w:rsid w:val="0074107B"/>
    <w:rsid w:val="00741095"/>
    <w:rsid w:val="00741123"/>
    <w:rsid w:val="00741129"/>
    <w:rsid w:val="00741231"/>
    <w:rsid w:val="00741267"/>
    <w:rsid w:val="00741307"/>
    <w:rsid w:val="00741312"/>
    <w:rsid w:val="007414A0"/>
    <w:rsid w:val="007414B4"/>
    <w:rsid w:val="00741570"/>
    <w:rsid w:val="00741574"/>
    <w:rsid w:val="007415DB"/>
    <w:rsid w:val="0074168C"/>
    <w:rsid w:val="0074170A"/>
    <w:rsid w:val="0074176A"/>
    <w:rsid w:val="00741841"/>
    <w:rsid w:val="00741879"/>
    <w:rsid w:val="00741A3F"/>
    <w:rsid w:val="00741A4B"/>
    <w:rsid w:val="00741AA3"/>
    <w:rsid w:val="00741B82"/>
    <w:rsid w:val="00741BB7"/>
    <w:rsid w:val="00741D1D"/>
    <w:rsid w:val="00741D4E"/>
    <w:rsid w:val="00741E1D"/>
    <w:rsid w:val="00741E35"/>
    <w:rsid w:val="00741FA1"/>
    <w:rsid w:val="00742054"/>
    <w:rsid w:val="007420EB"/>
    <w:rsid w:val="00742138"/>
    <w:rsid w:val="007421AA"/>
    <w:rsid w:val="007422FB"/>
    <w:rsid w:val="007424C8"/>
    <w:rsid w:val="007424C9"/>
    <w:rsid w:val="00742596"/>
    <w:rsid w:val="0074267A"/>
    <w:rsid w:val="007426AB"/>
    <w:rsid w:val="007426FB"/>
    <w:rsid w:val="00742756"/>
    <w:rsid w:val="007428ED"/>
    <w:rsid w:val="0074296C"/>
    <w:rsid w:val="0074298A"/>
    <w:rsid w:val="00742A8A"/>
    <w:rsid w:val="00742AB6"/>
    <w:rsid w:val="00742B09"/>
    <w:rsid w:val="00742B7F"/>
    <w:rsid w:val="00742D22"/>
    <w:rsid w:val="00742D63"/>
    <w:rsid w:val="00742E16"/>
    <w:rsid w:val="00742F01"/>
    <w:rsid w:val="00742F92"/>
    <w:rsid w:val="00742FD0"/>
    <w:rsid w:val="00743044"/>
    <w:rsid w:val="0074311E"/>
    <w:rsid w:val="007432F2"/>
    <w:rsid w:val="00743316"/>
    <w:rsid w:val="00743366"/>
    <w:rsid w:val="00743377"/>
    <w:rsid w:val="00743412"/>
    <w:rsid w:val="0074349A"/>
    <w:rsid w:val="007434D4"/>
    <w:rsid w:val="007434FB"/>
    <w:rsid w:val="00743579"/>
    <w:rsid w:val="007435C9"/>
    <w:rsid w:val="0074364C"/>
    <w:rsid w:val="00743669"/>
    <w:rsid w:val="0074368C"/>
    <w:rsid w:val="0074382A"/>
    <w:rsid w:val="0074382B"/>
    <w:rsid w:val="00743877"/>
    <w:rsid w:val="007439C0"/>
    <w:rsid w:val="00743A1A"/>
    <w:rsid w:val="00743C59"/>
    <w:rsid w:val="00743D18"/>
    <w:rsid w:val="00743DD9"/>
    <w:rsid w:val="00743E0F"/>
    <w:rsid w:val="00743F48"/>
    <w:rsid w:val="00743FBF"/>
    <w:rsid w:val="00743FFC"/>
    <w:rsid w:val="00744015"/>
    <w:rsid w:val="00744111"/>
    <w:rsid w:val="007442F6"/>
    <w:rsid w:val="00744325"/>
    <w:rsid w:val="007443FA"/>
    <w:rsid w:val="00744492"/>
    <w:rsid w:val="00744501"/>
    <w:rsid w:val="0074456F"/>
    <w:rsid w:val="007445B8"/>
    <w:rsid w:val="00744615"/>
    <w:rsid w:val="00744677"/>
    <w:rsid w:val="0074473C"/>
    <w:rsid w:val="00744A29"/>
    <w:rsid w:val="00744AAF"/>
    <w:rsid w:val="00744B01"/>
    <w:rsid w:val="00744B7D"/>
    <w:rsid w:val="00744C33"/>
    <w:rsid w:val="00744C48"/>
    <w:rsid w:val="00744CC2"/>
    <w:rsid w:val="00744CFA"/>
    <w:rsid w:val="00744D57"/>
    <w:rsid w:val="00744D66"/>
    <w:rsid w:val="00744D6F"/>
    <w:rsid w:val="00744E0C"/>
    <w:rsid w:val="00744E57"/>
    <w:rsid w:val="00744FDF"/>
    <w:rsid w:val="0074500D"/>
    <w:rsid w:val="0074501F"/>
    <w:rsid w:val="00745042"/>
    <w:rsid w:val="00745143"/>
    <w:rsid w:val="00745206"/>
    <w:rsid w:val="00745242"/>
    <w:rsid w:val="00745342"/>
    <w:rsid w:val="0074534C"/>
    <w:rsid w:val="007453F8"/>
    <w:rsid w:val="0074549B"/>
    <w:rsid w:val="0074555E"/>
    <w:rsid w:val="00745572"/>
    <w:rsid w:val="00745632"/>
    <w:rsid w:val="00745644"/>
    <w:rsid w:val="00745769"/>
    <w:rsid w:val="00745863"/>
    <w:rsid w:val="0074593D"/>
    <w:rsid w:val="00745970"/>
    <w:rsid w:val="007459A5"/>
    <w:rsid w:val="00745A68"/>
    <w:rsid w:val="00745AFE"/>
    <w:rsid w:val="00745BB7"/>
    <w:rsid w:val="00745C1C"/>
    <w:rsid w:val="00745C28"/>
    <w:rsid w:val="00745C5E"/>
    <w:rsid w:val="00745CBC"/>
    <w:rsid w:val="00745D0A"/>
    <w:rsid w:val="00745D77"/>
    <w:rsid w:val="00745F54"/>
    <w:rsid w:val="00746010"/>
    <w:rsid w:val="0074601F"/>
    <w:rsid w:val="00746033"/>
    <w:rsid w:val="00746040"/>
    <w:rsid w:val="00746068"/>
    <w:rsid w:val="0074610E"/>
    <w:rsid w:val="0074622C"/>
    <w:rsid w:val="0074623E"/>
    <w:rsid w:val="007462F3"/>
    <w:rsid w:val="00746318"/>
    <w:rsid w:val="00746386"/>
    <w:rsid w:val="007463D3"/>
    <w:rsid w:val="00746443"/>
    <w:rsid w:val="007464BA"/>
    <w:rsid w:val="00746590"/>
    <w:rsid w:val="00746601"/>
    <w:rsid w:val="00746757"/>
    <w:rsid w:val="00746785"/>
    <w:rsid w:val="007467B8"/>
    <w:rsid w:val="007467F7"/>
    <w:rsid w:val="007468AB"/>
    <w:rsid w:val="00746911"/>
    <w:rsid w:val="00746A01"/>
    <w:rsid w:val="00746B1B"/>
    <w:rsid w:val="00746B33"/>
    <w:rsid w:val="00746BB3"/>
    <w:rsid w:val="00746C4A"/>
    <w:rsid w:val="00746CD8"/>
    <w:rsid w:val="00746D64"/>
    <w:rsid w:val="00746D79"/>
    <w:rsid w:val="00746DA9"/>
    <w:rsid w:val="00746DD6"/>
    <w:rsid w:val="00746E7D"/>
    <w:rsid w:val="00746ECD"/>
    <w:rsid w:val="00746EFE"/>
    <w:rsid w:val="007470AD"/>
    <w:rsid w:val="007470EE"/>
    <w:rsid w:val="00747129"/>
    <w:rsid w:val="00747268"/>
    <w:rsid w:val="007472F4"/>
    <w:rsid w:val="00747339"/>
    <w:rsid w:val="00747371"/>
    <w:rsid w:val="00747394"/>
    <w:rsid w:val="007473BB"/>
    <w:rsid w:val="00747434"/>
    <w:rsid w:val="0074746D"/>
    <w:rsid w:val="00747566"/>
    <w:rsid w:val="00747619"/>
    <w:rsid w:val="00747658"/>
    <w:rsid w:val="007476B7"/>
    <w:rsid w:val="007476E8"/>
    <w:rsid w:val="007477E7"/>
    <w:rsid w:val="00747803"/>
    <w:rsid w:val="00747836"/>
    <w:rsid w:val="00747957"/>
    <w:rsid w:val="0074798D"/>
    <w:rsid w:val="00747A10"/>
    <w:rsid w:val="00747A55"/>
    <w:rsid w:val="00747B30"/>
    <w:rsid w:val="00747B73"/>
    <w:rsid w:val="00747C3D"/>
    <w:rsid w:val="00747CF6"/>
    <w:rsid w:val="00747E2D"/>
    <w:rsid w:val="00747FC7"/>
    <w:rsid w:val="007500CC"/>
    <w:rsid w:val="007500EC"/>
    <w:rsid w:val="00750213"/>
    <w:rsid w:val="007503A6"/>
    <w:rsid w:val="007503DD"/>
    <w:rsid w:val="007503F5"/>
    <w:rsid w:val="00750520"/>
    <w:rsid w:val="00750585"/>
    <w:rsid w:val="00750615"/>
    <w:rsid w:val="0075061F"/>
    <w:rsid w:val="007506C5"/>
    <w:rsid w:val="0075083D"/>
    <w:rsid w:val="007508F3"/>
    <w:rsid w:val="0075094D"/>
    <w:rsid w:val="007509A1"/>
    <w:rsid w:val="00750A4F"/>
    <w:rsid w:val="00750A57"/>
    <w:rsid w:val="00750AFE"/>
    <w:rsid w:val="00750B5A"/>
    <w:rsid w:val="00750C0F"/>
    <w:rsid w:val="00750CCB"/>
    <w:rsid w:val="00750D96"/>
    <w:rsid w:val="00750E27"/>
    <w:rsid w:val="00750E5C"/>
    <w:rsid w:val="00750F28"/>
    <w:rsid w:val="00750FAF"/>
    <w:rsid w:val="00750FD0"/>
    <w:rsid w:val="00751022"/>
    <w:rsid w:val="00751028"/>
    <w:rsid w:val="00751099"/>
    <w:rsid w:val="00751225"/>
    <w:rsid w:val="00751247"/>
    <w:rsid w:val="0075124D"/>
    <w:rsid w:val="00751261"/>
    <w:rsid w:val="007512A7"/>
    <w:rsid w:val="007513B3"/>
    <w:rsid w:val="007513C2"/>
    <w:rsid w:val="0075143A"/>
    <w:rsid w:val="007514BD"/>
    <w:rsid w:val="007515F4"/>
    <w:rsid w:val="0075161F"/>
    <w:rsid w:val="00751707"/>
    <w:rsid w:val="00751709"/>
    <w:rsid w:val="007518AB"/>
    <w:rsid w:val="00751924"/>
    <w:rsid w:val="0075192D"/>
    <w:rsid w:val="0075195A"/>
    <w:rsid w:val="00751AA0"/>
    <w:rsid w:val="00751B8A"/>
    <w:rsid w:val="00751C43"/>
    <w:rsid w:val="00751C44"/>
    <w:rsid w:val="00751C4D"/>
    <w:rsid w:val="00751C7B"/>
    <w:rsid w:val="00751CE0"/>
    <w:rsid w:val="00751D42"/>
    <w:rsid w:val="00751E13"/>
    <w:rsid w:val="00751E91"/>
    <w:rsid w:val="00751F2E"/>
    <w:rsid w:val="00752091"/>
    <w:rsid w:val="007520F1"/>
    <w:rsid w:val="0075222A"/>
    <w:rsid w:val="007522B7"/>
    <w:rsid w:val="0075232F"/>
    <w:rsid w:val="0075235E"/>
    <w:rsid w:val="0075236C"/>
    <w:rsid w:val="007523FC"/>
    <w:rsid w:val="007524B9"/>
    <w:rsid w:val="00752643"/>
    <w:rsid w:val="00752647"/>
    <w:rsid w:val="007526A6"/>
    <w:rsid w:val="007526B4"/>
    <w:rsid w:val="007526E8"/>
    <w:rsid w:val="00752728"/>
    <w:rsid w:val="0075272D"/>
    <w:rsid w:val="00752738"/>
    <w:rsid w:val="00752755"/>
    <w:rsid w:val="007528B0"/>
    <w:rsid w:val="00752909"/>
    <w:rsid w:val="0075290A"/>
    <w:rsid w:val="00752BCD"/>
    <w:rsid w:val="00752C23"/>
    <w:rsid w:val="00752C5C"/>
    <w:rsid w:val="00752CB8"/>
    <w:rsid w:val="00752CBB"/>
    <w:rsid w:val="00752CCE"/>
    <w:rsid w:val="00752D46"/>
    <w:rsid w:val="00752DD2"/>
    <w:rsid w:val="00752F2C"/>
    <w:rsid w:val="00752F8B"/>
    <w:rsid w:val="00752FD1"/>
    <w:rsid w:val="007530B9"/>
    <w:rsid w:val="007530FA"/>
    <w:rsid w:val="007531BB"/>
    <w:rsid w:val="007531BE"/>
    <w:rsid w:val="00753254"/>
    <w:rsid w:val="00753321"/>
    <w:rsid w:val="00753487"/>
    <w:rsid w:val="00753498"/>
    <w:rsid w:val="007534A9"/>
    <w:rsid w:val="0075351A"/>
    <w:rsid w:val="0075356F"/>
    <w:rsid w:val="007535CA"/>
    <w:rsid w:val="00753609"/>
    <w:rsid w:val="00753641"/>
    <w:rsid w:val="00753662"/>
    <w:rsid w:val="00753747"/>
    <w:rsid w:val="007537AF"/>
    <w:rsid w:val="007537DD"/>
    <w:rsid w:val="00753913"/>
    <w:rsid w:val="00753930"/>
    <w:rsid w:val="00753BD9"/>
    <w:rsid w:val="00753C60"/>
    <w:rsid w:val="00753CD8"/>
    <w:rsid w:val="00753D04"/>
    <w:rsid w:val="00753D22"/>
    <w:rsid w:val="00753E38"/>
    <w:rsid w:val="0075406A"/>
    <w:rsid w:val="00754137"/>
    <w:rsid w:val="007541BE"/>
    <w:rsid w:val="0075428E"/>
    <w:rsid w:val="0075429F"/>
    <w:rsid w:val="007542B2"/>
    <w:rsid w:val="00754423"/>
    <w:rsid w:val="0075443F"/>
    <w:rsid w:val="00754494"/>
    <w:rsid w:val="00754498"/>
    <w:rsid w:val="007544B1"/>
    <w:rsid w:val="0075478A"/>
    <w:rsid w:val="00754856"/>
    <w:rsid w:val="00754864"/>
    <w:rsid w:val="007549A6"/>
    <w:rsid w:val="007549C7"/>
    <w:rsid w:val="00754AB1"/>
    <w:rsid w:val="00754B5D"/>
    <w:rsid w:val="00754BA1"/>
    <w:rsid w:val="00754C1D"/>
    <w:rsid w:val="00754C1F"/>
    <w:rsid w:val="00754D52"/>
    <w:rsid w:val="00754DF3"/>
    <w:rsid w:val="00754E01"/>
    <w:rsid w:val="00754EDF"/>
    <w:rsid w:val="00754F41"/>
    <w:rsid w:val="00754F48"/>
    <w:rsid w:val="0075506A"/>
    <w:rsid w:val="00755160"/>
    <w:rsid w:val="00755239"/>
    <w:rsid w:val="007552E5"/>
    <w:rsid w:val="0075532F"/>
    <w:rsid w:val="0075537E"/>
    <w:rsid w:val="007553BA"/>
    <w:rsid w:val="007553E3"/>
    <w:rsid w:val="00755456"/>
    <w:rsid w:val="0075545C"/>
    <w:rsid w:val="0075559F"/>
    <w:rsid w:val="00755671"/>
    <w:rsid w:val="00755762"/>
    <w:rsid w:val="007557A7"/>
    <w:rsid w:val="007557D0"/>
    <w:rsid w:val="00755807"/>
    <w:rsid w:val="007558BC"/>
    <w:rsid w:val="00755962"/>
    <w:rsid w:val="007559BD"/>
    <w:rsid w:val="00755A9E"/>
    <w:rsid w:val="00755AD4"/>
    <w:rsid w:val="00755ADE"/>
    <w:rsid w:val="00755B69"/>
    <w:rsid w:val="00755BAC"/>
    <w:rsid w:val="00755C33"/>
    <w:rsid w:val="00755D36"/>
    <w:rsid w:val="00755D4D"/>
    <w:rsid w:val="00755D74"/>
    <w:rsid w:val="00755F3B"/>
    <w:rsid w:val="00755F55"/>
    <w:rsid w:val="0075603A"/>
    <w:rsid w:val="0075609F"/>
    <w:rsid w:val="007561BB"/>
    <w:rsid w:val="00756216"/>
    <w:rsid w:val="00756307"/>
    <w:rsid w:val="00756398"/>
    <w:rsid w:val="00756454"/>
    <w:rsid w:val="00756541"/>
    <w:rsid w:val="00756768"/>
    <w:rsid w:val="0075679A"/>
    <w:rsid w:val="0075680C"/>
    <w:rsid w:val="007568D3"/>
    <w:rsid w:val="00756919"/>
    <w:rsid w:val="00756957"/>
    <w:rsid w:val="007569AA"/>
    <w:rsid w:val="00756A77"/>
    <w:rsid w:val="00756B06"/>
    <w:rsid w:val="00756B70"/>
    <w:rsid w:val="00756BF4"/>
    <w:rsid w:val="00756C54"/>
    <w:rsid w:val="00756C67"/>
    <w:rsid w:val="00756D25"/>
    <w:rsid w:val="00756D45"/>
    <w:rsid w:val="00756D51"/>
    <w:rsid w:val="00756DD4"/>
    <w:rsid w:val="00756DD9"/>
    <w:rsid w:val="007570A2"/>
    <w:rsid w:val="007570A6"/>
    <w:rsid w:val="007570E1"/>
    <w:rsid w:val="007570E3"/>
    <w:rsid w:val="007570F4"/>
    <w:rsid w:val="00757271"/>
    <w:rsid w:val="007572A2"/>
    <w:rsid w:val="007572E0"/>
    <w:rsid w:val="00757323"/>
    <w:rsid w:val="00757388"/>
    <w:rsid w:val="007573DB"/>
    <w:rsid w:val="00757486"/>
    <w:rsid w:val="0075751E"/>
    <w:rsid w:val="0075753C"/>
    <w:rsid w:val="007575AF"/>
    <w:rsid w:val="007576E3"/>
    <w:rsid w:val="0075777E"/>
    <w:rsid w:val="00757788"/>
    <w:rsid w:val="007577D5"/>
    <w:rsid w:val="0075790C"/>
    <w:rsid w:val="00757A4F"/>
    <w:rsid w:val="00757C81"/>
    <w:rsid w:val="00757D47"/>
    <w:rsid w:val="00757DBF"/>
    <w:rsid w:val="00757E38"/>
    <w:rsid w:val="00757EB2"/>
    <w:rsid w:val="00757F26"/>
    <w:rsid w:val="00760056"/>
    <w:rsid w:val="0076009A"/>
    <w:rsid w:val="007601B1"/>
    <w:rsid w:val="007603A3"/>
    <w:rsid w:val="00760539"/>
    <w:rsid w:val="0076061C"/>
    <w:rsid w:val="00760674"/>
    <w:rsid w:val="00760689"/>
    <w:rsid w:val="007606CD"/>
    <w:rsid w:val="0076082F"/>
    <w:rsid w:val="00760942"/>
    <w:rsid w:val="00760952"/>
    <w:rsid w:val="00760956"/>
    <w:rsid w:val="00760AF1"/>
    <w:rsid w:val="00760B49"/>
    <w:rsid w:val="00760B52"/>
    <w:rsid w:val="00760C06"/>
    <w:rsid w:val="00760C73"/>
    <w:rsid w:val="00760D7E"/>
    <w:rsid w:val="00760E01"/>
    <w:rsid w:val="00760E1B"/>
    <w:rsid w:val="00760EC4"/>
    <w:rsid w:val="00760F43"/>
    <w:rsid w:val="00760FC7"/>
    <w:rsid w:val="0076117A"/>
    <w:rsid w:val="007611E7"/>
    <w:rsid w:val="007613EF"/>
    <w:rsid w:val="007615A3"/>
    <w:rsid w:val="0076161E"/>
    <w:rsid w:val="007617BF"/>
    <w:rsid w:val="0076183C"/>
    <w:rsid w:val="00761936"/>
    <w:rsid w:val="0076194E"/>
    <w:rsid w:val="00761ABD"/>
    <w:rsid w:val="00761D6D"/>
    <w:rsid w:val="00761DB9"/>
    <w:rsid w:val="00761DDD"/>
    <w:rsid w:val="00761DE4"/>
    <w:rsid w:val="00761E4C"/>
    <w:rsid w:val="00761F12"/>
    <w:rsid w:val="00761F49"/>
    <w:rsid w:val="00761F62"/>
    <w:rsid w:val="00761F98"/>
    <w:rsid w:val="00761FCF"/>
    <w:rsid w:val="0076202F"/>
    <w:rsid w:val="007620DB"/>
    <w:rsid w:val="00762156"/>
    <w:rsid w:val="00762183"/>
    <w:rsid w:val="0076218D"/>
    <w:rsid w:val="0076226A"/>
    <w:rsid w:val="00762351"/>
    <w:rsid w:val="00762557"/>
    <w:rsid w:val="007625D4"/>
    <w:rsid w:val="00762897"/>
    <w:rsid w:val="007628EF"/>
    <w:rsid w:val="00762906"/>
    <w:rsid w:val="00762914"/>
    <w:rsid w:val="00762960"/>
    <w:rsid w:val="00762A24"/>
    <w:rsid w:val="00762A43"/>
    <w:rsid w:val="00762A54"/>
    <w:rsid w:val="00762AC3"/>
    <w:rsid w:val="00762AE1"/>
    <w:rsid w:val="00762B44"/>
    <w:rsid w:val="00762BD4"/>
    <w:rsid w:val="00762BDC"/>
    <w:rsid w:val="00762C2F"/>
    <w:rsid w:val="00762C72"/>
    <w:rsid w:val="00762CE1"/>
    <w:rsid w:val="00762D15"/>
    <w:rsid w:val="00762D57"/>
    <w:rsid w:val="00762E3C"/>
    <w:rsid w:val="00762E63"/>
    <w:rsid w:val="00762EDB"/>
    <w:rsid w:val="00762F2C"/>
    <w:rsid w:val="00763067"/>
    <w:rsid w:val="00763099"/>
    <w:rsid w:val="0076311E"/>
    <w:rsid w:val="0076321D"/>
    <w:rsid w:val="00763238"/>
    <w:rsid w:val="0076325C"/>
    <w:rsid w:val="00763263"/>
    <w:rsid w:val="0076329F"/>
    <w:rsid w:val="0076338C"/>
    <w:rsid w:val="0076354F"/>
    <w:rsid w:val="0076356B"/>
    <w:rsid w:val="0076357B"/>
    <w:rsid w:val="00763608"/>
    <w:rsid w:val="00763630"/>
    <w:rsid w:val="00763648"/>
    <w:rsid w:val="00763754"/>
    <w:rsid w:val="00763859"/>
    <w:rsid w:val="007638A4"/>
    <w:rsid w:val="007638C7"/>
    <w:rsid w:val="0076391C"/>
    <w:rsid w:val="0076393D"/>
    <w:rsid w:val="00763A10"/>
    <w:rsid w:val="00763A5A"/>
    <w:rsid w:val="00763AA1"/>
    <w:rsid w:val="00763C0D"/>
    <w:rsid w:val="00763E41"/>
    <w:rsid w:val="00763E51"/>
    <w:rsid w:val="00763E72"/>
    <w:rsid w:val="00763F68"/>
    <w:rsid w:val="00763FD3"/>
    <w:rsid w:val="00764062"/>
    <w:rsid w:val="007640F0"/>
    <w:rsid w:val="00764137"/>
    <w:rsid w:val="00764147"/>
    <w:rsid w:val="007642DD"/>
    <w:rsid w:val="007643CA"/>
    <w:rsid w:val="007643D1"/>
    <w:rsid w:val="007643DC"/>
    <w:rsid w:val="00764486"/>
    <w:rsid w:val="00764603"/>
    <w:rsid w:val="00764649"/>
    <w:rsid w:val="007646AA"/>
    <w:rsid w:val="007646FF"/>
    <w:rsid w:val="0076470C"/>
    <w:rsid w:val="00764774"/>
    <w:rsid w:val="0076477D"/>
    <w:rsid w:val="00764836"/>
    <w:rsid w:val="00764918"/>
    <w:rsid w:val="00764B3B"/>
    <w:rsid w:val="00764C28"/>
    <w:rsid w:val="00764C2B"/>
    <w:rsid w:val="00764C74"/>
    <w:rsid w:val="00764D6A"/>
    <w:rsid w:val="00764DC8"/>
    <w:rsid w:val="00764E46"/>
    <w:rsid w:val="00764E48"/>
    <w:rsid w:val="00764EFC"/>
    <w:rsid w:val="00764F60"/>
    <w:rsid w:val="00764FB4"/>
    <w:rsid w:val="007651A2"/>
    <w:rsid w:val="007651DD"/>
    <w:rsid w:val="007651FB"/>
    <w:rsid w:val="007652D0"/>
    <w:rsid w:val="00765365"/>
    <w:rsid w:val="007653F3"/>
    <w:rsid w:val="00765574"/>
    <w:rsid w:val="007658CF"/>
    <w:rsid w:val="0076599C"/>
    <w:rsid w:val="007659C5"/>
    <w:rsid w:val="00765AD7"/>
    <w:rsid w:val="00765BCC"/>
    <w:rsid w:val="00765C66"/>
    <w:rsid w:val="00765C91"/>
    <w:rsid w:val="00765D5E"/>
    <w:rsid w:val="00765E12"/>
    <w:rsid w:val="00765FB7"/>
    <w:rsid w:val="0076602C"/>
    <w:rsid w:val="00766124"/>
    <w:rsid w:val="00766182"/>
    <w:rsid w:val="00766213"/>
    <w:rsid w:val="0076621E"/>
    <w:rsid w:val="0076622C"/>
    <w:rsid w:val="007662F6"/>
    <w:rsid w:val="00766334"/>
    <w:rsid w:val="007663C2"/>
    <w:rsid w:val="007663C7"/>
    <w:rsid w:val="007663CA"/>
    <w:rsid w:val="007664D9"/>
    <w:rsid w:val="00766534"/>
    <w:rsid w:val="0076659A"/>
    <w:rsid w:val="00766639"/>
    <w:rsid w:val="007666EA"/>
    <w:rsid w:val="0076673A"/>
    <w:rsid w:val="007667AF"/>
    <w:rsid w:val="00766812"/>
    <w:rsid w:val="0076691D"/>
    <w:rsid w:val="00766925"/>
    <w:rsid w:val="0076694C"/>
    <w:rsid w:val="00766A80"/>
    <w:rsid w:val="00766B60"/>
    <w:rsid w:val="00766B6A"/>
    <w:rsid w:val="00766BB2"/>
    <w:rsid w:val="00766CA7"/>
    <w:rsid w:val="00766D95"/>
    <w:rsid w:val="00766DA3"/>
    <w:rsid w:val="00766E09"/>
    <w:rsid w:val="00766E12"/>
    <w:rsid w:val="00766F56"/>
    <w:rsid w:val="007670A3"/>
    <w:rsid w:val="0076710D"/>
    <w:rsid w:val="00767177"/>
    <w:rsid w:val="0076725F"/>
    <w:rsid w:val="00767298"/>
    <w:rsid w:val="0076732E"/>
    <w:rsid w:val="00767419"/>
    <w:rsid w:val="007674ED"/>
    <w:rsid w:val="007674FA"/>
    <w:rsid w:val="00767599"/>
    <w:rsid w:val="0076766D"/>
    <w:rsid w:val="007676F5"/>
    <w:rsid w:val="007677A0"/>
    <w:rsid w:val="007677BF"/>
    <w:rsid w:val="007677DD"/>
    <w:rsid w:val="00767815"/>
    <w:rsid w:val="0076792F"/>
    <w:rsid w:val="0076793C"/>
    <w:rsid w:val="00767A1E"/>
    <w:rsid w:val="00767AC2"/>
    <w:rsid w:val="00767AFE"/>
    <w:rsid w:val="00767C53"/>
    <w:rsid w:val="00767C6B"/>
    <w:rsid w:val="00767C6D"/>
    <w:rsid w:val="00767CCE"/>
    <w:rsid w:val="00767CED"/>
    <w:rsid w:val="00767DE9"/>
    <w:rsid w:val="00767FC5"/>
    <w:rsid w:val="0077000C"/>
    <w:rsid w:val="00770049"/>
    <w:rsid w:val="0077006D"/>
    <w:rsid w:val="00770170"/>
    <w:rsid w:val="0077024A"/>
    <w:rsid w:val="00770341"/>
    <w:rsid w:val="007703C0"/>
    <w:rsid w:val="00770480"/>
    <w:rsid w:val="007704D3"/>
    <w:rsid w:val="00770569"/>
    <w:rsid w:val="0077058D"/>
    <w:rsid w:val="007706C4"/>
    <w:rsid w:val="0077076A"/>
    <w:rsid w:val="007709B1"/>
    <w:rsid w:val="00770A57"/>
    <w:rsid w:val="00770AB9"/>
    <w:rsid w:val="00770B6A"/>
    <w:rsid w:val="00770D04"/>
    <w:rsid w:val="00770DE9"/>
    <w:rsid w:val="00770E73"/>
    <w:rsid w:val="00770EDC"/>
    <w:rsid w:val="00770F92"/>
    <w:rsid w:val="00770F9A"/>
    <w:rsid w:val="00770FAA"/>
    <w:rsid w:val="00770FCB"/>
    <w:rsid w:val="0077104E"/>
    <w:rsid w:val="007710B6"/>
    <w:rsid w:val="00771102"/>
    <w:rsid w:val="0077110B"/>
    <w:rsid w:val="00771240"/>
    <w:rsid w:val="007712D7"/>
    <w:rsid w:val="00771353"/>
    <w:rsid w:val="007716C3"/>
    <w:rsid w:val="00771711"/>
    <w:rsid w:val="00771788"/>
    <w:rsid w:val="007717EE"/>
    <w:rsid w:val="00771881"/>
    <w:rsid w:val="007718C4"/>
    <w:rsid w:val="007718F3"/>
    <w:rsid w:val="007719C7"/>
    <w:rsid w:val="00771A60"/>
    <w:rsid w:val="00771A70"/>
    <w:rsid w:val="00771A81"/>
    <w:rsid w:val="00771B5B"/>
    <w:rsid w:val="00771BDD"/>
    <w:rsid w:val="00771C93"/>
    <w:rsid w:val="00771D67"/>
    <w:rsid w:val="00771D7B"/>
    <w:rsid w:val="00771F78"/>
    <w:rsid w:val="00771FD4"/>
    <w:rsid w:val="00772067"/>
    <w:rsid w:val="007720DE"/>
    <w:rsid w:val="007721FF"/>
    <w:rsid w:val="00772322"/>
    <w:rsid w:val="00772333"/>
    <w:rsid w:val="0077236B"/>
    <w:rsid w:val="007723E6"/>
    <w:rsid w:val="007723F7"/>
    <w:rsid w:val="007725A6"/>
    <w:rsid w:val="0077264B"/>
    <w:rsid w:val="0077265A"/>
    <w:rsid w:val="007726B8"/>
    <w:rsid w:val="00772705"/>
    <w:rsid w:val="00772758"/>
    <w:rsid w:val="007728EB"/>
    <w:rsid w:val="00772956"/>
    <w:rsid w:val="007729F2"/>
    <w:rsid w:val="00772A36"/>
    <w:rsid w:val="00772A65"/>
    <w:rsid w:val="00772A7F"/>
    <w:rsid w:val="00772AF4"/>
    <w:rsid w:val="00772AFE"/>
    <w:rsid w:val="00772C76"/>
    <w:rsid w:val="00772D08"/>
    <w:rsid w:val="00772E33"/>
    <w:rsid w:val="00772EC5"/>
    <w:rsid w:val="00772ED0"/>
    <w:rsid w:val="00772ED5"/>
    <w:rsid w:val="00772F4D"/>
    <w:rsid w:val="00772F7F"/>
    <w:rsid w:val="00773007"/>
    <w:rsid w:val="00773056"/>
    <w:rsid w:val="00773060"/>
    <w:rsid w:val="007730F6"/>
    <w:rsid w:val="0077329D"/>
    <w:rsid w:val="007732C1"/>
    <w:rsid w:val="007733FC"/>
    <w:rsid w:val="0077342E"/>
    <w:rsid w:val="0077349C"/>
    <w:rsid w:val="007734F1"/>
    <w:rsid w:val="00773501"/>
    <w:rsid w:val="00773605"/>
    <w:rsid w:val="00773691"/>
    <w:rsid w:val="00773730"/>
    <w:rsid w:val="00773765"/>
    <w:rsid w:val="007737C3"/>
    <w:rsid w:val="007738D8"/>
    <w:rsid w:val="00773998"/>
    <w:rsid w:val="00773B0D"/>
    <w:rsid w:val="00773BD6"/>
    <w:rsid w:val="00773C78"/>
    <w:rsid w:val="00773CA8"/>
    <w:rsid w:val="00773CB8"/>
    <w:rsid w:val="00773E12"/>
    <w:rsid w:val="007741AF"/>
    <w:rsid w:val="00774224"/>
    <w:rsid w:val="0077424A"/>
    <w:rsid w:val="0077428C"/>
    <w:rsid w:val="007742BC"/>
    <w:rsid w:val="007742DF"/>
    <w:rsid w:val="00774309"/>
    <w:rsid w:val="00774311"/>
    <w:rsid w:val="0077432C"/>
    <w:rsid w:val="0077435F"/>
    <w:rsid w:val="007743FF"/>
    <w:rsid w:val="00774610"/>
    <w:rsid w:val="0077470A"/>
    <w:rsid w:val="007747AB"/>
    <w:rsid w:val="0077482B"/>
    <w:rsid w:val="007748C4"/>
    <w:rsid w:val="00774AE3"/>
    <w:rsid w:val="00774B1D"/>
    <w:rsid w:val="00774BA9"/>
    <w:rsid w:val="00774BF4"/>
    <w:rsid w:val="00774C26"/>
    <w:rsid w:val="00774CC3"/>
    <w:rsid w:val="00774D30"/>
    <w:rsid w:val="00774DE1"/>
    <w:rsid w:val="00774E3B"/>
    <w:rsid w:val="00774E4B"/>
    <w:rsid w:val="00774F02"/>
    <w:rsid w:val="00774F0D"/>
    <w:rsid w:val="00774FBF"/>
    <w:rsid w:val="00774FD1"/>
    <w:rsid w:val="00775077"/>
    <w:rsid w:val="007750FC"/>
    <w:rsid w:val="007751F3"/>
    <w:rsid w:val="007752FB"/>
    <w:rsid w:val="0077537D"/>
    <w:rsid w:val="007753A1"/>
    <w:rsid w:val="00775451"/>
    <w:rsid w:val="00775526"/>
    <w:rsid w:val="0077567A"/>
    <w:rsid w:val="007757A1"/>
    <w:rsid w:val="00775917"/>
    <w:rsid w:val="0077591F"/>
    <w:rsid w:val="007759EB"/>
    <w:rsid w:val="00775CCA"/>
    <w:rsid w:val="00775E34"/>
    <w:rsid w:val="00775E3F"/>
    <w:rsid w:val="00775E4C"/>
    <w:rsid w:val="00775E64"/>
    <w:rsid w:val="00775EC6"/>
    <w:rsid w:val="00775F7E"/>
    <w:rsid w:val="00775F86"/>
    <w:rsid w:val="00775F9E"/>
    <w:rsid w:val="00776005"/>
    <w:rsid w:val="0077610D"/>
    <w:rsid w:val="00776159"/>
    <w:rsid w:val="00776258"/>
    <w:rsid w:val="0077625F"/>
    <w:rsid w:val="007762DC"/>
    <w:rsid w:val="0077632D"/>
    <w:rsid w:val="00776331"/>
    <w:rsid w:val="00776460"/>
    <w:rsid w:val="007764B6"/>
    <w:rsid w:val="00776518"/>
    <w:rsid w:val="00776655"/>
    <w:rsid w:val="007766A3"/>
    <w:rsid w:val="00776735"/>
    <w:rsid w:val="0077674B"/>
    <w:rsid w:val="007767AF"/>
    <w:rsid w:val="007768B3"/>
    <w:rsid w:val="00776A83"/>
    <w:rsid w:val="00776B70"/>
    <w:rsid w:val="00776BB8"/>
    <w:rsid w:val="00776BCD"/>
    <w:rsid w:val="00776C0F"/>
    <w:rsid w:val="00776C84"/>
    <w:rsid w:val="00776CC8"/>
    <w:rsid w:val="00776CFC"/>
    <w:rsid w:val="00776D5F"/>
    <w:rsid w:val="00776D72"/>
    <w:rsid w:val="00776E10"/>
    <w:rsid w:val="00776E23"/>
    <w:rsid w:val="00776F17"/>
    <w:rsid w:val="00776F95"/>
    <w:rsid w:val="00776F97"/>
    <w:rsid w:val="007770FD"/>
    <w:rsid w:val="007771B1"/>
    <w:rsid w:val="007773C4"/>
    <w:rsid w:val="00777478"/>
    <w:rsid w:val="007774FC"/>
    <w:rsid w:val="00777568"/>
    <w:rsid w:val="0077758E"/>
    <w:rsid w:val="007775AB"/>
    <w:rsid w:val="00777690"/>
    <w:rsid w:val="00777710"/>
    <w:rsid w:val="007777DE"/>
    <w:rsid w:val="0077781D"/>
    <w:rsid w:val="007778B6"/>
    <w:rsid w:val="007779E8"/>
    <w:rsid w:val="00777ABB"/>
    <w:rsid w:val="00777B60"/>
    <w:rsid w:val="00777B61"/>
    <w:rsid w:val="00777B7F"/>
    <w:rsid w:val="00777BB3"/>
    <w:rsid w:val="00777BD5"/>
    <w:rsid w:val="00777C97"/>
    <w:rsid w:val="00777CDA"/>
    <w:rsid w:val="00777E13"/>
    <w:rsid w:val="00777E44"/>
    <w:rsid w:val="00777E86"/>
    <w:rsid w:val="00777E89"/>
    <w:rsid w:val="00777EC3"/>
    <w:rsid w:val="00777F90"/>
    <w:rsid w:val="00780119"/>
    <w:rsid w:val="00780181"/>
    <w:rsid w:val="00780421"/>
    <w:rsid w:val="00780443"/>
    <w:rsid w:val="0078048C"/>
    <w:rsid w:val="00780572"/>
    <w:rsid w:val="007805C8"/>
    <w:rsid w:val="007805D1"/>
    <w:rsid w:val="0078084B"/>
    <w:rsid w:val="00780862"/>
    <w:rsid w:val="00780B0B"/>
    <w:rsid w:val="00780B97"/>
    <w:rsid w:val="00780BB7"/>
    <w:rsid w:val="00780BCC"/>
    <w:rsid w:val="00780C9D"/>
    <w:rsid w:val="00780D06"/>
    <w:rsid w:val="00780D51"/>
    <w:rsid w:val="00780D8F"/>
    <w:rsid w:val="00780E3C"/>
    <w:rsid w:val="00780E43"/>
    <w:rsid w:val="00780EC1"/>
    <w:rsid w:val="00780F24"/>
    <w:rsid w:val="00780FB9"/>
    <w:rsid w:val="00780FCB"/>
    <w:rsid w:val="0078103D"/>
    <w:rsid w:val="00781061"/>
    <w:rsid w:val="007810A4"/>
    <w:rsid w:val="007810F0"/>
    <w:rsid w:val="007812F7"/>
    <w:rsid w:val="0078130F"/>
    <w:rsid w:val="0078136F"/>
    <w:rsid w:val="007813DD"/>
    <w:rsid w:val="00781516"/>
    <w:rsid w:val="0078159B"/>
    <w:rsid w:val="007815DC"/>
    <w:rsid w:val="007815FA"/>
    <w:rsid w:val="007816A4"/>
    <w:rsid w:val="007817C7"/>
    <w:rsid w:val="00781899"/>
    <w:rsid w:val="007818D5"/>
    <w:rsid w:val="00781918"/>
    <w:rsid w:val="00781AF6"/>
    <w:rsid w:val="00781B30"/>
    <w:rsid w:val="00781D32"/>
    <w:rsid w:val="00781D56"/>
    <w:rsid w:val="00781DE2"/>
    <w:rsid w:val="00781FAC"/>
    <w:rsid w:val="00781FE4"/>
    <w:rsid w:val="00781FEE"/>
    <w:rsid w:val="0078208F"/>
    <w:rsid w:val="00782095"/>
    <w:rsid w:val="00782225"/>
    <w:rsid w:val="007823A4"/>
    <w:rsid w:val="0078242B"/>
    <w:rsid w:val="007825D6"/>
    <w:rsid w:val="007825D8"/>
    <w:rsid w:val="00782638"/>
    <w:rsid w:val="0078266A"/>
    <w:rsid w:val="00782702"/>
    <w:rsid w:val="00782839"/>
    <w:rsid w:val="007828CC"/>
    <w:rsid w:val="00782963"/>
    <w:rsid w:val="00782965"/>
    <w:rsid w:val="007829E2"/>
    <w:rsid w:val="00782A92"/>
    <w:rsid w:val="00782B30"/>
    <w:rsid w:val="00782B45"/>
    <w:rsid w:val="00782BBB"/>
    <w:rsid w:val="00782C32"/>
    <w:rsid w:val="00782D78"/>
    <w:rsid w:val="00782E5A"/>
    <w:rsid w:val="00782E77"/>
    <w:rsid w:val="00782F0B"/>
    <w:rsid w:val="00783000"/>
    <w:rsid w:val="0078317E"/>
    <w:rsid w:val="007831FD"/>
    <w:rsid w:val="00783297"/>
    <w:rsid w:val="00783356"/>
    <w:rsid w:val="00783390"/>
    <w:rsid w:val="00783489"/>
    <w:rsid w:val="00783569"/>
    <w:rsid w:val="0078360B"/>
    <w:rsid w:val="007836B0"/>
    <w:rsid w:val="00783762"/>
    <w:rsid w:val="007838A8"/>
    <w:rsid w:val="00783983"/>
    <w:rsid w:val="00783A99"/>
    <w:rsid w:val="00783C80"/>
    <w:rsid w:val="00783C87"/>
    <w:rsid w:val="00783D25"/>
    <w:rsid w:val="00783D91"/>
    <w:rsid w:val="00783DFF"/>
    <w:rsid w:val="00783E0C"/>
    <w:rsid w:val="00783E58"/>
    <w:rsid w:val="00783EF3"/>
    <w:rsid w:val="00783F31"/>
    <w:rsid w:val="00784055"/>
    <w:rsid w:val="0078405D"/>
    <w:rsid w:val="00784060"/>
    <w:rsid w:val="00784084"/>
    <w:rsid w:val="00784118"/>
    <w:rsid w:val="00784192"/>
    <w:rsid w:val="007841C0"/>
    <w:rsid w:val="00784214"/>
    <w:rsid w:val="00784230"/>
    <w:rsid w:val="007842BD"/>
    <w:rsid w:val="0078459A"/>
    <w:rsid w:val="007845DC"/>
    <w:rsid w:val="0078467F"/>
    <w:rsid w:val="00784721"/>
    <w:rsid w:val="0078472D"/>
    <w:rsid w:val="00784830"/>
    <w:rsid w:val="00784832"/>
    <w:rsid w:val="00784872"/>
    <w:rsid w:val="0078488C"/>
    <w:rsid w:val="007848C9"/>
    <w:rsid w:val="00784AA1"/>
    <w:rsid w:val="00784BD5"/>
    <w:rsid w:val="00784BE6"/>
    <w:rsid w:val="00784C47"/>
    <w:rsid w:val="00784D0B"/>
    <w:rsid w:val="00784DEF"/>
    <w:rsid w:val="00784F89"/>
    <w:rsid w:val="00784FCE"/>
    <w:rsid w:val="00784FD3"/>
    <w:rsid w:val="00785012"/>
    <w:rsid w:val="00785052"/>
    <w:rsid w:val="0078507F"/>
    <w:rsid w:val="007850A9"/>
    <w:rsid w:val="007850D8"/>
    <w:rsid w:val="0078537C"/>
    <w:rsid w:val="0078545D"/>
    <w:rsid w:val="00785519"/>
    <w:rsid w:val="00785551"/>
    <w:rsid w:val="00785559"/>
    <w:rsid w:val="0078558F"/>
    <w:rsid w:val="007855DF"/>
    <w:rsid w:val="00785776"/>
    <w:rsid w:val="00785868"/>
    <w:rsid w:val="00785946"/>
    <w:rsid w:val="007859BA"/>
    <w:rsid w:val="00785A5B"/>
    <w:rsid w:val="00785B25"/>
    <w:rsid w:val="00785B9E"/>
    <w:rsid w:val="00785C82"/>
    <w:rsid w:val="00785C84"/>
    <w:rsid w:val="00785CD2"/>
    <w:rsid w:val="00785D3D"/>
    <w:rsid w:val="00785E1F"/>
    <w:rsid w:val="00785E41"/>
    <w:rsid w:val="00785EEC"/>
    <w:rsid w:val="00785EFF"/>
    <w:rsid w:val="00785F9A"/>
    <w:rsid w:val="007862F2"/>
    <w:rsid w:val="00786349"/>
    <w:rsid w:val="00786386"/>
    <w:rsid w:val="00786523"/>
    <w:rsid w:val="00786527"/>
    <w:rsid w:val="007865DF"/>
    <w:rsid w:val="00786786"/>
    <w:rsid w:val="007867CF"/>
    <w:rsid w:val="0078684D"/>
    <w:rsid w:val="00786962"/>
    <w:rsid w:val="00786A24"/>
    <w:rsid w:val="00786A8C"/>
    <w:rsid w:val="00786B31"/>
    <w:rsid w:val="00786C97"/>
    <w:rsid w:val="00786CBD"/>
    <w:rsid w:val="00786D4B"/>
    <w:rsid w:val="00786E00"/>
    <w:rsid w:val="00786F02"/>
    <w:rsid w:val="00787041"/>
    <w:rsid w:val="0078706C"/>
    <w:rsid w:val="007870EB"/>
    <w:rsid w:val="00787136"/>
    <w:rsid w:val="00787268"/>
    <w:rsid w:val="007872E0"/>
    <w:rsid w:val="007873A3"/>
    <w:rsid w:val="007873CB"/>
    <w:rsid w:val="00787462"/>
    <w:rsid w:val="00787482"/>
    <w:rsid w:val="00787515"/>
    <w:rsid w:val="00787558"/>
    <w:rsid w:val="007876BE"/>
    <w:rsid w:val="0078786A"/>
    <w:rsid w:val="00787941"/>
    <w:rsid w:val="00787A13"/>
    <w:rsid w:val="00787CC1"/>
    <w:rsid w:val="00787D38"/>
    <w:rsid w:val="00787D58"/>
    <w:rsid w:val="00787EB8"/>
    <w:rsid w:val="00787EC1"/>
    <w:rsid w:val="00787F02"/>
    <w:rsid w:val="00787F41"/>
    <w:rsid w:val="0079003A"/>
    <w:rsid w:val="0079009F"/>
    <w:rsid w:val="007900BC"/>
    <w:rsid w:val="0079039B"/>
    <w:rsid w:val="007903B3"/>
    <w:rsid w:val="00790479"/>
    <w:rsid w:val="00790593"/>
    <w:rsid w:val="007906E0"/>
    <w:rsid w:val="00790741"/>
    <w:rsid w:val="0079083C"/>
    <w:rsid w:val="00790886"/>
    <w:rsid w:val="00790906"/>
    <w:rsid w:val="007909C0"/>
    <w:rsid w:val="00790ACF"/>
    <w:rsid w:val="00790CFA"/>
    <w:rsid w:val="00790D63"/>
    <w:rsid w:val="00790E15"/>
    <w:rsid w:val="00790E78"/>
    <w:rsid w:val="00790EDC"/>
    <w:rsid w:val="00790EE9"/>
    <w:rsid w:val="00790FC6"/>
    <w:rsid w:val="00790FD8"/>
    <w:rsid w:val="00791047"/>
    <w:rsid w:val="00791201"/>
    <w:rsid w:val="007912AE"/>
    <w:rsid w:val="007912C1"/>
    <w:rsid w:val="007912F6"/>
    <w:rsid w:val="00791367"/>
    <w:rsid w:val="00791406"/>
    <w:rsid w:val="00791493"/>
    <w:rsid w:val="007914A2"/>
    <w:rsid w:val="00791572"/>
    <w:rsid w:val="00791594"/>
    <w:rsid w:val="0079160F"/>
    <w:rsid w:val="00791630"/>
    <w:rsid w:val="00791641"/>
    <w:rsid w:val="00791736"/>
    <w:rsid w:val="00791764"/>
    <w:rsid w:val="007917B5"/>
    <w:rsid w:val="007918FC"/>
    <w:rsid w:val="0079193B"/>
    <w:rsid w:val="007919AF"/>
    <w:rsid w:val="00791A7E"/>
    <w:rsid w:val="00791B35"/>
    <w:rsid w:val="00791B3C"/>
    <w:rsid w:val="00791C3C"/>
    <w:rsid w:val="00791CB2"/>
    <w:rsid w:val="00791CC5"/>
    <w:rsid w:val="00791D25"/>
    <w:rsid w:val="00791D87"/>
    <w:rsid w:val="00791DA2"/>
    <w:rsid w:val="00791DF2"/>
    <w:rsid w:val="00791E47"/>
    <w:rsid w:val="00791E6B"/>
    <w:rsid w:val="00791F70"/>
    <w:rsid w:val="00791F88"/>
    <w:rsid w:val="0079217E"/>
    <w:rsid w:val="0079221C"/>
    <w:rsid w:val="00792269"/>
    <w:rsid w:val="007922A5"/>
    <w:rsid w:val="007922B6"/>
    <w:rsid w:val="0079231C"/>
    <w:rsid w:val="00792321"/>
    <w:rsid w:val="00792468"/>
    <w:rsid w:val="0079246C"/>
    <w:rsid w:val="00792569"/>
    <w:rsid w:val="00792582"/>
    <w:rsid w:val="007925F1"/>
    <w:rsid w:val="00792639"/>
    <w:rsid w:val="00792757"/>
    <w:rsid w:val="00792951"/>
    <w:rsid w:val="00792A64"/>
    <w:rsid w:val="00792BEC"/>
    <w:rsid w:val="00792C2F"/>
    <w:rsid w:val="00792C60"/>
    <w:rsid w:val="00792E4B"/>
    <w:rsid w:val="00792FFB"/>
    <w:rsid w:val="00793072"/>
    <w:rsid w:val="0079310A"/>
    <w:rsid w:val="007931CC"/>
    <w:rsid w:val="007931E7"/>
    <w:rsid w:val="007931F0"/>
    <w:rsid w:val="00793298"/>
    <w:rsid w:val="007932DF"/>
    <w:rsid w:val="007932EC"/>
    <w:rsid w:val="00793454"/>
    <w:rsid w:val="007934C8"/>
    <w:rsid w:val="00793528"/>
    <w:rsid w:val="0079359B"/>
    <w:rsid w:val="007935F5"/>
    <w:rsid w:val="0079366C"/>
    <w:rsid w:val="00793677"/>
    <w:rsid w:val="0079371E"/>
    <w:rsid w:val="00793773"/>
    <w:rsid w:val="007937C1"/>
    <w:rsid w:val="00793897"/>
    <w:rsid w:val="007938B5"/>
    <w:rsid w:val="007938CC"/>
    <w:rsid w:val="007938F8"/>
    <w:rsid w:val="00793907"/>
    <w:rsid w:val="00793A0E"/>
    <w:rsid w:val="00793A54"/>
    <w:rsid w:val="00793ACE"/>
    <w:rsid w:val="00793B9F"/>
    <w:rsid w:val="00793BF6"/>
    <w:rsid w:val="00793C58"/>
    <w:rsid w:val="00793C90"/>
    <w:rsid w:val="00793D1A"/>
    <w:rsid w:val="00793E60"/>
    <w:rsid w:val="00793EBB"/>
    <w:rsid w:val="00793F36"/>
    <w:rsid w:val="00793F97"/>
    <w:rsid w:val="0079409C"/>
    <w:rsid w:val="007940E1"/>
    <w:rsid w:val="00794178"/>
    <w:rsid w:val="0079417A"/>
    <w:rsid w:val="00794340"/>
    <w:rsid w:val="0079444F"/>
    <w:rsid w:val="007944DA"/>
    <w:rsid w:val="0079453B"/>
    <w:rsid w:val="0079455B"/>
    <w:rsid w:val="0079458D"/>
    <w:rsid w:val="0079464A"/>
    <w:rsid w:val="00794667"/>
    <w:rsid w:val="00794683"/>
    <w:rsid w:val="00794708"/>
    <w:rsid w:val="0079474E"/>
    <w:rsid w:val="007947EA"/>
    <w:rsid w:val="00794848"/>
    <w:rsid w:val="00794903"/>
    <w:rsid w:val="00794938"/>
    <w:rsid w:val="00794949"/>
    <w:rsid w:val="00794A01"/>
    <w:rsid w:val="00794A30"/>
    <w:rsid w:val="00794A39"/>
    <w:rsid w:val="00794A8C"/>
    <w:rsid w:val="00794B11"/>
    <w:rsid w:val="00794B2B"/>
    <w:rsid w:val="00794B7D"/>
    <w:rsid w:val="00794C03"/>
    <w:rsid w:val="00794D81"/>
    <w:rsid w:val="00794DB6"/>
    <w:rsid w:val="00794E72"/>
    <w:rsid w:val="00794EAE"/>
    <w:rsid w:val="00794EC5"/>
    <w:rsid w:val="00794F9A"/>
    <w:rsid w:val="00795019"/>
    <w:rsid w:val="0079512B"/>
    <w:rsid w:val="0079527D"/>
    <w:rsid w:val="00795319"/>
    <w:rsid w:val="0079533F"/>
    <w:rsid w:val="0079535D"/>
    <w:rsid w:val="00795366"/>
    <w:rsid w:val="007953E6"/>
    <w:rsid w:val="007953F4"/>
    <w:rsid w:val="00795490"/>
    <w:rsid w:val="007954A2"/>
    <w:rsid w:val="00795577"/>
    <w:rsid w:val="007956BB"/>
    <w:rsid w:val="007956D8"/>
    <w:rsid w:val="00795727"/>
    <w:rsid w:val="007957BA"/>
    <w:rsid w:val="0079580A"/>
    <w:rsid w:val="00795814"/>
    <w:rsid w:val="0079586D"/>
    <w:rsid w:val="00795913"/>
    <w:rsid w:val="00795947"/>
    <w:rsid w:val="00795A9C"/>
    <w:rsid w:val="00795CA6"/>
    <w:rsid w:val="00795D0B"/>
    <w:rsid w:val="00795E09"/>
    <w:rsid w:val="00795E61"/>
    <w:rsid w:val="00795F13"/>
    <w:rsid w:val="00795FB2"/>
    <w:rsid w:val="0079601D"/>
    <w:rsid w:val="007960A0"/>
    <w:rsid w:val="0079625E"/>
    <w:rsid w:val="00796315"/>
    <w:rsid w:val="0079638D"/>
    <w:rsid w:val="0079642E"/>
    <w:rsid w:val="00796460"/>
    <w:rsid w:val="00796685"/>
    <w:rsid w:val="007966B7"/>
    <w:rsid w:val="00796708"/>
    <w:rsid w:val="00796772"/>
    <w:rsid w:val="007967E3"/>
    <w:rsid w:val="0079687F"/>
    <w:rsid w:val="00796886"/>
    <w:rsid w:val="0079692F"/>
    <w:rsid w:val="007969F5"/>
    <w:rsid w:val="00796A27"/>
    <w:rsid w:val="00796A31"/>
    <w:rsid w:val="00796A48"/>
    <w:rsid w:val="00796A7B"/>
    <w:rsid w:val="00796A96"/>
    <w:rsid w:val="00796AE8"/>
    <w:rsid w:val="00796AEC"/>
    <w:rsid w:val="00796C6B"/>
    <w:rsid w:val="00796D86"/>
    <w:rsid w:val="00796DB3"/>
    <w:rsid w:val="00796DCC"/>
    <w:rsid w:val="00796DF5"/>
    <w:rsid w:val="00796E1A"/>
    <w:rsid w:val="00796E53"/>
    <w:rsid w:val="00796F58"/>
    <w:rsid w:val="00797103"/>
    <w:rsid w:val="007971D6"/>
    <w:rsid w:val="007972AC"/>
    <w:rsid w:val="007973EF"/>
    <w:rsid w:val="007974D7"/>
    <w:rsid w:val="00797524"/>
    <w:rsid w:val="007975C7"/>
    <w:rsid w:val="0079761E"/>
    <w:rsid w:val="00797662"/>
    <w:rsid w:val="007976A9"/>
    <w:rsid w:val="0079772E"/>
    <w:rsid w:val="007977EC"/>
    <w:rsid w:val="007977F0"/>
    <w:rsid w:val="0079791D"/>
    <w:rsid w:val="00797A26"/>
    <w:rsid w:val="00797A7A"/>
    <w:rsid w:val="00797AD6"/>
    <w:rsid w:val="00797B72"/>
    <w:rsid w:val="00797BA6"/>
    <w:rsid w:val="00797BC3"/>
    <w:rsid w:val="00797CDD"/>
    <w:rsid w:val="00797F1C"/>
    <w:rsid w:val="0079AEB1"/>
    <w:rsid w:val="007A0016"/>
    <w:rsid w:val="007A009E"/>
    <w:rsid w:val="007A00E1"/>
    <w:rsid w:val="007A02CA"/>
    <w:rsid w:val="007A03E6"/>
    <w:rsid w:val="007A0586"/>
    <w:rsid w:val="007A066B"/>
    <w:rsid w:val="007A0688"/>
    <w:rsid w:val="007A06FF"/>
    <w:rsid w:val="007A07D2"/>
    <w:rsid w:val="007A0877"/>
    <w:rsid w:val="007A08BB"/>
    <w:rsid w:val="007A0983"/>
    <w:rsid w:val="007A09C7"/>
    <w:rsid w:val="007A0A05"/>
    <w:rsid w:val="007A0AD2"/>
    <w:rsid w:val="007A0ADB"/>
    <w:rsid w:val="007A0AFA"/>
    <w:rsid w:val="007A0B3C"/>
    <w:rsid w:val="007A0B5B"/>
    <w:rsid w:val="007A0C19"/>
    <w:rsid w:val="007A0CC4"/>
    <w:rsid w:val="007A0FC8"/>
    <w:rsid w:val="007A1071"/>
    <w:rsid w:val="007A1081"/>
    <w:rsid w:val="007A1128"/>
    <w:rsid w:val="007A1136"/>
    <w:rsid w:val="007A1361"/>
    <w:rsid w:val="007A138A"/>
    <w:rsid w:val="007A13AD"/>
    <w:rsid w:val="007A15B7"/>
    <w:rsid w:val="007A1698"/>
    <w:rsid w:val="007A16BD"/>
    <w:rsid w:val="007A170C"/>
    <w:rsid w:val="007A1754"/>
    <w:rsid w:val="007A1765"/>
    <w:rsid w:val="007A19D9"/>
    <w:rsid w:val="007A1A2A"/>
    <w:rsid w:val="007A1C14"/>
    <w:rsid w:val="007A1C16"/>
    <w:rsid w:val="007A1C1C"/>
    <w:rsid w:val="007A1D4E"/>
    <w:rsid w:val="007A1D6C"/>
    <w:rsid w:val="007A1E74"/>
    <w:rsid w:val="007A1ED5"/>
    <w:rsid w:val="007A1F1A"/>
    <w:rsid w:val="007A2044"/>
    <w:rsid w:val="007A20E0"/>
    <w:rsid w:val="007A210A"/>
    <w:rsid w:val="007A2188"/>
    <w:rsid w:val="007A2294"/>
    <w:rsid w:val="007A22DE"/>
    <w:rsid w:val="007A23FC"/>
    <w:rsid w:val="007A2403"/>
    <w:rsid w:val="007A2499"/>
    <w:rsid w:val="007A2734"/>
    <w:rsid w:val="007A2876"/>
    <w:rsid w:val="007A28A6"/>
    <w:rsid w:val="007A2915"/>
    <w:rsid w:val="007A2945"/>
    <w:rsid w:val="007A2A04"/>
    <w:rsid w:val="007A2AD0"/>
    <w:rsid w:val="007A2C34"/>
    <w:rsid w:val="007A2CCF"/>
    <w:rsid w:val="007A2DC9"/>
    <w:rsid w:val="007A2E39"/>
    <w:rsid w:val="007A2E86"/>
    <w:rsid w:val="007A2F00"/>
    <w:rsid w:val="007A2F50"/>
    <w:rsid w:val="007A2FC3"/>
    <w:rsid w:val="007A2FDC"/>
    <w:rsid w:val="007A3139"/>
    <w:rsid w:val="007A3152"/>
    <w:rsid w:val="007A31EA"/>
    <w:rsid w:val="007A3233"/>
    <w:rsid w:val="007A32DD"/>
    <w:rsid w:val="007A32EE"/>
    <w:rsid w:val="007A3368"/>
    <w:rsid w:val="007A339B"/>
    <w:rsid w:val="007A33A9"/>
    <w:rsid w:val="007A3402"/>
    <w:rsid w:val="007A3500"/>
    <w:rsid w:val="007A367B"/>
    <w:rsid w:val="007A38A7"/>
    <w:rsid w:val="007A38B3"/>
    <w:rsid w:val="007A38B9"/>
    <w:rsid w:val="007A3961"/>
    <w:rsid w:val="007A39F4"/>
    <w:rsid w:val="007A3A7D"/>
    <w:rsid w:val="007A3AB2"/>
    <w:rsid w:val="007A3B64"/>
    <w:rsid w:val="007A3B94"/>
    <w:rsid w:val="007A3CC5"/>
    <w:rsid w:val="007A3DF1"/>
    <w:rsid w:val="007A3E8A"/>
    <w:rsid w:val="007A3EFA"/>
    <w:rsid w:val="007A3F3E"/>
    <w:rsid w:val="007A3F47"/>
    <w:rsid w:val="007A3FB6"/>
    <w:rsid w:val="007A403A"/>
    <w:rsid w:val="007A40F3"/>
    <w:rsid w:val="007A40F8"/>
    <w:rsid w:val="007A4169"/>
    <w:rsid w:val="007A4188"/>
    <w:rsid w:val="007A4203"/>
    <w:rsid w:val="007A42BC"/>
    <w:rsid w:val="007A4341"/>
    <w:rsid w:val="007A435A"/>
    <w:rsid w:val="007A444C"/>
    <w:rsid w:val="007A4517"/>
    <w:rsid w:val="007A45D6"/>
    <w:rsid w:val="007A4620"/>
    <w:rsid w:val="007A46BA"/>
    <w:rsid w:val="007A471E"/>
    <w:rsid w:val="007A47E8"/>
    <w:rsid w:val="007A47F8"/>
    <w:rsid w:val="007A48A7"/>
    <w:rsid w:val="007A4961"/>
    <w:rsid w:val="007A49C3"/>
    <w:rsid w:val="007A4A7A"/>
    <w:rsid w:val="007A4A8A"/>
    <w:rsid w:val="007A4AC9"/>
    <w:rsid w:val="007A4B05"/>
    <w:rsid w:val="007A4B5D"/>
    <w:rsid w:val="007A4BAA"/>
    <w:rsid w:val="007A4BB0"/>
    <w:rsid w:val="007A4C1D"/>
    <w:rsid w:val="007A4CEF"/>
    <w:rsid w:val="007A4CF2"/>
    <w:rsid w:val="007A4D69"/>
    <w:rsid w:val="007A4D8E"/>
    <w:rsid w:val="007A4DFA"/>
    <w:rsid w:val="007A4FCA"/>
    <w:rsid w:val="007A4FDA"/>
    <w:rsid w:val="007A4FF6"/>
    <w:rsid w:val="007A5022"/>
    <w:rsid w:val="007A50F7"/>
    <w:rsid w:val="007A5107"/>
    <w:rsid w:val="007A519C"/>
    <w:rsid w:val="007A520D"/>
    <w:rsid w:val="007A53F3"/>
    <w:rsid w:val="007A5421"/>
    <w:rsid w:val="007A5583"/>
    <w:rsid w:val="007A558C"/>
    <w:rsid w:val="007A558E"/>
    <w:rsid w:val="007A55F3"/>
    <w:rsid w:val="007A5603"/>
    <w:rsid w:val="007A577A"/>
    <w:rsid w:val="007A57CB"/>
    <w:rsid w:val="007A59DC"/>
    <w:rsid w:val="007A5A1B"/>
    <w:rsid w:val="007A5C73"/>
    <w:rsid w:val="007A5D0B"/>
    <w:rsid w:val="007A5D10"/>
    <w:rsid w:val="007A5D36"/>
    <w:rsid w:val="007A5D58"/>
    <w:rsid w:val="007A5D69"/>
    <w:rsid w:val="007A5E1A"/>
    <w:rsid w:val="007A5EA5"/>
    <w:rsid w:val="007A5F50"/>
    <w:rsid w:val="007A5F53"/>
    <w:rsid w:val="007A5FD9"/>
    <w:rsid w:val="007A6004"/>
    <w:rsid w:val="007A6006"/>
    <w:rsid w:val="007A61AC"/>
    <w:rsid w:val="007A623C"/>
    <w:rsid w:val="007A63FE"/>
    <w:rsid w:val="007A6470"/>
    <w:rsid w:val="007A65A0"/>
    <w:rsid w:val="007A6626"/>
    <w:rsid w:val="007A6753"/>
    <w:rsid w:val="007A6778"/>
    <w:rsid w:val="007A678A"/>
    <w:rsid w:val="007A67C9"/>
    <w:rsid w:val="007A685E"/>
    <w:rsid w:val="007A68B6"/>
    <w:rsid w:val="007A68E3"/>
    <w:rsid w:val="007A690A"/>
    <w:rsid w:val="007A6968"/>
    <w:rsid w:val="007A6A89"/>
    <w:rsid w:val="007A6ACE"/>
    <w:rsid w:val="007A6AF0"/>
    <w:rsid w:val="007A6B42"/>
    <w:rsid w:val="007A6B55"/>
    <w:rsid w:val="007A6C32"/>
    <w:rsid w:val="007A6C47"/>
    <w:rsid w:val="007A6D18"/>
    <w:rsid w:val="007A6D6A"/>
    <w:rsid w:val="007A6DBF"/>
    <w:rsid w:val="007A6E00"/>
    <w:rsid w:val="007A6E06"/>
    <w:rsid w:val="007A6E1E"/>
    <w:rsid w:val="007A6EA2"/>
    <w:rsid w:val="007A70B2"/>
    <w:rsid w:val="007A7165"/>
    <w:rsid w:val="007A726F"/>
    <w:rsid w:val="007A7295"/>
    <w:rsid w:val="007A72B2"/>
    <w:rsid w:val="007A765F"/>
    <w:rsid w:val="007A76C7"/>
    <w:rsid w:val="007A76FD"/>
    <w:rsid w:val="007A7748"/>
    <w:rsid w:val="007A786A"/>
    <w:rsid w:val="007A786B"/>
    <w:rsid w:val="007A79D0"/>
    <w:rsid w:val="007A79FC"/>
    <w:rsid w:val="007A7AC8"/>
    <w:rsid w:val="007A7B9A"/>
    <w:rsid w:val="007A7CEB"/>
    <w:rsid w:val="007A7E0C"/>
    <w:rsid w:val="007A7E5A"/>
    <w:rsid w:val="007A7E6B"/>
    <w:rsid w:val="007A7E99"/>
    <w:rsid w:val="007B0049"/>
    <w:rsid w:val="007B00CF"/>
    <w:rsid w:val="007B00F2"/>
    <w:rsid w:val="007B019B"/>
    <w:rsid w:val="007B01BF"/>
    <w:rsid w:val="007B027B"/>
    <w:rsid w:val="007B02AD"/>
    <w:rsid w:val="007B02FC"/>
    <w:rsid w:val="007B0400"/>
    <w:rsid w:val="007B044E"/>
    <w:rsid w:val="007B048C"/>
    <w:rsid w:val="007B04C4"/>
    <w:rsid w:val="007B0807"/>
    <w:rsid w:val="007B090E"/>
    <w:rsid w:val="007B0A75"/>
    <w:rsid w:val="007B0AEC"/>
    <w:rsid w:val="007B0BC0"/>
    <w:rsid w:val="007B0C46"/>
    <w:rsid w:val="007B0C49"/>
    <w:rsid w:val="007B0C75"/>
    <w:rsid w:val="007B0C96"/>
    <w:rsid w:val="007B0DC1"/>
    <w:rsid w:val="007B0E52"/>
    <w:rsid w:val="007B0E5B"/>
    <w:rsid w:val="007B0E5D"/>
    <w:rsid w:val="007B0E5E"/>
    <w:rsid w:val="007B0E9A"/>
    <w:rsid w:val="007B0EA8"/>
    <w:rsid w:val="007B0F04"/>
    <w:rsid w:val="007B0F42"/>
    <w:rsid w:val="007B0FA1"/>
    <w:rsid w:val="007B1035"/>
    <w:rsid w:val="007B1079"/>
    <w:rsid w:val="007B10DC"/>
    <w:rsid w:val="007B1107"/>
    <w:rsid w:val="007B1218"/>
    <w:rsid w:val="007B1357"/>
    <w:rsid w:val="007B14B6"/>
    <w:rsid w:val="007B14F4"/>
    <w:rsid w:val="007B1567"/>
    <w:rsid w:val="007B158B"/>
    <w:rsid w:val="007B15C0"/>
    <w:rsid w:val="007B16C3"/>
    <w:rsid w:val="007B16DB"/>
    <w:rsid w:val="007B1884"/>
    <w:rsid w:val="007B18B1"/>
    <w:rsid w:val="007B18FD"/>
    <w:rsid w:val="007B196E"/>
    <w:rsid w:val="007B19AF"/>
    <w:rsid w:val="007B1A43"/>
    <w:rsid w:val="007B1AFC"/>
    <w:rsid w:val="007B1B02"/>
    <w:rsid w:val="007B1B27"/>
    <w:rsid w:val="007B1B30"/>
    <w:rsid w:val="007B1B37"/>
    <w:rsid w:val="007B1B6D"/>
    <w:rsid w:val="007B1D4B"/>
    <w:rsid w:val="007B1DDB"/>
    <w:rsid w:val="007B1E3E"/>
    <w:rsid w:val="007B1EF4"/>
    <w:rsid w:val="007B1F5A"/>
    <w:rsid w:val="007B1F7B"/>
    <w:rsid w:val="007B2036"/>
    <w:rsid w:val="007B2075"/>
    <w:rsid w:val="007B2092"/>
    <w:rsid w:val="007B2161"/>
    <w:rsid w:val="007B2260"/>
    <w:rsid w:val="007B2351"/>
    <w:rsid w:val="007B2360"/>
    <w:rsid w:val="007B2368"/>
    <w:rsid w:val="007B23A0"/>
    <w:rsid w:val="007B2421"/>
    <w:rsid w:val="007B2556"/>
    <w:rsid w:val="007B25DF"/>
    <w:rsid w:val="007B25FC"/>
    <w:rsid w:val="007B26F7"/>
    <w:rsid w:val="007B274F"/>
    <w:rsid w:val="007B2859"/>
    <w:rsid w:val="007B291F"/>
    <w:rsid w:val="007B2961"/>
    <w:rsid w:val="007B29A2"/>
    <w:rsid w:val="007B29E8"/>
    <w:rsid w:val="007B2AB0"/>
    <w:rsid w:val="007B2AF5"/>
    <w:rsid w:val="007B2B22"/>
    <w:rsid w:val="007B2C7F"/>
    <w:rsid w:val="007B2CF1"/>
    <w:rsid w:val="007B2D72"/>
    <w:rsid w:val="007B2E79"/>
    <w:rsid w:val="007B2EAA"/>
    <w:rsid w:val="007B2ECB"/>
    <w:rsid w:val="007B2EFE"/>
    <w:rsid w:val="007B312B"/>
    <w:rsid w:val="007B3283"/>
    <w:rsid w:val="007B3301"/>
    <w:rsid w:val="007B3498"/>
    <w:rsid w:val="007B34B0"/>
    <w:rsid w:val="007B3573"/>
    <w:rsid w:val="007B3672"/>
    <w:rsid w:val="007B36EC"/>
    <w:rsid w:val="007B3722"/>
    <w:rsid w:val="007B3741"/>
    <w:rsid w:val="007B38F5"/>
    <w:rsid w:val="007B3903"/>
    <w:rsid w:val="007B3A14"/>
    <w:rsid w:val="007B3AE3"/>
    <w:rsid w:val="007B3B3B"/>
    <w:rsid w:val="007B3B78"/>
    <w:rsid w:val="007B3D14"/>
    <w:rsid w:val="007B3D3E"/>
    <w:rsid w:val="007B3D54"/>
    <w:rsid w:val="007B3E1E"/>
    <w:rsid w:val="007B3EA9"/>
    <w:rsid w:val="007B3EF7"/>
    <w:rsid w:val="007B3EFB"/>
    <w:rsid w:val="007B3F3A"/>
    <w:rsid w:val="007B3FDB"/>
    <w:rsid w:val="007B408C"/>
    <w:rsid w:val="007B4163"/>
    <w:rsid w:val="007B42DB"/>
    <w:rsid w:val="007B42F9"/>
    <w:rsid w:val="007B42FE"/>
    <w:rsid w:val="007B43DE"/>
    <w:rsid w:val="007B4424"/>
    <w:rsid w:val="007B4444"/>
    <w:rsid w:val="007B44A5"/>
    <w:rsid w:val="007B44E3"/>
    <w:rsid w:val="007B4507"/>
    <w:rsid w:val="007B450E"/>
    <w:rsid w:val="007B4553"/>
    <w:rsid w:val="007B455F"/>
    <w:rsid w:val="007B4638"/>
    <w:rsid w:val="007B47CA"/>
    <w:rsid w:val="007B485C"/>
    <w:rsid w:val="007B4993"/>
    <w:rsid w:val="007B4A4D"/>
    <w:rsid w:val="007B4B7B"/>
    <w:rsid w:val="007B4B8C"/>
    <w:rsid w:val="007B4BAB"/>
    <w:rsid w:val="007B4BF6"/>
    <w:rsid w:val="007B4CA1"/>
    <w:rsid w:val="007B4CB5"/>
    <w:rsid w:val="007B4DC2"/>
    <w:rsid w:val="007B4DD3"/>
    <w:rsid w:val="007B4EF9"/>
    <w:rsid w:val="007B50C0"/>
    <w:rsid w:val="007B50F1"/>
    <w:rsid w:val="007B51A4"/>
    <w:rsid w:val="007B5221"/>
    <w:rsid w:val="007B5229"/>
    <w:rsid w:val="007B536D"/>
    <w:rsid w:val="007B53C8"/>
    <w:rsid w:val="007B53DD"/>
    <w:rsid w:val="007B5404"/>
    <w:rsid w:val="007B5432"/>
    <w:rsid w:val="007B548B"/>
    <w:rsid w:val="007B54E3"/>
    <w:rsid w:val="007B564B"/>
    <w:rsid w:val="007B56D1"/>
    <w:rsid w:val="007B5760"/>
    <w:rsid w:val="007B5764"/>
    <w:rsid w:val="007B581A"/>
    <w:rsid w:val="007B5895"/>
    <w:rsid w:val="007B5994"/>
    <w:rsid w:val="007B5B3B"/>
    <w:rsid w:val="007B5B64"/>
    <w:rsid w:val="007B5BF8"/>
    <w:rsid w:val="007B5C5E"/>
    <w:rsid w:val="007B5C8B"/>
    <w:rsid w:val="007B5CBF"/>
    <w:rsid w:val="007B5D3C"/>
    <w:rsid w:val="007B5D41"/>
    <w:rsid w:val="007B5F23"/>
    <w:rsid w:val="007B5FE9"/>
    <w:rsid w:val="007B6136"/>
    <w:rsid w:val="007B6247"/>
    <w:rsid w:val="007B6395"/>
    <w:rsid w:val="007B643E"/>
    <w:rsid w:val="007B656F"/>
    <w:rsid w:val="007B65F7"/>
    <w:rsid w:val="007B6625"/>
    <w:rsid w:val="007B66AE"/>
    <w:rsid w:val="007B6715"/>
    <w:rsid w:val="007B6722"/>
    <w:rsid w:val="007B67D0"/>
    <w:rsid w:val="007B67FB"/>
    <w:rsid w:val="007B6812"/>
    <w:rsid w:val="007B6841"/>
    <w:rsid w:val="007B69C2"/>
    <w:rsid w:val="007B6AC8"/>
    <w:rsid w:val="007B6B78"/>
    <w:rsid w:val="007B6BA0"/>
    <w:rsid w:val="007B6BAE"/>
    <w:rsid w:val="007B6CF3"/>
    <w:rsid w:val="007B6DC6"/>
    <w:rsid w:val="007B6DFA"/>
    <w:rsid w:val="007B6E4D"/>
    <w:rsid w:val="007B6E56"/>
    <w:rsid w:val="007B709F"/>
    <w:rsid w:val="007B70FC"/>
    <w:rsid w:val="007B71B0"/>
    <w:rsid w:val="007B71C1"/>
    <w:rsid w:val="007B722D"/>
    <w:rsid w:val="007B72D7"/>
    <w:rsid w:val="007B739D"/>
    <w:rsid w:val="007B7453"/>
    <w:rsid w:val="007B745C"/>
    <w:rsid w:val="007B74E6"/>
    <w:rsid w:val="007B752F"/>
    <w:rsid w:val="007B75BC"/>
    <w:rsid w:val="007B7603"/>
    <w:rsid w:val="007B7646"/>
    <w:rsid w:val="007B76CC"/>
    <w:rsid w:val="007B76CF"/>
    <w:rsid w:val="007B772E"/>
    <w:rsid w:val="007B7791"/>
    <w:rsid w:val="007B77A1"/>
    <w:rsid w:val="007B77AA"/>
    <w:rsid w:val="007B781F"/>
    <w:rsid w:val="007B7924"/>
    <w:rsid w:val="007B7ACF"/>
    <w:rsid w:val="007B7AEA"/>
    <w:rsid w:val="007B7B1B"/>
    <w:rsid w:val="007B7D39"/>
    <w:rsid w:val="007B7D42"/>
    <w:rsid w:val="007B7D91"/>
    <w:rsid w:val="007B7DE1"/>
    <w:rsid w:val="007B7E26"/>
    <w:rsid w:val="007B7FAD"/>
    <w:rsid w:val="007B7FD8"/>
    <w:rsid w:val="007C0001"/>
    <w:rsid w:val="007C006F"/>
    <w:rsid w:val="007C00A5"/>
    <w:rsid w:val="007C00C0"/>
    <w:rsid w:val="007C0185"/>
    <w:rsid w:val="007C01E6"/>
    <w:rsid w:val="007C01FE"/>
    <w:rsid w:val="007C033D"/>
    <w:rsid w:val="007C03B0"/>
    <w:rsid w:val="007C03BD"/>
    <w:rsid w:val="007C03C4"/>
    <w:rsid w:val="007C0498"/>
    <w:rsid w:val="007C05A6"/>
    <w:rsid w:val="007C06EC"/>
    <w:rsid w:val="007C07C7"/>
    <w:rsid w:val="007C0840"/>
    <w:rsid w:val="007C08DE"/>
    <w:rsid w:val="007C08E4"/>
    <w:rsid w:val="007C09CF"/>
    <w:rsid w:val="007C0B47"/>
    <w:rsid w:val="007C0C58"/>
    <w:rsid w:val="007C0CF6"/>
    <w:rsid w:val="007C0E33"/>
    <w:rsid w:val="007C0E77"/>
    <w:rsid w:val="007C0F5E"/>
    <w:rsid w:val="007C0F60"/>
    <w:rsid w:val="007C0F7D"/>
    <w:rsid w:val="007C0F89"/>
    <w:rsid w:val="007C0FC5"/>
    <w:rsid w:val="007C0FE4"/>
    <w:rsid w:val="007C101B"/>
    <w:rsid w:val="007C103E"/>
    <w:rsid w:val="007C10E1"/>
    <w:rsid w:val="007C1138"/>
    <w:rsid w:val="007C125F"/>
    <w:rsid w:val="007C14B0"/>
    <w:rsid w:val="007C1630"/>
    <w:rsid w:val="007C1651"/>
    <w:rsid w:val="007C1776"/>
    <w:rsid w:val="007C17CC"/>
    <w:rsid w:val="007C17E2"/>
    <w:rsid w:val="007C1841"/>
    <w:rsid w:val="007C18A8"/>
    <w:rsid w:val="007C197A"/>
    <w:rsid w:val="007C19B4"/>
    <w:rsid w:val="007C1A92"/>
    <w:rsid w:val="007C1B60"/>
    <w:rsid w:val="007C1B64"/>
    <w:rsid w:val="007C1B77"/>
    <w:rsid w:val="007C1B7A"/>
    <w:rsid w:val="007C1C20"/>
    <w:rsid w:val="007C1C29"/>
    <w:rsid w:val="007C1C9F"/>
    <w:rsid w:val="007C1CAD"/>
    <w:rsid w:val="007C1E8B"/>
    <w:rsid w:val="007C1F25"/>
    <w:rsid w:val="007C1F36"/>
    <w:rsid w:val="007C2008"/>
    <w:rsid w:val="007C2034"/>
    <w:rsid w:val="007C21C7"/>
    <w:rsid w:val="007C2247"/>
    <w:rsid w:val="007C2377"/>
    <w:rsid w:val="007C23D1"/>
    <w:rsid w:val="007C2458"/>
    <w:rsid w:val="007C2493"/>
    <w:rsid w:val="007C24B2"/>
    <w:rsid w:val="007C24D1"/>
    <w:rsid w:val="007C2532"/>
    <w:rsid w:val="007C25EB"/>
    <w:rsid w:val="007C268A"/>
    <w:rsid w:val="007C2697"/>
    <w:rsid w:val="007C27DA"/>
    <w:rsid w:val="007C2841"/>
    <w:rsid w:val="007C289A"/>
    <w:rsid w:val="007C28B1"/>
    <w:rsid w:val="007C28C9"/>
    <w:rsid w:val="007C2AB8"/>
    <w:rsid w:val="007C2AD7"/>
    <w:rsid w:val="007C2B9E"/>
    <w:rsid w:val="007C2D52"/>
    <w:rsid w:val="007C2D82"/>
    <w:rsid w:val="007C2D94"/>
    <w:rsid w:val="007C2E6D"/>
    <w:rsid w:val="007C2E96"/>
    <w:rsid w:val="007C2EB8"/>
    <w:rsid w:val="007C2EBA"/>
    <w:rsid w:val="007C2ED4"/>
    <w:rsid w:val="007C2F9F"/>
    <w:rsid w:val="007C3041"/>
    <w:rsid w:val="007C30FB"/>
    <w:rsid w:val="007C32D6"/>
    <w:rsid w:val="007C34E8"/>
    <w:rsid w:val="007C355F"/>
    <w:rsid w:val="007C358A"/>
    <w:rsid w:val="007C35D2"/>
    <w:rsid w:val="007C3660"/>
    <w:rsid w:val="007C36C0"/>
    <w:rsid w:val="007C3718"/>
    <w:rsid w:val="007C374E"/>
    <w:rsid w:val="007C3834"/>
    <w:rsid w:val="007C38ED"/>
    <w:rsid w:val="007C38F4"/>
    <w:rsid w:val="007C3977"/>
    <w:rsid w:val="007C39B2"/>
    <w:rsid w:val="007C3A35"/>
    <w:rsid w:val="007C3B3D"/>
    <w:rsid w:val="007C3C2F"/>
    <w:rsid w:val="007C3C4C"/>
    <w:rsid w:val="007C3C4D"/>
    <w:rsid w:val="007C3C90"/>
    <w:rsid w:val="007C3EC4"/>
    <w:rsid w:val="007C3EF2"/>
    <w:rsid w:val="007C403F"/>
    <w:rsid w:val="007C40A3"/>
    <w:rsid w:val="007C41D1"/>
    <w:rsid w:val="007C4202"/>
    <w:rsid w:val="007C4250"/>
    <w:rsid w:val="007C4295"/>
    <w:rsid w:val="007C42F8"/>
    <w:rsid w:val="007C432E"/>
    <w:rsid w:val="007C43F0"/>
    <w:rsid w:val="007C44B9"/>
    <w:rsid w:val="007C4567"/>
    <w:rsid w:val="007C4585"/>
    <w:rsid w:val="007C4643"/>
    <w:rsid w:val="007C4985"/>
    <w:rsid w:val="007C4AA2"/>
    <w:rsid w:val="007C4AEB"/>
    <w:rsid w:val="007C4C4C"/>
    <w:rsid w:val="007C4CA5"/>
    <w:rsid w:val="007C4CC7"/>
    <w:rsid w:val="007C4D02"/>
    <w:rsid w:val="007C4D17"/>
    <w:rsid w:val="007C4E0E"/>
    <w:rsid w:val="007C4E20"/>
    <w:rsid w:val="007C4F6F"/>
    <w:rsid w:val="007C4F81"/>
    <w:rsid w:val="007C5021"/>
    <w:rsid w:val="007C519D"/>
    <w:rsid w:val="007C51B4"/>
    <w:rsid w:val="007C523A"/>
    <w:rsid w:val="007C52B1"/>
    <w:rsid w:val="007C5374"/>
    <w:rsid w:val="007C53AF"/>
    <w:rsid w:val="007C547C"/>
    <w:rsid w:val="007C54FF"/>
    <w:rsid w:val="007C55B4"/>
    <w:rsid w:val="007C561D"/>
    <w:rsid w:val="007C5754"/>
    <w:rsid w:val="007C5788"/>
    <w:rsid w:val="007C58B8"/>
    <w:rsid w:val="007C58D5"/>
    <w:rsid w:val="007C5967"/>
    <w:rsid w:val="007C59A0"/>
    <w:rsid w:val="007C5B3C"/>
    <w:rsid w:val="007C5CA5"/>
    <w:rsid w:val="007C5D63"/>
    <w:rsid w:val="007C5DF4"/>
    <w:rsid w:val="007C5E21"/>
    <w:rsid w:val="007C5EDE"/>
    <w:rsid w:val="007C5F8A"/>
    <w:rsid w:val="007C5FF9"/>
    <w:rsid w:val="007C6099"/>
    <w:rsid w:val="007C60E8"/>
    <w:rsid w:val="007C612B"/>
    <w:rsid w:val="007C6172"/>
    <w:rsid w:val="007C6192"/>
    <w:rsid w:val="007C620B"/>
    <w:rsid w:val="007C6291"/>
    <w:rsid w:val="007C643A"/>
    <w:rsid w:val="007C6673"/>
    <w:rsid w:val="007C66BF"/>
    <w:rsid w:val="007C6717"/>
    <w:rsid w:val="007C6746"/>
    <w:rsid w:val="007C6888"/>
    <w:rsid w:val="007C68BE"/>
    <w:rsid w:val="007C68D7"/>
    <w:rsid w:val="007C6A15"/>
    <w:rsid w:val="007C6A2A"/>
    <w:rsid w:val="007C6AA1"/>
    <w:rsid w:val="007C6AD4"/>
    <w:rsid w:val="007C6AE4"/>
    <w:rsid w:val="007C6AF9"/>
    <w:rsid w:val="007C6B68"/>
    <w:rsid w:val="007C6BD7"/>
    <w:rsid w:val="007C6C2F"/>
    <w:rsid w:val="007C6CBF"/>
    <w:rsid w:val="007C6D35"/>
    <w:rsid w:val="007C6DE6"/>
    <w:rsid w:val="007C6E48"/>
    <w:rsid w:val="007C6F93"/>
    <w:rsid w:val="007C700F"/>
    <w:rsid w:val="007C7012"/>
    <w:rsid w:val="007C7094"/>
    <w:rsid w:val="007C70AB"/>
    <w:rsid w:val="007C7189"/>
    <w:rsid w:val="007C735F"/>
    <w:rsid w:val="007C736C"/>
    <w:rsid w:val="007C738F"/>
    <w:rsid w:val="007C7563"/>
    <w:rsid w:val="007C7594"/>
    <w:rsid w:val="007C760A"/>
    <w:rsid w:val="007C76BC"/>
    <w:rsid w:val="007C77F1"/>
    <w:rsid w:val="007C7820"/>
    <w:rsid w:val="007C7862"/>
    <w:rsid w:val="007C7973"/>
    <w:rsid w:val="007C7A3E"/>
    <w:rsid w:val="007C7ABC"/>
    <w:rsid w:val="007C7B08"/>
    <w:rsid w:val="007C7B6F"/>
    <w:rsid w:val="007C7BD1"/>
    <w:rsid w:val="007C7BEB"/>
    <w:rsid w:val="007C7C0C"/>
    <w:rsid w:val="007C7C91"/>
    <w:rsid w:val="007C7EFD"/>
    <w:rsid w:val="007C7F2C"/>
    <w:rsid w:val="007C7F51"/>
    <w:rsid w:val="007D00DA"/>
    <w:rsid w:val="007D0141"/>
    <w:rsid w:val="007D030C"/>
    <w:rsid w:val="007D03D4"/>
    <w:rsid w:val="007D0451"/>
    <w:rsid w:val="007D0472"/>
    <w:rsid w:val="007D04EF"/>
    <w:rsid w:val="007D06A3"/>
    <w:rsid w:val="007D07F2"/>
    <w:rsid w:val="007D0822"/>
    <w:rsid w:val="007D08CF"/>
    <w:rsid w:val="007D0909"/>
    <w:rsid w:val="007D0920"/>
    <w:rsid w:val="007D09DC"/>
    <w:rsid w:val="007D09F2"/>
    <w:rsid w:val="007D0A80"/>
    <w:rsid w:val="007D0A9D"/>
    <w:rsid w:val="007D0B6B"/>
    <w:rsid w:val="007D0BBE"/>
    <w:rsid w:val="007D0BC3"/>
    <w:rsid w:val="007D0C73"/>
    <w:rsid w:val="007D0D1A"/>
    <w:rsid w:val="007D0DBD"/>
    <w:rsid w:val="007D0E17"/>
    <w:rsid w:val="007D0EDB"/>
    <w:rsid w:val="007D0FAA"/>
    <w:rsid w:val="007D1060"/>
    <w:rsid w:val="007D10E1"/>
    <w:rsid w:val="007D11EB"/>
    <w:rsid w:val="007D12D2"/>
    <w:rsid w:val="007D13CD"/>
    <w:rsid w:val="007D1467"/>
    <w:rsid w:val="007D1564"/>
    <w:rsid w:val="007D1570"/>
    <w:rsid w:val="007D158B"/>
    <w:rsid w:val="007D1725"/>
    <w:rsid w:val="007D17F9"/>
    <w:rsid w:val="007D183E"/>
    <w:rsid w:val="007D1904"/>
    <w:rsid w:val="007D1A38"/>
    <w:rsid w:val="007D1A3C"/>
    <w:rsid w:val="007D1A76"/>
    <w:rsid w:val="007D1ADC"/>
    <w:rsid w:val="007D1AF6"/>
    <w:rsid w:val="007D1B91"/>
    <w:rsid w:val="007D1CDD"/>
    <w:rsid w:val="007D1D22"/>
    <w:rsid w:val="007D1D6D"/>
    <w:rsid w:val="007D1DF4"/>
    <w:rsid w:val="007D1E12"/>
    <w:rsid w:val="007D1E2C"/>
    <w:rsid w:val="007D1E55"/>
    <w:rsid w:val="007D1F1B"/>
    <w:rsid w:val="007D1F24"/>
    <w:rsid w:val="007D1FD7"/>
    <w:rsid w:val="007D2001"/>
    <w:rsid w:val="007D202B"/>
    <w:rsid w:val="007D20FE"/>
    <w:rsid w:val="007D2282"/>
    <w:rsid w:val="007D22C9"/>
    <w:rsid w:val="007D22D7"/>
    <w:rsid w:val="007D22F5"/>
    <w:rsid w:val="007D231F"/>
    <w:rsid w:val="007D244B"/>
    <w:rsid w:val="007D2456"/>
    <w:rsid w:val="007D24A6"/>
    <w:rsid w:val="007D24E4"/>
    <w:rsid w:val="007D25D3"/>
    <w:rsid w:val="007D26D4"/>
    <w:rsid w:val="007D27BC"/>
    <w:rsid w:val="007D283F"/>
    <w:rsid w:val="007D2841"/>
    <w:rsid w:val="007D28B2"/>
    <w:rsid w:val="007D28D0"/>
    <w:rsid w:val="007D28E3"/>
    <w:rsid w:val="007D2943"/>
    <w:rsid w:val="007D297B"/>
    <w:rsid w:val="007D2A12"/>
    <w:rsid w:val="007D2A1A"/>
    <w:rsid w:val="007D2AAE"/>
    <w:rsid w:val="007D2B40"/>
    <w:rsid w:val="007D2C60"/>
    <w:rsid w:val="007D2CEF"/>
    <w:rsid w:val="007D2CFE"/>
    <w:rsid w:val="007D2D81"/>
    <w:rsid w:val="007D2EA4"/>
    <w:rsid w:val="007D2EC3"/>
    <w:rsid w:val="007D2F24"/>
    <w:rsid w:val="007D304F"/>
    <w:rsid w:val="007D3174"/>
    <w:rsid w:val="007D32B6"/>
    <w:rsid w:val="007D350D"/>
    <w:rsid w:val="007D35DD"/>
    <w:rsid w:val="007D36FE"/>
    <w:rsid w:val="007D38EE"/>
    <w:rsid w:val="007D39B4"/>
    <w:rsid w:val="007D39E4"/>
    <w:rsid w:val="007D3A00"/>
    <w:rsid w:val="007D3AE4"/>
    <w:rsid w:val="007D3B86"/>
    <w:rsid w:val="007D3BB4"/>
    <w:rsid w:val="007D3C44"/>
    <w:rsid w:val="007D3C47"/>
    <w:rsid w:val="007D3C63"/>
    <w:rsid w:val="007D3C9A"/>
    <w:rsid w:val="007D3CFC"/>
    <w:rsid w:val="007D3D58"/>
    <w:rsid w:val="007D3D8C"/>
    <w:rsid w:val="007D3E12"/>
    <w:rsid w:val="007D3E81"/>
    <w:rsid w:val="007D3EC6"/>
    <w:rsid w:val="007D3F06"/>
    <w:rsid w:val="007D40F5"/>
    <w:rsid w:val="007D4260"/>
    <w:rsid w:val="007D429B"/>
    <w:rsid w:val="007D4378"/>
    <w:rsid w:val="007D43B1"/>
    <w:rsid w:val="007D458F"/>
    <w:rsid w:val="007D45A8"/>
    <w:rsid w:val="007D45EB"/>
    <w:rsid w:val="007D4669"/>
    <w:rsid w:val="007D46BB"/>
    <w:rsid w:val="007D484C"/>
    <w:rsid w:val="007D4857"/>
    <w:rsid w:val="007D488B"/>
    <w:rsid w:val="007D488C"/>
    <w:rsid w:val="007D492E"/>
    <w:rsid w:val="007D49FF"/>
    <w:rsid w:val="007D4ACD"/>
    <w:rsid w:val="007D4B12"/>
    <w:rsid w:val="007D4B9A"/>
    <w:rsid w:val="007D4C86"/>
    <w:rsid w:val="007D4D0A"/>
    <w:rsid w:val="007D4D18"/>
    <w:rsid w:val="007D4D90"/>
    <w:rsid w:val="007D4D96"/>
    <w:rsid w:val="007D4DA3"/>
    <w:rsid w:val="007D4DC9"/>
    <w:rsid w:val="007D4EC8"/>
    <w:rsid w:val="007D4F4F"/>
    <w:rsid w:val="007D509B"/>
    <w:rsid w:val="007D516F"/>
    <w:rsid w:val="007D51F9"/>
    <w:rsid w:val="007D5265"/>
    <w:rsid w:val="007D52AF"/>
    <w:rsid w:val="007D52E5"/>
    <w:rsid w:val="007D530A"/>
    <w:rsid w:val="007D53AC"/>
    <w:rsid w:val="007D541D"/>
    <w:rsid w:val="007D5457"/>
    <w:rsid w:val="007D54BC"/>
    <w:rsid w:val="007D54F7"/>
    <w:rsid w:val="007D5816"/>
    <w:rsid w:val="007D581E"/>
    <w:rsid w:val="007D589B"/>
    <w:rsid w:val="007D58CD"/>
    <w:rsid w:val="007D598C"/>
    <w:rsid w:val="007D59C3"/>
    <w:rsid w:val="007D5A51"/>
    <w:rsid w:val="007D5AC7"/>
    <w:rsid w:val="007D5ADA"/>
    <w:rsid w:val="007D5C23"/>
    <w:rsid w:val="007D5C47"/>
    <w:rsid w:val="007D5C5B"/>
    <w:rsid w:val="007D5D28"/>
    <w:rsid w:val="007D5D62"/>
    <w:rsid w:val="007D5DD8"/>
    <w:rsid w:val="007D5E5E"/>
    <w:rsid w:val="007D5E70"/>
    <w:rsid w:val="007D5F1D"/>
    <w:rsid w:val="007D615C"/>
    <w:rsid w:val="007D6215"/>
    <w:rsid w:val="007D62C8"/>
    <w:rsid w:val="007D636B"/>
    <w:rsid w:val="007D6499"/>
    <w:rsid w:val="007D65C0"/>
    <w:rsid w:val="007D6692"/>
    <w:rsid w:val="007D669A"/>
    <w:rsid w:val="007D66E3"/>
    <w:rsid w:val="007D671C"/>
    <w:rsid w:val="007D6725"/>
    <w:rsid w:val="007D680A"/>
    <w:rsid w:val="007D6853"/>
    <w:rsid w:val="007D68A0"/>
    <w:rsid w:val="007D68CF"/>
    <w:rsid w:val="007D690D"/>
    <w:rsid w:val="007D6968"/>
    <w:rsid w:val="007D6A39"/>
    <w:rsid w:val="007D6B0E"/>
    <w:rsid w:val="007D6BFF"/>
    <w:rsid w:val="007D6C5D"/>
    <w:rsid w:val="007D6CF9"/>
    <w:rsid w:val="007D6DCC"/>
    <w:rsid w:val="007D6E2A"/>
    <w:rsid w:val="007D6E82"/>
    <w:rsid w:val="007D6E90"/>
    <w:rsid w:val="007D6FB8"/>
    <w:rsid w:val="007D7016"/>
    <w:rsid w:val="007D7063"/>
    <w:rsid w:val="007D70EE"/>
    <w:rsid w:val="007D71C3"/>
    <w:rsid w:val="007D7253"/>
    <w:rsid w:val="007D728A"/>
    <w:rsid w:val="007D72C2"/>
    <w:rsid w:val="007D72D9"/>
    <w:rsid w:val="007D7306"/>
    <w:rsid w:val="007D7386"/>
    <w:rsid w:val="007D73B5"/>
    <w:rsid w:val="007D73D2"/>
    <w:rsid w:val="007D74E1"/>
    <w:rsid w:val="007D7559"/>
    <w:rsid w:val="007D7573"/>
    <w:rsid w:val="007D77FA"/>
    <w:rsid w:val="007D77FC"/>
    <w:rsid w:val="007D7840"/>
    <w:rsid w:val="007D78CA"/>
    <w:rsid w:val="007D7918"/>
    <w:rsid w:val="007D7A7A"/>
    <w:rsid w:val="007D7B63"/>
    <w:rsid w:val="007D7BCD"/>
    <w:rsid w:val="007D7F7B"/>
    <w:rsid w:val="007D7FB5"/>
    <w:rsid w:val="007D7FD5"/>
    <w:rsid w:val="007DE8E0"/>
    <w:rsid w:val="007E005E"/>
    <w:rsid w:val="007E00D8"/>
    <w:rsid w:val="007E0185"/>
    <w:rsid w:val="007E01AE"/>
    <w:rsid w:val="007E02BF"/>
    <w:rsid w:val="007E02DC"/>
    <w:rsid w:val="007E0321"/>
    <w:rsid w:val="007E0420"/>
    <w:rsid w:val="007E0468"/>
    <w:rsid w:val="007E053E"/>
    <w:rsid w:val="007E056F"/>
    <w:rsid w:val="007E060A"/>
    <w:rsid w:val="007E0651"/>
    <w:rsid w:val="007E066D"/>
    <w:rsid w:val="007E06B3"/>
    <w:rsid w:val="007E07DA"/>
    <w:rsid w:val="007E088E"/>
    <w:rsid w:val="007E091C"/>
    <w:rsid w:val="007E0B00"/>
    <w:rsid w:val="007E0B09"/>
    <w:rsid w:val="007E0BC2"/>
    <w:rsid w:val="007E0C49"/>
    <w:rsid w:val="007E0CA5"/>
    <w:rsid w:val="007E0DFF"/>
    <w:rsid w:val="007E0E39"/>
    <w:rsid w:val="007E0F08"/>
    <w:rsid w:val="007E0F46"/>
    <w:rsid w:val="007E0F92"/>
    <w:rsid w:val="007E0FDE"/>
    <w:rsid w:val="007E10F2"/>
    <w:rsid w:val="007E1246"/>
    <w:rsid w:val="007E124A"/>
    <w:rsid w:val="007E132E"/>
    <w:rsid w:val="007E13C1"/>
    <w:rsid w:val="007E13CA"/>
    <w:rsid w:val="007E13E0"/>
    <w:rsid w:val="007E143C"/>
    <w:rsid w:val="007E1462"/>
    <w:rsid w:val="007E1467"/>
    <w:rsid w:val="007E1479"/>
    <w:rsid w:val="007E1494"/>
    <w:rsid w:val="007E14C7"/>
    <w:rsid w:val="007E14E9"/>
    <w:rsid w:val="007E14F0"/>
    <w:rsid w:val="007E157B"/>
    <w:rsid w:val="007E1801"/>
    <w:rsid w:val="007E186A"/>
    <w:rsid w:val="007E18F1"/>
    <w:rsid w:val="007E1941"/>
    <w:rsid w:val="007E1A72"/>
    <w:rsid w:val="007E1A9B"/>
    <w:rsid w:val="007E1ABD"/>
    <w:rsid w:val="007E1AF5"/>
    <w:rsid w:val="007E1B3A"/>
    <w:rsid w:val="007E1B58"/>
    <w:rsid w:val="007E1B5F"/>
    <w:rsid w:val="007E1B7F"/>
    <w:rsid w:val="007E1B96"/>
    <w:rsid w:val="007E1C92"/>
    <w:rsid w:val="007E1DEA"/>
    <w:rsid w:val="007E1E14"/>
    <w:rsid w:val="007E1FDD"/>
    <w:rsid w:val="007E203B"/>
    <w:rsid w:val="007E20D5"/>
    <w:rsid w:val="007E20E9"/>
    <w:rsid w:val="007E218A"/>
    <w:rsid w:val="007E222A"/>
    <w:rsid w:val="007E224C"/>
    <w:rsid w:val="007E232F"/>
    <w:rsid w:val="007E23C3"/>
    <w:rsid w:val="007E23F2"/>
    <w:rsid w:val="007E240C"/>
    <w:rsid w:val="007E24BC"/>
    <w:rsid w:val="007E2529"/>
    <w:rsid w:val="007E2533"/>
    <w:rsid w:val="007E259A"/>
    <w:rsid w:val="007E25B2"/>
    <w:rsid w:val="007E261F"/>
    <w:rsid w:val="007E2632"/>
    <w:rsid w:val="007E2678"/>
    <w:rsid w:val="007E26CA"/>
    <w:rsid w:val="007E2752"/>
    <w:rsid w:val="007E2861"/>
    <w:rsid w:val="007E291E"/>
    <w:rsid w:val="007E2937"/>
    <w:rsid w:val="007E297D"/>
    <w:rsid w:val="007E29BA"/>
    <w:rsid w:val="007E2A2F"/>
    <w:rsid w:val="007E2A7D"/>
    <w:rsid w:val="007E2A99"/>
    <w:rsid w:val="007E2AC3"/>
    <w:rsid w:val="007E2B89"/>
    <w:rsid w:val="007E2B8C"/>
    <w:rsid w:val="007E2CCC"/>
    <w:rsid w:val="007E2D0F"/>
    <w:rsid w:val="007E2D66"/>
    <w:rsid w:val="007E2D93"/>
    <w:rsid w:val="007E2DA1"/>
    <w:rsid w:val="007E2DF6"/>
    <w:rsid w:val="007E2E0B"/>
    <w:rsid w:val="007E2E4C"/>
    <w:rsid w:val="007E2F5E"/>
    <w:rsid w:val="007E3039"/>
    <w:rsid w:val="007E30F9"/>
    <w:rsid w:val="007E3144"/>
    <w:rsid w:val="007E31A0"/>
    <w:rsid w:val="007E32D8"/>
    <w:rsid w:val="007E33AE"/>
    <w:rsid w:val="007E33BB"/>
    <w:rsid w:val="007E3440"/>
    <w:rsid w:val="007E347A"/>
    <w:rsid w:val="007E355E"/>
    <w:rsid w:val="007E35D7"/>
    <w:rsid w:val="007E3653"/>
    <w:rsid w:val="007E365F"/>
    <w:rsid w:val="007E36DD"/>
    <w:rsid w:val="007E3761"/>
    <w:rsid w:val="007E37B0"/>
    <w:rsid w:val="007E3863"/>
    <w:rsid w:val="007E394F"/>
    <w:rsid w:val="007E3982"/>
    <w:rsid w:val="007E3A1F"/>
    <w:rsid w:val="007E3A93"/>
    <w:rsid w:val="007E3ADA"/>
    <w:rsid w:val="007E3B23"/>
    <w:rsid w:val="007E3CB8"/>
    <w:rsid w:val="007E3CD5"/>
    <w:rsid w:val="007E3D7A"/>
    <w:rsid w:val="007E3EE3"/>
    <w:rsid w:val="007E3FE3"/>
    <w:rsid w:val="007E409E"/>
    <w:rsid w:val="007E41C6"/>
    <w:rsid w:val="007E4409"/>
    <w:rsid w:val="007E4455"/>
    <w:rsid w:val="007E44FF"/>
    <w:rsid w:val="007E4536"/>
    <w:rsid w:val="007E463E"/>
    <w:rsid w:val="007E47E9"/>
    <w:rsid w:val="007E47F8"/>
    <w:rsid w:val="007E48FF"/>
    <w:rsid w:val="007E49BB"/>
    <w:rsid w:val="007E49E1"/>
    <w:rsid w:val="007E4A2B"/>
    <w:rsid w:val="007E4A4F"/>
    <w:rsid w:val="007E4B91"/>
    <w:rsid w:val="007E4C08"/>
    <w:rsid w:val="007E4C6C"/>
    <w:rsid w:val="007E4D51"/>
    <w:rsid w:val="007E4DB2"/>
    <w:rsid w:val="007E4DD7"/>
    <w:rsid w:val="007E4E12"/>
    <w:rsid w:val="007E4E41"/>
    <w:rsid w:val="007E4E85"/>
    <w:rsid w:val="007E4F4D"/>
    <w:rsid w:val="007E4FCA"/>
    <w:rsid w:val="007E5002"/>
    <w:rsid w:val="007E5009"/>
    <w:rsid w:val="007E5032"/>
    <w:rsid w:val="007E50B3"/>
    <w:rsid w:val="007E514F"/>
    <w:rsid w:val="007E51FB"/>
    <w:rsid w:val="007E5228"/>
    <w:rsid w:val="007E5283"/>
    <w:rsid w:val="007E5287"/>
    <w:rsid w:val="007E5319"/>
    <w:rsid w:val="007E55E7"/>
    <w:rsid w:val="007E56F2"/>
    <w:rsid w:val="007E5716"/>
    <w:rsid w:val="007E5787"/>
    <w:rsid w:val="007E57B8"/>
    <w:rsid w:val="007E57CF"/>
    <w:rsid w:val="007E5854"/>
    <w:rsid w:val="007E58B6"/>
    <w:rsid w:val="007E58F3"/>
    <w:rsid w:val="007E59D7"/>
    <w:rsid w:val="007E5A79"/>
    <w:rsid w:val="007E5B44"/>
    <w:rsid w:val="007E5B6A"/>
    <w:rsid w:val="007E5BA4"/>
    <w:rsid w:val="007E5CB4"/>
    <w:rsid w:val="007E5D27"/>
    <w:rsid w:val="007E5D36"/>
    <w:rsid w:val="007E5DF7"/>
    <w:rsid w:val="007E5E44"/>
    <w:rsid w:val="007E5E87"/>
    <w:rsid w:val="007E5EAE"/>
    <w:rsid w:val="007E5ED6"/>
    <w:rsid w:val="007E5F48"/>
    <w:rsid w:val="007E5FAE"/>
    <w:rsid w:val="007E60A9"/>
    <w:rsid w:val="007E631E"/>
    <w:rsid w:val="007E64AD"/>
    <w:rsid w:val="007E64B5"/>
    <w:rsid w:val="007E65DE"/>
    <w:rsid w:val="007E669B"/>
    <w:rsid w:val="007E66E3"/>
    <w:rsid w:val="007E6702"/>
    <w:rsid w:val="007E6749"/>
    <w:rsid w:val="007E675C"/>
    <w:rsid w:val="007E6813"/>
    <w:rsid w:val="007E6846"/>
    <w:rsid w:val="007E6858"/>
    <w:rsid w:val="007E6870"/>
    <w:rsid w:val="007E69AB"/>
    <w:rsid w:val="007E69E1"/>
    <w:rsid w:val="007E6A3D"/>
    <w:rsid w:val="007E6A66"/>
    <w:rsid w:val="007E6A6A"/>
    <w:rsid w:val="007E6B9D"/>
    <w:rsid w:val="007E6BC2"/>
    <w:rsid w:val="007E6C00"/>
    <w:rsid w:val="007E6D2A"/>
    <w:rsid w:val="007E6DB4"/>
    <w:rsid w:val="007E6E89"/>
    <w:rsid w:val="007E6F67"/>
    <w:rsid w:val="007E71BA"/>
    <w:rsid w:val="007E7202"/>
    <w:rsid w:val="007E724B"/>
    <w:rsid w:val="007E7270"/>
    <w:rsid w:val="007E73A8"/>
    <w:rsid w:val="007E744C"/>
    <w:rsid w:val="007E7622"/>
    <w:rsid w:val="007E7645"/>
    <w:rsid w:val="007E776F"/>
    <w:rsid w:val="007E77E9"/>
    <w:rsid w:val="007E78DA"/>
    <w:rsid w:val="007E791C"/>
    <w:rsid w:val="007E79B6"/>
    <w:rsid w:val="007E7A17"/>
    <w:rsid w:val="007E7A20"/>
    <w:rsid w:val="007E7A66"/>
    <w:rsid w:val="007E7B6D"/>
    <w:rsid w:val="007E7B92"/>
    <w:rsid w:val="007E7BE0"/>
    <w:rsid w:val="007E7CF0"/>
    <w:rsid w:val="007E7D86"/>
    <w:rsid w:val="007E7DBB"/>
    <w:rsid w:val="007E7DF9"/>
    <w:rsid w:val="007E7E13"/>
    <w:rsid w:val="007E7E78"/>
    <w:rsid w:val="007E7F41"/>
    <w:rsid w:val="007E7F86"/>
    <w:rsid w:val="007E7FDB"/>
    <w:rsid w:val="007F000E"/>
    <w:rsid w:val="007F0033"/>
    <w:rsid w:val="007F00D2"/>
    <w:rsid w:val="007F00DF"/>
    <w:rsid w:val="007F01B6"/>
    <w:rsid w:val="007F0209"/>
    <w:rsid w:val="007F0246"/>
    <w:rsid w:val="007F026A"/>
    <w:rsid w:val="007F0378"/>
    <w:rsid w:val="007F03C3"/>
    <w:rsid w:val="007F0538"/>
    <w:rsid w:val="007F0586"/>
    <w:rsid w:val="007F05A4"/>
    <w:rsid w:val="007F0634"/>
    <w:rsid w:val="007F080C"/>
    <w:rsid w:val="007F084A"/>
    <w:rsid w:val="007F08EA"/>
    <w:rsid w:val="007F0938"/>
    <w:rsid w:val="007F0A05"/>
    <w:rsid w:val="007F0AAC"/>
    <w:rsid w:val="007F0C0F"/>
    <w:rsid w:val="007F0C7E"/>
    <w:rsid w:val="007F0D47"/>
    <w:rsid w:val="007F0D67"/>
    <w:rsid w:val="007F0D70"/>
    <w:rsid w:val="007F0D85"/>
    <w:rsid w:val="007F0D98"/>
    <w:rsid w:val="007F0DA5"/>
    <w:rsid w:val="007F0E51"/>
    <w:rsid w:val="007F0EB9"/>
    <w:rsid w:val="007F0FBB"/>
    <w:rsid w:val="007F10B7"/>
    <w:rsid w:val="007F11FF"/>
    <w:rsid w:val="007F122C"/>
    <w:rsid w:val="007F1453"/>
    <w:rsid w:val="007F1526"/>
    <w:rsid w:val="007F15AD"/>
    <w:rsid w:val="007F15AE"/>
    <w:rsid w:val="007F1617"/>
    <w:rsid w:val="007F1655"/>
    <w:rsid w:val="007F17AC"/>
    <w:rsid w:val="007F17B0"/>
    <w:rsid w:val="007F17CC"/>
    <w:rsid w:val="007F187E"/>
    <w:rsid w:val="007F18B2"/>
    <w:rsid w:val="007F1966"/>
    <w:rsid w:val="007F199B"/>
    <w:rsid w:val="007F19EA"/>
    <w:rsid w:val="007F1C85"/>
    <w:rsid w:val="007F1CB6"/>
    <w:rsid w:val="007F1CCC"/>
    <w:rsid w:val="007F1D78"/>
    <w:rsid w:val="007F1D7D"/>
    <w:rsid w:val="007F1DA3"/>
    <w:rsid w:val="007F1E32"/>
    <w:rsid w:val="007F1E58"/>
    <w:rsid w:val="007F1E89"/>
    <w:rsid w:val="007F1EAD"/>
    <w:rsid w:val="007F2041"/>
    <w:rsid w:val="007F226F"/>
    <w:rsid w:val="007F2317"/>
    <w:rsid w:val="007F238D"/>
    <w:rsid w:val="007F24F6"/>
    <w:rsid w:val="007F251F"/>
    <w:rsid w:val="007F2541"/>
    <w:rsid w:val="007F2566"/>
    <w:rsid w:val="007F2653"/>
    <w:rsid w:val="007F29CA"/>
    <w:rsid w:val="007F2AA1"/>
    <w:rsid w:val="007F2B36"/>
    <w:rsid w:val="007F2C44"/>
    <w:rsid w:val="007F2D25"/>
    <w:rsid w:val="007F2DB0"/>
    <w:rsid w:val="007F2EB9"/>
    <w:rsid w:val="007F2EC6"/>
    <w:rsid w:val="007F2EC8"/>
    <w:rsid w:val="007F2F8F"/>
    <w:rsid w:val="007F3046"/>
    <w:rsid w:val="007F314B"/>
    <w:rsid w:val="007F32C8"/>
    <w:rsid w:val="007F339C"/>
    <w:rsid w:val="007F33C9"/>
    <w:rsid w:val="007F3495"/>
    <w:rsid w:val="007F35A4"/>
    <w:rsid w:val="007F36AD"/>
    <w:rsid w:val="007F36B7"/>
    <w:rsid w:val="007F374B"/>
    <w:rsid w:val="007F37CA"/>
    <w:rsid w:val="007F37E2"/>
    <w:rsid w:val="007F3806"/>
    <w:rsid w:val="007F3814"/>
    <w:rsid w:val="007F381A"/>
    <w:rsid w:val="007F3881"/>
    <w:rsid w:val="007F395C"/>
    <w:rsid w:val="007F3A1E"/>
    <w:rsid w:val="007F3A6A"/>
    <w:rsid w:val="007F3A77"/>
    <w:rsid w:val="007F3A87"/>
    <w:rsid w:val="007F3A93"/>
    <w:rsid w:val="007F3B45"/>
    <w:rsid w:val="007F3CFA"/>
    <w:rsid w:val="007F3D08"/>
    <w:rsid w:val="007F3E04"/>
    <w:rsid w:val="007F3E4F"/>
    <w:rsid w:val="007F3ED2"/>
    <w:rsid w:val="007F3F0C"/>
    <w:rsid w:val="007F418A"/>
    <w:rsid w:val="007F41A2"/>
    <w:rsid w:val="007F41E7"/>
    <w:rsid w:val="007F423C"/>
    <w:rsid w:val="007F43EA"/>
    <w:rsid w:val="007F440C"/>
    <w:rsid w:val="007F4420"/>
    <w:rsid w:val="007F4429"/>
    <w:rsid w:val="007F442C"/>
    <w:rsid w:val="007F4598"/>
    <w:rsid w:val="007F46F2"/>
    <w:rsid w:val="007F4867"/>
    <w:rsid w:val="007F4A2D"/>
    <w:rsid w:val="007F4B06"/>
    <w:rsid w:val="007F4B5B"/>
    <w:rsid w:val="007F4BA7"/>
    <w:rsid w:val="007F4C83"/>
    <w:rsid w:val="007F4D62"/>
    <w:rsid w:val="007F4D67"/>
    <w:rsid w:val="007F4D97"/>
    <w:rsid w:val="007F4E11"/>
    <w:rsid w:val="007F4EE2"/>
    <w:rsid w:val="007F4FE9"/>
    <w:rsid w:val="007F5049"/>
    <w:rsid w:val="007F50CC"/>
    <w:rsid w:val="007F5121"/>
    <w:rsid w:val="007F5138"/>
    <w:rsid w:val="007F5320"/>
    <w:rsid w:val="007F536D"/>
    <w:rsid w:val="007F5383"/>
    <w:rsid w:val="007F53BF"/>
    <w:rsid w:val="007F5588"/>
    <w:rsid w:val="007F559C"/>
    <w:rsid w:val="007F55A7"/>
    <w:rsid w:val="007F5610"/>
    <w:rsid w:val="007F5618"/>
    <w:rsid w:val="007F5639"/>
    <w:rsid w:val="007F56FF"/>
    <w:rsid w:val="007F5738"/>
    <w:rsid w:val="007F57D5"/>
    <w:rsid w:val="007F57FD"/>
    <w:rsid w:val="007F580B"/>
    <w:rsid w:val="007F5871"/>
    <w:rsid w:val="007F5B06"/>
    <w:rsid w:val="007F5B45"/>
    <w:rsid w:val="007F5B6C"/>
    <w:rsid w:val="007F5B85"/>
    <w:rsid w:val="007F5BCB"/>
    <w:rsid w:val="007F5C83"/>
    <w:rsid w:val="007F5D66"/>
    <w:rsid w:val="007F5DCB"/>
    <w:rsid w:val="007F5E28"/>
    <w:rsid w:val="007F6002"/>
    <w:rsid w:val="007F60F3"/>
    <w:rsid w:val="007F61E5"/>
    <w:rsid w:val="007F6276"/>
    <w:rsid w:val="007F6315"/>
    <w:rsid w:val="007F6412"/>
    <w:rsid w:val="007F6449"/>
    <w:rsid w:val="007F6536"/>
    <w:rsid w:val="007F658C"/>
    <w:rsid w:val="007F6613"/>
    <w:rsid w:val="007F6744"/>
    <w:rsid w:val="007F67E6"/>
    <w:rsid w:val="007F68AC"/>
    <w:rsid w:val="007F69C7"/>
    <w:rsid w:val="007F6B00"/>
    <w:rsid w:val="007F6B1D"/>
    <w:rsid w:val="007F6B53"/>
    <w:rsid w:val="007F6B65"/>
    <w:rsid w:val="007F6C8B"/>
    <w:rsid w:val="007F6D2F"/>
    <w:rsid w:val="007F6DA1"/>
    <w:rsid w:val="007F6DA4"/>
    <w:rsid w:val="007F70BA"/>
    <w:rsid w:val="007F7133"/>
    <w:rsid w:val="007F71F9"/>
    <w:rsid w:val="007F7210"/>
    <w:rsid w:val="007F7477"/>
    <w:rsid w:val="007F7488"/>
    <w:rsid w:val="007F7500"/>
    <w:rsid w:val="007F7554"/>
    <w:rsid w:val="007F756F"/>
    <w:rsid w:val="007F7604"/>
    <w:rsid w:val="007F76F8"/>
    <w:rsid w:val="007F7722"/>
    <w:rsid w:val="007F773C"/>
    <w:rsid w:val="007F7740"/>
    <w:rsid w:val="007F7747"/>
    <w:rsid w:val="007F777B"/>
    <w:rsid w:val="007F77CB"/>
    <w:rsid w:val="007F77EF"/>
    <w:rsid w:val="007F78A3"/>
    <w:rsid w:val="007F797F"/>
    <w:rsid w:val="007F79BF"/>
    <w:rsid w:val="007F7AF7"/>
    <w:rsid w:val="007F7B0A"/>
    <w:rsid w:val="007F7BD9"/>
    <w:rsid w:val="007F7BEC"/>
    <w:rsid w:val="007F7D17"/>
    <w:rsid w:val="007F7D6E"/>
    <w:rsid w:val="007F7E61"/>
    <w:rsid w:val="007F7EED"/>
    <w:rsid w:val="00800001"/>
    <w:rsid w:val="00800016"/>
    <w:rsid w:val="0080028A"/>
    <w:rsid w:val="008002B3"/>
    <w:rsid w:val="008002D8"/>
    <w:rsid w:val="00800324"/>
    <w:rsid w:val="0080037E"/>
    <w:rsid w:val="008003B4"/>
    <w:rsid w:val="008003B8"/>
    <w:rsid w:val="00800460"/>
    <w:rsid w:val="00800534"/>
    <w:rsid w:val="008005AD"/>
    <w:rsid w:val="008005F3"/>
    <w:rsid w:val="0080071C"/>
    <w:rsid w:val="008007EE"/>
    <w:rsid w:val="00800801"/>
    <w:rsid w:val="00800901"/>
    <w:rsid w:val="00800A14"/>
    <w:rsid w:val="00800A24"/>
    <w:rsid w:val="00800A7E"/>
    <w:rsid w:val="00800BB6"/>
    <w:rsid w:val="00800BF5"/>
    <w:rsid w:val="00800BF7"/>
    <w:rsid w:val="00800D01"/>
    <w:rsid w:val="00800D73"/>
    <w:rsid w:val="00800DCA"/>
    <w:rsid w:val="00800E1C"/>
    <w:rsid w:val="00800E25"/>
    <w:rsid w:val="00800EE1"/>
    <w:rsid w:val="00801046"/>
    <w:rsid w:val="008010AB"/>
    <w:rsid w:val="008011A6"/>
    <w:rsid w:val="008011E9"/>
    <w:rsid w:val="0080120D"/>
    <w:rsid w:val="00801257"/>
    <w:rsid w:val="00801428"/>
    <w:rsid w:val="008014C8"/>
    <w:rsid w:val="0080150B"/>
    <w:rsid w:val="00801514"/>
    <w:rsid w:val="00801757"/>
    <w:rsid w:val="00801761"/>
    <w:rsid w:val="0080176E"/>
    <w:rsid w:val="00801896"/>
    <w:rsid w:val="008018B2"/>
    <w:rsid w:val="00801913"/>
    <w:rsid w:val="00801920"/>
    <w:rsid w:val="00801989"/>
    <w:rsid w:val="00801AAC"/>
    <w:rsid w:val="00801C36"/>
    <w:rsid w:val="00801CC0"/>
    <w:rsid w:val="00801D0B"/>
    <w:rsid w:val="00801D44"/>
    <w:rsid w:val="00801DFC"/>
    <w:rsid w:val="00801E37"/>
    <w:rsid w:val="00802024"/>
    <w:rsid w:val="008020F5"/>
    <w:rsid w:val="0080212D"/>
    <w:rsid w:val="008021B4"/>
    <w:rsid w:val="00802311"/>
    <w:rsid w:val="0080233A"/>
    <w:rsid w:val="0080234C"/>
    <w:rsid w:val="008023EF"/>
    <w:rsid w:val="00802426"/>
    <w:rsid w:val="008024A3"/>
    <w:rsid w:val="00802503"/>
    <w:rsid w:val="00802578"/>
    <w:rsid w:val="008025A8"/>
    <w:rsid w:val="0080263A"/>
    <w:rsid w:val="00802741"/>
    <w:rsid w:val="0080280F"/>
    <w:rsid w:val="00802821"/>
    <w:rsid w:val="0080289D"/>
    <w:rsid w:val="00802977"/>
    <w:rsid w:val="008029B8"/>
    <w:rsid w:val="008029D4"/>
    <w:rsid w:val="008029D5"/>
    <w:rsid w:val="00802A34"/>
    <w:rsid w:val="00802A9D"/>
    <w:rsid w:val="00802AA9"/>
    <w:rsid w:val="00802BDF"/>
    <w:rsid w:val="00802C2F"/>
    <w:rsid w:val="00802F29"/>
    <w:rsid w:val="00802F60"/>
    <w:rsid w:val="0080311C"/>
    <w:rsid w:val="00803333"/>
    <w:rsid w:val="0080333F"/>
    <w:rsid w:val="0080335A"/>
    <w:rsid w:val="00803378"/>
    <w:rsid w:val="008033A1"/>
    <w:rsid w:val="008033A7"/>
    <w:rsid w:val="008033F2"/>
    <w:rsid w:val="008033FB"/>
    <w:rsid w:val="0080343E"/>
    <w:rsid w:val="0080347F"/>
    <w:rsid w:val="008034AA"/>
    <w:rsid w:val="00803536"/>
    <w:rsid w:val="0080355F"/>
    <w:rsid w:val="008035D5"/>
    <w:rsid w:val="008035FE"/>
    <w:rsid w:val="0080371C"/>
    <w:rsid w:val="0080394F"/>
    <w:rsid w:val="00803988"/>
    <w:rsid w:val="00803A0B"/>
    <w:rsid w:val="00803AD0"/>
    <w:rsid w:val="00803B48"/>
    <w:rsid w:val="00803EE2"/>
    <w:rsid w:val="00803F13"/>
    <w:rsid w:val="00803F3A"/>
    <w:rsid w:val="00803F5E"/>
    <w:rsid w:val="00803F92"/>
    <w:rsid w:val="00803F96"/>
    <w:rsid w:val="00803F98"/>
    <w:rsid w:val="00803FC1"/>
    <w:rsid w:val="00804018"/>
    <w:rsid w:val="0080416F"/>
    <w:rsid w:val="00804205"/>
    <w:rsid w:val="00804244"/>
    <w:rsid w:val="0080427B"/>
    <w:rsid w:val="008042A8"/>
    <w:rsid w:val="008042B1"/>
    <w:rsid w:val="008044E0"/>
    <w:rsid w:val="00804546"/>
    <w:rsid w:val="00804594"/>
    <w:rsid w:val="008046F0"/>
    <w:rsid w:val="0080478C"/>
    <w:rsid w:val="008048B7"/>
    <w:rsid w:val="008048BE"/>
    <w:rsid w:val="008048E1"/>
    <w:rsid w:val="008048FB"/>
    <w:rsid w:val="0080495D"/>
    <w:rsid w:val="008049AB"/>
    <w:rsid w:val="008049C0"/>
    <w:rsid w:val="008049C9"/>
    <w:rsid w:val="008049DD"/>
    <w:rsid w:val="00804A3F"/>
    <w:rsid w:val="00804B63"/>
    <w:rsid w:val="00804C9F"/>
    <w:rsid w:val="00804CE1"/>
    <w:rsid w:val="00804CF1"/>
    <w:rsid w:val="00804D61"/>
    <w:rsid w:val="00804E1D"/>
    <w:rsid w:val="00804E23"/>
    <w:rsid w:val="00804E35"/>
    <w:rsid w:val="00804FD0"/>
    <w:rsid w:val="0080506D"/>
    <w:rsid w:val="0080508F"/>
    <w:rsid w:val="008050A2"/>
    <w:rsid w:val="0080512D"/>
    <w:rsid w:val="00805242"/>
    <w:rsid w:val="00805260"/>
    <w:rsid w:val="008052E0"/>
    <w:rsid w:val="00805476"/>
    <w:rsid w:val="0080563B"/>
    <w:rsid w:val="00805645"/>
    <w:rsid w:val="008056FA"/>
    <w:rsid w:val="00805912"/>
    <w:rsid w:val="0080593A"/>
    <w:rsid w:val="00805983"/>
    <w:rsid w:val="00805996"/>
    <w:rsid w:val="0080599E"/>
    <w:rsid w:val="008059AF"/>
    <w:rsid w:val="00805A7B"/>
    <w:rsid w:val="00805ABE"/>
    <w:rsid w:val="00805AC1"/>
    <w:rsid w:val="00805AE7"/>
    <w:rsid w:val="00805B86"/>
    <w:rsid w:val="00805C84"/>
    <w:rsid w:val="00805CD5"/>
    <w:rsid w:val="00805D23"/>
    <w:rsid w:val="00805D4F"/>
    <w:rsid w:val="00805DE0"/>
    <w:rsid w:val="00805EDD"/>
    <w:rsid w:val="00805F1E"/>
    <w:rsid w:val="00805F8B"/>
    <w:rsid w:val="008061EB"/>
    <w:rsid w:val="00806252"/>
    <w:rsid w:val="00806297"/>
    <w:rsid w:val="008062A6"/>
    <w:rsid w:val="0080630C"/>
    <w:rsid w:val="008064A9"/>
    <w:rsid w:val="008064E4"/>
    <w:rsid w:val="008065E9"/>
    <w:rsid w:val="00806600"/>
    <w:rsid w:val="00806775"/>
    <w:rsid w:val="008068C5"/>
    <w:rsid w:val="008068DB"/>
    <w:rsid w:val="00806997"/>
    <w:rsid w:val="008069A4"/>
    <w:rsid w:val="00806AB6"/>
    <w:rsid w:val="00806B50"/>
    <w:rsid w:val="00806B6C"/>
    <w:rsid w:val="00806B8E"/>
    <w:rsid w:val="00806C2D"/>
    <w:rsid w:val="00806C5C"/>
    <w:rsid w:val="00806C67"/>
    <w:rsid w:val="00806D32"/>
    <w:rsid w:val="00806D4E"/>
    <w:rsid w:val="00806DAD"/>
    <w:rsid w:val="00806E8B"/>
    <w:rsid w:val="00806E8E"/>
    <w:rsid w:val="00806FF1"/>
    <w:rsid w:val="0080704D"/>
    <w:rsid w:val="008070D0"/>
    <w:rsid w:val="00807214"/>
    <w:rsid w:val="00807253"/>
    <w:rsid w:val="00807308"/>
    <w:rsid w:val="00807323"/>
    <w:rsid w:val="00807350"/>
    <w:rsid w:val="00807367"/>
    <w:rsid w:val="008074EB"/>
    <w:rsid w:val="0080750F"/>
    <w:rsid w:val="00807510"/>
    <w:rsid w:val="008075A9"/>
    <w:rsid w:val="008075F6"/>
    <w:rsid w:val="00807604"/>
    <w:rsid w:val="0080761E"/>
    <w:rsid w:val="0080772C"/>
    <w:rsid w:val="00807730"/>
    <w:rsid w:val="008078AF"/>
    <w:rsid w:val="008078FC"/>
    <w:rsid w:val="0080790F"/>
    <w:rsid w:val="00807A41"/>
    <w:rsid w:val="00807AD5"/>
    <w:rsid w:val="00807ADB"/>
    <w:rsid w:val="00807ADD"/>
    <w:rsid w:val="00807B43"/>
    <w:rsid w:val="00807C47"/>
    <w:rsid w:val="00807CD4"/>
    <w:rsid w:val="00807E95"/>
    <w:rsid w:val="00807EE5"/>
    <w:rsid w:val="00807EEE"/>
    <w:rsid w:val="00807F1B"/>
    <w:rsid w:val="00807F64"/>
    <w:rsid w:val="00810129"/>
    <w:rsid w:val="0081016E"/>
    <w:rsid w:val="00810182"/>
    <w:rsid w:val="008102B8"/>
    <w:rsid w:val="008104AB"/>
    <w:rsid w:val="0081055B"/>
    <w:rsid w:val="0081074A"/>
    <w:rsid w:val="00810786"/>
    <w:rsid w:val="008107B1"/>
    <w:rsid w:val="0081099B"/>
    <w:rsid w:val="00810ABC"/>
    <w:rsid w:val="00810AD4"/>
    <w:rsid w:val="00810AFA"/>
    <w:rsid w:val="00810CC5"/>
    <w:rsid w:val="00810CE3"/>
    <w:rsid w:val="00810E46"/>
    <w:rsid w:val="00810E96"/>
    <w:rsid w:val="00810E99"/>
    <w:rsid w:val="00810EA4"/>
    <w:rsid w:val="00810EC7"/>
    <w:rsid w:val="00810F21"/>
    <w:rsid w:val="00810FED"/>
    <w:rsid w:val="00811048"/>
    <w:rsid w:val="0081105B"/>
    <w:rsid w:val="008110A3"/>
    <w:rsid w:val="008111DE"/>
    <w:rsid w:val="008111F9"/>
    <w:rsid w:val="00811266"/>
    <w:rsid w:val="008112A2"/>
    <w:rsid w:val="00811320"/>
    <w:rsid w:val="0081141F"/>
    <w:rsid w:val="008114BB"/>
    <w:rsid w:val="008114D1"/>
    <w:rsid w:val="00811576"/>
    <w:rsid w:val="0081157D"/>
    <w:rsid w:val="0081159E"/>
    <w:rsid w:val="008115C8"/>
    <w:rsid w:val="008116D3"/>
    <w:rsid w:val="008116E8"/>
    <w:rsid w:val="0081172E"/>
    <w:rsid w:val="00811760"/>
    <w:rsid w:val="0081190D"/>
    <w:rsid w:val="008119F9"/>
    <w:rsid w:val="00811AB0"/>
    <w:rsid w:val="00811BB6"/>
    <w:rsid w:val="00811BE1"/>
    <w:rsid w:val="00811BF0"/>
    <w:rsid w:val="00811C5C"/>
    <w:rsid w:val="00811CA8"/>
    <w:rsid w:val="00811CAD"/>
    <w:rsid w:val="00811D57"/>
    <w:rsid w:val="00811D66"/>
    <w:rsid w:val="00811D7F"/>
    <w:rsid w:val="00811DAD"/>
    <w:rsid w:val="00811F0F"/>
    <w:rsid w:val="00811F22"/>
    <w:rsid w:val="00812000"/>
    <w:rsid w:val="00812035"/>
    <w:rsid w:val="00812075"/>
    <w:rsid w:val="0081209F"/>
    <w:rsid w:val="008120A9"/>
    <w:rsid w:val="00812117"/>
    <w:rsid w:val="0081216D"/>
    <w:rsid w:val="00812228"/>
    <w:rsid w:val="0081224D"/>
    <w:rsid w:val="00812259"/>
    <w:rsid w:val="00812299"/>
    <w:rsid w:val="008122C7"/>
    <w:rsid w:val="008122F3"/>
    <w:rsid w:val="008123A1"/>
    <w:rsid w:val="008124F8"/>
    <w:rsid w:val="00812568"/>
    <w:rsid w:val="0081261F"/>
    <w:rsid w:val="008126F9"/>
    <w:rsid w:val="008127BF"/>
    <w:rsid w:val="008127D3"/>
    <w:rsid w:val="00812895"/>
    <w:rsid w:val="008128A3"/>
    <w:rsid w:val="00812A89"/>
    <w:rsid w:val="00812AB8"/>
    <w:rsid w:val="00812AF9"/>
    <w:rsid w:val="00812BFA"/>
    <w:rsid w:val="00812C9F"/>
    <w:rsid w:val="00812D06"/>
    <w:rsid w:val="00812D40"/>
    <w:rsid w:val="00812D9B"/>
    <w:rsid w:val="00812DEA"/>
    <w:rsid w:val="00812E0B"/>
    <w:rsid w:val="00812E70"/>
    <w:rsid w:val="00812F9B"/>
    <w:rsid w:val="00813069"/>
    <w:rsid w:val="0081316C"/>
    <w:rsid w:val="008131FB"/>
    <w:rsid w:val="00813275"/>
    <w:rsid w:val="008132E1"/>
    <w:rsid w:val="008132F0"/>
    <w:rsid w:val="008134FB"/>
    <w:rsid w:val="00813615"/>
    <w:rsid w:val="00813646"/>
    <w:rsid w:val="0081369B"/>
    <w:rsid w:val="00813763"/>
    <w:rsid w:val="00813775"/>
    <w:rsid w:val="0081389A"/>
    <w:rsid w:val="00813948"/>
    <w:rsid w:val="00813967"/>
    <w:rsid w:val="00813A56"/>
    <w:rsid w:val="00813A84"/>
    <w:rsid w:val="00813ABF"/>
    <w:rsid w:val="00813C76"/>
    <w:rsid w:val="00813C7A"/>
    <w:rsid w:val="00813CBC"/>
    <w:rsid w:val="00813D1E"/>
    <w:rsid w:val="00813D29"/>
    <w:rsid w:val="00813DEB"/>
    <w:rsid w:val="0081401E"/>
    <w:rsid w:val="00814177"/>
    <w:rsid w:val="0081427D"/>
    <w:rsid w:val="00814317"/>
    <w:rsid w:val="00814331"/>
    <w:rsid w:val="00814351"/>
    <w:rsid w:val="0081438A"/>
    <w:rsid w:val="008143C6"/>
    <w:rsid w:val="0081449E"/>
    <w:rsid w:val="0081450E"/>
    <w:rsid w:val="0081455E"/>
    <w:rsid w:val="008146A2"/>
    <w:rsid w:val="0081474C"/>
    <w:rsid w:val="008147B7"/>
    <w:rsid w:val="008147C9"/>
    <w:rsid w:val="008147D0"/>
    <w:rsid w:val="008149C8"/>
    <w:rsid w:val="008149FA"/>
    <w:rsid w:val="00814C50"/>
    <w:rsid w:val="00814D23"/>
    <w:rsid w:val="00814D29"/>
    <w:rsid w:val="00814D34"/>
    <w:rsid w:val="00814D93"/>
    <w:rsid w:val="00814F54"/>
    <w:rsid w:val="00814FFE"/>
    <w:rsid w:val="00815046"/>
    <w:rsid w:val="00815047"/>
    <w:rsid w:val="00815056"/>
    <w:rsid w:val="00815114"/>
    <w:rsid w:val="008151B8"/>
    <w:rsid w:val="008151E7"/>
    <w:rsid w:val="008152D9"/>
    <w:rsid w:val="00815302"/>
    <w:rsid w:val="0081536C"/>
    <w:rsid w:val="008154D5"/>
    <w:rsid w:val="0081556D"/>
    <w:rsid w:val="00815749"/>
    <w:rsid w:val="00815763"/>
    <w:rsid w:val="00815788"/>
    <w:rsid w:val="00815790"/>
    <w:rsid w:val="0081583C"/>
    <w:rsid w:val="00815A86"/>
    <w:rsid w:val="00815B32"/>
    <w:rsid w:val="00815B7C"/>
    <w:rsid w:val="00815BC2"/>
    <w:rsid w:val="00815C00"/>
    <w:rsid w:val="00815D7C"/>
    <w:rsid w:val="00815D89"/>
    <w:rsid w:val="00815DAD"/>
    <w:rsid w:val="00815FA9"/>
    <w:rsid w:val="00815FEA"/>
    <w:rsid w:val="00815FFD"/>
    <w:rsid w:val="00816071"/>
    <w:rsid w:val="008160F2"/>
    <w:rsid w:val="008162B0"/>
    <w:rsid w:val="008162EF"/>
    <w:rsid w:val="008164B0"/>
    <w:rsid w:val="008164DD"/>
    <w:rsid w:val="008164FA"/>
    <w:rsid w:val="008165F0"/>
    <w:rsid w:val="00816685"/>
    <w:rsid w:val="008166E2"/>
    <w:rsid w:val="0081670D"/>
    <w:rsid w:val="00816772"/>
    <w:rsid w:val="008167BD"/>
    <w:rsid w:val="0081681A"/>
    <w:rsid w:val="008168B3"/>
    <w:rsid w:val="00816916"/>
    <w:rsid w:val="008169C6"/>
    <w:rsid w:val="00816A54"/>
    <w:rsid w:val="00816A9D"/>
    <w:rsid w:val="00816AC9"/>
    <w:rsid w:val="00816BD3"/>
    <w:rsid w:val="00816BF1"/>
    <w:rsid w:val="00816C0D"/>
    <w:rsid w:val="00816C11"/>
    <w:rsid w:val="00816C51"/>
    <w:rsid w:val="00816C7E"/>
    <w:rsid w:val="00816DE3"/>
    <w:rsid w:val="00816F3B"/>
    <w:rsid w:val="00816FAD"/>
    <w:rsid w:val="00817032"/>
    <w:rsid w:val="0081704C"/>
    <w:rsid w:val="0081713F"/>
    <w:rsid w:val="00817161"/>
    <w:rsid w:val="008171AC"/>
    <w:rsid w:val="008171E1"/>
    <w:rsid w:val="008172A2"/>
    <w:rsid w:val="008172DA"/>
    <w:rsid w:val="00817391"/>
    <w:rsid w:val="008175B0"/>
    <w:rsid w:val="008175BE"/>
    <w:rsid w:val="008175FB"/>
    <w:rsid w:val="00817671"/>
    <w:rsid w:val="00817686"/>
    <w:rsid w:val="00817804"/>
    <w:rsid w:val="00817867"/>
    <w:rsid w:val="008178D0"/>
    <w:rsid w:val="00817991"/>
    <w:rsid w:val="0081799D"/>
    <w:rsid w:val="00817AEC"/>
    <w:rsid w:val="00817B27"/>
    <w:rsid w:val="00817B2B"/>
    <w:rsid w:val="00817BD6"/>
    <w:rsid w:val="00817CC8"/>
    <w:rsid w:val="00817CE3"/>
    <w:rsid w:val="00817D22"/>
    <w:rsid w:val="00817F83"/>
    <w:rsid w:val="0082004E"/>
    <w:rsid w:val="0082015D"/>
    <w:rsid w:val="00820273"/>
    <w:rsid w:val="008202C9"/>
    <w:rsid w:val="008202E6"/>
    <w:rsid w:val="00820340"/>
    <w:rsid w:val="00820370"/>
    <w:rsid w:val="00820379"/>
    <w:rsid w:val="0082041E"/>
    <w:rsid w:val="00820433"/>
    <w:rsid w:val="00820458"/>
    <w:rsid w:val="00820460"/>
    <w:rsid w:val="008205A4"/>
    <w:rsid w:val="008205B4"/>
    <w:rsid w:val="008205F2"/>
    <w:rsid w:val="00820678"/>
    <w:rsid w:val="008206D3"/>
    <w:rsid w:val="008207EF"/>
    <w:rsid w:val="00820862"/>
    <w:rsid w:val="00820866"/>
    <w:rsid w:val="00820886"/>
    <w:rsid w:val="008208FD"/>
    <w:rsid w:val="00820905"/>
    <w:rsid w:val="00820A18"/>
    <w:rsid w:val="00820C2F"/>
    <w:rsid w:val="00820D25"/>
    <w:rsid w:val="00820D5F"/>
    <w:rsid w:val="00820D96"/>
    <w:rsid w:val="00820F04"/>
    <w:rsid w:val="00820F5E"/>
    <w:rsid w:val="00820F67"/>
    <w:rsid w:val="0082102A"/>
    <w:rsid w:val="00821054"/>
    <w:rsid w:val="00821055"/>
    <w:rsid w:val="0082109E"/>
    <w:rsid w:val="008211A4"/>
    <w:rsid w:val="008211DE"/>
    <w:rsid w:val="00821283"/>
    <w:rsid w:val="00821406"/>
    <w:rsid w:val="008214FA"/>
    <w:rsid w:val="00821591"/>
    <w:rsid w:val="008215A1"/>
    <w:rsid w:val="00821629"/>
    <w:rsid w:val="0082174C"/>
    <w:rsid w:val="008217C3"/>
    <w:rsid w:val="00821855"/>
    <w:rsid w:val="0082186E"/>
    <w:rsid w:val="00821896"/>
    <w:rsid w:val="0082197B"/>
    <w:rsid w:val="00821A5A"/>
    <w:rsid w:val="00821B6C"/>
    <w:rsid w:val="00821B75"/>
    <w:rsid w:val="00821C5D"/>
    <w:rsid w:val="00821CE2"/>
    <w:rsid w:val="00821D0F"/>
    <w:rsid w:val="00821E1F"/>
    <w:rsid w:val="00821F70"/>
    <w:rsid w:val="00822030"/>
    <w:rsid w:val="00822108"/>
    <w:rsid w:val="00822114"/>
    <w:rsid w:val="00822118"/>
    <w:rsid w:val="00822127"/>
    <w:rsid w:val="008221E1"/>
    <w:rsid w:val="008221EC"/>
    <w:rsid w:val="00822332"/>
    <w:rsid w:val="008223AC"/>
    <w:rsid w:val="008224DD"/>
    <w:rsid w:val="0082257C"/>
    <w:rsid w:val="008225DB"/>
    <w:rsid w:val="00822600"/>
    <w:rsid w:val="0082262B"/>
    <w:rsid w:val="008226A5"/>
    <w:rsid w:val="008226AE"/>
    <w:rsid w:val="0082296E"/>
    <w:rsid w:val="00822A4A"/>
    <w:rsid w:val="00822A64"/>
    <w:rsid w:val="00822AE2"/>
    <w:rsid w:val="00822CC8"/>
    <w:rsid w:val="00822D07"/>
    <w:rsid w:val="00822D50"/>
    <w:rsid w:val="00822D71"/>
    <w:rsid w:val="00822D8D"/>
    <w:rsid w:val="00822DAB"/>
    <w:rsid w:val="00822E1D"/>
    <w:rsid w:val="00822E52"/>
    <w:rsid w:val="00822E81"/>
    <w:rsid w:val="00822EB1"/>
    <w:rsid w:val="00822F0E"/>
    <w:rsid w:val="00822F21"/>
    <w:rsid w:val="00822F88"/>
    <w:rsid w:val="00822FAB"/>
    <w:rsid w:val="00822FD3"/>
    <w:rsid w:val="00823043"/>
    <w:rsid w:val="0082307C"/>
    <w:rsid w:val="00823108"/>
    <w:rsid w:val="00823112"/>
    <w:rsid w:val="00823115"/>
    <w:rsid w:val="0082319B"/>
    <w:rsid w:val="00823249"/>
    <w:rsid w:val="0082324A"/>
    <w:rsid w:val="00823278"/>
    <w:rsid w:val="00823333"/>
    <w:rsid w:val="0082336A"/>
    <w:rsid w:val="00823641"/>
    <w:rsid w:val="00823642"/>
    <w:rsid w:val="00823699"/>
    <w:rsid w:val="00823731"/>
    <w:rsid w:val="00823817"/>
    <w:rsid w:val="0082385C"/>
    <w:rsid w:val="00823904"/>
    <w:rsid w:val="00823982"/>
    <w:rsid w:val="008239AD"/>
    <w:rsid w:val="008239B0"/>
    <w:rsid w:val="00823A97"/>
    <w:rsid w:val="00823BA4"/>
    <w:rsid w:val="00823C3B"/>
    <w:rsid w:val="00823E46"/>
    <w:rsid w:val="008241BB"/>
    <w:rsid w:val="00824218"/>
    <w:rsid w:val="00824280"/>
    <w:rsid w:val="008242C3"/>
    <w:rsid w:val="00824423"/>
    <w:rsid w:val="008245AC"/>
    <w:rsid w:val="008245C6"/>
    <w:rsid w:val="008246F0"/>
    <w:rsid w:val="00824700"/>
    <w:rsid w:val="00824773"/>
    <w:rsid w:val="008247E3"/>
    <w:rsid w:val="00824814"/>
    <w:rsid w:val="00824963"/>
    <w:rsid w:val="00824A3D"/>
    <w:rsid w:val="00824A4B"/>
    <w:rsid w:val="00824A73"/>
    <w:rsid w:val="00824BAE"/>
    <w:rsid w:val="00824BD8"/>
    <w:rsid w:val="00824BD9"/>
    <w:rsid w:val="00824D44"/>
    <w:rsid w:val="00824D82"/>
    <w:rsid w:val="00824E8C"/>
    <w:rsid w:val="00824EE9"/>
    <w:rsid w:val="00824F18"/>
    <w:rsid w:val="008250BF"/>
    <w:rsid w:val="008250DF"/>
    <w:rsid w:val="008250E8"/>
    <w:rsid w:val="00825148"/>
    <w:rsid w:val="008251BF"/>
    <w:rsid w:val="008251EA"/>
    <w:rsid w:val="008252AF"/>
    <w:rsid w:val="00825401"/>
    <w:rsid w:val="008254D8"/>
    <w:rsid w:val="00825610"/>
    <w:rsid w:val="00825618"/>
    <w:rsid w:val="008256C0"/>
    <w:rsid w:val="008256DB"/>
    <w:rsid w:val="00825736"/>
    <w:rsid w:val="00825891"/>
    <w:rsid w:val="008258A8"/>
    <w:rsid w:val="00825918"/>
    <w:rsid w:val="00825949"/>
    <w:rsid w:val="00825981"/>
    <w:rsid w:val="008259B1"/>
    <w:rsid w:val="00825B56"/>
    <w:rsid w:val="00825BC4"/>
    <w:rsid w:val="00825C4B"/>
    <w:rsid w:val="00825C79"/>
    <w:rsid w:val="00825C8C"/>
    <w:rsid w:val="00825D0B"/>
    <w:rsid w:val="00825D27"/>
    <w:rsid w:val="00825DA6"/>
    <w:rsid w:val="00825E16"/>
    <w:rsid w:val="00825E76"/>
    <w:rsid w:val="00825EAC"/>
    <w:rsid w:val="00825EB8"/>
    <w:rsid w:val="00825F06"/>
    <w:rsid w:val="00825F30"/>
    <w:rsid w:val="00825F75"/>
    <w:rsid w:val="00825F88"/>
    <w:rsid w:val="00825FCF"/>
    <w:rsid w:val="008260EB"/>
    <w:rsid w:val="0082615D"/>
    <w:rsid w:val="008261E4"/>
    <w:rsid w:val="00826240"/>
    <w:rsid w:val="00826286"/>
    <w:rsid w:val="00826375"/>
    <w:rsid w:val="008263BE"/>
    <w:rsid w:val="008263F8"/>
    <w:rsid w:val="0082647C"/>
    <w:rsid w:val="008264B3"/>
    <w:rsid w:val="008264EC"/>
    <w:rsid w:val="008264FE"/>
    <w:rsid w:val="00826700"/>
    <w:rsid w:val="00826704"/>
    <w:rsid w:val="0082679D"/>
    <w:rsid w:val="00826899"/>
    <w:rsid w:val="00826982"/>
    <w:rsid w:val="00826A65"/>
    <w:rsid w:val="00826C1C"/>
    <w:rsid w:val="00826CF8"/>
    <w:rsid w:val="00826E8F"/>
    <w:rsid w:val="00826EBB"/>
    <w:rsid w:val="00826EEA"/>
    <w:rsid w:val="00826F28"/>
    <w:rsid w:val="00826F89"/>
    <w:rsid w:val="0082704E"/>
    <w:rsid w:val="0082710E"/>
    <w:rsid w:val="00827159"/>
    <w:rsid w:val="00827212"/>
    <w:rsid w:val="00827271"/>
    <w:rsid w:val="008273A0"/>
    <w:rsid w:val="008273EF"/>
    <w:rsid w:val="00827419"/>
    <w:rsid w:val="0082744D"/>
    <w:rsid w:val="0082745C"/>
    <w:rsid w:val="00827592"/>
    <w:rsid w:val="008275A7"/>
    <w:rsid w:val="008275D2"/>
    <w:rsid w:val="008275FB"/>
    <w:rsid w:val="00827694"/>
    <w:rsid w:val="0082773A"/>
    <w:rsid w:val="0082777E"/>
    <w:rsid w:val="00827794"/>
    <w:rsid w:val="00827919"/>
    <w:rsid w:val="008279FC"/>
    <w:rsid w:val="00827A05"/>
    <w:rsid w:val="00827A15"/>
    <w:rsid w:val="00827A53"/>
    <w:rsid w:val="00827A8E"/>
    <w:rsid w:val="00827A98"/>
    <w:rsid w:val="00827BF3"/>
    <w:rsid w:val="00827C73"/>
    <w:rsid w:val="00827C8E"/>
    <w:rsid w:val="00827D1D"/>
    <w:rsid w:val="00827DB4"/>
    <w:rsid w:val="00827E09"/>
    <w:rsid w:val="00827EF4"/>
    <w:rsid w:val="008300A8"/>
    <w:rsid w:val="008300BF"/>
    <w:rsid w:val="0083036B"/>
    <w:rsid w:val="00830497"/>
    <w:rsid w:val="00830581"/>
    <w:rsid w:val="0083071E"/>
    <w:rsid w:val="00830757"/>
    <w:rsid w:val="0083079C"/>
    <w:rsid w:val="00830863"/>
    <w:rsid w:val="008309C9"/>
    <w:rsid w:val="00830B4A"/>
    <w:rsid w:val="00830C64"/>
    <w:rsid w:val="00830C85"/>
    <w:rsid w:val="00830D01"/>
    <w:rsid w:val="00830EB7"/>
    <w:rsid w:val="0083105B"/>
    <w:rsid w:val="00831060"/>
    <w:rsid w:val="00831187"/>
    <w:rsid w:val="00831282"/>
    <w:rsid w:val="008314F8"/>
    <w:rsid w:val="00831509"/>
    <w:rsid w:val="008315BA"/>
    <w:rsid w:val="008315FE"/>
    <w:rsid w:val="0083164F"/>
    <w:rsid w:val="008316CF"/>
    <w:rsid w:val="008316E2"/>
    <w:rsid w:val="008316FD"/>
    <w:rsid w:val="0083171F"/>
    <w:rsid w:val="008317DA"/>
    <w:rsid w:val="0083185F"/>
    <w:rsid w:val="00831897"/>
    <w:rsid w:val="008318B3"/>
    <w:rsid w:val="008319BD"/>
    <w:rsid w:val="008319F9"/>
    <w:rsid w:val="00831B91"/>
    <w:rsid w:val="00831BFD"/>
    <w:rsid w:val="00831CAD"/>
    <w:rsid w:val="00831D56"/>
    <w:rsid w:val="00831ED1"/>
    <w:rsid w:val="00831EF4"/>
    <w:rsid w:val="00831EF5"/>
    <w:rsid w:val="00831F00"/>
    <w:rsid w:val="00831F34"/>
    <w:rsid w:val="00831F87"/>
    <w:rsid w:val="00831F8C"/>
    <w:rsid w:val="00831FD2"/>
    <w:rsid w:val="008320A0"/>
    <w:rsid w:val="008320EF"/>
    <w:rsid w:val="00832109"/>
    <w:rsid w:val="00832133"/>
    <w:rsid w:val="008321FD"/>
    <w:rsid w:val="008322F3"/>
    <w:rsid w:val="00832366"/>
    <w:rsid w:val="008323B8"/>
    <w:rsid w:val="008324CD"/>
    <w:rsid w:val="00832567"/>
    <w:rsid w:val="008325EC"/>
    <w:rsid w:val="00832641"/>
    <w:rsid w:val="00832728"/>
    <w:rsid w:val="008327D3"/>
    <w:rsid w:val="00832936"/>
    <w:rsid w:val="00832963"/>
    <w:rsid w:val="00832AB9"/>
    <w:rsid w:val="00832B30"/>
    <w:rsid w:val="00832C4C"/>
    <w:rsid w:val="00832C78"/>
    <w:rsid w:val="00832D48"/>
    <w:rsid w:val="00832E56"/>
    <w:rsid w:val="00832E78"/>
    <w:rsid w:val="00832FCD"/>
    <w:rsid w:val="00833004"/>
    <w:rsid w:val="0083308A"/>
    <w:rsid w:val="00833101"/>
    <w:rsid w:val="00833129"/>
    <w:rsid w:val="00833142"/>
    <w:rsid w:val="008331E4"/>
    <w:rsid w:val="008331FC"/>
    <w:rsid w:val="0083332D"/>
    <w:rsid w:val="008333B3"/>
    <w:rsid w:val="008333C9"/>
    <w:rsid w:val="008333EB"/>
    <w:rsid w:val="00833404"/>
    <w:rsid w:val="0083342D"/>
    <w:rsid w:val="00833458"/>
    <w:rsid w:val="00833460"/>
    <w:rsid w:val="00833546"/>
    <w:rsid w:val="0083368C"/>
    <w:rsid w:val="008336D5"/>
    <w:rsid w:val="0083385F"/>
    <w:rsid w:val="0083393A"/>
    <w:rsid w:val="008339BF"/>
    <w:rsid w:val="00833A2B"/>
    <w:rsid w:val="00833C65"/>
    <w:rsid w:val="00833CB5"/>
    <w:rsid w:val="00833CEE"/>
    <w:rsid w:val="00833DAD"/>
    <w:rsid w:val="00833E6E"/>
    <w:rsid w:val="00833E7B"/>
    <w:rsid w:val="00833E81"/>
    <w:rsid w:val="00833F1E"/>
    <w:rsid w:val="008340C7"/>
    <w:rsid w:val="008340E1"/>
    <w:rsid w:val="0083414C"/>
    <w:rsid w:val="0083415B"/>
    <w:rsid w:val="008341B9"/>
    <w:rsid w:val="00834423"/>
    <w:rsid w:val="00834451"/>
    <w:rsid w:val="008344C3"/>
    <w:rsid w:val="00834501"/>
    <w:rsid w:val="00834659"/>
    <w:rsid w:val="00834732"/>
    <w:rsid w:val="0083473E"/>
    <w:rsid w:val="008347ED"/>
    <w:rsid w:val="00834998"/>
    <w:rsid w:val="00834B62"/>
    <w:rsid w:val="00834C9B"/>
    <w:rsid w:val="00834CE8"/>
    <w:rsid w:val="00834D1A"/>
    <w:rsid w:val="00834D78"/>
    <w:rsid w:val="00834E08"/>
    <w:rsid w:val="00835055"/>
    <w:rsid w:val="008350EB"/>
    <w:rsid w:val="0083512D"/>
    <w:rsid w:val="0083515E"/>
    <w:rsid w:val="00835217"/>
    <w:rsid w:val="008352DE"/>
    <w:rsid w:val="00835396"/>
    <w:rsid w:val="008353D4"/>
    <w:rsid w:val="008353F2"/>
    <w:rsid w:val="00835429"/>
    <w:rsid w:val="00835494"/>
    <w:rsid w:val="00835568"/>
    <w:rsid w:val="00835577"/>
    <w:rsid w:val="008355C2"/>
    <w:rsid w:val="008355C8"/>
    <w:rsid w:val="0083565D"/>
    <w:rsid w:val="00835704"/>
    <w:rsid w:val="008357C2"/>
    <w:rsid w:val="008357F6"/>
    <w:rsid w:val="00835819"/>
    <w:rsid w:val="0083599F"/>
    <w:rsid w:val="00835A51"/>
    <w:rsid w:val="00835ABE"/>
    <w:rsid w:val="00835C33"/>
    <w:rsid w:val="00835CB3"/>
    <w:rsid w:val="00835CDC"/>
    <w:rsid w:val="00835D61"/>
    <w:rsid w:val="00835DCF"/>
    <w:rsid w:val="00835E5F"/>
    <w:rsid w:val="00835EA3"/>
    <w:rsid w:val="00835F52"/>
    <w:rsid w:val="00835FAB"/>
    <w:rsid w:val="0083606A"/>
    <w:rsid w:val="008360F9"/>
    <w:rsid w:val="0083612B"/>
    <w:rsid w:val="00836279"/>
    <w:rsid w:val="0083627E"/>
    <w:rsid w:val="00836296"/>
    <w:rsid w:val="008362E1"/>
    <w:rsid w:val="00836550"/>
    <w:rsid w:val="0083655F"/>
    <w:rsid w:val="008366B5"/>
    <w:rsid w:val="0083670A"/>
    <w:rsid w:val="00836854"/>
    <w:rsid w:val="0083689D"/>
    <w:rsid w:val="008368B9"/>
    <w:rsid w:val="0083699B"/>
    <w:rsid w:val="008369DD"/>
    <w:rsid w:val="00836AF6"/>
    <w:rsid w:val="00836B12"/>
    <w:rsid w:val="00836B34"/>
    <w:rsid w:val="00836B80"/>
    <w:rsid w:val="00836BB6"/>
    <w:rsid w:val="00836C4B"/>
    <w:rsid w:val="00836CF1"/>
    <w:rsid w:val="00836D2C"/>
    <w:rsid w:val="00836DD4"/>
    <w:rsid w:val="0083718C"/>
    <w:rsid w:val="008372BE"/>
    <w:rsid w:val="00837316"/>
    <w:rsid w:val="0083739E"/>
    <w:rsid w:val="008373C3"/>
    <w:rsid w:val="008373CD"/>
    <w:rsid w:val="008374D1"/>
    <w:rsid w:val="0083757A"/>
    <w:rsid w:val="008375C5"/>
    <w:rsid w:val="008375F8"/>
    <w:rsid w:val="0083764F"/>
    <w:rsid w:val="0083770F"/>
    <w:rsid w:val="0083776E"/>
    <w:rsid w:val="008377A8"/>
    <w:rsid w:val="008377D6"/>
    <w:rsid w:val="00837829"/>
    <w:rsid w:val="008378F3"/>
    <w:rsid w:val="00837915"/>
    <w:rsid w:val="0083791C"/>
    <w:rsid w:val="008379C9"/>
    <w:rsid w:val="00837A0C"/>
    <w:rsid w:val="00837B73"/>
    <w:rsid w:val="00837B74"/>
    <w:rsid w:val="00837C14"/>
    <w:rsid w:val="00837C44"/>
    <w:rsid w:val="00837C7B"/>
    <w:rsid w:val="00837EBB"/>
    <w:rsid w:val="00837F16"/>
    <w:rsid w:val="00837FB3"/>
    <w:rsid w:val="00837FC5"/>
    <w:rsid w:val="00840088"/>
    <w:rsid w:val="008400DF"/>
    <w:rsid w:val="0084010E"/>
    <w:rsid w:val="00840144"/>
    <w:rsid w:val="0084014F"/>
    <w:rsid w:val="008402B8"/>
    <w:rsid w:val="00840391"/>
    <w:rsid w:val="008403DD"/>
    <w:rsid w:val="008404F8"/>
    <w:rsid w:val="008405A4"/>
    <w:rsid w:val="00840636"/>
    <w:rsid w:val="008406B4"/>
    <w:rsid w:val="00840738"/>
    <w:rsid w:val="00840740"/>
    <w:rsid w:val="0084075B"/>
    <w:rsid w:val="008408E7"/>
    <w:rsid w:val="00840A07"/>
    <w:rsid w:val="00840C5C"/>
    <w:rsid w:val="00840DAC"/>
    <w:rsid w:val="00840E6B"/>
    <w:rsid w:val="00840F3B"/>
    <w:rsid w:val="00840F3E"/>
    <w:rsid w:val="00841029"/>
    <w:rsid w:val="00841093"/>
    <w:rsid w:val="008410AF"/>
    <w:rsid w:val="00841161"/>
    <w:rsid w:val="00841214"/>
    <w:rsid w:val="00841223"/>
    <w:rsid w:val="0084122F"/>
    <w:rsid w:val="008412AC"/>
    <w:rsid w:val="008413A4"/>
    <w:rsid w:val="00841585"/>
    <w:rsid w:val="00841646"/>
    <w:rsid w:val="008416C9"/>
    <w:rsid w:val="0084178A"/>
    <w:rsid w:val="00841798"/>
    <w:rsid w:val="00841889"/>
    <w:rsid w:val="00841960"/>
    <w:rsid w:val="008419E8"/>
    <w:rsid w:val="00841A3D"/>
    <w:rsid w:val="00841B91"/>
    <w:rsid w:val="00841BC0"/>
    <w:rsid w:val="00841C13"/>
    <w:rsid w:val="00841CC1"/>
    <w:rsid w:val="00841CD1"/>
    <w:rsid w:val="00841CFC"/>
    <w:rsid w:val="00841DE3"/>
    <w:rsid w:val="00841DED"/>
    <w:rsid w:val="00841E18"/>
    <w:rsid w:val="00841E33"/>
    <w:rsid w:val="00841E3E"/>
    <w:rsid w:val="00841E58"/>
    <w:rsid w:val="00841F17"/>
    <w:rsid w:val="00841F43"/>
    <w:rsid w:val="00841FB8"/>
    <w:rsid w:val="008420E9"/>
    <w:rsid w:val="00842110"/>
    <w:rsid w:val="00842115"/>
    <w:rsid w:val="0084216C"/>
    <w:rsid w:val="008421FA"/>
    <w:rsid w:val="0084221B"/>
    <w:rsid w:val="008422B8"/>
    <w:rsid w:val="0084231F"/>
    <w:rsid w:val="00842337"/>
    <w:rsid w:val="00842453"/>
    <w:rsid w:val="008424C6"/>
    <w:rsid w:val="008424FB"/>
    <w:rsid w:val="008425BE"/>
    <w:rsid w:val="008426E8"/>
    <w:rsid w:val="0084272F"/>
    <w:rsid w:val="0084276F"/>
    <w:rsid w:val="00842774"/>
    <w:rsid w:val="008427BD"/>
    <w:rsid w:val="008427D4"/>
    <w:rsid w:val="00842831"/>
    <w:rsid w:val="008428E7"/>
    <w:rsid w:val="0084296D"/>
    <w:rsid w:val="00842B4A"/>
    <w:rsid w:val="00842B70"/>
    <w:rsid w:val="00842CCA"/>
    <w:rsid w:val="00842D3E"/>
    <w:rsid w:val="00842E35"/>
    <w:rsid w:val="00842E57"/>
    <w:rsid w:val="00842E99"/>
    <w:rsid w:val="00843003"/>
    <w:rsid w:val="0084307A"/>
    <w:rsid w:val="008430AA"/>
    <w:rsid w:val="00843153"/>
    <w:rsid w:val="008431AB"/>
    <w:rsid w:val="008431D9"/>
    <w:rsid w:val="008432E5"/>
    <w:rsid w:val="0084332F"/>
    <w:rsid w:val="0084362E"/>
    <w:rsid w:val="008437AB"/>
    <w:rsid w:val="0084391D"/>
    <w:rsid w:val="00843938"/>
    <w:rsid w:val="00843ADD"/>
    <w:rsid w:val="00843B62"/>
    <w:rsid w:val="00843EF0"/>
    <w:rsid w:val="00843F00"/>
    <w:rsid w:val="00843F53"/>
    <w:rsid w:val="00843F8B"/>
    <w:rsid w:val="00843FF1"/>
    <w:rsid w:val="00844089"/>
    <w:rsid w:val="00844112"/>
    <w:rsid w:val="0084414D"/>
    <w:rsid w:val="00844170"/>
    <w:rsid w:val="00844226"/>
    <w:rsid w:val="00844240"/>
    <w:rsid w:val="008444E3"/>
    <w:rsid w:val="0084453C"/>
    <w:rsid w:val="008445D8"/>
    <w:rsid w:val="0084461F"/>
    <w:rsid w:val="00844667"/>
    <w:rsid w:val="0084466C"/>
    <w:rsid w:val="00844A5D"/>
    <w:rsid w:val="00844A71"/>
    <w:rsid w:val="00844AC9"/>
    <w:rsid w:val="00844B6A"/>
    <w:rsid w:val="00844EFB"/>
    <w:rsid w:val="00844F2F"/>
    <w:rsid w:val="00844FA7"/>
    <w:rsid w:val="00844FA8"/>
    <w:rsid w:val="00845022"/>
    <w:rsid w:val="00845077"/>
    <w:rsid w:val="0084508B"/>
    <w:rsid w:val="008450C6"/>
    <w:rsid w:val="008451F2"/>
    <w:rsid w:val="00845341"/>
    <w:rsid w:val="00845388"/>
    <w:rsid w:val="0084540C"/>
    <w:rsid w:val="008454B5"/>
    <w:rsid w:val="00845589"/>
    <w:rsid w:val="0084559D"/>
    <w:rsid w:val="0084567B"/>
    <w:rsid w:val="008457F9"/>
    <w:rsid w:val="00845986"/>
    <w:rsid w:val="008459A0"/>
    <w:rsid w:val="00845A9E"/>
    <w:rsid w:val="00845ABD"/>
    <w:rsid w:val="00845ADA"/>
    <w:rsid w:val="00845C6F"/>
    <w:rsid w:val="00845C94"/>
    <w:rsid w:val="00845CC9"/>
    <w:rsid w:val="00845CE6"/>
    <w:rsid w:val="00845E0B"/>
    <w:rsid w:val="00845E12"/>
    <w:rsid w:val="00845EEB"/>
    <w:rsid w:val="008460E5"/>
    <w:rsid w:val="008461CF"/>
    <w:rsid w:val="008461D4"/>
    <w:rsid w:val="0084623B"/>
    <w:rsid w:val="0084630A"/>
    <w:rsid w:val="00846356"/>
    <w:rsid w:val="008463BF"/>
    <w:rsid w:val="008463EB"/>
    <w:rsid w:val="008463EE"/>
    <w:rsid w:val="00846429"/>
    <w:rsid w:val="00846430"/>
    <w:rsid w:val="00846481"/>
    <w:rsid w:val="00846493"/>
    <w:rsid w:val="008464AD"/>
    <w:rsid w:val="008464E1"/>
    <w:rsid w:val="00846556"/>
    <w:rsid w:val="00846582"/>
    <w:rsid w:val="00846586"/>
    <w:rsid w:val="008465D4"/>
    <w:rsid w:val="00846619"/>
    <w:rsid w:val="00846897"/>
    <w:rsid w:val="00846903"/>
    <w:rsid w:val="008469FB"/>
    <w:rsid w:val="00846B84"/>
    <w:rsid w:val="00846BC6"/>
    <w:rsid w:val="00846C82"/>
    <w:rsid w:val="00846C8B"/>
    <w:rsid w:val="00846DBD"/>
    <w:rsid w:val="00846DF1"/>
    <w:rsid w:val="00846E1C"/>
    <w:rsid w:val="00846E6E"/>
    <w:rsid w:val="00846ECA"/>
    <w:rsid w:val="00846F6A"/>
    <w:rsid w:val="00846FE4"/>
    <w:rsid w:val="00847070"/>
    <w:rsid w:val="00847178"/>
    <w:rsid w:val="008471A8"/>
    <w:rsid w:val="008471DC"/>
    <w:rsid w:val="0084724B"/>
    <w:rsid w:val="008472DD"/>
    <w:rsid w:val="00847377"/>
    <w:rsid w:val="0084738A"/>
    <w:rsid w:val="00847391"/>
    <w:rsid w:val="008473AE"/>
    <w:rsid w:val="008473FE"/>
    <w:rsid w:val="008474EF"/>
    <w:rsid w:val="0084751A"/>
    <w:rsid w:val="00847534"/>
    <w:rsid w:val="00847556"/>
    <w:rsid w:val="0084769A"/>
    <w:rsid w:val="008478A9"/>
    <w:rsid w:val="00847A29"/>
    <w:rsid w:val="00847A69"/>
    <w:rsid w:val="00847B9F"/>
    <w:rsid w:val="00847BCA"/>
    <w:rsid w:val="00847DE5"/>
    <w:rsid w:val="00847ED3"/>
    <w:rsid w:val="00847FD6"/>
    <w:rsid w:val="00850073"/>
    <w:rsid w:val="008500F2"/>
    <w:rsid w:val="00850105"/>
    <w:rsid w:val="00850168"/>
    <w:rsid w:val="00850316"/>
    <w:rsid w:val="0085032A"/>
    <w:rsid w:val="00850330"/>
    <w:rsid w:val="00850354"/>
    <w:rsid w:val="0085043B"/>
    <w:rsid w:val="008504EC"/>
    <w:rsid w:val="00850569"/>
    <w:rsid w:val="008505B2"/>
    <w:rsid w:val="008506A9"/>
    <w:rsid w:val="008506D5"/>
    <w:rsid w:val="0085070E"/>
    <w:rsid w:val="00850727"/>
    <w:rsid w:val="00850831"/>
    <w:rsid w:val="00850868"/>
    <w:rsid w:val="0085086F"/>
    <w:rsid w:val="00850976"/>
    <w:rsid w:val="00850BDA"/>
    <w:rsid w:val="00850C3A"/>
    <w:rsid w:val="00850E0D"/>
    <w:rsid w:val="00850E7B"/>
    <w:rsid w:val="00850F33"/>
    <w:rsid w:val="00850F34"/>
    <w:rsid w:val="00850F84"/>
    <w:rsid w:val="00851041"/>
    <w:rsid w:val="008510A9"/>
    <w:rsid w:val="00851121"/>
    <w:rsid w:val="00851185"/>
    <w:rsid w:val="008511E9"/>
    <w:rsid w:val="008511EE"/>
    <w:rsid w:val="00851213"/>
    <w:rsid w:val="00851352"/>
    <w:rsid w:val="00851387"/>
    <w:rsid w:val="0085145B"/>
    <w:rsid w:val="00851507"/>
    <w:rsid w:val="008515A6"/>
    <w:rsid w:val="00851679"/>
    <w:rsid w:val="00851730"/>
    <w:rsid w:val="0085185D"/>
    <w:rsid w:val="0085186C"/>
    <w:rsid w:val="0085196A"/>
    <w:rsid w:val="008519DA"/>
    <w:rsid w:val="00851A04"/>
    <w:rsid w:val="00851B09"/>
    <w:rsid w:val="00851B92"/>
    <w:rsid w:val="00851C52"/>
    <w:rsid w:val="00851C55"/>
    <w:rsid w:val="00851CE9"/>
    <w:rsid w:val="00851CF6"/>
    <w:rsid w:val="008520EC"/>
    <w:rsid w:val="008521DD"/>
    <w:rsid w:val="00852207"/>
    <w:rsid w:val="008523D5"/>
    <w:rsid w:val="00852449"/>
    <w:rsid w:val="008524E2"/>
    <w:rsid w:val="0085254A"/>
    <w:rsid w:val="008525C6"/>
    <w:rsid w:val="00852601"/>
    <w:rsid w:val="008526A1"/>
    <w:rsid w:val="008526B6"/>
    <w:rsid w:val="008526C5"/>
    <w:rsid w:val="00852805"/>
    <w:rsid w:val="0085286A"/>
    <w:rsid w:val="008528FF"/>
    <w:rsid w:val="00852A49"/>
    <w:rsid w:val="00852B35"/>
    <w:rsid w:val="00852BFB"/>
    <w:rsid w:val="00852C85"/>
    <w:rsid w:val="00852CD2"/>
    <w:rsid w:val="00852D11"/>
    <w:rsid w:val="00852DCC"/>
    <w:rsid w:val="00852E5F"/>
    <w:rsid w:val="00852EC7"/>
    <w:rsid w:val="008530B4"/>
    <w:rsid w:val="0085310D"/>
    <w:rsid w:val="008531BA"/>
    <w:rsid w:val="008531BE"/>
    <w:rsid w:val="008531CC"/>
    <w:rsid w:val="008531D0"/>
    <w:rsid w:val="00853234"/>
    <w:rsid w:val="008532C1"/>
    <w:rsid w:val="0085332F"/>
    <w:rsid w:val="0085339D"/>
    <w:rsid w:val="008533E9"/>
    <w:rsid w:val="0085341A"/>
    <w:rsid w:val="00853527"/>
    <w:rsid w:val="0085354C"/>
    <w:rsid w:val="008535A5"/>
    <w:rsid w:val="008535CA"/>
    <w:rsid w:val="0085360D"/>
    <w:rsid w:val="008536FD"/>
    <w:rsid w:val="0085383A"/>
    <w:rsid w:val="00853A4D"/>
    <w:rsid w:val="00853A89"/>
    <w:rsid w:val="00853B5C"/>
    <w:rsid w:val="00853D6C"/>
    <w:rsid w:val="00853D73"/>
    <w:rsid w:val="00853E45"/>
    <w:rsid w:val="008540FB"/>
    <w:rsid w:val="00854161"/>
    <w:rsid w:val="00854255"/>
    <w:rsid w:val="00854277"/>
    <w:rsid w:val="008542A7"/>
    <w:rsid w:val="008542BE"/>
    <w:rsid w:val="00854322"/>
    <w:rsid w:val="008543A1"/>
    <w:rsid w:val="008543B5"/>
    <w:rsid w:val="00854419"/>
    <w:rsid w:val="0085455F"/>
    <w:rsid w:val="00854571"/>
    <w:rsid w:val="00854602"/>
    <w:rsid w:val="00854665"/>
    <w:rsid w:val="00854683"/>
    <w:rsid w:val="008546C0"/>
    <w:rsid w:val="0085471B"/>
    <w:rsid w:val="0085476F"/>
    <w:rsid w:val="008547B4"/>
    <w:rsid w:val="0085485E"/>
    <w:rsid w:val="0085487D"/>
    <w:rsid w:val="0085489A"/>
    <w:rsid w:val="008548DA"/>
    <w:rsid w:val="00854921"/>
    <w:rsid w:val="00854A66"/>
    <w:rsid w:val="00854AC3"/>
    <w:rsid w:val="00854B3F"/>
    <w:rsid w:val="00854B6B"/>
    <w:rsid w:val="00854CA9"/>
    <w:rsid w:val="00854CBF"/>
    <w:rsid w:val="00854D4B"/>
    <w:rsid w:val="00854FE0"/>
    <w:rsid w:val="00855003"/>
    <w:rsid w:val="008552B8"/>
    <w:rsid w:val="008552C8"/>
    <w:rsid w:val="008552F6"/>
    <w:rsid w:val="008555DC"/>
    <w:rsid w:val="008555F8"/>
    <w:rsid w:val="0085570A"/>
    <w:rsid w:val="008557C7"/>
    <w:rsid w:val="0085581A"/>
    <w:rsid w:val="00855865"/>
    <w:rsid w:val="0085588A"/>
    <w:rsid w:val="008558BE"/>
    <w:rsid w:val="00855947"/>
    <w:rsid w:val="00855A68"/>
    <w:rsid w:val="00855B4C"/>
    <w:rsid w:val="00855B87"/>
    <w:rsid w:val="00855C5D"/>
    <w:rsid w:val="00855CC6"/>
    <w:rsid w:val="00855D40"/>
    <w:rsid w:val="00855DD0"/>
    <w:rsid w:val="00855E3E"/>
    <w:rsid w:val="00855E6A"/>
    <w:rsid w:val="00855ED3"/>
    <w:rsid w:val="00855EF8"/>
    <w:rsid w:val="00855F32"/>
    <w:rsid w:val="00856053"/>
    <w:rsid w:val="00856055"/>
    <w:rsid w:val="008560CE"/>
    <w:rsid w:val="00856111"/>
    <w:rsid w:val="008561DC"/>
    <w:rsid w:val="00856211"/>
    <w:rsid w:val="0085631D"/>
    <w:rsid w:val="00856396"/>
    <w:rsid w:val="008564AB"/>
    <w:rsid w:val="0085653C"/>
    <w:rsid w:val="008565EC"/>
    <w:rsid w:val="008566C6"/>
    <w:rsid w:val="0085671C"/>
    <w:rsid w:val="00856A1D"/>
    <w:rsid w:val="00856A3D"/>
    <w:rsid w:val="00856B3D"/>
    <w:rsid w:val="00856CE5"/>
    <w:rsid w:val="00856D34"/>
    <w:rsid w:val="00856E9E"/>
    <w:rsid w:val="00856F05"/>
    <w:rsid w:val="00856F1E"/>
    <w:rsid w:val="00857029"/>
    <w:rsid w:val="00857061"/>
    <w:rsid w:val="008571CB"/>
    <w:rsid w:val="00857276"/>
    <w:rsid w:val="00857295"/>
    <w:rsid w:val="0085729D"/>
    <w:rsid w:val="008573C1"/>
    <w:rsid w:val="00857421"/>
    <w:rsid w:val="008575A8"/>
    <w:rsid w:val="00857698"/>
    <w:rsid w:val="008576CE"/>
    <w:rsid w:val="008577D3"/>
    <w:rsid w:val="00857883"/>
    <w:rsid w:val="00857901"/>
    <w:rsid w:val="00857934"/>
    <w:rsid w:val="0085794D"/>
    <w:rsid w:val="00857A01"/>
    <w:rsid w:val="00857A11"/>
    <w:rsid w:val="00857AA7"/>
    <w:rsid w:val="00857B0B"/>
    <w:rsid w:val="00857B11"/>
    <w:rsid w:val="00857BE0"/>
    <w:rsid w:val="00857C8B"/>
    <w:rsid w:val="00857D10"/>
    <w:rsid w:val="00857E02"/>
    <w:rsid w:val="00857E3A"/>
    <w:rsid w:val="00857E3C"/>
    <w:rsid w:val="00857E88"/>
    <w:rsid w:val="00857EDA"/>
    <w:rsid w:val="00857F9F"/>
    <w:rsid w:val="0086004F"/>
    <w:rsid w:val="00860220"/>
    <w:rsid w:val="00860308"/>
    <w:rsid w:val="00860324"/>
    <w:rsid w:val="008603BB"/>
    <w:rsid w:val="008604C2"/>
    <w:rsid w:val="0086056E"/>
    <w:rsid w:val="00860633"/>
    <w:rsid w:val="008606AC"/>
    <w:rsid w:val="008606C9"/>
    <w:rsid w:val="008606D9"/>
    <w:rsid w:val="00860708"/>
    <w:rsid w:val="0086073E"/>
    <w:rsid w:val="00860742"/>
    <w:rsid w:val="008607CF"/>
    <w:rsid w:val="008607DB"/>
    <w:rsid w:val="00860850"/>
    <w:rsid w:val="00860880"/>
    <w:rsid w:val="008608D4"/>
    <w:rsid w:val="008608F1"/>
    <w:rsid w:val="008608FB"/>
    <w:rsid w:val="00860938"/>
    <w:rsid w:val="008609A2"/>
    <w:rsid w:val="008609B4"/>
    <w:rsid w:val="00860A05"/>
    <w:rsid w:val="00860A65"/>
    <w:rsid w:val="00860A96"/>
    <w:rsid w:val="00860AB4"/>
    <w:rsid w:val="00860AB5"/>
    <w:rsid w:val="00860B14"/>
    <w:rsid w:val="00860C30"/>
    <w:rsid w:val="00860CB5"/>
    <w:rsid w:val="00860D07"/>
    <w:rsid w:val="00860DD2"/>
    <w:rsid w:val="00860E3E"/>
    <w:rsid w:val="00860E68"/>
    <w:rsid w:val="00860EC8"/>
    <w:rsid w:val="00860F6F"/>
    <w:rsid w:val="00860F7F"/>
    <w:rsid w:val="0086101D"/>
    <w:rsid w:val="0086103D"/>
    <w:rsid w:val="00861063"/>
    <w:rsid w:val="00861070"/>
    <w:rsid w:val="00861085"/>
    <w:rsid w:val="008610D0"/>
    <w:rsid w:val="008610E9"/>
    <w:rsid w:val="008612AD"/>
    <w:rsid w:val="008614AB"/>
    <w:rsid w:val="008614C2"/>
    <w:rsid w:val="008614DC"/>
    <w:rsid w:val="008614E6"/>
    <w:rsid w:val="008614FF"/>
    <w:rsid w:val="00861529"/>
    <w:rsid w:val="00861567"/>
    <w:rsid w:val="00861568"/>
    <w:rsid w:val="00861590"/>
    <w:rsid w:val="00861639"/>
    <w:rsid w:val="0086175C"/>
    <w:rsid w:val="0086176F"/>
    <w:rsid w:val="00861791"/>
    <w:rsid w:val="0086189A"/>
    <w:rsid w:val="00861936"/>
    <w:rsid w:val="00861B97"/>
    <w:rsid w:val="00861D7E"/>
    <w:rsid w:val="00861E06"/>
    <w:rsid w:val="00861E41"/>
    <w:rsid w:val="00861F2A"/>
    <w:rsid w:val="00861FD5"/>
    <w:rsid w:val="00862034"/>
    <w:rsid w:val="00862076"/>
    <w:rsid w:val="00862155"/>
    <w:rsid w:val="008621C0"/>
    <w:rsid w:val="00862235"/>
    <w:rsid w:val="0086223B"/>
    <w:rsid w:val="00862390"/>
    <w:rsid w:val="0086239E"/>
    <w:rsid w:val="00862440"/>
    <w:rsid w:val="00862470"/>
    <w:rsid w:val="00862474"/>
    <w:rsid w:val="008625D4"/>
    <w:rsid w:val="00862609"/>
    <w:rsid w:val="008626D9"/>
    <w:rsid w:val="008626DC"/>
    <w:rsid w:val="00862705"/>
    <w:rsid w:val="00862844"/>
    <w:rsid w:val="00862859"/>
    <w:rsid w:val="0086285D"/>
    <w:rsid w:val="008628B3"/>
    <w:rsid w:val="008629AD"/>
    <w:rsid w:val="00862A4F"/>
    <w:rsid w:val="00862A92"/>
    <w:rsid w:val="00862ABC"/>
    <w:rsid w:val="00862C4D"/>
    <w:rsid w:val="00862DE3"/>
    <w:rsid w:val="00862EAA"/>
    <w:rsid w:val="00862EDE"/>
    <w:rsid w:val="00862EF5"/>
    <w:rsid w:val="00862F03"/>
    <w:rsid w:val="00862FFE"/>
    <w:rsid w:val="008631DB"/>
    <w:rsid w:val="008631FB"/>
    <w:rsid w:val="00863489"/>
    <w:rsid w:val="008634F4"/>
    <w:rsid w:val="008635B6"/>
    <w:rsid w:val="00863741"/>
    <w:rsid w:val="00863758"/>
    <w:rsid w:val="0086381A"/>
    <w:rsid w:val="0086390E"/>
    <w:rsid w:val="0086392D"/>
    <w:rsid w:val="00863A54"/>
    <w:rsid w:val="00863BDF"/>
    <w:rsid w:val="00863C46"/>
    <w:rsid w:val="00863D18"/>
    <w:rsid w:val="00863DC1"/>
    <w:rsid w:val="00863E2D"/>
    <w:rsid w:val="00863E3C"/>
    <w:rsid w:val="00863E7C"/>
    <w:rsid w:val="00863FAD"/>
    <w:rsid w:val="00863FE4"/>
    <w:rsid w:val="0086415D"/>
    <w:rsid w:val="008641CF"/>
    <w:rsid w:val="008643F1"/>
    <w:rsid w:val="008643F2"/>
    <w:rsid w:val="00864438"/>
    <w:rsid w:val="0086446C"/>
    <w:rsid w:val="0086464C"/>
    <w:rsid w:val="00864662"/>
    <w:rsid w:val="008646BD"/>
    <w:rsid w:val="00864788"/>
    <w:rsid w:val="00864971"/>
    <w:rsid w:val="008649AD"/>
    <w:rsid w:val="00864B54"/>
    <w:rsid w:val="00864BBC"/>
    <w:rsid w:val="00864C42"/>
    <w:rsid w:val="00864C60"/>
    <w:rsid w:val="00864C68"/>
    <w:rsid w:val="00864CAF"/>
    <w:rsid w:val="00864D39"/>
    <w:rsid w:val="00864D81"/>
    <w:rsid w:val="00864DF7"/>
    <w:rsid w:val="00864F46"/>
    <w:rsid w:val="00864F9C"/>
    <w:rsid w:val="00864FFF"/>
    <w:rsid w:val="0086501B"/>
    <w:rsid w:val="0086503D"/>
    <w:rsid w:val="00865088"/>
    <w:rsid w:val="008650DB"/>
    <w:rsid w:val="0086512F"/>
    <w:rsid w:val="00865157"/>
    <w:rsid w:val="00865176"/>
    <w:rsid w:val="00865178"/>
    <w:rsid w:val="008651BC"/>
    <w:rsid w:val="00865227"/>
    <w:rsid w:val="00865274"/>
    <w:rsid w:val="0086528A"/>
    <w:rsid w:val="0086535A"/>
    <w:rsid w:val="008653AB"/>
    <w:rsid w:val="008653E6"/>
    <w:rsid w:val="0086544C"/>
    <w:rsid w:val="00865551"/>
    <w:rsid w:val="0086557A"/>
    <w:rsid w:val="00865591"/>
    <w:rsid w:val="008655D9"/>
    <w:rsid w:val="008656AB"/>
    <w:rsid w:val="008657DD"/>
    <w:rsid w:val="0086584D"/>
    <w:rsid w:val="008658C8"/>
    <w:rsid w:val="008658DE"/>
    <w:rsid w:val="00865A99"/>
    <w:rsid w:val="00865AFC"/>
    <w:rsid w:val="00865B62"/>
    <w:rsid w:val="00865BE3"/>
    <w:rsid w:val="00865C16"/>
    <w:rsid w:val="00865C45"/>
    <w:rsid w:val="00865C4D"/>
    <w:rsid w:val="00865D10"/>
    <w:rsid w:val="00865E0D"/>
    <w:rsid w:val="00865E70"/>
    <w:rsid w:val="00865E93"/>
    <w:rsid w:val="00865E9D"/>
    <w:rsid w:val="00865EA9"/>
    <w:rsid w:val="00865F3B"/>
    <w:rsid w:val="00865F7F"/>
    <w:rsid w:val="008662CF"/>
    <w:rsid w:val="00866348"/>
    <w:rsid w:val="008664E3"/>
    <w:rsid w:val="008664E7"/>
    <w:rsid w:val="00866531"/>
    <w:rsid w:val="0086656A"/>
    <w:rsid w:val="008665E0"/>
    <w:rsid w:val="0086661C"/>
    <w:rsid w:val="0086664B"/>
    <w:rsid w:val="00866724"/>
    <w:rsid w:val="00866760"/>
    <w:rsid w:val="008667B0"/>
    <w:rsid w:val="008667C6"/>
    <w:rsid w:val="008667F5"/>
    <w:rsid w:val="00866966"/>
    <w:rsid w:val="008669A0"/>
    <w:rsid w:val="00866B85"/>
    <w:rsid w:val="00866B8E"/>
    <w:rsid w:val="00866BA6"/>
    <w:rsid w:val="00866CD9"/>
    <w:rsid w:val="00866E03"/>
    <w:rsid w:val="00866E58"/>
    <w:rsid w:val="00866EB9"/>
    <w:rsid w:val="00866EC2"/>
    <w:rsid w:val="00866FB0"/>
    <w:rsid w:val="0086701F"/>
    <w:rsid w:val="00867042"/>
    <w:rsid w:val="0086704F"/>
    <w:rsid w:val="008670A5"/>
    <w:rsid w:val="008670AF"/>
    <w:rsid w:val="008670F1"/>
    <w:rsid w:val="008671B4"/>
    <w:rsid w:val="0086724C"/>
    <w:rsid w:val="008672DA"/>
    <w:rsid w:val="0086731F"/>
    <w:rsid w:val="00867416"/>
    <w:rsid w:val="00867429"/>
    <w:rsid w:val="00867516"/>
    <w:rsid w:val="008675AF"/>
    <w:rsid w:val="008675C5"/>
    <w:rsid w:val="008676A9"/>
    <w:rsid w:val="008676EF"/>
    <w:rsid w:val="008678BA"/>
    <w:rsid w:val="008679CB"/>
    <w:rsid w:val="008679FC"/>
    <w:rsid w:val="00867A00"/>
    <w:rsid w:val="00867A1E"/>
    <w:rsid w:val="00867A42"/>
    <w:rsid w:val="00867A56"/>
    <w:rsid w:val="00867AA7"/>
    <w:rsid w:val="00867B08"/>
    <w:rsid w:val="00867BB9"/>
    <w:rsid w:val="00867BE4"/>
    <w:rsid w:val="00867CB9"/>
    <w:rsid w:val="00867D5F"/>
    <w:rsid w:val="00867EED"/>
    <w:rsid w:val="00867F49"/>
    <w:rsid w:val="00870146"/>
    <w:rsid w:val="008701B9"/>
    <w:rsid w:val="008701DC"/>
    <w:rsid w:val="00870271"/>
    <w:rsid w:val="0087055D"/>
    <w:rsid w:val="008705A3"/>
    <w:rsid w:val="008706B1"/>
    <w:rsid w:val="00870727"/>
    <w:rsid w:val="008707C0"/>
    <w:rsid w:val="008708C0"/>
    <w:rsid w:val="00870931"/>
    <w:rsid w:val="0087097E"/>
    <w:rsid w:val="00870A55"/>
    <w:rsid w:val="00870C42"/>
    <w:rsid w:val="00870C85"/>
    <w:rsid w:val="00870CCC"/>
    <w:rsid w:val="00870D1A"/>
    <w:rsid w:val="00870D3C"/>
    <w:rsid w:val="00870D43"/>
    <w:rsid w:val="00870D57"/>
    <w:rsid w:val="0087101B"/>
    <w:rsid w:val="0087101D"/>
    <w:rsid w:val="00871104"/>
    <w:rsid w:val="008712CE"/>
    <w:rsid w:val="008713D2"/>
    <w:rsid w:val="008713F0"/>
    <w:rsid w:val="00871526"/>
    <w:rsid w:val="0087155E"/>
    <w:rsid w:val="0087176F"/>
    <w:rsid w:val="008718BD"/>
    <w:rsid w:val="00871999"/>
    <w:rsid w:val="008719F7"/>
    <w:rsid w:val="00871A3C"/>
    <w:rsid w:val="00871A52"/>
    <w:rsid w:val="00871B86"/>
    <w:rsid w:val="00871BB3"/>
    <w:rsid w:val="00871BCB"/>
    <w:rsid w:val="00871C68"/>
    <w:rsid w:val="00871D99"/>
    <w:rsid w:val="00871FEC"/>
    <w:rsid w:val="00872002"/>
    <w:rsid w:val="00872014"/>
    <w:rsid w:val="00872027"/>
    <w:rsid w:val="00872028"/>
    <w:rsid w:val="00872094"/>
    <w:rsid w:val="00872120"/>
    <w:rsid w:val="0087212C"/>
    <w:rsid w:val="008721BB"/>
    <w:rsid w:val="008721E5"/>
    <w:rsid w:val="008722DE"/>
    <w:rsid w:val="00872312"/>
    <w:rsid w:val="00872524"/>
    <w:rsid w:val="008725D4"/>
    <w:rsid w:val="00872602"/>
    <w:rsid w:val="00872640"/>
    <w:rsid w:val="008726FB"/>
    <w:rsid w:val="008727D8"/>
    <w:rsid w:val="00872924"/>
    <w:rsid w:val="00872966"/>
    <w:rsid w:val="008729D4"/>
    <w:rsid w:val="00872AF1"/>
    <w:rsid w:val="00872B20"/>
    <w:rsid w:val="00872B91"/>
    <w:rsid w:val="00872BAE"/>
    <w:rsid w:val="00872C18"/>
    <w:rsid w:val="00872C8A"/>
    <w:rsid w:val="00872D94"/>
    <w:rsid w:val="00872E55"/>
    <w:rsid w:val="00872F55"/>
    <w:rsid w:val="00872F95"/>
    <w:rsid w:val="00873063"/>
    <w:rsid w:val="008730DA"/>
    <w:rsid w:val="00873122"/>
    <w:rsid w:val="008731FE"/>
    <w:rsid w:val="00873460"/>
    <w:rsid w:val="008734E8"/>
    <w:rsid w:val="008735AD"/>
    <w:rsid w:val="00873625"/>
    <w:rsid w:val="008736E5"/>
    <w:rsid w:val="008737CE"/>
    <w:rsid w:val="008737E1"/>
    <w:rsid w:val="00873914"/>
    <w:rsid w:val="00873979"/>
    <w:rsid w:val="00873A1F"/>
    <w:rsid w:val="00873A5C"/>
    <w:rsid w:val="00873B2F"/>
    <w:rsid w:val="00873BBA"/>
    <w:rsid w:val="00873C22"/>
    <w:rsid w:val="00873C97"/>
    <w:rsid w:val="00873CC7"/>
    <w:rsid w:val="00873DD4"/>
    <w:rsid w:val="00873DDD"/>
    <w:rsid w:val="00873E1B"/>
    <w:rsid w:val="00873E5F"/>
    <w:rsid w:val="00873EE2"/>
    <w:rsid w:val="00873F02"/>
    <w:rsid w:val="00873F7E"/>
    <w:rsid w:val="00873FC3"/>
    <w:rsid w:val="00873FEB"/>
    <w:rsid w:val="0087407D"/>
    <w:rsid w:val="00874107"/>
    <w:rsid w:val="0087417A"/>
    <w:rsid w:val="008741A0"/>
    <w:rsid w:val="00874315"/>
    <w:rsid w:val="008743B7"/>
    <w:rsid w:val="00874435"/>
    <w:rsid w:val="00874785"/>
    <w:rsid w:val="0087489F"/>
    <w:rsid w:val="0087490A"/>
    <w:rsid w:val="0087490E"/>
    <w:rsid w:val="00874921"/>
    <w:rsid w:val="008749D2"/>
    <w:rsid w:val="00874A43"/>
    <w:rsid w:val="00874CBC"/>
    <w:rsid w:val="00874CD8"/>
    <w:rsid w:val="00874EAD"/>
    <w:rsid w:val="00874F05"/>
    <w:rsid w:val="00874F08"/>
    <w:rsid w:val="00874FB5"/>
    <w:rsid w:val="00875037"/>
    <w:rsid w:val="00875078"/>
    <w:rsid w:val="008750CC"/>
    <w:rsid w:val="0087515C"/>
    <w:rsid w:val="008751C1"/>
    <w:rsid w:val="00875290"/>
    <w:rsid w:val="0087538B"/>
    <w:rsid w:val="008753B4"/>
    <w:rsid w:val="00875479"/>
    <w:rsid w:val="008754E5"/>
    <w:rsid w:val="0087555D"/>
    <w:rsid w:val="00875562"/>
    <w:rsid w:val="00875796"/>
    <w:rsid w:val="008757CA"/>
    <w:rsid w:val="008757E5"/>
    <w:rsid w:val="00875859"/>
    <w:rsid w:val="0087587D"/>
    <w:rsid w:val="00875893"/>
    <w:rsid w:val="008758D5"/>
    <w:rsid w:val="008758F5"/>
    <w:rsid w:val="00875923"/>
    <w:rsid w:val="00875926"/>
    <w:rsid w:val="00875A04"/>
    <w:rsid w:val="00875A7A"/>
    <w:rsid w:val="00875B60"/>
    <w:rsid w:val="00875BCA"/>
    <w:rsid w:val="00875BE2"/>
    <w:rsid w:val="00875CCE"/>
    <w:rsid w:val="00875E1D"/>
    <w:rsid w:val="00875E2C"/>
    <w:rsid w:val="00875F75"/>
    <w:rsid w:val="00875FB9"/>
    <w:rsid w:val="00876011"/>
    <w:rsid w:val="00876111"/>
    <w:rsid w:val="0087619A"/>
    <w:rsid w:val="0087623D"/>
    <w:rsid w:val="00876372"/>
    <w:rsid w:val="0087650A"/>
    <w:rsid w:val="00876551"/>
    <w:rsid w:val="008765D3"/>
    <w:rsid w:val="008765E5"/>
    <w:rsid w:val="00876690"/>
    <w:rsid w:val="0087670A"/>
    <w:rsid w:val="00876755"/>
    <w:rsid w:val="0087676E"/>
    <w:rsid w:val="008767D1"/>
    <w:rsid w:val="0087686D"/>
    <w:rsid w:val="008768AA"/>
    <w:rsid w:val="008769A3"/>
    <w:rsid w:val="00876A32"/>
    <w:rsid w:val="00876A7D"/>
    <w:rsid w:val="00876BC1"/>
    <w:rsid w:val="00876BCB"/>
    <w:rsid w:val="00876C85"/>
    <w:rsid w:val="00876CEC"/>
    <w:rsid w:val="00876E10"/>
    <w:rsid w:val="00876E9C"/>
    <w:rsid w:val="00876EE6"/>
    <w:rsid w:val="00876F8F"/>
    <w:rsid w:val="00876FB7"/>
    <w:rsid w:val="00876FDE"/>
    <w:rsid w:val="0087713F"/>
    <w:rsid w:val="0087719F"/>
    <w:rsid w:val="008771E8"/>
    <w:rsid w:val="00877224"/>
    <w:rsid w:val="00877238"/>
    <w:rsid w:val="00877240"/>
    <w:rsid w:val="008774B2"/>
    <w:rsid w:val="00877511"/>
    <w:rsid w:val="008775E2"/>
    <w:rsid w:val="00877652"/>
    <w:rsid w:val="008776C3"/>
    <w:rsid w:val="00877751"/>
    <w:rsid w:val="00877853"/>
    <w:rsid w:val="00877866"/>
    <w:rsid w:val="00877894"/>
    <w:rsid w:val="00877976"/>
    <w:rsid w:val="00877A13"/>
    <w:rsid w:val="00877A7F"/>
    <w:rsid w:val="00877B2D"/>
    <w:rsid w:val="00877B43"/>
    <w:rsid w:val="00877B4C"/>
    <w:rsid w:val="00877B76"/>
    <w:rsid w:val="00877BA5"/>
    <w:rsid w:val="00877BDC"/>
    <w:rsid w:val="00877D4B"/>
    <w:rsid w:val="00877D90"/>
    <w:rsid w:val="00877D9A"/>
    <w:rsid w:val="00877E86"/>
    <w:rsid w:val="00877E8F"/>
    <w:rsid w:val="00877EBC"/>
    <w:rsid w:val="00877F2F"/>
    <w:rsid w:val="00877F34"/>
    <w:rsid w:val="00880019"/>
    <w:rsid w:val="00880065"/>
    <w:rsid w:val="0088008A"/>
    <w:rsid w:val="0088012A"/>
    <w:rsid w:val="008801AB"/>
    <w:rsid w:val="008801F0"/>
    <w:rsid w:val="00880287"/>
    <w:rsid w:val="008802AC"/>
    <w:rsid w:val="008802BC"/>
    <w:rsid w:val="008802D7"/>
    <w:rsid w:val="008802E4"/>
    <w:rsid w:val="00880428"/>
    <w:rsid w:val="008804B4"/>
    <w:rsid w:val="008804B6"/>
    <w:rsid w:val="0088052A"/>
    <w:rsid w:val="00880600"/>
    <w:rsid w:val="00880623"/>
    <w:rsid w:val="00880684"/>
    <w:rsid w:val="008806C5"/>
    <w:rsid w:val="00880869"/>
    <w:rsid w:val="008809AE"/>
    <w:rsid w:val="008809E3"/>
    <w:rsid w:val="008809FC"/>
    <w:rsid w:val="00880A73"/>
    <w:rsid w:val="00880AB8"/>
    <w:rsid w:val="00880C33"/>
    <w:rsid w:val="00880CBD"/>
    <w:rsid w:val="00880CD2"/>
    <w:rsid w:val="00880FF1"/>
    <w:rsid w:val="00881041"/>
    <w:rsid w:val="0088118A"/>
    <w:rsid w:val="008811C9"/>
    <w:rsid w:val="008811D2"/>
    <w:rsid w:val="00881410"/>
    <w:rsid w:val="00881497"/>
    <w:rsid w:val="00881571"/>
    <w:rsid w:val="008815D3"/>
    <w:rsid w:val="00881795"/>
    <w:rsid w:val="00881834"/>
    <w:rsid w:val="00881872"/>
    <w:rsid w:val="00881A0E"/>
    <w:rsid w:val="00881A7A"/>
    <w:rsid w:val="00881AB6"/>
    <w:rsid w:val="00881B20"/>
    <w:rsid w:val="00881BB7"/>
    <w:rsid w:val="00881BF5"/>
    <w:rsid w:val="00881C92"/>
    <w:rsid w:val="00881E22"/>
    <w:rsid w:val="00881F2F"/>
    <w:rsid w:val="00881F6D"/>
    <w:rsid w:val="00881F93"/>
    <w:rsid w:val="008820FE"/>
    <w:rsid w:val="0088216A"/>
    <w:rsid w:val="008821CD"/>
    <w:rsid w:val="00882271"/>
    <w:rsid w:val="0088229D"/>
    <w:rsid w:val="008822DB"/>
    <w:rsid w:val="0088235F"/>
    <w:rsid w:val="0088238D"/>
    <w:rsid w:val="008823BC"/>
    <w:rsid w:val="008823CF"/>
    <w:rsid w:val="00882577"/>
    <w:rsid w:val="008825B1"/>
    <w:rsid w:val="008825F9"/>
    <w:rsid w:val="0088269F"/>
    <w:rsid w:val="008826D4"/>
    <w:rsid w:val="0088272B"/>
    <w:rsid w:val="00882756"/>
    <w:rsid w:val="00882773"/>
    <w:rsid w:val="008827B2"/>
    <w:rsid w:val="008827BB"/>
    <w:rsid w:val="008827C2"/>
    <w:rsid w:val="0088281D"/>
    <w:rsid w:val="008828A7"/>
    <w:rsid w:val="00882A4A"/>
    <w:rsid w:val="00882BA5"/>
    <w:rsid w:val="00882BC7"/>
    <w:rsid w:val="00882BE6"/>
    <w:rsid w:val="00882BFF"/>
    <w:rsid w:val="00882C29"/>
    <w:rsid w:val="00882CCC"/>
    <w:rsid w:val="00882D0C"/>
    <w:rsid w:val="00882D10"/>
    <w:rsid w:val="00882D7A"/>
    <w:rsid w:val="00882FD8"/>
    <w:rsid w:val="00882FDF"/>
    <w:rsid w:val="0088304A"/>
    <w:rsid w:val="0088308F"/>
    <w:rsid w:val="00883101"/>
    <w:rsid w:val="00883110"/>
    <w:rsid w:val="00883114"/>
    <w:rsid w:val="00883126"/>
    <w:rsid w:val="00883175"/>
    <w:rsid w:val="008831E9"/>
    <w:rsid w:val="00883232"/>
    <w:rsid w:val="00883235"/>
    <w:rsid w:val="0088326C"/>
    <w:rsid w:val="00883332"/>
    <w:rsid w:val="008833DF"/>
    <w:rsid w:val="0088345F"/>
    <w:rsid w:val="0088349E"/>
    <w:rsid w:val="00883518"/>
    <w:rsid w:val="008835CD"/>
    <w:rsid w:val="008835E3"/>
    <w:rsid w:val="00883699"/>
    <w:rsid w:val="008837F3"/>
    <w:rsid w:val="00883822"/>
    <w:rsid w:val="0088389E"/>
    <w:rsid w:val="008839D3"/>
    <w:rsid w:val="008839E4"/>
    <w:rsid w:val="00883ACA"/>
    <w:rsid w:val="00883B0E"/>
    <w:rsid w:val="00883BE1"/>
    <w:rsid w:val="00883BF5"/>
    <w:rsid w:val="00883CA0"/>
    <w:rsid w:val="00883CD7"/>
    <w:rsid w:val="00883D01"/>
    <w:rsid w:val="00883E33"/>
    <w:rsid w:val="00884039"/>
    <w:rsid w:val="0088411C"/>
    <w:rsid w:val="00884287"/>
    <w:rsid w:val="008842FA"/>
    <w:rsid w:val="00884344"/>
    <w:rsid w:val="00884377"/>
    <w:rsid w:val="00884485"/>
    <w:rsid w:val="0088449F"/>
    <w:rsid w:val="00884559"/>
    <w:rsid w:val="00884616"/>
    <w:rsid w:val="00884658"/>
    <w:rsid w:val="0088471F"/>
    <w:rsid w:val="00884725"/>
    <w:rsid w:val="0088478D"/>
    <w:rsid w:val="008847BE"/>
    <w:rsid w:val="00884845"/>
    <w:rsid w:val="00884854"/>
    <w:rsid w:val="00884865"/>
    <w:rsid w:val="008848BD"/>
    <w:rsid w:val="00884979"/>
    <w:rsid w:val="00884A09"/>
    <w:rsid w:val="00884A5E"/>
    <w:rsid w:val="00884AC8"/>
    <w:rsid w:val="00884AEF"/>
    <w:rsid w:val="00884C58"/>
    <w:rsid w:val="00884CAC"/>
    <w:rsid w:val="00884D0D"/>
    <w:rsid w:val="00884DB0"/>
    <w:rsid w:val="00884E0E"/>
    <w:rsid w:val="00884E2A"/>
    <w:rsid w:val="00884E3A"/>
    <w:rsid w:val="008850F0"/>
    <w:rsid w:val="008851B0"/>
    <w:rsid w:val="008851EF"/>
    <w:rsid w:val="008852F0"/>
    <w:rsid w:val="008852F1"/>
    <w:rsid w:val="00885363"/>
    <w:rsid w:val="008854C5"/>
    <w:rsid w:val="00885528"/>
    <w:rsid w:val="00885582"/>
    <w:rsid w:val="008855D3"/>
    <w:rsid w:val="00885840"/>
    <w:rsid w:val="00885A97"/>
    <w:rsid w:val="00885A99"/>
    <w:rsid w:val="00885AFB"/>
    <w:rsid w:val="00885C1F"/>
    <w:rsid w:val="00885C8A"/>
    <w:rsid w:val="00885CFC"/>
    <w:rsid w:val="00885D10"/>
    <w:rsid w:val="00885D8A"/>
    <w:rsid w:val="00885D8E"/>
    <w:rsid w:val="00885E14"/>
    <w:rsid w:val="00885EAF"/>
    <w:rsid w:val="00885F94"/>
    <w:rsid w:val="0088603F"/>
    <w:rsid w:val="00886042"/>
    <w:rsid w:val="008861D9"/>
    <w:rsid w:val="00886292"/>
    <w:rsid w:val="008862C1"/>
    <w:rsid w:val="008862EF"/>
    <w:rsid w:val="00886324"/>
    <w:rsid w:val="0088633E"/>
    <w:rsid w:val="00886378"/>
    <w:rsid w:val="008865A3"/>
    <w:rsid w:val="008865BB"/>
    <w:rsid w:val="0088661A"/>
    <w:rsid w:val="008866E9"/>
    <w:rsid w:val="00886716"/>
    <w:rsid w:val="00886905"/>
    <w:rsid w:val="00886925"/>
    <w:rsid w:val="0088693E"/>
    <w:rsid w:val="00886961"/>
    <w:rsid w:val="00886975"/>
    <w:rsid w:val="00886A01"/>
    <w:rsid w:val="00886A81"/>
    <w:rsid w:val="00886A9B"/>
    <w:rsid w:val="00886AA8"/>
    <w:rsid w:val="00886AFA"/>
    <w:rsid w:val="00886BEF"/>
    <w:rsid w:val="00886C1B"/>
    <w:rsid w:val="00886DE2"/>
    <w:rsid w:val="00886E1E"/>
    <w:rsid w:val="00886E21"/>
    <w:rsid w:val="00886EB3"/>
    <w:rsid w:val="00886EFB"/>
    <w:rsid w:val="00886F02"/>
    <w:rsid w:val="00886F9B"/>
    <w:rsid w:val="00886FBA"/>
    <w:rsid w:val="00886FE1"/>
    <w:rsid w:val="00887224"/>
    <w:rsid w:val="0088740F"/>
    <w:rsid w:val="00887439"/>
    <w:rsid w:val="008874C7"/>
    <w:rsid w:val="008874FD"/>
    <w:rsid w:val="0088756B"/>
    <w:rsid w:val="008875C6"/>
    <w:rsid w:val="00887643"/>
    <w:rsid w:val="00887686"/>
    <w:rsid w:val="008876E4"/>
    <w:rsid w:val="00887794"/>
    <w:rsid w:val="008877E6"/>
    <w:rsid w:val="0088789D"/>
    <w:rsid w:val="008878DA"/>
    <w:rsid w:val="0088794A"/>
    <w:rsid w:val="00887A78"/>
    <w:rsid w:val="00887BA8"/>
    <w:rsid w:val="00887C5A"/>
    <w:rsid w:val="00887D17"/>
    <w:rsid w:val="00887E68"/>
    <w:rsid w:val="00887E85"/>
    <w:rsid w:val="00887E9E"/>
    <w:rsid w:val="00887EA1"/>
    <w:rsid w:val="00887F0C"/>
    <w:rsid w:val="00887F27"/>
    <w:rsid w:val="00887FF0"/>
    <w:rsid w:val="00887FFB"/>
    <w:rsid w:val="00890006"/>
    <w:rsid w:val="00890033"/>
    <w:rsid w:val="00890294"/>
    <w:rsid w:val="0089035B"/>
    <w:rsid w:val="0089037B"/>
    <w:rsid w:val="008904F5"/>
    <w:rsid w:val="00890703"/>
    <w:rsid w:val="00890866"/>
    <w:rsid w:val="00890898"/>
    <w:rsid w:val="008909B7"/>
    <w:rsid w:val="00890A96"/>
    <w:rsid w:val="00890A99"/>
    <w:rsid w:val="00890AC0"/>
    <w:rsid w:val="00890AE8"/>
    <w:rsid w:val="00890BB4"/>
    <w:rsid w:val="00890CF8"/>
    <w:rsid w:val="00890D48"/>
    <w:rsid w:val="00890D86"/>
    <w:rsid w:val="00890E8A"/>
    <w:rsid w:val="00890EB9"/>
    <w:rsid w:val="00890ECB"/>
    <w:rsid w:val="00890EDA"/>
    <w:rsid w:val="00890F3B"/>
    <w:rsid w:val="008910A5"/>
    <w:rsid w:val="0089123D"/>
    <w:rsid w:val="00891286"/>
    <w:rsid w:val="008912F1"/>
    <w:rsid w:val="00891387"/>
    <w:rsid w:val="008913BE"/>
    <w:rsid w:val="008914D3"/>
    <w:rsid w:val="008915A4"/>
    <w:rsid w:val="008915DB"/>
    <w:rsid w:val="008916BB"/>
    <w:rsid w:val="00891752"/>
    <w:rsid w:val="008917A7"/>
    <w:rsid w:val="008918A6"/>
    <w:rsid w:val="0089192C"/>
    <w:rsid w:val="008919DE"/>
    <w:rsid w:val="00891A0C"/>
    <w:rsid w:val="00891A48"/>
    <w:rsid w:val="00891A64"/>
    <w:rsid w:val="00891A9E"/>
    <w:rsid w:val="00891B49"/>
    <w:rsid w:val="00891C13"/>
    <w:rsid w:val="00891C4B"/>
    <w:rsid w:val="00891CEB"/>
    <w:rsid w:val="00891D08"/>
    <w:rsid w:val="00891D20"/>
    <w:rsid w:val="00891DCB"/>
    <w:rsid w:val="00891DFB"/>
    <w:rsid w:val="00891E08"/>
    <w:rsid w:val="00891E51"/>
    <w:rsid w:val="00891F17"/>
    <w:rsid w:val="00891FB3"/>
    <w:rsid w:val="00892087"/>
    <w:rsid w:val="008920DA"/>
    <w:rsid w:val="00892154"/>
    <w:rsid w:val="00892211"/>
    <w:rsid w:val="00892237"/>
    <w:rsid w:val="00892376"/>
    <w:rsid w:val="0089237C"/>
    <w:rsid w:val="008923CC"/>
    <w:rsid w:val="008923E8"/>
    <w:rsid w:val="008924C4"/>
    <w:rsid w:val="00892567"/>
    <w:rsid w:val="0089263C"/>
    <w:rsid w:val="0089264E"/>
    <w:rsid w:val="00892767"/>
    <w:rsid w:val="008927B1"/>
    <w:rsid w:val="00892822"/>
    <w:rsid w:val="008928FC"/>
    <w:rsid w:val="00892943"/>
    <w:rsid w:val="008929A9"/>
    <w:rsid w:val="00892A52"/>
    <w:rsid w:val="00892A71"/>
    <w:rsid w:val="00892A9B"/>
    <w:rsid w:val="00892AB5"/>
    <w:rsid w:val="00892C6F"/>
    <w:rsid w:val="00892CC1"/>
    <w:rsid w:val="00892D33"/>
    <w:rsid w:val="00892D67"/>
    <w:rsid w:val="00892D84"/>
    <w:rsid w:val="00892D90"/>
    <w:rsid w:val="00892DE2"/>
    <w:rsid w:val="00892ECF"/>
    <w:rsid w:val="00892F58"/>
    <w:rsid w:val="00893010"/>
    <w:rsid w:val="00893070"/>
    <w:rsid w:val="00893072"/>
    <w:rsid w:val="0089309A"/>
    <w:rsid w:val="0089309D"/>
    <w:rsid w:val="008930B4"/>
    <w:rsid w:val="008930F4"/>
    <w:rsid w:val="0089313C"/>
    <w:rsid w:val="0089319A"/>
    <w:rsid w:val="008931F6"/>
    <w:rsid w:val="00893230"/>
    <w:rsid w:val="00893274"/>
    <w:rsid w:val="008932CB"/>
    <w:rsid w:val="008933BD"/>
    <w:rsid w:val="00893433"/>
    <w:rsid w:val="008934F2"/>
    <w:rsid w:val="00893511"/>
    <w:rsid w:val="00893521"/>
    <w:rsid w:val="0089352B"/>
    <w:rsid w:val="0089362F"/>
    <w:rsid w:val="00893693"/>
    <w:rsid w:val="008936C9"/>
    <w:rsid w:val="008936D8"/>
    <w:rsid w:val="0089371B"/>
    <w:rsid w:val="00893784"/>
    <w:rsid w:val="00893789"/>
    <w:rsid w:val="008937B0"/>
    <w:rsid w:val="00893865"/>
    <w:rsid w:val="008938DF"/>
    <w:rsid w:val="00893929"/>
    <w:rsid w:val="0089393C"/>
    <w:rsid w:val="008939A8"/>
    <w:rsid w:val="00893A28"/>
    <w:rsid w:val="00893AFF"/>
    <w:rsid w:val="00893BCD"/>
    <w:rsid w:val="00893BD2"/>
    <w:rsid w:val="00893D70"/>
    <w:rsid w:val="00893E11"/>
    <w:rsid w:val="00893EC0"/>
    <w:rsid w:val="00893F08"/>
    <w:rsid w:val="00893F43"/>
    <w:rsid w:val="00893F4C"/>
    <w:rsid w:val="00893FAA"/>
    <w:rsid w:val="0089401B"/>
    <w:rsid w:val="008940B2"/>
    <w:rsid w:val="008940BE"/>
    <w:rsid w:val="008943A8"/>
    <w:rsid w:val="00894505"/>
    <w:rsid w:val="00894544"/>
    <w:rsid w:val="00894758"/>
    <w:rsid w:val="00894788"/>
    <w:rsid w:val="00894873"/>
    <w:rsid w:val="008949E2"/>
    <w:rsid w:val="00894A20"/>
    <w:rsid w:val="00894A53"/>
    <w:rsid w:val="00894A79"/>
    <w:rsid w:val="00894B18"/>
    <w:rsid w:val="00894B9F"/>
    <w:rsid w:val="00894C2C"/>
    <w:rsid w:val="00894C70"/>
    <w:rsid w:val="00894D28"/>
    <w:rsid w:val="00894DA8"/>
    <w:rsid w:val="00894E54"/>
    <w:rsid w:val="00894E99"/>
    <w:rsid w:val="00894EE0"/>
    <w:rsid w:val="008950C5"/>
    <w:rsid w:val="00895117"/>
    <w:rsid w:val="008951DF"/>
    <w:rsid w:val="0089522A"/>
    <w:rsid w:val="0089527A"/>
    <w:rsid w:val="008952C2"/>
    <w:rsid w:val="00895302"/>
    <w:rsid w:val="0089530E"/>
    <w:rsid w:val="00895328"/>
    <w:rsid w:val="00895348"/>
    <w:rsid w:val="00895368"/>
    <w:rsid w:val="00895378"/>
    <w:rsid w:val="00895389"/>
    <w:rsid w:val="008953C3"/>
    <w:rsid w:val="0089547D"/>
    <w:rsid w:val="00895524"/>
    <w:rsid w:val="00895589"/>
    <w:rsid w:val="00895692"/>
    <w:rsid w:val="0089577D"/>
    <w:rsid w:val="008957FD"/>
    <w:rsid w:val="00895937"/>
    <w:rsid w:val="008959AA"/>
    <w:rsid w:val="00895AF1"/>
    <w:rsid w:val="00895BDA"/>
    <w:rsid w:val="00895C28"/>
    <w:rsid w:val="00895CB9"/>
    <w:rsid w:val="00895DC8"/>
    <w:rsid w:val="00895E58"/>
    <w:rsid w:val="00895EB1"/>
    <w:rsid w:val="00895EBD"/>
    <w:rsid w:val="00895EE8"/>
    <w:rsid w:val="00895F18"/>
    <w:rsid w:val="00895F87"/>
    <w:rsid w:val="00895F8B"/>
    <w:rsid w:val="0089602F"/>
    <w:rsid w:val="00896033"/>
    <w:rsid w:val="00896063"/>
    <w:rsid w:val="008960E1"/>
    <w:rsid w:val="008960FD"/>
    <w:rsid w:val="008961D2"/>
    <w:rsid w:val="0089621A"/>
    <w:rsid w:val="00896283"/>
    <w:rsid w:val="00896292"/>
    <w:rsid w:val="00896301"/>
    <w:rsid w:val="00896385"/>
    <w:rsid w:val="008964A6"/>
    <w:rsid w:val="008964E6"/>
    <w:rsid w:val="00896509"/>
    <w:rsid w:val="00896675"/>
    <w:rsid w:val="008966A5"/>
    <w:rsid w:val="00896810"/>
    <w:rsid w:val="0089689A"/>
    <w:rsid w:val="008968F3"/>
    <w:rsid w:val="00896A73"/>
    <w:rsid w:val="00896AE7"/>
    <w:rsid w:val="00896B82"/>
    <w:rsid w:val="00896BAD"/>
    <w:rsid w:val="00896C37"/>
    <w:rsid w:val="00896C58"/>
    <w:rsid w:val="00896CE2"/>
    <w:rsid w:val="00896CF9"/>
    <w:rsid w:val="00896D0A"/>
    <w:rsid w:val="00896D1C"/>
    <w:rsid w:val="00896D62"/>
    <w:rsid w:val="00896DB8"/>
    <w:rsid w:val="00896DBA"/>
    <w:rsid w:val="00896DCC"/>
    <w:rsid w:val="00896EFE"/>
    <w:rsid w:val="00896F8E"/>
    <w:rsid w:val="00897076"/>
    <w:rsid w:val="0089707D"/>
    <w:rsid w:val="008970F1"/>
    <w:rsid w:val="008971F1"/>
    <w:rsid w:val="00897229"/>
    <w:rsid w:val="0089758B"/>
    <w:rsid w:val="00897593"/>
    <w:rsid w:val="008976AB"/>
    <w:rsid w:val="00897909"/>
    <w:rsid w:val="0089793D"/>
    <w:rsid w:val="00897962"/>
    <w:rsid w:val="008979C4"/>
    <w:rsid w:val="00897B44"/>
    <w:rsid w:val="00897B89"/>
    <w:rsid w:val="00897CDA"/>
    <w:rsid w:val="00897E8A"/>
    <w:rsid w:val="00897F81"/>
    <w:rsid w:val="00897F8F"/>
    <w:rsid w:val="008A0090"/>
    <w:rsid w:val="008A0134"/>
    <w:rsid w:val="008A02A5"/>
    <w:rsid w:val="008A047C"/>
    <w:rsid w:val="008A05D0"/>
    <w:rsid w:val="008A067B"/>
    <w:rsid w:val="008A06B1"/>
    <w:rsid w:val="008A06C9"/>
    <w:rsid w:val="008A076E"/>
    <w:rsid w:val="008A0853"/>
    <w:rsid w:val="008A08C8"/>
    <w:rsid w:val="008A08FE"/>
    <w:rsid w:val="008A0908"/>
    <w:rsid w:val="008A0962"/>
    <w:rsid w:val="008A09BC"/>
    <w:rsid w:val="008A09F2"/>
    <w:rsid w:val="008A0A86"/>
    <w:rsid w:val="008A0ADE"/>
    <w:rsid w:val="008A0B95"/>
    <w:rsid w:val="008A0C27"/>
    <w:rsid w:val="008A0D04"/>
    <w:rsid w:val="008A0D22"/>
    <w:rsid w:val="008A0EE3"/>
    <w:rsid w:val="008A111A"/>
    <w:rsid w:val="008A12DA"/>
    <w:rsid w:val="008A130F"/>
    <w:rsid w:val="008A14A9"/>
    <w:rsid w:val="008A14AB"/>
    <w:rsid w:val="008A15A1"/>
    <w:rsid w:val="008A1624"/>
    <w:rsid w:val="008A1627"/>
    <w:rsid w:val="008A163F"/>
    <w:rsid w:val="008A166D"/>
    <w:rsid w:val="008A19BA"/>
    <w:rsid w:val="008A19DE"/>
    <w:rsid w:val="008A1A27"/>
    <w:rsid w:val="008A1A50"/>
    <w:rsid w:val="008A1B0E"/>
    <w:rsid w:val="008A1B2E"/>
    <w:rsid w:val="008A1BE5"/>
    <w:rsid w:val="008A1C94"/>
    <w:rsid w:val="008A1CED"/>
    <w:rsid w:val="008A1D38"/>
    <w:rsid w:val="008A1E91"/>
    <w:rsid w:val="008A1EF0"/>
    <w:rsid w:val="008A1FB1"/>
    <w:rsid w:val="008A2068"/>
    <w:rsid w:val="008A208D"/>
    <w:rsid w:val="008A2169"/>
    <w:rsid w:val="008A237C"/>
    <w:rsid w:val="008A23D9"/>
    <w:rsid w:val="008A269A"/>
    <w:rsid w:val="008A26BB"/>
    <w:rsid w:val="008A27B9"/>
    <w:rsid w:val="008A27E3"/>
    <w:rsid w:val="008A28F9"/>
    <w:rsid w:val="008A292D"/>
    <w:rsid w:val="008A29B3"/>
    <w:rsid w:val="008A2A82"/>
    <w:rsid w:val="008A2BA3"/>
    <w:rsid w:val="008A2BCE"/>
    <w:rsid w:val="008A2C2C"/>
    <w:rsid w:val="008A2CCF"/>
    <w:rsid w:val="008A2D1B"/>
    <w:rsid w:val="008A2DE7"/>
    <w:rsid w:val="008A2E21"/>
    <w:rsid w:val="008A2EB7"/>
    <w:rsid w:val="008A2EC6"/>
    <w:rsid w:val="008A2F07"/>
    <w:rsid w:val="008A2FDC"/>
    <w:rsid w:val="008A3072"/>
    <w:rsid w:val="008A3084"/>
    <w:rsid w:val="008A3181"/>
    <w:rsid w:val="008A3231"/>
    <w:rsid w:val="008A3234"/>
    <w:rsid w:val="008A3245"/>
    <w:rsid w:val="008A328C"/>
    <w:rsid w:val="008A32F2"/>
    <w:rsid w:val="008A330D"/>
    <w:rsid w:val="008A33B4"/>
    <w:rsid w:val="008A34C9"/>
    <w:rsid w:val="008A367E"/>
    <w:rsid w:val="008A36CA"/>
    <w:rsid w:val="008A3701"/>
    <w:rsid w:val="008A389D"/>
    <w:rsid w:val="008A38C3"/>
    <w:rsid w:val="008A3CB8"/>
    <w:rsid w:val="008A3F09"/>
    <w:rsid w:val="008A3FB3"/>
    <w:rsid w:val="008A4033"/>
    <w:rsid w:val="008A4183"/>
    <w:rsid w:val="008A42CF"/>
    <w:rsid w:val="008A43E3"/>
    <w:rsid w:val="008A43E4"/>
    <w:rsid w:val="008A4566"/>
    <w:rsid w:val="008A4779"/>
    <w:rsid w:val="008A488F"/>
    <w:rsid w:val="008A4945"/>
    <w:rsid w:val="008A4993"/>
    <w:rsid w:val="008A49FE"/>
    <w:rsid w:val="008A4A10"/>
    <w:rsid w:val="008A4ADB"/>
    <w:rsid w:val="008A4B66"/>
    <w:rsid w:val="008A4C2B"/>
    <w:rsid w:val="008A4D77"/>
    <w:rsid w:val="008A4E69"/>
    <w:rsid w:val="008A4EF7"/>
    <w:rsid w:val="008A4F4F"/>
    <w:rsid w:val="008A500F"/>
    <w:rsid w:val="008A5053"/>
    <w:rsid w:val="008A513F"/>
    <w:rsid w:val="008A514A"/>
    <w:rsid w:val="008A528B"/>
    <w:rsid w:val="008A52C5"/>
    <w:rsid w:val="008A539F"/>
    <w:rsid w:val="008A53F7"/>
    <w:rsid w:val="008A542C"/>
    <w:rsid w:val="008A5456"/>
    <w:rsid w:val="008A554B"/>
    <w:rsid w:val="008A557C"/>
    <w:rsid w:val="008A574D"/>
    <w:rsid w:val="008A57DD"/>
    <w:rsid w:val="008A583E"/>
    <w:rsid w:val="008A5847"/>
    <w:rsid w:val="008A58FC"/>
    <w:rsid w:val="008A5947"/>
    <w:rsid w:val="008A59A6"/>
    <w:rsid w:val="008A59FC"/>
    <w:rsid w:val="008A5A5E"/>
    <w:rsid w:val="008A5A64"/>
    <w:rsid w:val="008A5A9B"/>
    <w:rsid w:val="008A5B3A"/>
    <w:rsid w:val="008A5B45"/>
    <w:rsid w:val="008A5BAA"/>
    <w:rsid w:val="008A5C93"/>
    <w:rsid w:val="008A5D93"/>
    <w:rsid w:val="008A5DF2"/>
    <w:rsid w:val="008A5DF4"/>
    <w:rsid w:val="008A5E9F"/>
    <w:rsid w:val="008A6029"/>
    <w:rsid w:val="008A6241"/>
    <w:rsid w:val="008A6297"/>
    <w:rsid w:val="008A62A8"/>
    <w:rsid w:val="008A6450"/>
    <w:rsid w:val="008A6497"/>
    <w:rsid w:val="008A66A7"/>
    <w:rsid w:val="008A66F9"/>
    <w:rsid w:val="008A670B"/>
    <w:rsid w:val="008A6764"/>
    <w:rsid w:val="008A69B5"/>
    <w:rsid w:val="008A69C9"/>
    <w:rsid w:val="008A6A02"/>
    <w:rsid w:val="008A6B21"/>
    <w:rsid w:val="008A6B58"/>
    <w:rsid w:val="008A6BBA"/>
    <w:rsid w:val="008A6C66"/>
    <w:rsid w:val="008A6C69"/>
    <w:rsid w:val="008A6C85"/>
    <w:rsid w:val="008A6CFB"/>
    <w:rsid w:val="008A6D87"/>
    <w:rsid w:val="008A6DFE"/>
    <w:rsid w:val="008A6E9C"/>
    <w:rsid w:val="008A6EAC"/>
    <w:rsid w:val="008A6EFB"/>
    <w:rsid w:val="008A6F17"/>
    <w:rsid w:val="008A6F1A"/>
    <w:rsid w:val="008A6F49"/>
    <w:rsid w:val="008A6F75"/>
    <w:rsid w:val="008A7077"/>
    <w:rsid w:val="008A70ED"/>
    <w:rsid w:val="008A712A"/>
    <w:rsid w:val="008A7210"/>
    <w:rsid w:val="008A7495"/>
    <w:rsid w:val="008A74D7"/>
    <w:rsid w:val="008A7541"/>
    <w:rsid w:val="008A75DA"/>
    <w:rsid w:val="008A76A1"/>
    <w:rsid w:val="008A7772"/>
    <w:rsid w:val="008A77C4"/>
    <w:rsid w:val="008A7895"/>
    <w:rsid w:val="008A78A5"/>
    <w:rsid w:val="008A7A10"/>
    <w:rsid w:val="008A7AC0"/>
    <w:rsid w:val="008A7B13"/>
    <w:rsid w:val="008A7B67"/>
    <w:rsid w:val="008A7B9B"/>
    <w:rsid w:val="008A7C9A"/>
    <w:rsid w:val="008A7F49"/>
    <w:rsid w:val="008A7F6C"/>
    <w:rsid w:val="008A7FB1"/>
    <w:rsid w:val="008A7FFA"/>
    <w:rsid w:val="008B004E"/>
    <w:rsid w:val="008B01CC"/>
    <w:rsid w:val="008B0225"/>
    <w:rsid w:val="008B02FA"/>
    <w:rsid w:val="008B0375"/>
    <w:rsid w:val="008B0411"/>
    <w:rsid w:val="008B0603"/>
    <w:rsid w:val="008B06E5"/>
    <w:rsid w:val="008B073A"/>
    <w:rsid w:val="008B0846"/>
    <w:rsid w:val="008B08B4"/>
    <w:rsid w:val="008B08D3"/>
    <w:rsid w:val="008B0923"/>
    <w:rsid w:val="008B0BD1"/>
    <w:rsid w:val="008B0CE7"/>
    <w:rsid w:val="008B0D1C"/>
    <w:rsid w:val="008B0DBB"/>
    <w:rsid w:val="008B0DE7"/>
    <w:rsid w:val="008B0EC8"/>
    <w:rsid w:val="008B0F4D"/>
    <w:rsid w:val="008B0F52"/>
    <w:rsid w:val="008B0FA9"/>
    <w:rsid w:val="008B1094"/>
    <w:rsid w:val="008B1107"/>
    <w:rsid w:val="008B11E4"/>
    <w:rsid w:val="008B123B"/>
    <w:rsid w:val="008B125E"/>
    <w:rsid w:val="008B1275"/>
    <w:rsid w:val="008B1296"/>
    <w:rsid w:val="008B12AA"/>
    <w:rsid w:val="008B12CF"/>
    <w:rsid w:val="008B12DF"/>
    <w:rsid w:val="008B1328"/>
    <w:rsid w:val="008B1368"/>
    <w:rsid w:val="008B1479"/>
    <w:rsid w:val="008B1529"/>
    <w:rsid w:val="008B152F"/>
    <w:rsid w:val="008B1835"/>
    <w:rsid w:val="008B1840"/>
    <w:rsid w:val="008B1850"/>
    <w:rsid w:val="008B194B"/>
    <w:rsid w:val="008B19D5"/>
    <w:rsid w:val="008B1A1D"/>
    <w:rsid w:val="008B1A5D"/>
    <w:rsid w:val="008B1A66"/>
    <w:rsid w:val="008B1BA3"/>
    <w:rsid w:val="008B1BD2"/>
    <w:rsid w:val="008B1D06"/>
    <w:rsid w:val="008B1D1B"/>
    <w:rsid w:val="008B1EE1"/>
    <w:rsid w:val="008B1FD2"/>
    <w:rsid w:val="008B2033"/>
    <w:rsid w:val="008B21B1"/>
    <w:rsid w:val="008B21EA"/>
    <w:rsid w:val="008B2218"/>
    <w:rsid w:val="008B241D"/>
    <w:rsid w:val="008B24C0"/>
    <w:rsid w:val="008B25D8"/>
    <w:rsid w:val="008B270A"/>
    <w:rsid w:val="008B2789"/>
    <w:rsid w:val="008B281E"/>
    <w:rsid w:val="008B2A59"/>
    <w:rsid w:val="008B2AAE"/>
    <w:rsid w:val="008B2C1E"/>
    <w:rsid w:val="008B2C28"/>
    <w:rsid w:val="008B2C5B"/>
    <w:rsid w:val="008B2D3E"/>
    <w:rsid w:val="008B2E92"/>
    <w:rsid w:val="008B2EB3"/>
    <w:rsid w:val="008B2EDA"/>
    <w:rsid w:val="008B2F78"/>
    <w:rsid w:val="008B300B"/>
    <w:rsid w:val="008B330D"/>
    <w:rsid w:val="008B3325"/>
    <w:rsid w:val="008B350A"/>
    <w:rsid w:val="008B372F"/>
    <w:rsid w:val="008B37AE"/>
    <w:rsid w:val="008B3827"/>
    <w:rsid w:val="008B3890"/>
    <w:rsid w:val="008B3972"/>
    <w:rsid w:val="008B3A2F"/>
    <w:rsid w:val="008B3B09"/>
    <w:rsid w:val="008B3B64"/>
    <w:rsid w:val="008B3C10"/>
    <w:rsid w:val="008B3C24"/>
    <w:rsid w:val="008B3CC0"/>
    <w:rsid w:val="008B3D22"/>
    <w:rsid w:val="008B3D9B"/>
    <w:rsid w:val="008B3E39"/>
    <w:rsid w:val="008B3F74"/>
    <w:rsid w:val="008B3FAC"/>
    <w:rsid w:val="008B3FE6"/>
    <w:rsid w:val="008B3FF9"/>
    <w:rsid w:val="008B4357"/>
    <w:rsid w:val="008B44C6"/>
    <w:rsid w:val="008B44E8"/>
    <w:rsid w:val="008B452B"/>
    <w:rsid w:val="008B458F"/>
    <w:rsid w:val="008B4610"/>
    <w:rsid w:val="008B46D1"/>
    <w:rsid w:val="008B47E7"/>
    <w:rsid w:val="008B4824"/>
    <w:rsid w:val="008B4896"/>
    <w:rsid w:val="008B499A"/>
    <w:rsid w:val="008B49F6"/>
    <w:rsid w:val="008B4A54"/>
    <w:rsid w:val="008B4AB9"/>
    <w:rsid w:val="008B4C14"/>
    <w:rsid w:val="008B4CF5"/>
    <w:rsid w:val="008B4E95"/>
    <w:rsid w:val="008B4F37"/>
    <w:rsid w:val="008B4FBC"/>
    <w:rsid w:val="008B51C7"/>
    <w:rsid w:val="008B522C"/>
    <w:rsid w:val="008B52AF"/>
    <w:rsid w:val="008B52D6"/>
    <w:rsid w:val="008B5305"/>
    <w:rsid w:val="008B535B"/>
    <w:rsid w:val="008B53AA"/>
    <w:rsid w:val="008B55F5"/>
    <w:rsid w:val="008B56C9"/>
    <w:rsid w:val="008B5726"/>
    <w:rsid w:val="008B572C"/>
    <w:rsid w:val="008B575B"/>
    <w:rsid w:val="008B5780"/>
    <w:rsid w:val="008B58A5"/>
    <w:rsid w:val="008B58DD"/>
    <w:rsid w:val="008B5904"/>
    <w:rsid w:val="008B5A1C"/>
    <w:rsid w:val="008B5B17"/>
    <w:rsid w:val="008B5BD2"/>
    <w:rsid w:val="008B5C33"/>
    <w:rsid w:val="008B5D3C"/>
    <w:rsid w:val="008B5E01"/>
    <w:rsid w:val="008B5E7A"/>
    <w:rsid w:val="008B5E8D"/>
    <w:rsid w:val="008B5EAF"/>
    <w:rsid w:val="008B5F26"/>
    <w:rsid w:val="008B5F7B"/>
    <w:rsid w:val="008B5F93"/>
    <w:rsid w:val="008B5FEF"/>
    <w:rsid w:val="008B601B"/>
    <w:rsid w:val="008B6028"/>
    <w:rsid w:val="008B6047"/>
    <w:rsid w:val="008B6106"/>
    <w:rsid w:val="008B61A0"/>
    <w:rsid w:val="008B6216"/>
    <w:rsid w:val="008B6374"/>
    <w:rsid w:val="008B655E"/>
    <w:rsid w:val="008B6676"/>
    <w:rsid w:val="008B66C4"/>
    <w:rsid w:val="008B671B"/>
    <w:rsid w:val="008B672B"/>
    <w:rsid w:val="008B67EE"/>
    <w:rsid w:val="008B689D"/>
    <w:rsid w:val="008B68DE"/>
    <w:rsid w:val="008B6903"/>
    <w:rsid w:val="008B694F"/>
    <w:rsid w:val="008B69DC"/>
    <w:rsid w:val="008B6A59"/>
    <w:rsid w:val="008B6B3E"/>
    <w:rsid w:val="008B6B79"/>
    <w:rsid w:val="008B6BB2"/>
    <w:rsid w:val="008B6C1E"/>
    <w:rsid w:val="008B6DBF"/>
    <w:rsid w:val="008B6E87"/>
    <w:rsid w:val="008B6F10"/>
    <w:rsid w:val="008B6FE7"/>
    <w:rsid w:val="008B7018"/>
    <w:rsid w:val="008B703A"/>
    <w:rsid w:val="008B718E"/>
    <w:rsid w:val="008B727F"/>
    <w:rsid w:val="008B72CB"/>
    <w:rsid w:val="008B73D1"/>
    <w:rsid w:val="008B7421"/>
    <w:rsid w:val="008B749F"/>
    <w:rsid w:val="008B760A"/>
    <w:rsid w:val="008B7743"/>
    <w:rsid w:val="008B77B6"/>
    <w:rsid w:val="008B77CB"/>
    <w:rsid w:val="008B7888"/>
    <w:rsid w:val="008B7891"/>
    <w:rsid w:val="008B7975"/>
    <w:rsid w:val="008B7A00"/>
    <w:rsid w:val="008B7A05"/>
    <w:rsid w:val="008B7B17"/>
    <w:rsid w:val="008B7B82"/>
    <w:rsid w:val="008B7B8A"/>
    <w:rsid w:val="008B7C18"/>
    <w:rsid w:val="008B7CE8"/>
    <w:rsid w:val="008B7E5E"/>
    <w:rsid w:val="008B7E8B"/>
    <w:rsid w:val="008B7EEF"/>
    <w:rsid w:val="008B7F48"/>
    <w:rsid w:val="008BF31F"/>
    <w:rsid w:val="008C0004"/>
    <w:rsid w:val="008C001E"/>
    <w:rsid w:val="008C0133"/>
    <w:rsid w:val="008C018D"/>
    <w:rsid w:val="008C01E4"/>
    <w:rsid w:val="008C026D"/>
    <w:rsid w:val="008C02F1"/>
    <w:rsid w:val="008C0360"/>
    <w:rsid w:val="008C046F"/>
    <w:rsid w:val="008C051F"/>
    <w:rsid w:val="008C05A8"/>
    <w:rsid w:val="008C05EC"/>
    <w:rsid w:val="008C0616"/>
    <w:rsid w:val="008C0680"/>
    <w:rsid w:val="008C06D3"/>
    <w:rsid w:val="008C06FA"/>
    <w:rsid w:val="008C07FC"/>
    <w:rsid w:val="008C0AAA"/>
    <w:rsid w:val="008C0B3B"/>
    <w:rsid w:val="008C0B3E"/>
    <w:rsid w:val="008C0B9A"/>
    <w:rsid w:val="008C0CE4"/>
    <w:rsid w:val="008C0D33"/>
    <w:rsid w:val="008C0D9F"/>
    <w:rsid w:val="008C0DA8"/>
    <w:rsid w:val="008C0DFC"/>
    <w:rsid w:val="008C0DFD"/>
    <w:rsid w:val="008C0E05"/>
    <w:rsid w:val="008C0E2E"/>
    <w:rsid w:val="008C0E6F"/>
    <w:rsid w:val="008C0FB4"/>
    <w:rsid w:val="008C10B3"/>
    <w:rsid w:val="008C111B"/>
    <w:rsid w:val="008C11B6"/>
    <w:rsid w:val="008C126C"/>
    <w:rsid w:val="008C1298"/>
    <w:rsid w:val="008C12B7"/>
    <w:rsid w:val="008C13D4"/>
    <w:rsid w:val="008C1422"/>
    <w:rsid w:val="008C1460"/>
    <w:rsid w:val="008C1464"/>
    <w:rsid w:val="008C151A"/>
    <w:rsid w:val="008C15E6"/>
    <w:rsid w:val="008C1658"/>
    <w:rsid w:val="008C1684"/>
    <w:rsid w:val="008C1787"/>
    <w:rsid w:val="008C180A"/>
    <w:rsid w:val="008C1819"/>
    <w:rsid w:val="008C188B"/>
    <w:rsid w:val="008C1948"/>
    <w:rsid w:val="008C19B8"/>
    <w:rsid w:val="008C1A34"/>
    <w:rsid w:val="008C1BBF"/>
    <w:rsid w:val="008C1D82"/>
    <w:rsid w:val="008C1DE4"/>
    <w:rsid w:val="008C1DE6"/>
    <w:rsid w:val="008C1E11"/>
    <w:rsid w:val="008C1E14"/>
    <w:rsid w:val="008C1E81"/>
    <w:rsid w:val="008C1EFB"/>
    <w:rsid w:val="008C1F08"/>
    <w:rsid w:val="008C1FE4"/>
    <w:rsid w:val="008C204D"/>
    <w:rsid w:val="008C2067"/>
    <w:rsid w:val="008C20CB"/>
    <w:rsid w:val="008C20D9"/>
    <w:rsid w:val="008C2121"/>
    <w:rsid w:val="008C2130"/>
    <w:rsid w:val="008C2169"/>
    <w:rsid w:val="008C21A5"/>
    <w:rsid w:val="008C21D5"/>
    <w:rsid w:val="008C22B5"/>
    <w:rsid w:val="008C2339"/>
    <w:rsid w:val="008C23CE"/>
    <w:rsid w:val="008C2411"/>
    <w:rsid w:val="008C245A"/>
    <w:rsid w:val="008C2499"/>
    <w:rsid w:val="008C255C"/>
    <w:rsid w:val="008C2566"/>
    <w:rsid w:val="008C2576"/>
    <w:rsid w:val="008C2622"/>
    <w:rsid w:val="008C27B9"/>
    <w:rsid w:val="008C283A"/>
    <w:rsid w:val="008C2861"/>
    <w:rsid w:val="008C28BA"/>
    <w:rsid w:val="008C293C"/>
    <w:rsid w:val="008C29B7"/>
    <w:rsid w:val="008C29F0"/>
    <w:rsid w:val="008C2B5E"/>
    <w:rsid w:val="008C2BB8"/>
    <w:rsid w:val="008C2C21"/>
    <w:rsid w:val="008C2C57"/>
    <w:rsid w:val="008C2C7C"/>
    <w:rsid w:val="008C2D61"/>
    <w:rsid w:val="008C2DCF"/>
    <w:rsid w:val="008C2DE2"/>
    <w:rsid w:val="008C2E3A"/>
    <w:rsid w:val="008C2EEC"/>
    <w:rsid w:val="008C2F31"/>
    <w:rsid w:val="008C2F4F"/>
    <w:rsid w:val="008C305B"/>
    <w:rsid w:val="008C314B"/>
    <w:rsid w:val="008C32E8"/>
    <w:rsid w:val="008C32EA"/>
    <w:rsid w:val="008C332B"/>
    <w:rsid w:val="008C3477"/>
    <w:rsid w:val="008C34A9"/>
    <w:rsid w:val="008C3549"/>
    <w:rsid w:val="008C359B"/>
    <w:rsid w:val="008C3620"/>
    <w:rsid w:val="008C3679"/>
    <w:rsid w:val="008C3699"/>
    <w:rsid w:val="008C3841"/>
    <w:rsid w:val="008C3871"/>
    <w:rsid w:val="008C3882"/>
    <w:rsid w:val="008C38C7"/>
    <w:rsid w:val="008C38F1"/>
    <w:rsid w:val="008C3966"/>
    <w:rsid w:val="008C39BE"/>
    <w:rsid w:val="008C39CC"/>
    <w:rsid w:val="008C3A63"/>
    <w:rsid w:val="008C3A92"/>
    <w:rsid w:val="008C3B04"/>
    <w:rsid w:val="008C3B58"/>
    <w:rsid w:val="008C3B59"/>
    <w:rsid w:val="008C3B5D"/>
    <w:rsid w:val="008C3B73"/>
    <w:rsid w:val="008C3C4D"/>
    <w:rsid w:val="008C3CC0"/>
    <w:rsid w:val="008C3DB7"/>
    <w:rsid w:val="008C3DBA"/>
    <w:rsid w:val="008C3DD8"/>
    <w:rsid w:val="008C3E9D"/>
    <w:rsid w:val="008C3F85"/>
    <w:rsid w:val="008C3FC4"/>
    <w:rsid w:val="008C40FB"/>
    <w:rsid w:val="008C4117"/>
    <w:rsid w:val="008C4247"/>
    <w:rsid w:val="008C4275"/>
    <w:rsid w:val="008C428C"/>
    <w:rsid w:val="008C42F3"/>
    <w:rsid w:val="008C43B1"/>
    <w:rsid w:val="008C43B7"/>
    <w:rsid w:val="008C45CB"/>
    <w:rsid w:val="008C46B1"/>
    <w:rsid w:val="008C470F"/>
    <w:rsid w:val="008C472E"/>
    <w:rsid w:val="008C478C"/>
    <w:rsid w:val="008C4817"/>
    <w:rsid w:val="008C4977"/>
    <w:rsid w:val="008C49EA"/>
    <w:rsid w:val="008C4A11"/>
    <w:rsid w:val="008C4A13"/>
    <w:rsid w:val="008C4A76"/>
    <w:rsid w:val="008C4B13"/>
    <w:rsid w:val="008C4D07"/>
    <w:rsid w:val="008C4D17"/>
    <w:rsid w:val="008C4DB5"/>
    <w:rsid w:val="008C4E0D"/>
    <w:rsid w:val="008C4E98"/>
    <w:rsid w:val="008C4ECA"/>
    <w:rsid w:val="008C4EE0"/>
    <w:rsid w:val="008C4F35"/>
    <w:rsid w:val="008C50F8"/>
    <w:rsid w:val="008C5136"/>
    <w:rsid w:val="008C524A"/>
    <w:rsid w:val="008C52B7"/>
    <w:rsid w:val="008C53F4"/>
    <w:rsid w:val="008C5437"/>
    <w:rsid w:val="008C5469"/>
    <w:rsid w:val="008C546E"/>
    <w:rsid w:val="008C547E"/>
    <w:rsid w:val="008C549D"/>
    <w:rsid w:val="008C558E"/>
    <w:rsid w:val="008C56F6"/>
    <w:rsid w:val="008C57D1"/>
    <w:rsid w:val="008C5828"/>
    <w:rsid w:val="008C5882"/>
    <w:rsid w:val="008C5939"/>
    <w:rsid w:val="008C5A6A"/>
    <w:rsid w:val="008C5A9B"/>
    <w:rsid w:val="008C5AB6"/>
    <w:rsid w:val="008C5B4B"/>
    <w:rsid w:val="008C5CB0"/>
    <w:rsid w:val="008C5CEB"/>
    <w:rsid w:val="008C5E40"/>
    <w:rsid w:val="008C5E45"/>
    <w:rsid w:val="008C5F21"/>
    <w:rsid w:val="008C5F98"/>
    <w:rsid w:val="008C5FAD"/>
    <w:rsid w:val="008C603D"/>
    <w:rsid w:val="008C6089"/>
    <w:rsid w:val="008C610D"/>
    <w:rsid w:val="008C612A"/>
    <w:rsid w:val="008C614D"/>
    <w:rsid w:val="008C6242"/>
    <w:rsid w:val="008C62AF"/>
    <w:rsid w:val="008C62BB"/>
    <w:rsid w:val="008C62E6"/>
    <w:rsid w:val="008C62F6"/>
    <w:rsid w:val="008C6532"/>
    <w:rsid w:val="008C6555"/>
    <w:rsid w:val="008C6617"/>
    <w:rsid w:val="008C6645"/>
    <w:rsid w:val="008C6697"/>
    <w:rsid w:val="008C66F6"/>
    <w:rsid w:val="008C68EA"/>
    <w:rsid w:val="008C6954"/>
    <w:rsid w:val="008C69C3"/>
    <w:rsid w:val="008C69F2"/>
    <w:rsid w:val="008C6A4E"/>
    <w:rsid w:val="008C6B0A"/>
    <w:rsid w:val="008C6B21"/>
    <w:rsid w:val="008C6BEA"/>
    <w:rsid w:val="008C6CEE"/>
    <w:rsid w:val="008C6CFB"/>
    <w:rsid w:val="008C6E4C"/>
    <w:rsid w:val="008C6F3C"/>
    <w:rsid w:val="008C6F5D"/>
    <w:rsid w:val="008C6F89"/>
    <w:rsid w:val="008C6FC9"/>
    <w:rsid w:val="008C6FF2"/>
    <w:rsid w:val="008C7092"/>
    <w:rsid w:val="008C7122"/>
    <w:rsid w:val="008C71F2"/>
    <w:rsid w:val="008C725B"/>
    <w:rsid w:val="008C72FA"/>
    <w:rsid w:val="008C73EF"/>
    <w:rsid w:val="008C752B"/>
    <w:rsid w:val="008C758D"/>
    <w:rsid w:val="008C7607"/>
    <w:rsid w:val="008C7636"/>
    <w:rsid w:val="008C76D1"/>
    <w:rsid w:val="008C770F"/>
    <w:rsid w:val="008C7800"/>
    <w:rsid w:val="008C7916"/>
    <w:rsid w:val="008C7957"/>
    <w:rsid w:val="008C7BEB"/>
    <w:rsid w:val="008C7E8D"/>
    <w:rsid w:val="008C7EBC"/>
    <w:rsid w:val="008C7F17"/>
    <w:rsid w:val="008C7F4D"/>
    <w:rsid w:val="008D009D"/>
    <w:rsid w:val="008D00BD"/>
    <w:rsid w:val="008D010E"/>
    <w:rsid w:val="008D0156"/>
    <w:rsid w:val="008D0188"/>
    <w:rsid w:val="008D01AE"/>
    <w:rsid w:val="008D0208"/>
    <w:rsid w:val="008D0290"/>
    <w:rsid w:val="008D02A9"/>
    <w:rsid w:val="008D0331"/>
    <w:rsid w:val="008D0399"/>
    <w:rsid w:val="008D0492"/>
    <w:rsid w:val="008D04DD"/>
    <w:rsid w:val="008D04EE"/>
    <w:rsid w:val="008D057C"/>
    <w:rsid w:val="008D071A"/>
    <w:rsid w:val="008D084C"/>
    <w:rsid w:val="008D0868"/>
    <w:rsid w:val="008D087D"/>
    <w:rsid w:val="008D0962"/>
    <w:rsid w:val="008D0A92"/>
    <w:rsid w:val="008D0B8C"/>
    <w:rsid w:val="008D0BB0"/>
    <w:rsid w:val="008D0C59"/>
    <w:rsid w:val="008D0CCA"/>
    <w:rsid w:val="008D0D04"/>
    <w:rsid w:val="008D0DD1"/>
    <w:rsid w:val="008D0E37"/>
    <w:rsid w:val="008D0EB4"/>
    <w:rsid w:val="008D0EE7"/>
    <w:rsid w:val="008D0F27"/>
    <w:rsid w:val="008D1173"/>
    <w:rsid w:val="008D11B9"/>
    <w:rsid w:val="008D11E8"/>
    <w:rsid w:val="008D120E"/>
    <w:rsid w:val="008D1220"/>
    <w:rsid w:val="008D1252"/>
    <w:rsid w:val="008D1256"/>
    <w:rsid w:val="008D125B"/>
    <w:rsid w:val="008D12A2"/>
    <w:rsid w:val="008D12D7"/>
    <w:rsid w:val="008D12D9"/>
    <w:rsid w:val="008D13DD"/>
    <w:rsid w:val="008D1425"/>
    <w:rsid w:val="008D1429"/>
    <w:rsid w:val="008D1537"/>
    <w:rsid w:val="008D1549"/>
    <w:rsid w:val="008D154E"/>
    <w:rsid w:val="008D172F"/>
    <w:rsid w:val="008D1881"/>
    <w:rsid w:val="008D194F"/>
    <w:rsid w:val="008D1D4B"/>
    <w:rsid w:val="008D1E04"/>
    <w:rsid w:val="008D1E3E"/>
    <w:rsid w:val="008D1ECA"/>
    <w:rsid w:val="008D1F15"/>
    <w:rsid w:val="008D1FAD"/>
    <w:rsid w:val="008D208C"/>
    <w:rsid w:val="008D20CE"/>
    <w:rsid w:val="008D2254"/>
    <w:rsid w:val="008D229B"/>
    <w:rsid w:val="008D22A7"/>
    <w:rsid w:val="008D22B9"/>
    <w:rsid w:val="008D2304"/>
    <w:rsid w:val="008D239E"/>
    <w:rsid w:val="008D2466"/>
    <w:rsid w:val="008D25BB"/>
    <w:rsid w:val="008D2618"/>
    <w:rsid w:val="008D2624"/>
    <w:rsid w:val="008D26CE"/>
    <w:rsid w:val="008D2719"/>
    <w:rsid w:val="008D27C4"/>
    <w:rsid w:val="008D2801"/>
    <w:rsid w:val="008D282D"/>
    <w:rsid w:val="008D28E9"/>
    <w:rsid w:val="008D292D"/>
    <w:rsid w:val="008D2A2C"/>
    <w:rsid w:val="008D2A65"/>
    <w:rsid w:val="008D2A9B"/>
    <w:rsid w:val="008D2AB0"/>
    <w:rsid w:val="008D2B0D"/>
    <w:rsid w:val="008D2B0F"/>
    <w:rsid w:val="008D2BD1"/>
    <w:rsid w:val="008D2E4A"/>
    <w:rsid w:val="008D2E9A"/>
    <w:rsid w:val="008D304C"/>
    <w:rsid w:val="008D3083"/>
    <w:rsid w:val="008D30E0"/>
    <w:rsid w:val="008D31A1"/>
    <w:rsid w:val="008D31AB"/>
    <w:rsid w:val="008D31BA"/>
    <w:rsid w:val="008D328B"/>
    <w:rsid w:val="008D32A4"/>
    <w:rsid w:val="008D3302"/>
    <w:rsid w:val="008D337C"/>
    <w:rsid w:val="008D3382"/>
    <w:rsid w:val="008D338C"/>
    <w:rsid w:val="008D33BF"/>
    <w:rsid w:val="008D3431"/>
    <w:rsid w:val="008D345D"/>
    <w:rsid w:val="008D3484"/>
    <w:rsid w:val="008D3517"/>
    <w:rsid w:val="008D3548"/>
    <w:rsid w:val="008D358E"/>
    <w:rsid w:val="008D3595"/>
    <w:rsid w:val="008D35B1"/>
    <w:rsid w:val="008D3664"/>
    <w:rsid w:val="008D366D"/>
    <w:rsid w:val="008D3753"/>
    <w:rsid w:val="008D388A"/>
    <w:rsid w:val="008D38E9"/>
    <w:rsid w:val="008D39BD"/>
    <w:rsid w:val="008D3A38"/>
    <w:rsid w:val="008D3B52"/>
    <w:rsid w:val="008D3B9B"/>
    <w:rsid w:val="008D3C25"/>
    <w:rsid w:val="008D3C5D"/>
    <w:rsid w:val="008D3CC5"/>
    <w:rsid w:val="008D3DFD"/>
    <w:rsid w:val="008D3E74"/>
    <w:rsid w:val="008D3E77"/>
    <w:rsid w:val="008D4041"/>
    <w:rsid w:val="008D4088"/>
    <w:rsid w:val="008D418A"/>
    <w:rsid w:val="008D4296"/>
    <w:rsid w:val="008D42DA"/>
    <w:rsid w:val="008D4468"/>
    <w:rsid w:val="008D448D"/>
    <w:rsid w:val="008D4501"/>
    <w:rsid w:val="008D4583"/>
    <w:rsid w:val="008D4599"/>
    <w:rsid w:val="008D4682"/>
    <w:rsid w:val="008D4686"/>
    <w:rsid w:val="008D47E4"/>
    <w:rsid w:val="008D4876"/>
    <w:rsid w:val="008D48D3"/>
    <w:rsid w:val="008D4A68"/>
    <w:rsid w:val="008D4AC1"/>
    <w:rsid w:val="008D4B88"/>
    <w:rsid w:val="008D4BB1"/>
    <w:rsid w:val="008D4BB9"/>
    <w:rsid w:val="008D4CC9"/>
    <w:rsid w:val="008D4D43"/>
    <w:rsid w:val="008D4D69"/>
    <w:rsid w:val="008D4F2D"/>
    <w:rsid w:val="008D4F3F"/>
    <w:rsid w:val="008D4F93"/>
    <w:rsid w:val="008D4FF4"/>
    <w:rsid w:val="008D4FFC"/>
    <w:rsid w:val="008D5108"/>
    <w:rsid w:val="008D5148"/>
    <w:rsid w:val="008D5177"/>
    <w:rsid w:val="008D51E2"/>
    <w:rsid w:val="008D524C"/>
    <w:rsid w:val="008D5268"/>
    <w:rsid w:val="008D528E"/>
    <w:rsid w:val="008D52A6"/>
    <w:rsid w:val="008D52F0"/>
    <w:rsid w:val="008D52F1"/>
    <w:rsid w:val="008D5377"/>
    <w:rsid w:val="008D5380"/>
    <w:rsid w:val="008D5414"/>
    <w:rsid w:val="008D541F"/>
    <w:rsid w:val="008D54A7"/>
    <w:rsid w:val="008D5511"/>
    <w:rsid w:val="008D55A9"/>
    <w:rsid w:val="008D562F"/>
    <w:rsid w:val="008D5664"/>
    <w:rsid w:val="008D56D0"/>
    <w:rsid w:val="008D57A5"/>
    <w:rsid w:val="008D57C8"/>
    <w:rsid w:val="008D584C"/>
    <w:rsid w:val="008D585F"/>
    <w:rsid w:val="008D58B2"/>
    <w:rsid w:val="008D59DD"/>
    <w:rsid w:val="008D5AFD"/>
    <w:rsid w:val="008D5C35"/>
    <w:rsid w:val="008D5C8B"/>
    <w:rsid w:val="008D5DA8"/>
    <w:rsid w:val="008D5F32"/>
    <w:rsid w:val="008D605C"/>
    <w:rsid w:val="008D6070"/>
    <w:rsid w:val="008D60CA"/>
    <w:rsid w:val="008D613E"/>
    <w:rsid w:val="008D619B"/>
    <w:rsid w:val="008D620A"/>
    <w:rsid w:val="008D622A"/>
    <w:rsid w:val="008D62DA"/>
    <w:rsid w:val="008D63A2"/>
    <w:rsid w:val="008D63D3"/>
    <w:rsid w:val="008D63FA"/>
    <w:rsid w:val="008D6520"/>
    <w:rsid w:val="008D6695"/>
    <w:rsid w:val="008D66BC"/>
    <w:rsid w:val="008D67D2"/>
    <w:rsid w:val="008D68D6"/>
    <w:rsid w:val="008D6ABA"/>
    <w:rsid w:val="008D6B00"/>
    <w:rsid w:val="008D6B11"/>
    <w:rsid w:val="008D6B2E"/>
    <w:rsid w:val="008D6C31"/>
    <w:rsid w:val="008D6C57"/>
    <w:rsid w:val="008D6D65"/>
    <w:rsid w:val="008D6D6A"/>
    <w:rsid w:val="008D6DD0"/>
    <w:rsid w:val="008D6DD8"/>
    <w:rsid w:val="008D6E44"/>
    <w:rsid w:val="008D6E98"/>
    <w:rsid w:val="008D6F02"/>
    <w:rsid w:val="008D6F84"/>
    <w:rsid w:val="008D7013"/>
    <w:rsid w:val="008D7217"/>
    <w:rsid w:val="008D7224"/>
    <w:rsid w:val="008D7280"/>
    <w:rsid w:val="008D73B1"/>
    <w:rsid w:val="008D73C5"/>
    <w:rsid w:val="008D74CC"/>
    <w:rsid w:val="008D74E9"/>
    <w:rsid w:val="008D76B1"/>
    <w:rsid w:val="008D76CB"/>
    <w:rsid w:val="008D785F"/>
    <w:rsid w:val="008D79B9"/>
    <w:rsid w:val="008D79D0"/>
    <w:rsid w:val="008D7A47"/>
    <w:rsid w:val="008D7A6D"/>
    <w:rsid w:val="008D7B03"/>
    <w:rsid w:val="008D7B11"/>
    <w:rsid w:val="008D7BD8"/>
    <w:rsid w:val="008D7BF8"/>
    <w:rsid w:val="008D7C40"/>
    <w:rsid w:val="008D7CCF"/>
    <w:rsid w:val="008D7D11"/>
    <w:rsid w:val="008D7D57"/>
    <w:rsid w:val="008D7F47"/>
    <w:rsid w:val="008E0025"/>
    <w:rsid w:val="008E00D4"/>
    <w:rsid w:val="008E016A"/>
    <w:rsid w:val="008E0177"/>
    <w:rsid w:val="008E0250"/>
    <w:rsid w:val="008E0285"/>
    <w:rsid w:val="008E0286"/>
    <w:rsid w:val="008E0294"/>
    <w:rsid w:val="008E02D2"/>
    <w:rsid w:val="008E032E"/>
    <w:rsid w:val="008E0377"/>
    <w:rsid w:val="008E0380"/>
    <w:rsid w:val="008E04B5"/>
    <w:rsid w:val="008E0512"/>
    <w:rsid w:val="008E051B"/>
    <w:rsid w:val="008E0521"/>
    <w:rsid w:val="008E055E"/>
    <w:rsid w:val="008E056F"/>
    <w:rsid w:val="008E05A2"/>
    <w:rsid w:val="008E05EC"/>
    <w:rsid w:val="008E0842"/>
    <w:rsid w:val="008E08E5"/>
    <w:rsid w:val="008E08E7"/>
    <w:rsid w:val="008E0A34"/>
    <w:rsid w:val="008E0AEC"/>
    <w:rsid w:val="008E0E5B"/>
    <w:rsid w:val="008E0FE3"/>
    <w:rsid w:val="008E1009"/>
    <w:rsid w:val="008E1133"/>
    <w:rsid w:val="008E1216"/>
    <w:rsid w:val="008E121E"/>
    <w:rsid w:val="008E1262"/>
    <w:rsid w:val="008E1346"/>
    <w:rsid w:val="008E1402"/>
    <w:rsid w:val="008E1424"/>
    <w:rsid w:val="008E1476"/>
    <w:rsid w:val="008E1768"/>
    <w:rsid w:val="008E1782"/>
    <w:rsid w:val="008E17B9"/>
    <w:rsid w:val="008E18CE"/>
    <w:rsid w:val="008E1934"/>
    <w:rsid w:val="008E19EC"/>
    <w:rsid w:val="008E1A51"/>
    <w:rsid w:val="008E1BED"/>
    <w:rsid w:val="008E1E09"/>
    <w:rsid w:val="008E1E53"/>
    <w:rsid w:val="008E1E89"/>
    <w:rsid w:val="008E1F4F"/>
    <w:rsid w:val="008E1F5B"/>
    <w:rsid w:val="008E1FDF"/>
    <w:rsid w:val="008E2079"/>
    <w:rsid w:val="008E2093"/>
    <w:rsid w:val="008E2104"/>
    <w:rsid w:val="008E2272"/>
    <w:rsid w:val="008E2342"/>
    <w:rsid w:val="008E2377"/>
    <w:rsid w:val="008E241B"/>
    <w:rsid w:val="008E241F"/>
    <w:rsid w:val="008E2429"/>
    <w:rsid w:val="008E242A"/>
    <w:rsid w:val="008E244D"/>
    <w:rsid w:val="008E2454"/>
    <w:rsid w:val="008E245A"/>
    <w:rsid w:val="008E24B7"/>
    <w:rsid w:val="008E2673"/>
    <w:rsid w:val="008E27C1"/>
    <w:rsid w:val="008E2823"/>
    <w:rsid w:val="008E2857"/>
    <w:rsid w:val="008E28A9"/>
    <w:rsid w:val="008E29EB"/>
    <w:rsid w:val="008E2AA6"/>
    <w:rsid w:val="008E2B6D"/>
    <w:rsid w:val="008E2B76"/>
    <w:rsid w:val="008E2BA6"/>
    <w:rsid w:val="008E2C01"/>
    <w:rsid w:val="008E2C3F"/>
    <w:rsid w:val="008E2C5F"/>
    <w:rsid w:val="008E2C72"/>
    <w:rsid w:val="008E2CC0"/>
    <w:rsid w:val="008E2D68"/>
    <w:rsid w:val="008E2D6B"/>
    <w:rsid w:val="008E2EF5"/>
    <w:rsid w:val="008E2F04"/>
    <w:rsid w:val="008E2FA7"/>
    <w:rsid w:val="008E2FBF"/>
    <w:rsid w:val="008E3067"/>
    <w:rsid w:val="008E31AA"/>
    <w:rsid w:val="008E3203"/>
    <w:rsid w:val="008E32AB"/>
    <w:rsid w:val="008E330D"/>
    <w:rsid w:val="008E3342"/>
    <w:rsid w:val="008E3525"/>
    <w:rsid w:val="008E3555"/>
    <w:rsid w:val="008E3562"/>
    <w:rsid w:val="008E3576"/>
    <w:rsid w:val="008E3591"/>
    <w:rsid w:val="008E35EB"/>
    <w:rsid w:val="008E35EE"/>
    <w:rsid w:val="008E35FD"/>
    <w:rsid w:val="008E364A"/>
    <w:rsid w:val="008E37FA"/>
    <w:rsid w:val="008E3932"/>
    <w:rsid w:val="008E3968"/>
    <w:rsid w:val="008E39A0"/>
    <w:rsid w:val="008E39EE"/>
    <w:rsid w:val="008E3AC5"/>
    <w:rsid w:val="008E3BC2"/>
    <w:rsid w:val="008E3C7A"/>
    <w:rsid w:val="008E3C90"/>
    <w:rsid w:val="008E3CF5"/>
    <w:rsid w:val="008E3D16"/>
    <w:rsid w:val="008E3D24"/>
    <w:rsid w:val="008E3EE8"/>
    <w:rsid w:val="008E3FB9"/>
    <w:rsid w:val="008E409F"/>
    <w:rsid w:val="008E4187"/>
    <w:rsid w:val="008E4196"/>
    <w:rsid w:val="008E42F9"/>
    <w:rsid w:val="008E435D"/>
    <w:rsid w:val="008E444C"/>
    <w:rsid w:val="008E44CE"/>
    <w:rsid w:val="008E45BC"/>
    <w:rsid w:val="008E4637"/>
    <w:rsid w:val="008E4743"/>
    <w:rsid w:val="008E479C"/>
    <w:rsid w:val="008E47BF"/>
    <w:rsid w:val="008E48FF"/>
    <w:rsid w:val="008E4991"/>
    <w:rsid w:val="008E49A1"/>
    <w:rsid w:val="008E49B4"/>
    <w:rsid w:val="008E4C93"/>
    <w:rsid w:val="008E4D10"/>
    <w:rsid w:val="008E4D54"/>
    <w:rsid w:val="008E4D92"/>
    <w:rsid w:val="008E4E9B"/>
    <w:rsid w:val="008E4F0F"/>
    <w:rsid w:val="008E4F15"/>
    <w:rsid w:val="008E4F2B"/>
    <w:rsid w:val="008E5087"/>
    <w:rsid w:val="008E50A9"/>
    <w:rsid w:val="008E515B"/>
    <w:rsid w:val="008E55AC"/>
    <w:rsid w:val="008E55B9"/>
    <w:rsid w:val="008E55D0"/>
    <w:rsid w:val="008E55E2"/>
    <w:rsid w:val="008E5603"/>
    <w:rsid w:val="008E568F"/>
    <w:rsid w:val="008E56C0"/>
    <w:rsid w:val="008E571F"/>
    <w:rsid w:val="008E581C"/>
    <w:rsid w:val="008E586B"/>
    <w:rsid w:val="008E586C"/>
    <w:rsid w:val="008E59F5"/>
    <w:rsid w:val="008E5ACB"/>
    <w:rsid w:val="008E5AE1"/>
    <w:rsid w:val="008E5D6D"/>
    <w:rsid w:val="008E5DB3"/>
    <w:rsid w:val="008E5DEC"/>
    <w:rsid w:val="008E5DFE"/>
    <w:rsid w:val="008E5E04"/>
    <w:rsid w:val="008E5EC2"/>
    <w:rsid w:val="008E5EEE"/>
    <w:rsid w:val="008E5F78"/>
    <w:rsid w:val="008E5FE1"/>
    <w:rsid w:val="008E6088"/>
    <w:rsid w:val="008E61FD"/>
    <w:rsid w:val="008E6231"/>
    <w:rsid w:val="008E62F2"/>
    <w:rsid w:val="008E62F4"/>
    <w:rsid w:val="008E6319"/>
    <w:rsid w:val="008E6363"/>
    <w:rsid w:val="008E63DE"/>
    <w:rsid w:val="008E6409"/>
    <w:rsid w:val="008E64B9"/>
    <w:rsid w:val="008E64D1"/>
    <w:rsid w:val="008E64DC"/>
    <w:rsid w:val="008E64F0"/>
    <w:rsid w:val="008E64FD"/>
    <w:rsid w:val="008E654F"/>
    <w:rsid w:val="008E65A0"/>
    <w:rsid w:val="008E663B"/>
    <w:rsid w:val="008E676C"/>
    <w:rsid w:val="008E67C0"/>
    <w:rsid w:val="008E67E9"/>
    <w:rsid w:val="008E68D8"/>
    <w:rsid w:val="008E6B27"/>
    <w:rsid w:val="008E6B2D"/>
    <w:rsid w:val="008E6B40"/>
    <w:rsid w:val="008E6BDF"/>
    <w:rsid w:val="008E6CF2"/>
    <w:rsid w:val="008E6E4C"/>
    <w:rsid w:val="008E7180"/>
    <w:rsid w:val="008E71C1"/>
    <w:rsid w:val="008E72AA"/>
    <w:rsid w:val="008E73F3"/>
    <w:rsid w:val="008E73FE"/>
    <w:rsid w:val="008E76F4"/>
    <w:rsid w:val="008E77F4"/>
    <w:rsid w:val="008E782C"/>
    <w:rsid w:val="008E7975"/>
    <w:rsid w:val="008E7A14"/>
    <w:rsid w:val="008E7B44"/>
    <w:rsid w:val="008E7BF8"/>
    <w:rsid w:val="008E7D17"/>
    <w:rsid w:val="008E7D6E"/>
    <w:rsid w:val="008E7E16"/>
    <w:rsid w:val="008E7F72"/>
    <w:rsid w:val="008E7FB1"/>
    <w:rsid w:val="008F0134"/>
    <w:rsid w:val="008F0275"/>
    <w:rsid w:val="008F02B3"/>
    <w:rsid w:val="008F0388"/>
    <w:rsid w:val="008F03AD"/>
    <w:rsid w:val="008F0698"/>
    <w:rsid w:val="008F076A"/>
    <w:rsid w:val="008F07E6"/>
    <w:rsid w:val="008F080F"/>
    <w:rsid w:val="008F08CB"/>
    <w:rsid w:val="008F0907"/>
    <w:rsid w:val="008F0921"/>
    <w:rsid w:val="008F094B"/>
    <w:rsid w:val="008F0AA7"/>
    <w:rsid w:val="008F0B36"/>
    <w:rsid w:val="008F0BC2"/>
    <w:rsid w:val="008F0C50"/>
    <w:rsid w:val="008F0DA2"/>
    <w:rsid w:val="008F0DEA"/>
    <w:rsid w:val="008F0DF0"/>
    <w:rsid w:val="008F0F83"/>
    <w:rsid w:val="008F0F8A"/>
    <w:rsid w:val="008F10A1"/>
    <w:rsid w:val="008F110B"/>
    <w:rsid w:val="008F126D"/>
    <w:rsid w:val="008F1277"/>
    <w:rsid w:val="008F12A0"/>
    <w:rsid w:val="008F12C0"/>
    <w:rsid w:val="008F1301"/>
    <w:rsid w:val="008F1419"/>
    <w:rsid w:val="008F1528"/>
    <w:rsid w:val="008F1555"/>
    <w:rsid w:val="008F1571"/>
    <w:rsid w:val="008F15E6"/>
    <w:rsid w:val="008F1613"/>
    <w:rsid w:val="008F16DA"/>
    <w:rsid w:val="008F172A"/>
    <w:rsid w:val="008F174D"/>
    <w:rsid w:val="008F17A2"/>
    <w:rsid w:val="008F1832"/>
    <w:rsid w:val="008F184A"/>
    <w:rsid w:val="008F1949"/>
    <w:rsid w:val="008F1A8E"/>
    <w:rsid w:val="008F1A96"/>
    <w:rsid w:val="008F1B2B"/>
    <w:rsid w:val="008F1C46"/>
    <w:rsid w:val="008F1E38"/>
    <w:rsid w:val="008F1EC6"/>
    <w:rsid w:val="008F1F1A"/>
    <w:rsid w:val="008F1FDD"/>
    <w:rsid w:val="008F2000"/>
    <w:rsid w:val="008F2078"/>
    <w:rsid w:val="008F20C3"/>
    <w:rsid w:val="008F2189"/>
    <w:rsid w:val="008F21A3"/>
    <w:rsid w:val="008F2226"/>
    <w:rsid w:val="008F22C3"/>
    <w:rsid w:val="008F2332"/>
    <w:rsid w:val="008F2343"/>
    <w:rsid w:val="008F2356"/>
    <w:rsid w:val="008F2392"/>
    <w:rsid w:val="008F23B9"/>
    <w:rsid w:val="008F241A"/>
    <w:rsid w:val="008F2425"/>
    <w:rsid w:val="008F2456"/>
    <w:rsid w:val="008F262E"/>
    <w:rsid w:val="008F26E5"/>
    <w:rsid w:val="008F279A"/>
    <w:rsid w:val="008F27ED"/>
    <w:rsid w:val="008F292E"/>
    <w:rsid w:val="008F2974"/>
    <w:rsid w:val="008F29ED"/>
    <w:rsid w:val="008F29EF"/>
    <w:rsid w:val="008F2BFF"/>
    <w:rsid w:val="008F2C27"/>
    <w:rsid w:val="008F2C7A"/>
    <w:rsid w:val="008F2C7E"/>
    <w:rsid w:val="008F2D24"/>
    <w:rsid w:val="008F2DE2"/>
    <w:rsid w:val="008F2F4C"/>
    <w:rsid w:val="008F2FE9"/>
    <w:rsid w:val="008F2FF0"/>
    <w:rsid w:val="008F300D"/>
    <w:rsid w:val="008F306A"/>
    <w:rsid w:val="008F3083"/>
    <w:rsid w:val="008F3084"/>
    <w:rsid w:val="008F3118"/>
    <w:rsid w:val="008F328A"/>
    <w:rsid w:val="008F3334"/>
    <w:rsid w:val="008F339A"/>
    <w:rsid w:val="008F346C"/>
    <w:rsid w:val="008F3689"/>
    <w:rsid w:val="008F36EA"/>
    <w:rsid w:val="008F3794"/>
    <w:rsid w:val="008F37A5"/>
    <w:rsid w:val="008F37AF"/>
    <w:rsid w:val="008F37CF"/>
    <w:rsid w:val="008F3858"/>
    <w:rsid w:val="008F39F0"/>
    <w:rsid w:val="008F3A06"/>
    <w:rsid w:val="008F3AA2"/>
    <w:rsid w:val="008F3AB9"/>
    <w:rsid w:val="008F3B5A"/>
    <w:rsid w:val="008F3BEF"/>
    <w:rsid w:val="008F3D07"/>
    <w:rsid w:val="008F3E89"/>
    <w:rsid w:val="008F40AE"/>
    <w:rsid w:val="008F413D"/>
    <w:rsid w:val="008F4147"/>
    <w:rsid w:val="008F414C"/>
    <w:rsid w:val="008F43A8"/>
    <w:rsid w:val="008F43C6"/>
    <w:rsid w:val="008F4407"/>
    <w:rsid w:val="008F4459"/>
    <w:rsid w:val="008F4504"/>
    <w:rsid w:val="008F45F3"/>
    <w:rsid w:val="008F45F4"/>
    <w:rsid w:val="008F468F"/>
    <w:rsid w:val="008F4851"/>
    <w:rsid w:val="008F48BF"/>
    <w:rsid w:val="008F48C4"/>
    <w:rsid w:val="008F4ACC"/>
    <w:rsid w:val="008F4B43"/>
    <w:rsid w:val="008F4B72"/>
    <w:rsid w:val="008F4B77"/>
    <w:rsid w:val="008F4BC9"/>
    <w:rsid w:val="008F4C5A"/>
    <w:rsid w:val="008F4C60"/>
    <w:rsid w:val="008F4C7D"/>
    <w:rsid w:val="008F4E79"/>
    <w:rsid w:val="008F4E93"/>
    <w:rsid w:val="008F4EBE"/>
    <w:rsid w:val="008F4FA7"/>
    <w:rsid w:val="008F4FBB"/>
    <w:rsid w:val="008F506B"/>
    <w:rsid w:val="008F50FD"/>
    <w:rsid w:val="008F519E"/>
    <w:rsid w:val="008F51D0"/>
    <w:rsid w:val="008F525B"/>
    <w:rsid w:val="008F52D0"/>
    <w:rsid w:val="008F5412"/>
    <w:rsid w:val="008F5470"/>
    <w:rsid w:val="008F5546"/>
    <w:rsid w:val="008F558E"/>
    <w:rsid w:val="008F57DE"/>
    <w:rsid w:val="008F57E0"/>
    <w:rsid w:val="008F5823"/>
    <w:rsid w:val="008F5942"/>
    <w:rsid w:val="008F59E9"/>
    <w:rsid w:val="008F5A6A"/>
    <w:rsid w:val="008F5AA9"/>
    <w:rsid w:val="008F5AE2"/>
    <w:rsid w:val="008F5B0F"/>
    <w:rsid w:val="008F5B45"/>
    <w:rsid w:val="008F5C80"/>
    <w:rsid w:val="008F5CA4"/>
    <w:rsid w:val="008F5CA8"/>
    <w:rsid w:val="008F5E4C"/>
    <w:rsid w:val="008F5F18"/>
    <w:rsid w:val="008F5F7E"/>
    <w:rsid w:val="008F602E"/>
    <w:rsid w:val="008F60CB"/>
    <w:rsid w:val="008F617B"/>
    <w:rsid w:val="008F6248"/>
    <w:rsid w:val="008F62A1"/>
    <w:rsid w:val="008F62D1"/>
    <w:rsid w:val="008F637F"/>
    <w:rsid w:val="008F63D3"/>
    <w:rsid w:val="008F6412"/>
    <w:rsid w:val="008F64D4"/>
    <w:rsid w:val="008F65DC"/>
    <w:rsid w:val="008F66E4"/>
    <w:rsid w:val="008F674D"/>
    <w:rsid w:val="008F6764"/>
    <w:rsid w:val="008F67C6"/>
    <w:rsid w:val="008F6822"/>
    <w:rsid w:val="008F68C1"/>
    <w:rsid w:val="008F68E6"/>
    <w:rsid w:val="008F6939"/>
    <w:rsid w:val="008F6940"/>
    <w:rsid w:val="008F69E6"/>
    <w:rsid w:val="008F6A33"/>
    <w:rsid w:val="008F6A42"/>
    <w:rsid w:val="008F6AD3"/>
    <w:rsid w:val="008F6B07"/>
    <w:rsid w:val="008F6B0F"/>
    <w:rsid w:val="008F6B8C"/>
    <w:rsid w:val="008F6BC8"/>
    <w:rsid w:val="008F6C04"/>
    <w:rsid w:val="008F6C0C"/>
    <w:rsid w:val="008F6D2F"/>
    <w:rsid w:val="008F6D36"/>
    <w:rsid w:val="008F6D54"/>
    <w:rsid w:val="008F6D95"/>
    <w:rsid w:val="008F6D9C"/>
    <w:rsid w:val="008F6F29"/>
    <w:rsid w:val="008F6F9B"/>
    <w:rsid w:val="008F6FFD"/>
    <w:rsid w:val="008F7056"/>
    <w:rsid w:val="008F7103"/>
    <w:rsid w:val="008F71D5"/>
    <w:rsid w:val="008F728D"/>
    <w:rsid w:val="008F7399"/>
    <w:rsid w:val="008F73A0"/>
    <w:rsid w:val="008F7548"/>
    <w:rsid w:val="008F7581"/>
    <w:rsid w:val="008F7645"/>
    <w:rsid w:val="008F76D1"/>
    <w:rsid w:val="008F7716"/>
    <w:rsid w:val="008F7728"/>
    <w:rsid w:val="008F77CE"/>
    <w:rsid w:val="008F783F"/>
    <w:rsid w:val="008F7978"/>
    <w:rsid w:val="008F79A1"/>
    <w:rsid w:val="008F7A1E"/>
    <w:rsid w:val="008F7ADC"/>
    <w:rsid w:val="008F7B74"/>
    <w:rsid w:val="008F7C06"/>
    <w:rsid w:val="008F7C16"/>
    <w:rsid w:val="008F7C39"/>
    <w:rsid w:val="008F7D87"/>
    <w:rsid w:val="008F9AF2"/>
    <w:rsid w:val="00900069"/>
    <w:rsid w:val="009000A8"/>
    <w:rsid w:val="009000E8"/>
    <w:rsid w:val="00900147"/>
    <w:rsid w:val="0090019F"/>
    <w:rsid w:val="009001FF"/>
    <w:rsid w:val="0090022B"/>
    <w:rsid w:val="009002A8"/>
    <w:rsid w:val="009002BA"/>
    <w:rsid w:val="00900487"/>
    <w:rsid w:val="00900561"/>
    <w:rsid w:val="009005B2"/>
    <w:rsid w:val="00900636"/>
    <w:rsid w:val="009007BB"/>
    <w:rsid w:val="00900844"/>
    <w:rsid w:val="009008BB"/>
    <w:rsid w:val="00900A83"/>
    <w:rsid w:val="00900C34"/>
    <w:rsid w:val="00900D02"/>
    <w:rsid w:val="00900D46"/>
    <w:rsid w:val="00900D7E"/>
    <w:rsid w:val="00900DA6"/>
    <w:rsid w:val="00900F07"/>
    <w:rsid w:val="00900F14"/>
    <w:rsid w:val="00901004"/>
    <w:rsid w:val="00901059"/>
    <w:rsid w:val="0090106E"/>
    <w:rsid w:val="009010BA"/>
    <w:rsid w:val="0090112A"/>
    <w:rsid w:val="0090114C"/>
    <w:rsid w:val="009012DA"/>
    <w:rsid w:val="009013A6"/>
    <w:rsid w:val="009013B0"/>
    <w:rsid w:val="0090146E"/>
    <w:rsid w:val="009014BF"/>
    <w:rsid w:val="009014D6"/>
    <w:rsid w:val="00901655"/>
    <w:rsid w:val="00901671"/>
    <w:rsid w:val="009016E5"/>
    <w:rsid w:val="009016FD"/>
    <w:rsid w:val="009017DF"/>
    <w:rsid w:val="00901B8E"/>
    <w:rsid w:val="00901BD4"/>
    <w:rsid w:val="00901BE2"/>
    <w:rsid w:val="00901BEC"/>
    <w:rsid w:val="00901DC4"/>
    <w:rsid w:val="00901E43"/>
    <w:rsid w:val="00901E81"/>
    <w:rsid w:val="00901EB9"/>
    <w:rsid w:val="00901FDD"/>
    <w:rsid w:val="00901FE5"/>
    <w:rsid w:val="00902022"/>
    <w:rsid w:val="0090202E"/>
    <w:rsid w:val="00902066"/>
    <w:rsid w:val="00902069"/>
    <w:rsid w:val="00902091"/>
    <w:rsid w:val="00902201"/>
    <w:rsid w:val="00902231"/>
    <w:rsid w:val="0090243E"/>
    <w:rsid w:val="00902481"/>
    <w:rsid w:val="00902496"/>
    <w:rsid w:val="009024C2"/>
    <w:rsid w:val="009024CC"/>
    <w:rsid w:val="00902631"/>
    <w:rsid w:val="0090265E"/>
    <w:rsid w:val="00902662"/>
    <w:rsid w:val="00902799"/>
    <w:rsid w:val="009027D0"/>
    <w:rsid w:val="009028E6"/>
    <w:rsid w:val="0090290D"/>
    <w:rsid w:val="00902965"/>
    <w:rsid w:val="009029E5"/>
    <w:rsid w:val="00902A1A"/>
    <w:rsid w:val="00902D7C"/>
    <w:rsid w:val="00902DB2"/>
    <w:rsid w:val="00902E5E"/>
    <w:rsid w:val="00902F66"/>
    <w:rsid w:val="00903111"/>
    <w:rsid w:val="0090329D"/>
    <w:rsid w:val="00903395"/>
    <w:rsid w:val="009033C1"/>
    <w:rsid w:val="009034DD"/>
    <w:rsid w:val="00903500"/>
    <w:rsid w:val="00903711"/>
    <w:rsid w:val="009037D2"/>
    <w:rsid w:val="009037FA"/>
    <w:rsid w:val="00903893"/>
    <w:rsid w:val="0090393C"/>
    <w:rsid w:val="0090394F"/>
    <w:rsid w:val="009039B4"/>
    <w:rsid w:val="00903B42"/>
    <w:rsid w:val="00903C84"/>
    <w:rsid w:val="00903CD3"/>
    <w:rsid w:val="00903D6E"/>
    <w:rsid w:val="00903DBA"/>
    <w:rsid w:val="00903E1E"/>
    <w:rsid w:val="00903E37"/>
    <w:rsid w:val="00903E66"/>
    <w:rsid w:val="00903F81"/>
    <w:rsid w:val="0090421B"/>
    <w:rsid w:val="00904243"/>
    <w:rsid w:val="0090432F"/>
    <w:rsid w:val="0090434C"/>
    <w:rsid w:val="00904357"/>
    <w:rsid w:val="0090448D"/>
    <w:rsid w:val="009044B0"/>
    <w:rsid w:val="00904619"/>
    <w:rsid w:val="0090461C"/>
    <w:rsid w:val="00904657"/>
    <w:rsid w:val="00904752"/>
    <w:rsid w:val="0090479D"/>
    <w:rsid w:val="009047F6"/>
    <w:rsid w:val="009048AB"/>
    <w:rsid w:val="009048F4"/>
    <w:rsid w:val="00904971"/>
    <w:rsid w:val="009049BF"/>
    <w:rsid w:val="00904A85"/>
    <w:rsid w:val="00904A8B"/>
    <w:rsid w:val="00904A92"/>
    <w:rsid w:val="00904B3C"/>
    <w:rsid w:val="00904BD3"/>
    <w:rsid w:val="00904BE1"/>
    <w:rsid w:val="00904BFC"/>
    <w:rsid w:val="00904C2C"/>
    <w:rsid w:val="00904C42"/>
    <w:rsid w:val="00904E07"/>
    <w:rsid w:val="00904F18"/>
    <w:rsid w:val="00904F3D"/>
    <w:rsid w:val="00905027"/>
    <w:rsid w:val="00905044"/>
    <w:rsid w:val="00905052"/>
    <w:rsid w:val="009051A9"/>
    <w:rsid w:val="009051F2"/>
    <w:rsid w:val="00905283"/>
    <w:rsid w:val="00905393"/>
    <w:rsid w:val="0090551D"/>
    <w:rsid w:val="00905557"/>
    <w:rsid w:val="0090557A"/>
    <w:rsid w:val="0090571A"/>
    <w:rsid w:val="00905778"/>
    <w:rsid w:val="009057B5"/>
    <w:rsid w:val="00905838"/>
    <w:rsid w:val="00905970"/>
    <w:rsid w:val="00905A33"/>
    <w:rsid w:val="00905A3C"/>
    <w:rsid w:val="00905B9D"/>
    <w:rsid w:val="00905C84"/>
    <w:rsid w:val="00905DB2"/>
    <w:rsid w:val="00905DFE"/>
    <w:rsid w:val="00905EE4"/>
    <w:rsid w:val="00905F26"/>
    <w:rsid w:val="00905F4F"/>
    <w:rsid w:val="009060D9"/>
    <w:rsid w:val="0090611E"/>
    <w:rsid w:val="00906142"/>
    <w:rsid w:val="00906158"/>
    <w:rsid w:val="0090617A"/>
    <w:rsid w:val="009061E7"/>
    <w:rsid w:val="0090624F"/>
    <w:rsid w:val="0090639B"/>
    <w:rsid w:val="009063CB"/>
    <w:rsid w:val="0090642C"/>
    <w:rsid w:val="00906585"/>
    <w:rsid w:val="009065CB"/>
    <w:rsid w:val="0090667D"/>
    <w:rsid w:val="0090687C"/>
    <w:rsid w:val="00906920"/>
    <w:rsid w:val="009069AE"/>
    <w:rsid w:val="00906A1F"/>
    <w:rsid w:val="00906A52"/>
    <w:rsid w:val="00906B02"/>
    <w:rsid w:val="00906BFD"/>
    <w:rsid w:val="00906CB1"/>
    <w:rsid w:val="00906D3E"/>
    <w:rsid w:val="00906D73"/>
    <w:rsid w:val="00906E1D"/>
    <w:rsid w:val="00906EAB"/>
    <w:rsid w:val="00906EB0"/>
    <w:rsid w:val="00906ECB"/>
    <w:rsid w:val="00906ED2"/>
    <w:rsid w:val="00906ED7"/>
    <w:rsid w:val="00906F5C"/>
    <w:rsid w:val="00906FD7"/>
    <w:rsid w:val="0090702C"/>
    <w:rsid w:val="009070D0"/>
    <w:rsid w:val="0090719B"/>
    <w:rsid w:val="009071FB"/>
    <w:rsid w:val="00907249"/>
    <w:rsid w:val="009072D6"/>
    <w:rsid w:val="0090734B"/>
    <w:rsid w:val="00907355"/>
    <w:rsid w:val="009073A0"/>
    <w:rsid w:val="009073FC"/>
    <w:rsid w:val="00907461"/>
    <w:rsid w:val="00907485"/>
    <w:rsid w:val="0090748A"/>
    <w:rsid w:val="009074B6"/>
    <w:rsid w:val="0090752A"/>
    <w:rsid w:val="0090766A"/>
    <w:rsid w:val="0090770D"/>
    <w:rsid w:val="00907885"/>
    <w:rsid w:val="00907923"/>
    <w:rsid w:val="0090798B"/>
    <w:rsid w:val="00907A0C"/>
    <w:rsid w:val="00907A2F"/>
    <w:rsid w:val="00907A33"/>
    <w:rsid w:val="00907B14"/>
    <w:rsid w:val="00907B53"/>
    <w:rsid w:val="00907C41"/>
    <w:rsid w:val="00907CE1"/>
    <w:rsid w:val="00907D16"/>
    <w:rsid w:val="00907D37"/>
    <w:rsid w:val="00907E00"/>
    <w:rsid w:val="00907E50"/>
    <w:rsid w:val="00907EF0"/>
    <w:rsid w:val="00907F6C"/>
    <w:rsid w:val="009100F3"/>
    <w:rsid w:val="00910170"/>
    <w:rsid w:val="009101BE"/>
    <w:rsid w:val="009101FF"/>
    <w:rsid w:val="009102F5"/>
    <w:rsid w:val="00910348"/>
    <w:rsid w:val="0091037E"/>
    <w:rsid w:val="0091049D"/>
    <w:rsid w:val="0091055F"/>
    <w:rsid w:val="00910566"/>
    <w:rsid w:val="00910684"/>
    <w:rsid w:val="0091070E"/>
    <w:rsid w:val="00910830"/>
    <w:rsid w:val="00910852"/>
    <w:rsid w:val="009109CF"/>
    <w:rsid w:val="00910AEE"/>
    <w:rsid w:val="00910B28"/>
    <w:rsid w:val="00910B59"/>
    <w:rsid w:val="00910C3D"/>
    <w:rsid w:val="00910C51"/>
    <w:rsid w:val="00910CB5"/>
    <w:rsid w:val="00910D12"/>
    <w:rsid w:val="00910D20"/>
    <w:rsid w:val="00910F7C"/>
    <w:rsid w:val="00911050"/>
    <w:rsid w:val="009110D1"/>
    <w:rsid w:val="0091119A"/>
    <w:rsid w:val="009111ED"/>
    <w:rsid w:val="0091129F"/>
    <w:rsid w:val="00911440"/>
    <w:rsid w:val="0091144C"/>
    <w:rsid w:val="009114C7"/>
    <w:rsid w:val="009115B0"/>
    <w:rsid w:val="009115EB"/>
    <w:rsid w:val="00911640"/>
    <w:rsid w:val="00911768"/>
    <w:rsid w:val="00911826"/>
    <w:rsid w:val="00911855"/>
    <w:rsid w:val="0091188C"/>
    <w:rsid w:val="00911904"/>
    <w:rsid w:val="00911910"/>
    <w:rsid w:val="00911919"/>
    <w:rsid w:val="009119DF"/>
    <w:rsid w:val="00911A22"/>
    <w:rsid w:val="00911CA6"/>
    <w:rsid w:val="00911D12"/>
    <w:rsid w:val="00911DBB"/>
    <w:rsid w:val="00911F63"/>
    <w:rsid w:val="009120A7"/>
    <w:rsid w:val="00912190"/>
    <w:rsid w:val="0091232E"/>
    <w:rsid w:val="00912436"/>
    <w:rsid w:val="009124AE"/>
    <w:rsid w:val="009124B9"/>
    <w:rsid w:val="00912592"/>
    <w:rsid w:val="009125A0"/>
    <w:rsid w:val="009126E7"/>
    <w:rsid w:val="0091278A"/>
    <w:rsid w:val="00912842"/>
    <w:rsid w:val="0091284D"/>
    <w:rsid w:val="00912868"/>
    <w:rsid w:val="0091287C"/>
    <w:rsid w:val="009128D2"/>
    <w:rsid w:val="00912971"/>
    <w:rsid w:val="009129D1"/>
    <w:rsid w:val="00912A6C"/>
    <w:rsid w:val="00912A7E"/>
    <w:rsid w:val="00912AA3"/>
    <w:rsid w:val="00912B96"/>
    <w:rsid w:val="00912BB5"/>
    <w:rsid w:val="00912C24"/>
    <w:rsid w:val="00912C37"/>
    <w:rsid w:val="00912C67"/>
    <w:rsid w:val="00912C92"/>
    <w:rsid w:val="00912CB5"/>
    <w:rsid w:val="00912D76"/>
    <w:rsid w:val="00912D97"/>
    <w:rsid w:val="00912FFD"/>
    <w:rsid w:val="009130B1"/>
    <w:rsid w:val="00913186"/>
    <w:rsid w:val="00913254"/>
    <w:rsid w:val="00913274"/>
    <w:rsid w:val="009133D7"/>
    <w:rsid w:val="00913423"/>
    <w:rsid w:val="00913458"/>
    <w:rsid w:val="0091349C"/>
    <w:rsid w:val="009134DF"/>
    <w:rsid w:val="0091352B"/>
    <w:rsid w:val="0091358E"/>
    <w:rsid w:val="009135C4"/>
    <w:rsid w:val="00913692"/>
    <w:rsid w:val="009136D9"/>
    <w:rsid w:val="0091383E"/>
    <w:rsid w:val="009138CA"/>
    <w:rsid w:val="009139B3"/>
    <w:rsid w:val="009139BB"/>
    <w:rsid w:val="009139D0"/>
    <w:rsid w:val="00913A49"/>
    <w:rsid w:val="00913AF4"/>
    <w:rsid w:val="00913B3B"/>
    <w:rsid w:val="00913B3D"/>
    <w:rsid w:val="00913C64"/>
    <w:rsid w:val="00913C74"/>
    <w:rsid w:val="00913D77"/>
    <w:rsid w:val="00913F51"/>
    <w:rsid w:val="00913F7C"/>
    <w:rsid w:val="0091405F"/>
    <w:rsid w:val="009140DE"/>
    <w:rsid w:val="00914121"/>
    <w:rsid w:val="00914145"/>
    <w:rsid w:val="00914147"/>
    <w:rsid w:val="0091425C"/>
    <w:rsid w:val="00914285"/>
    <w:rsid w:val="009142EF"/>
    <w:rsid w:val="0091434B"/>
    <w:rsid w:val="00914379"/>
    <w:rsid w:val="00914421"/>
    <w:rsid w:val="0091455B"/>
    <w:rsid w:val="0091461F"/>
    <w:rsid w:val="009146BC"/>
    <w:rsid w:val="009146F4"/>
    <w:rsid w:val="00914785"/>
    <w:rsid w:val="00914893"/>
    <w:rsid w:val="00914988"/>
    <w:rsid w:val="00914A5E"/>
    <w:rsid w:val="00914BF1"/>
    <w:rsid w:val="00914C7A"/>
    <w:rsid w:val="00914C8D"/>
    <w:rsid w:val="00914C8E"/>
    <w:rsid w:val="00914CA1"/>
    <w:rsid w:val="00914D32"/>
    <w:rsid w:val="00914D33"/>
    <w:rsid w:val="00914D54"/>
    <w:rsid w:val="00914DDC"/>
    <w:rsid w:val="00914E38"/>
    <w:rsid w:val="00914E66"/>
    <w:rsid w:val="00914EC2"/>
    <w:rsid w:val="00914ED9"/>
    <w:rsid w:val="00914F32"/>
    <w:rsid w:val="00914F59"/>
    <w:rsid w:val="00914F86"/>
    <w:rsid w:val="00914FBA"/>
    <w:rsid w:val="00915042"/>
    <w:rsid w:val="00915136"/>
    <w:rsid w:val="00915357"/>
    <w:rsid w:val="0091546F"/>
    <w:rsid w:val="009154BE"/>
    <w:rsid w:val="009155D6"/>
    <w:rsid w:val="0091564E"/>
    <w:rsid w:val="009156EC"/>
    <w:rsid w:val="00915702"/>
    <w:rsid w:val="00915749"/>
    <w:rsid w:val="00915848"/>
    <w:rsid w:val="0091588F"/>
    <w:rsid w:val="009158DA"/>
    <w:rsid w:val="0091597F"/>
    <w:rsid w:val="00915A05"/>
    <w:rsid w:val="00915ADB"/>
    <w:rsid w:val="00915AE5"/>
    <w:rsid w:val="00915BED"/>
    <w:rsid w:val="00915E5A"/>
    <w:rsid w:val="00915F6A"/>
    <w:rsid w:val="009161BB"/>
    <w:rsid w:val="00916279"/>
    <w:rsid w:val="009162D0"/>
    <w:rsid w:val="00916380"/>
    <w:rsid w:val="009163B8"/>
    <w:rsid w:val="00916591"/>
    <w:rsid w:val="00916684"/>
    <w:rsid w:val="009166E2"/>
    <w:rsid w:val="00916723"/>
    <w:rsid w:val="0091676F"/>
    <w:rsid w:val="00916876"/>
    <w:rsid w:val="00916920"/>
    <w:rsid w:val="0091697F"/>
    <w:rsid w:val="0091699D"/>
    <w:rsid w:val="00916A5E"/>
    <w:rsid w:val="00916AC1"/>
    <w:rsid w:val="00916B4D"/>
    <w:rsid w:val="00916B8C"/>
    <w:rsid w:val="00916BB4"/>
    <w:rsid w:val="00916BD0"/>
    <w:rsid w:val="00916C7B"/>
    <w:rsid w:val="00916CA1"/>
    <w:rsid w:val="00916D76"/>
    <w:rsid w:val="00916DAD"/>
    <w:rsid w:val="00916DD9"/>
    <w:rsid w:val="00916EAA"/>
    <w:rsid w:val="00916F35"/>
    <w:rsid w:val="00916F7D"/>
    <w:rsid w:val="00916FA9"/>
    <w:rsid w:val="00917002"/>
    <w:rsid w:val="009171BD"/>
    <w:rsid w:val="009171BF"/>
    <w:rsid w:val="009171DC"/>
    <w:rsid w:val="00917269"/>
    <w:rsid w:val="009172D6"/>
    <w:rsid w:val="009172D9"/>
    <w:rsid w:val="009176A9"/>
    <w:rsid w:val="0091770B"/>
    <w:rsid w:val="00917733"/>
    <w:rsid w:val="009177B8"/>
    <w:rsid w:val="00917890"/>
    <w:rsid w:val="0091793A"/>
    <w:rsid w:val="0091795C"/>
    <w:rsid w:val="00917A34"/>
    <w:rsid w:val="00917AA0"/>
    <w:rsid w:val="00917BA3"/>
    <w:rsid w:val="00917C78"/>
    <w:rsid w:val="00917D25"/>
    <w:rsid w:val="00917D2E"/>
    <w:rsid w:val="00917D68"/>
    <w:rsid w:val="00917DC3"/>
    <w:rsid w:val="00917E2C"/>
    <w:rsid w:val="00917EBA"/>
    <w:rsid w:val="00917F7A"/>
    <w:rsid w:val="0092000B"/>
    <w:rsid w:val="0092000E"/>
    <w:rsid w:val="0092002E"/>
    <w:rsid w:val="009200DE"/>
    <w:rsid w:val="00920284"/>
    <w:rsid w:val="0092035F"/>
    <w:rsid w:val="00920372"/>
    <w:rsid w:val="00920540"/>
    <w:rsid w:val="00920561"/>
    <w:rsid w:val="009205E6"/>
    <w:rsid w:val="00920626"/>
    <w:rsid w:val="00920642"/>
    <w:rsid w:val="00920693"/>
    <w:rsid w:val="00920768"/>
    <w:rsid w:val="009207EB"/>
    <w:rsid w:val="009208C9"/>
    <w:rsid w:val="0092090C"/>
    <w:rsid w:val="0092093E"/>
    <w:rsid w:val="0092096A"/>
    <w:rsid w:val="00920990"/>
    <w:rsid w:val="009209C3"/>
    <w:rsid w:val="009209E6"/>
    <w:rsid w:val="00920A0E"/>
    <w:rsid w:val="00920B03"/>
    <w:rsid w:val="00920B5E"/>
    <w:rsid w:val="00920BE4"/>
    <w:rsid w:val="00920C28"/>
    <w:rsid w:val="00920C32"/>
    <w:rsid w:val="00920DE0"/>
    <w:rsid w:val="00920E61"/>
    <w:rsid w:val="00920E70"/>
    <w:rsid w:val="00920EEB"/>
    <w:rsid w:val="00920F34"/>
    <w:rsid w:val="00921051"/>
    <w:rsid w:val="009210E6"/>
    <w:rsid w:val="00921214"/>
    <w:rsid w:val="00921219"/>
    <w:rsid w:val="00921228"/>
    <w:rsid w:val="00921474"/>
    <w:rsid w:val="009214B3"/>
    <w:rsid w:val="009214C4"/>
    <w:rsid w:val="00921636"/>
    <w:rsid w:val="00921821"/>
    <w:rsid w:val="00921937"/>
    <w:rsid w:val="00921956"/>
    <w:rsid w:val="009219A9"/>
    <w:rsid w:val="009219F3"/>
    <w:rsid w:val="00921ABA"/>
    <w:rsid w:val="00921BA8"/>
    <w:rsid w:val="00921C97"/>
    <w:rsid w:val="00921D17"/>
    <w:rsid w:val="00921E64"/>
    <w:rsid w:val="00921F96"/>
    <w:rsid w:val="00921FE0"/>
    <w:rsid w:val="009220D6"/>
    <w:rsid w:val="00922120"/>
    <w:rsid w:val="009222BD"/>
    <w:rsid w:val="00922319"/>
    <w:rsid w:val="00922368"/>
    <w:rsid w:val="00922379"/>
    <w:rsid w:val="009223A2"/>
    <w:rsid w:val="009223CA"/>
    <w:rsid w:val="00922448"/>
    <w:rsid w:val="0092251E"/>
    <w:rsid w:val="009225BA"/>
    <w:rsid w:val="009225D4"/>
    <w:rsid w:val="0092267D"/>
    <w:rsid w:val="009226B6"/>
    <w:rsid w:val="009226BA"/>
    <w:rsid w:val="0092272F"/>
    <w:rsid w:val="00922760"/>
    <w:rsid w:val="009227DE"/>
    <w:rsid w:val="00922881"/>
    <w:rsid w:val="0092294D"/>
    <w:rsid w:val="00922989"/>
    <w:rsid w:val="00922AA1"/>
    <w:rsid w:val="00922B0F"/>
    <w:rsid w:val="00922BFE"/>
    <w:rsid w:val="00922CAB"/>
    <w:rsid w:val="00922CAF"/>
    <w:rsid w:val="00922D34"/>
    <w:rsid w:val="00922D9C"/>
    <w:rsid w:val="00922F4A"/>
    <w:rsid w:val="0092300D"/>
    <w:rsid w:val="0092309E"/>
    <w:rsid w:val="009230A2"/>
    <w:rsid w:val="009231DA"/>
    <w:rsid w:val="00923268"/>
    <w:rsid w:val="009232E0"/>
    <w:rsid w:val="0092334A"/>
    <w:rsid w:val="00923396"/>
    <w:rsid w:val="009233D4"/>
    <w:rsid w:val="009233EE"/>
    <w:rsid w:val="00923423"/>
    <w:rsid w:val="0092356D"/>
    <w:rsid w:val="009236D8"/>
    <w:rsid w:val="009236EA"/>
    <w:rsid w:val="00923761"/>
    <w:rsid w:val="00923829"/>
    <w:rsid w:val="00923867"/>
    <w:rsid w:val="009238B5"/>
    <w:rsid w:val="009238C0"/>
    <w:rsid w:val="0092391B"/>
    <w:rsid w:val="0092397A"/>
    <w:rsid w:val="00923A72"/>
    <w:rsid w:val="00923A97"/>
    <w:rsid w:val="00923AC5"/>
    <w:rsid w:val="00923C46"/>
    <w:rsid w:val="00923CC9"/>
    <w:rsid w:val="00923D51"/>
    <w:rsid w:val="00923D79"/>
    <w:rsid w:val="00923DBC"/>
    <w:rsid w:val="00923E4A"/>
    <w:rsid w:val="00923E5F"/>
    <w:rsid w:val="00923E84"/>
    <w:rsid w:val="0092406A"/>
    <w:rsid w:val="0092407F"/>
    <w:rsid w:val="009240DA"/>
    <w:rsid w:val="0092415E"/>
    <w:rsid w:val="009241C6"/>
    <w:rsid w:val="009242D2"/>
    <w:rsid w:val="00924301"/>
    <w:rsid w:val="0092432D"/>
    <w:rsid w:val="0092434C"/>
    <w:rsid w:val="00924410"/>
    <w:rsid w:val="009244B9"/>
    <w:rsid w:val="0092454B"/>
    <w:rsid w:val="00924580"/>
    <w:rsid w:val="009245D5"/>
    <w:rsid w:val="009245DA"/>
    <w:rsid w:val="00924681"/>
    <w:rsid w:val="009246C9"/>
    <w:rsid w:val="009246E0"/>
    <w:rsid w:val="00924734"/>
    <w:rsid w:val="0092479E"/>
    <w:rsid w:val="0092482A"/>
    <w:rsid w:val="0092483C"/>
    <w:rsid w:val="0092487B"/>
    <w:rsid w:val="00924909"/>
    <w:rsid w:val="00924924"/>
    <w:rsid w:val="009249FE"/>
    <w:rsid w:val="00924A17"/>
    <w:rsid w:val="00924A30"/>
    <w:rsid w:val="00924AC1"/>
    <w:rsid w:val="00924B5C"/>
    <w:rsid w:val="00924B64"/>
    <w:rsid w:val="00924B90"/>
    <w:rsid w:val="00924C3B"/>
    <w:rsid w:val="00924CAD"/>
    <w:rsid w:val="00924CDA"/>
    <w:rsid w:val="00924CF7"/>
    <w:rsid w:val="00924D8E"/>
    <w:rsid w:val="00924DBC"/>
    <w:rsid w:val="0092511F"/>
    <w:rsid w:val="009251EA"/>
    <w:rsid w:val="009253A3"/>
    <w:rsid w:val="009253D4"/>
    <w:rsid w:val="009255C3"/>
    <w:rsid w:val="009256DD"/>
    <w:rsid w:val="0092572B"/>
    <w:rsid w:val="0092582A"/>
    <w:rsid w:val="009258DC"/>
    <w:rsid w:val="00925C36"/>
    <w:rsid w:val="00925D10"/>
    <w:rsid w:val="00925D94"/>
    <w:rsid w:val="00925FED"/>
    <w:rsid w:val="00926014"/>
    <w:rsid w:val="009261DD"/>
    <w:rsid w:val="009262AC"/>
    <w:rsid w:val="009263FB"/>
    <w:rsid w:val="009264AF"/>
    <w:rsid w:val="00926581"/>
    <w:rsid w:val="009265CE"/>
    <w:rsid w:val="009265EE"/>
    <w:rsid w:val="00926668"/>
    <w:rsid w:val="00926713"/>
    <w:rsid w:val="00926768"/>
    <w:rsid w:val="0092676B"/>
    <w:rsid w:val="0092679A"/>
    <w:rsid w:val="009267D9"/>
    <w:rsid w:val="009268F9"/>
    <w:rsid w:val="0092691B"/>
    <w:rsid w:val="0092691E"/>
    <w:rsid w:val="00926A80"/>
    <w:rsid w:val="00926ACF"/>
    <w:rsid w:val="00926BFB"/>
    <w:rsid w:val="00926BFD"/>
    <w:rsid w:val="00926C1D"/>
    <w:rsid w:val="00926C5D"/>
    <w:rsid w:val="00926C96"/>
    <w:rsid w:val="00926E81"/>
    <w:rsid w:val="00926EEF"/>
    <w:rsid w:val="009270BD"/>
    <w:rsid w:val="009270FC"/>
    <w:rsid w:val="00927147"/>
    <w:rsid w:val="0092717D"/>
    <w:rsid w:val="0092718E"/>
    <w:rsid w:val="009271A4"/>
    <w:rsid w:val="0092723C"/>
    <w:rsid w:val="009272AA"/>
    <w:rsid w:val="009272C0"/>
    <w:rsid w:val="0092734E"/>
    <w:rsid w:val="00927491"/>
    <w:rsid w:val="009274C3"/>
    <w:rsid w:val="009274DB"/>
    <w:rsid w:val="0092751E"/>
    <w:rsid w:val="0092753D"/>
    <w:rsid w:val="0092764C"/>
    <w:rsid w:val="00927669"/>
    <w:rsid w:val="00927672"/>
    <w:rsid w:val="00927705"/>
    <w:rsid w:val="00927840"/>
    <w:rsid w:val="00927B8B"/>
    <w:rsid w:val="00927C49"/>
    <w:rsid w:val="00927C53"/>
    <w:rsid w:val="00927C6A"/>
    <w:rsid w:val="00927C94"/>
    <w:rsid w:val="00927CFE"/>
    <w:rsid w:val="00927E4C"/>
    <w:rsid w:val="00927EDE"/>
    <w:rsid w:val="00927F61"/>
    <w:rsid w:val="00927FDB"/>
    <w:rsid w:val="009300EA"/>
    <w:rsid w:val="00930209"/>
    <w:rsid w:val="00930238"/>
    <w:rsid w:val="00930369"/>
    <w:rsid w:val="0093038D"/>
    <w:rsid w:val="009303A9"/>
    <w:rsid w:val="009303DA"/>
    <w:rsid w:val="00930410"/>
    <w:rsid w:val="009304E3"/>
    <w:rsid w:val="00930545"/>
    <w:rsid w:val="00930607"/>
    <w:rsid w:val="00930667"/>
    <w:rsid w:val="0093067E"/>
    <w:rsid w:val="0093067F"/>
    <w:rsid w:val="009306B3"/>
    <w:rsid w:val="0093085A"/>
    <w:rsid w:val="00930877"/>
    <w:rsid w:val="00930953"/>
    <w:rsid w:val="009309ED"/>
    <w:rsid w:val="00930A8C"/>
    <w:rsid w:val="00930B27"/>
    <w:rsid w:val="00930B74"/>
    <w:rsid w:val="00930BD6"/>
    <w:rsid w:val="00930DC8"/>
    <w:rsid w:val="00930DFD"/>
    <w:rsid w:val="00930ECE"/>
    <w:rsid w:val="00930F1C"/>
    <w:rsid w:val="00930F64"/>
    <w:rsid w:val="00930FC5"/>
    <w:rsid w:val="0093103C"/>
    <w:rsid w:val="0093110C"/>
    <w:rsid w:val="0093122D"/>
    <w:rsid w:val="00931243"/>
    <w:rsid w:val="00931454"/>
    <w:rsid w:val="009315A3"/>
    <w:rsid w:val="009315B2"/>
    <w:rsid w:val="00931720"/>
    <w:rsid w:val="00931722"/>
    <w:rsid w:val="0093178D"/>
    <w:rsid w:val="009317DC"/>
    <w:rsid w:val="009317FE"/>
    <w:rsid w:val="00931993"/>
    <w:rsid w:val="00931A50"/>
    <w:rsid w:val="00931A80"/>
    <w:rsid w:val="00931AF9"/>
    <w:rsid w:val="00931B14"/>
    <w:rsid w:val="00931C33"/>
    <w:rsid w:val="00931C5F"/>
    <w:rsid w:val="00931D29"/>
    <w:rsid w:val="00931D7C"/>
    <w:rsid w:val="00931E5D"/>
    <w:rsid w:val="00931EAA"/>
    <w:rsid w:val="00931FFA"/>
    <w:rsid w:val="0093205B"/>
    <w:rsid w:val="0093207D"/>
    <w:rsid w:val="009320C2"/>
    <w:rsid w:val="0093213A"/>
    <w:rsid w:val="00932173"/>
    <w:rsid w:val="0093219E"/>
    <w:rsid w:val="009321BF"/>
    <w:rsid w:val="009321CC"/>
    <w:rsid w:val="00932347"/>
    <w:rsid w:val="009324B8"/>
    <w:rsid w:val="0093252A"/>
    <w:rsid w:val="0093267C"/>
    <w:rsid w:val="0093269D"/>
    <w:rsid w:val="0093276C"/>
    <w:rsid w:val="0093295E"/>
    <w:rsid w:val="009329E9"/>
    <w:rsid w:val="00932A9F"/>
    <w:rsid w:val="00932C0E"/>
    <w:rsid w:val="00932D29"/>
    <w:rsid w:val="00932F58"/>
    <w:rsid w:val="0093300F"/>
    <w:rsid w:val="00933102"/>
    <w:rsid w:val="00933185"/>
    <w:rsid w:val="0093327E"/>
    <w:rsid w:val="0093330F"/>
    <w:rsid w:val="00933364"/>
    <w:rsid w:val="0093339E"/>
    <w:rsid w:val="009333BE"/>
    <w:rsid w:val="00933403"/>
    <w:rsid w:val="009335AF"/>
    <w:rsid w:val="0093360C"/>
    <w:rsid w:val="00933653"/>
    <w:rsid w:val="00933753"/>
    <w:rsid w:val="009337E7"/>
    <w:rsid w:val="00933800"/>
    <w:rsid w:val="009338CD"/>
    <w:rsid w:val="009338F5"/>
    <w:rsid w:val="00933903"/>
    <w:rsid w:val="0093390C"/>
    <w:rsid w:val="009339A8"/>
    <w:rsid w:val="009339B6"/>
    <w:rsid w:val="00933A7E"/>
    <w:rsid w:val="00933B1A"/>
    <w:rsid w:val="00933BF6"/>
    <w:rsid w:val="00933C2E"/>
    <w:rsid w:val="00933C83"/>
    <w:rsid w:val="00933E61"/>
    <w:rsid w:val="00933F78"/>
    <w:rsid w:val="00933FB1"/>
    <w:rsid w:val="00934250"/>
    <w:rsid w:val="009342F2"/>
    <w:rsid w:val="00934536"/>
    <w:rsid w:val="009345A4"/>
    <w:rsid w:val="0093466F"/>
    <w:rsid w:val="00934819"/>
    <w:rsid w:val="0093482B"/>
    <w:rsid w:val="009348C0"/>
    <w:rsid w:val="00934941"/>
    <w:rsid w:val="00934968"/>
    <w:rsid w:val="00934A45"/>
    <w:rsid w:val="00934A57"/>
    <w:rsid w:val="00934AD9"/>
    <w:rsid w:val="00934AE6"/>
    <w:rsid w:val="00934BA7"/>
    <w:rsid w:val="00934BBF"/>
    <w:rsid w:val="00934C49"/>
    <w:rsid w:val="00934C4F"/>
    <w:rsid w:val="00934C92"/>
    <w:rsid w:val="00934C96"/>
    <w:rsid w:val="00934CFD"/>
    <w:rsid w:val="00934D36"/>
    <w:rsid w:val="00934D9F"/>
    <w:rsid w:val="00934E9D"/>
    <w:rsid w:val="00935037"/>
    <w:rsid w:val="00935068"/>
    <w:rsid w:val="00935090"/>
    <w:rsid w:val="009350C5"/>
    <w:rsid w:val="009350FC"/>
    <w:rsid w:val="00935135"/>
    <w:rsid w:val="0093516E"/>
    <w:rsid w:val="009351B2"/>
    <w:rsid w:val="0093522D"/>
    <w:rsid w:val="0093523A"/>
    <w:rsid w:val="00935242"/>
    <w:rsid w:val="0093538F"/>
    <w:rsid w:val="009353BD"/>
    <w:rsid w:val="0093559D"/>
    <w:rsid w:val="009355E2"/>
    <w:rsid w:val="00935864"/>
    <w:rsid w:val="009358DE"/>
    <w:rsid w:val="0093597C"/>
    <w:rsid w:val="00935980"/>
    <w:rsid w:val="009359E7"/>
    <w:rsid w:val="00935A2C"/>
    <w:rsid w:val="00935A63"/>
    <w:rsid w:val="00935B9D"/>
    <w:rsid w:val="00935CAC"/>
    <w:rsid w:val="00935E2F"/>
    <w:rsid w:val="00935F36"/>
    <w:rsid w:val="009361F1"/>
    <w:rsid w:val="00936236"/>
    <w:rsid w:val="00936269"/>
    <w:rsid w:val="009362E7"/>
    <w:rsid w:val="00936317"/>
    <w:rsid w:val="0093671C"/>
    <w:rsid w:val="0093673C"/>
    <w:rsid w:val="00936745"/>
    <w:rsid w:val="009367E8"/>
    <w:rsid w:val="009368E0"/>
    <w:rsid w:val="009369AE"/>
    <w:rsid w:val="00936BE8"/>
    <w:rsid w:val="00936D46"/>
    <w:rsid w:val="00936DD6"/>
    <w:rsid w:val="00936E82"/>
    <w:rsid w:val="00936EB3"/>
    <w:rsid w:val="00936EBB"/>
    <w:rsid w:val="00936EC4"/>
    <w:rsid w:val="00936F19"/>
    <w:rsid w:val="00936F8C"/>
    <w:rsid w:val="00937076"/>
    <w:rsid w:val="0093709F"/>
    <w:rsid w:val="009370AD"/>
    <w:rsid w:val="00937110"/>
    <w:rsid w:val="00937241"/>
    <w:rsid w:val="009372AD"/>
    <w:rsid w:val="00937327"/>
    <w:rsid w:val="00937353"/>
    <w:rsid w:val="0093742C"/>
    <w:rsid w:val="00937433"/>
    <w:rsid w:val="0093744F"/>
    <w:rsid w:val="009374B5"/>
    <w:rsid w:val="009374DD"/>
    <w:rsid w:val="0093756A"/>
    <w:rsid w:val="00937577"/>
    <w:rsid w:val="00937676"/>
    <w:rsid w:val="009376DB"/>
    <w:rsid w:val="00937745"/>
    <w:rsid w:val="0093779E"/>
    <w:rsid w:val="00937806"/>
    <w:rsid w:val="00937892"/>
    <w:rsid w:val="0093795C"/>
    <w:rsid w:val="00937A36"/>
    <w:rsid w:val="00937A44"/>
    <w:rsid w:val="00937AA8"/>
    <w:rsid w:val="00937B21"/>
    <w:rsid w:val="00937B8A"/>
    <w:rsid w:val="00937D6B"/>
    <w:rsid w:val="00937D8A"/>
    <w:rsid w:val="00940036"/>
    <w:rsid w:val="00940081"/>
    <w:rsid w:val="0094012A"/>
    <w:rsid w:val="0094016C"/>
    <w:rsid w:val="00940190"/>
    <w:rsid w:val="00940204"/>
    <w:rsid w:val="00940212"/>
    <w:rsid w:val="00940275"/>
    <w:rsid w:val="0094030E"/>
    <w:rsid w:val="0094041E"/>
    <w:rsid w:val="00940471"/>
    <w:rsid w:val="0094048A"/>
    <w:rsid w:val="009405BA"/>
    <w:rsid w:val="0094061A"/>
    <w:rsid w:val="00940649"/>
    <w:rsid w:val="009406AE"/>
    <w:rsid w:val="009406B7"/>
    <w:rsid w:val="009407B1"/>
    <w:rsid w:val="009407E6"/>
    <w:rsid w:val="0094088A"/>
    <w:rsid w:val="00940892"/>
    <w:rsid w:val="009408F8"/>
    <w:rsid w:val="0094094E"/>
    <w:rsid w:val="0094097A"/>
    <w:rsid w:val="00940A53"/>
    <w:rsid w:val="00940AAE"/>
    <w:rsid w:val="00940AD3"/>
    <w:rsid w:val="00940ADF"/>
    <w:rsid w:val="00940B61"/>
    <w:rsid w:val="00940B73"/>
    <w:rsid w:val="00940CF8"/>
    <w:rsid w:val="00940D92"/>
    <w:rsid w:val="00940DC1"/>
    <w:rsid w:val="00940E34"/>
    <w:rsid w:val="00940EA8"/>
    <w:rsid w:val="00940ECD"/>
    <w:rsid w:val="00940F3B"/>
    <w:rsid w:val="009410F2"/>
    <w:rsid w:val="00941110"/>
    <w:rsid w:val="009411D6"/>
    <w:rsid w:val="009412A8"/>
    <w:rsid w:val="009412F7"/>
    <w:rsid w:val="00941331"/>
    <w:rsid w:val="00941354"/>
    <w:rsid w:val="009415B0"/>
    <w:rsid w:val="009416A7"/>
    <w:rsid w:val="009417B5"/>
    <w:rsid w:val="009418B4"/>
    <w:rsid w:val="009418C9"/>
    <w:rsid w:val="009418EA"/>
    <w:rsid w:val="009419EE"/>
    <w:rsid w:val="00941AAB"/>
    <w:rsid w:val="00941B73"/>
    <w:rsid w:val="00941B99"/>
    <w:rsid w:val="00941C88"/>
    <w:rsid w:val="00941C89"/>
    <w:rsid w:val="00941CB2"/>
    <w:rsid w:val="00941CE8"/>
    <w:rsid w:val="00942055"/>
    <w:rsid w:val="0094216E"/>
    <w:rsid w:val="0094235B"/>
    <w:rsid w:val="00942480"/>
    <w:rsid w:val="00942543"/>
    <w:rsid w:val="009426A8"/>
    <w:rsid w:val="009427F0"/>
    <w:rsid w:val="009428A4"/>
    <w:rsid w:val="009428B5"/>
    <w:rsid w:val="00942928"/>
    <w:rsid w:val="00942A5E"/>
    <w:rsid w:val="00942B75"/>
    <w:rsid w:val="00942B98"/>
    <w:rsid w:val="00942BB3"/>
    <w:rsid w:val="00942BC9"/>
    <w:rsid w:val="00942CB6"/>
    <w:rsid w:val="00942D18"/>
    <w:rsid w:val="00942D2B"/>
    <w:rsid w:val="00942D91"/>
    <w:rsid w:val="00942F73"/>
    <w:rsid w:val="00942F80"/>
    <w:rsid w:val="00942FE2"/>
    <w:rsid w:val="00942FEF"/>
    <w:rsid w:val="00943064"/>
    <w:rsid w:val="0094315A"/>
    <w:rsid w:val="009431BF"/>
    <w:rsid w:val="00943208"/>
    <w:rsid w:val="0094354C"/>
    <w:rsid w:val="0094354E"/>
    <w:rsid w:val="00943551"/>
    <w:rsid w:val="009435B4"/>
    <w:rsid w:val="009435E4"/>
    <w:rsid w:val="009436A7"/>
    <w:rsid w:val="0094375B"/>
    <w:rsid w:val="009437D6"/>
    <w:rsid w:val="00943991"/>
    <w:rsid w:val="00943996"/>
    <w:rsid w:val="00943A15"/>
    <w:rsid w:val="00943B22"/>
    <w:rsid w:val="00943BFC"/>
    <w:rsid w:val="00943CD1"/>
    <w:rsid w:val="00943CE1"/>
    <w:rsid w:val="00943CF5"/>
    <w:rsid w:val="00943E39"/>
    <w:rsid w:val="00943E6A"/>
    <w:rsid w:val="00943F2F"/>
    <w:rsid w:val="009440BA"/>
    <w:rsid w:val="009440C7"/>
    <w:rsid w:val="009442EC"/>
    <w:rsid w:val="009443BD"/>
    <w:rsid w:val="00944505"/>
    <w:rsid w:val="009445C7"/>
    <w:rsid w:val="009445DF"/>
    <w:rsid w:val="009445ED"/>
    <w:rsid w:val="00944618"/>
    <w:rsid w:val="00944681"/>
    <w:rsid w:val="00944682"/>
    <w:rsid w:val="009446BC"/>
    <w:rsid w:val="00944703"/>
    <w:rsid w:val="0094470E"/>
    <w:rsid w:val="00944710"/>
    <w:rsid w:val="0094473E"/>
    <w:rsid w:val="009447A1"/>
    <w:rsid w:val="0094486E"/>
    <w:rsid w:val="00944971"/>
    <w:rsid w:val="009449D5"/>
    <w:rsid w:val="00944A1B"/>
    <w:rsid w:val="00944A70"/>
    <w:rsid w:val="00944E73"/>
    <w:rsid w:val="00944E7F"/>
    <w:rsid w:val="00944E85"/>
    <w:rsid w:val="00944F0C"/>
    <w:rsid w:val="00944FE2"/>
    <w:rsid w:val="00945147"/>
    <w:rsid w:val="009451E0"/>
    <w:rsid w:val="00945258"/>
    <w:rsid w:val="009452EB"/>
    <w:rsid w:val="009455DB"/>
    <w:rsid w:val="00945644"/>
    <w:rsid w:val="0094568A"/>
    <w:rsid w:val="0094570E"/>
    <w:rsid w:val="00945755"/>
    <w:rsid w:val="0094576D"/>
    <w:rsid w:val="009457C0"/>
    <w:rsid w:val="009457C3"/>
    <w:rsid w:val="00945859"/>
    <w:rsid w:val="009458C9"/>
    <w:rsid w:val="0094595D"/>
    <w:rsid w:val="00945A61"/>
    <w:rsid w:val="00945A69"/>
    <w:rsid w:val="00945ABF"/>
    <w:rsid w:val="00945B90"/>
    <w:rsid w:val="00945C65"/>
    <w:rsid w:val="00945CC8"/>
    <w:rsid w:val="00945E0D"/>
    <w:rsid w:val="00945E6E"/>
    <w:rsid w:val="00945ECF"/>
    <w:rsid w:val="00945EF3"/>
    <w:rsid w:val="00945FA0"/>
    <w:rsid w:val="00945FB6"/>
    <w:rsid w:val="00945FF1"/>
    <w:rsid w:val="00946071"/>
    <w:rsid w:val="009460C2"/>
    <w:rsid w:val="009461BF"/>
    <w:rsid w:val="009461F6"/>
    <w:rsid w:val="00946226"/>
    <w:rsid w:val="00946247"/>
    <w:rsid w:val="0094630F"/>
    <w:rsid w:val="00946340"/>
    <w:rsid w:val="00946347"/>
    <w:rsid w:val="0094643D"/>
    <w:rsid w:val="009466A4"/>
    <w:rsid w:val="0094679D"/>
    <w:rsid w:val="009467E7"/>
    <w:rsid w:val="00946816"/>
    <w:rsid w:val="00946884"/>
    <w:rsid w:val="009468BF"/>
    <w:rsid w:val="0094692E"/>
    <w:rsid w:val="00946973"/>
    <w:rsid w:val="00946974"/>
    <w:rsid w:val="00946A37"/>
    <w:rsid w:val="00946A7B"/>
    <w:rsid w:val="00946A9A"/>
    <w:rsid w:val="00946BC2"/>
    <w:rsid w:val="00946CB0"/>
    <w:rsid w:val="00946CFF"/>
    <w:rsid w:val="00946D56"/>
    <w:rsid w:val="00946D90"/>
    <w:rsid w:val="00946DA1"/>
    <w:rsid w:val="00947165"/>
    <w:rsid w:val="00947174"/>
    <w:rsid w:val="00947282"/>
    <w:rsid w:val="009472AD"/>
    <w:rsid w:val="009472B2"/>
    <w:rsid w:val="00947300"/>
    <w:rsid w:val="00947344"/>
    <w:rsid w:val="009473C1"/>
    <w:rsid w:val="00947451"/>
    <w:rsid w:val="00947463"/>
    <w:rsid w:val="0094758D"/>
    <w:rsid w:val="00947599"/>
    <w:rsid w:val="009475A6"/>
    <w:rsid w:val="009475FD"/>
    <w:rsid w:val="00947655"/>
    <w:rsid w:val="00947693"/>
    <w:rsid w:val="009476BB"/>
    <w:rsid w:val="00947765"/>
    <w:rsid w:val="00947766"/>
    <w:rsid w:val="00947802"/>
    <w:rsid w:val="00947909"/>
    <w:rsid w:val="00947A32"/>
    <w:rsid w:val="00947B5B"/>
    <w:rsid w:val="00947B76"/>
    <w:rsid w:val="00947BAF"/>
    <w:rsid w:val="00947BCF"/>
    <w:rsid w:val="00947C1F"/>
    <w:rsid w:val="00947C7B"/>
    <w:rsid w:val="00947CF3"/>
    <w:rsid w:val="00947D13"/>
    <w:rsid w:val="00947E17"/>
    <w:rsid w:val="00947ED1"/>
    <w:rsid w:val="00947EE7"/>
    <w:rsid w:val="00947F16"/>
    <w:rsid w:val="0094C146"/>
    <w:rsid w:val="00950122"/>
    <w:rsid w:val="0095015B"/>
    <w:rsid w:val="00950484"/>
    <w:rsid w:val="009504F1"/>
    <w:rsid w:val="0095052C"/>
    <w:rsid w:val="00950626"/>
    <w:rsid w:val="009506C0"/>
    <w:rsid w:val="0095077E"/>
    <w:rsid w:val="00950787"/>
    <w:rsid w:val="0095089E"/>
    <w:rsid w:val="00950924"/>
    <w:rsid w:val="00950950"/>
    <w:rsid w:val="00950B1D"/>
    <w:rsid w:val="00950B93"/>
    <w:rsid w:val="00950C86"/>
    <w:rsid w:val="00950CCB"/>
    <w:rsid w:val="00950D17"/>
    <w:rsid w:val="00950DC9"/>
    <w:rsid w:val="00950E38"/>
    <w:rsid w:val="00950E7F"/>
    <w:rsid w:val="00950F36"/>
    <w:rsid w:val="0095103A"/>
    <w:rsid w:val="00951069"/>
    <w:rsid w:val="009510C7"/>
    <w:rsid w:val="0095113F"/>
    <w:rsid w:val="00951159"/>
    <w:rsid w:val="009511F1"/>
    <w:rsid w:val="0095131E"/>
    <w:rsid w:val="0095132D"/>
    <w:rsid w:val="009513A8"/>
    <w:rsid w:val="00951410"/>
    <w:rsid w:val="00951449"/>
    <w:rsid w:val="00951460"/>
    <w:rsid w:val="00951467"/>
    <w:rsid w:val="009515F4"/>
    <w:rsid w:val="0095165F"/>
    <w:rsid w:val="009516B1"/>
    <w:rsid w:val="009516F5"/>
    <w:rsid w:val="00951750"/>
    <w:rsid w:val="009517DE"/>
    <w:rsid w:val="0095188C"/>
    <w:rsid w:val="009518D1"/>
    <w:rsid w:val="00951A7B"/>
    <w:rsid w:val="00951A9F"/>
    <w:rsid w:val="00951AFB"/>
    <w:rsid w:val="00951BE5"/>
    <w:rsid w:val="00951C12"/>
    <w:rsid w:val="00951C51"/>
    <w:rsid w:val="00951C56"/>
    <w:rsid w:val="00951CB1"/>
    <w:rsid w:val="00951CBA"/>
    <w:rsid w:val="00951D0F"/>
    <w:rsid w:val="00951E59"/>
    <w:rsid w:val="00951E6F"/>
    <w:rsid w:val="00951F02"/>
    <w:rsid w:val="00951F04"/>
    <w:rsid w:val="00952022"/>
    <w:rsid w:val="009520EF"/>
    <w:rsid w:val="009522EE"/>
    <w:rsid w:val="00952311"/>
    <w:rsid w:val="00952319"/>
    <w:rsid w:val="00952381"/>
    <w:rsid w:val="00952400"/>
    <w:rsid w:val="00952574"/>
    <w:rsid w:val="0095267D"/>
    <w:rsid w:val="00952739"/>
    <w:rsid w:val="009527EE"/>
    <w:rsid w:val="009528C8"/>
    <w:rsid w:val="009528D3"/>
    <w:rsid w:val="00952912"/>
    <w:rsid w:val="00952924"/>
    <w:rsid w:val="00952930"/>
    <w:rsid w:val="00952990"/>
    <w:rsid w:val="009529D7"/>
    <w:rsid w:val="00952A16"/>
    <w:rsid w:val="00952B16"/>
    <w:rsid w:val="00952CE0"/>
    <w:rsid w:val="00952D84"/>
    <w:rsid w:val="00952D93"/>
    <w:rsid w:val="00952EC1"/>
    <w:rsid w:val="00952F22"/>
    <w:rsid w:val="00952F71"/>
    <w:rsid w:val="00952FCD"/>
    <w:rsid w:val="00953014"/>
    <w:rsid w:val="00953033"/>
    <w:rsid w:val="00953075"/>
    <w:rsid w:val="009531BB"/>
    <w:rsid w:val="0095326C"/>
    <w:rsid w:val="009532ED"/>
    <w:rsid w:val="009533A4"/>
    <w:rsid w:val="0095358D"/>
    <w:rsid w:val="0095366E"/>
    <w:rsid w:val="00953867"/>
    <w:rsid w:val="0095391E"/>
    <w:rsid w:val="00953924"/>
    <w:rsid w:val="00953934"/>
    <w:rsid w:val="0095398D"/>
    <w:rsid w:val="009539AD"/>
    <w:rsid w:val="00953A2B"/>
    <w:rsid w:val="00953A7B"/>
    <w:rsid w:val="00953B78"/>
    <w:rsid w:val="00953BFC"/>
    <w:rsid w:val="00953C28"/>
    <w:rsid w:val="00953CE1"/>
    <w:rsid w:val="00953D22"/>
    <w:rsid w:val="00953D9F"/>
    <w:rsid w:val="00953DDA"/>
    <w:rsid w:val="00953E3D"/>
    <w:rsid w:val="00953E58"/>
    <w:rsid w:val="00953EA3"/>
    <w:rsid w:val="00953FDC"/>
    <w:rsid w:val="00954156"/>
    <w:rsid w:val="0095423D"/>
    <w:rsid w:val="00954245"/>
    <w:rsid w:val="00954275"/>
    <w:rsid w:val="009543A0"/>
    <w:rsid w:val="00954410"/>
    <w:rsid w:val="00954448"/>
    <w:rsid w:val="00954572"/>
    <w:rsid w:val="009545F6"/>
    <w:rsid w:val="0095463D"/>
    <w:rsid w:val="00954742"/>
    <w:rsid w:val="00954A12"/>
    <w:rsid w:val="00954A8E"/>
    <w:rsid w:val="00954AA8"/>
    <w:rsid w:val="00954BB6"/>
    <w:rsid w:val="00954C1D"/>
    <w:rsid w:val="00954C25"/>
    <w:rsid w:val="00954EAB"/>
    <w:rsid w:val="00954EB3"/>
    <w:rsid w:val="00954ED6"/>
    <w:rsid w:val="00954F94"/>
    <w:rsid w:val="00954FA1"/>
    <w:rsid w:val="00954FAF"/>
    <w:rsid w:val="00955089"/>
    <w:rsid w:val="009550C6"/>
    <w:rsid w:val="00955140"/>
    <w:rsid w:val="00955168"/>
    <w:rsid w:val="00955174"/>
    <w:rsid w:val="0095519B"/>
    <w:rsid w:val="00955204"/>
    <w:rsid w:val="00955218"/>
    <w:rsid w:val="00955228"/>
    <w:rsid w:val="009552A0"/>
    <w:rsid w:val="009552D7"/>
    <w:rsid w:val="009553C3"/>
    <w:rsid w:val="00955445"/>
    <w:rsid w:val="00955446"/>
    <w:rsid w:val="009554FE"/>
    <w:rsid w:val="0095550A"/>
    <w:rsid w:val="0095563F"/>
    <w:rsid w:val="009557B9"/>
    <w:rsid w:val="0095582F"/>
    <w:rsid w:val="009559E9"/>
    <w:rsid w:val="00955AA6"/>
    <w:rsid w:val="00955C18"/>
    <w:rsid w:val="00955C64"/>
    <w:rsid w:val="00955C7E"/>
    <w:rsid w:val="00955CB9"/>
    <w:rsid w:val="00955CF1"/>
    <w:rsid w:val="00955DA7"/>
    <w:rsid w:val="00955DD0"/>
    <w:rsid w:val="00955E44"/>
    <w:rsid w:val="00955ECF"/>
    <w:rsid w:val="00955FA6"/>
    <w:rsid w:val="00955FAE"/>
    <w:rsid w:val="00956007"/>
    <w:rsid w:val="0095609E"/>
    <w:rsid w:val="009560C8"/>
    <w:rsid w:val="00956124"/>
    <w:rsid w:val="009561A4"/>
    <w:rsid w:val="009561E7"/>
    <w:rsid w:val="0095621F"/>
    <w:rsid w:val="009562D4"/>
    <w:rsid w:val="00956447"/>
    <w:rsid w:val="00956497"/>
    <w:rsid w:val="0095655C"/>
    <w:rsid w:val="0095671A"/>
    <w:rsid w:val="00956748"/>
    <w:rsid w:val="00956782"/>
    <w:rsid w:val="009567AB"/>
    <w:rsid w:val="009567C3"/>
    <w:rsid w:val="009567E5"/>
    <w:rsid w:val="00956806"/>
    <w:rsid w:val="009568F5"/>
    <w:rsid w:val="0095692E"/>
    <w:rsid w:val="009569F7"/>
    <w:rsid w:val="00956A04"/>
    <w:rsid w:val="00956B1F"/>
    <w:rsid w:val="00956CD7"/>
    <w:rsid w:val="00956D39"/>
    <w:rsid w:val="00956E19"/>
    <w:rsid w:val="00956E9E"/>
    <w:rsid w:val="00956FE1"/>
    <w:rsid w:val="00957048"/>
    <w:rsid w:val="00957058"/>
    <w:rsid w:val="0095721C"/>
    <w:rsid w:val="009572A0"/>
    <w:rsid w:val="009572AD"/>
    <w:rsid w:val="009572B4"/>
    <w:rsid w:val="009572C0"/>
    <w:rsid w:val="009572C7"/>
    <w:rsid w:val="00957320"/>
    <w:rsid w:val="009573DF"/>
    <w:rsid w:val="00957467"/>
    <w:rsid w:val="009574E4"/>
    <w:rsid w:val="009574ED"/>
    <w:rsid w:val="009574F7"/>
    <w:rsid w:val="009575B0"/>
    <w:rsid w:val="0095761B"/>
    <w:rsid w:val="00957661"/>
    <w:rsid w:val="009576ED"/>
    <w:rsid w:val="0095784A"/>
    <w:rsid w:val="00957899"/>
    <w:rsid w:val="009578DA"/>
    <w:rsid w:val="00957974"/>
    <w:rsid w:val="00957B15"/>
    <w:rsid w:val="00957BCD"/>
    <w:rsid w:val="00957D2F"/>
    <w:rsid w:val="00957DCE"/>
    <w:rsid w:val="00957DDE"/>
    <w:rsid w:val="00957E96"/>
    <w:rsid w:val="0096010D"/>
    <w:rsid w:val="0096017B"/>
    <w:rsid w:val="009601A1"/>
    <w:rsid w:val="009601C1"/>
    <w:rsid w:val="00960226"/>
    <w:rsid w:val="00960325"/>
    <w:rsid w:val="00960340"/>
    <w:rsid w:val="00960442"/>
    <w:rsid w:val="0096066E"/>
    <w:rsid w:val="00960723"/>
    <w:rsid w:val="00960739"/>
    <w:rsid w:val="00960776"/>
    <w:rsid w:val="00960784"/>
    <w:rsid w:val="009607E8"/>
    <w:rsid w:val="00960892"/>
    <w:rsid w:val="009608B5"/>
    <w:rsid w:val="009608CB"/>
    <w:rsid w:val="009608ED"/>
    <w:rsid w:val="009608FC"/>
    <w:rsid w:val="009609AB"/>
    <w:rsid w:val="009609F9"/>
    <w:rsid w:val="00960AD3"/>
    <w:rsid w:val="00960B52"/>
    <w:rsid w:val="00960B55"/>
    <w:rsid w:val="00960BF0"/>
    <w:rsid w:val="00960BFA"/>
    <w:rsid w:val="00960CF8"/>
    <w:rsid w:val="00960CFB"/>
    <w:rsid w:val="00960D6E"/>
    <w:rsid w:val="00960E23"/>
    <w:rsid w:val="00960EA5"/>
    <w:rsid w:val="00960EC7"/>
    <w:rsid w:val="00960ECA"/>
    <w:rsid w:val="00961067"/>
    <w:rsid w:val="0096138B"/>
    <w:rsid w:val="0096138C"/>
    <w:rsid w:val="009613B9"/>
    <w:rsid w:val="009613C2"/>
    <w:rsid w:val="0096146D"/>
    <w:rsid w:val="009614B6"/>
    <w:rsid w:val="009615B7"/>
    <w:rsid w:val="009615C0"/>
    <w:rsid w:val="0096166F"/>
    <w:rsid w:val="0096167B"/>
    <w:rsid w:val="009616C3"/>
    <w:rsid w:val="009616DB"/>
    <w:rsid w:val="009618D7"/>
    <w:rsid w:val="00961910"/>
    <w:rsid w:val="0096192E"/>
    <w:rsid w:val="009619EB"/>
    <w:rsid w:val="00961AFA"/>
    <w:rsid w:val="00961BAF"/>
    <w:rsid w:val="00961CF0"/>
    <w:rsid w:val="00961D55"/>
    <w:rsid w:val="00961D5A"/>
    <w:rsid w:val="00961DAA"/>
    <w:rsid w:val="00961E25"/>
    <w:rsid w:val="00961EAE"/>
    <w:rsid w:val="00961EB2"/>
    <w:rsid w:val="00961EE0"/>
    <w:rsid w:val="00961FAC"/>
    <w:rsid w:val="00962005"/>
    <w:rsid w:val="0096211C"/>
    <w:rsid w:val="00962168"/>
    <w:rsid w:val="009621A5"/>
    <w:rsid w:val="0096220E"/>
    <w:rsid w:val="00962241"/>
    <w:rsid w:val="009622AA"/>
    <w:rsid w:val="009622DB"/>
    <w:rsid w:val="0096232B"/>
    <w:rsid w:val="00962354"/>
    <w:rsid w:val="0096247B"/>
    <w:rsid w:val="009624B6"/>
    <w:rsid w:val="00962531"/>
    <w:rsid w:val="0096256C"/>
    <w:rsid w:val="00962609"/>
    <w:rsid w:val="009626F8"/>
    <w:rsid w:val="00962A44"/>
    <w:rsid w:val="00962AC7"/>
    <w:rsid w:val="00962BDC"/>
    <w:rsid w:val="00962D46"/>
    <w:rsid w:val="00962DBE"/>
    <w:rsid w:val="00962EB3"/>
    <w:rsid w:val="00962F3A"/>
    <w:rsid w:val="00962FE7"/>
    <w:rsid w:val="0096303F"/>
    <w:rsid w:val="009630D7"/>
    <w:rsid w:val="009631B2"/>
    <w:rsid w:val="0096326E"/>
    <w:rsid w:val="009632FE"/>
    <w:rsid w:val="00963375"/>
    <w:rsid w:val="00963378"/>
    <w:rsid w:val="009633E1"/>
    <w:rsid w:val="00963431"/>
    <w:rsid w:val="0096369E"/>
    <w:rsid w:val="0096373A"/>
    <w:rsid w:val="009637D8"/>
    <w:rsid w:val="00963805"/>
    <w:rsid w:val="009638D3"/>
    <w:rsid w:val="00963930"/>
    <w:rsid w:val="00963A56"/>
    <w:rsid w:val="00963A5D"/>
    <w:rsid w:val="00963A94"/>
    <w:rsid w:val="00963B1B"/>
    <w:rsid w:val="00963BA7"/>
    <w:rsid w:val="00963C9A"/>
    <w:rsid w:val="00963DFF"/>
    <w:rsid w:val="00963E15"/>
    <w:rsid w:val="00963E7A"/>
    <w:rsid w:val="00963EB8"/>
    <w:rsid w:val="00963ED4"/>
    <w:rsid w:val="00964021"/>
    <w:rsid w:val="0096402B"/>
    <w:rsid w:val="0096405F"/>
    <w:rsid w:val="0096412D"/>
    <w:rsid w:val="009641CC"/>
    <w:rsid w:val="00964200"/>
    <w:rsid w:val="00964257"/>
    <w:rsid w:val="0096427D"/>
    <w:rsid w:val="009643AA"/>
    <w:rsid w:val="00964406"/>
    <w:rsid w:val="009644B8"/>
    <w:rsid w:val="009644C1"/>
    <w:rsid w:val="0096456B"/>
    <w:rsid w:val="0096463E"/>
    <w:rsid w:val="0096463F"/>
    <w:rsid w:val="009646FD"/>
    <w:rsid w:val="00964786"/>
    <w:rsid w:val="00964899"/>
    <w:rsid w:val="009648CF"/>
    <w:rsid w:val="009649F9"/>
    <w:rsid w:val="00964A1A"/>
    <w:rsid w:val="00964A4A"/>
    <w:rsid w:val="00964A6C"/>
    <w:rsid w:val="00964BB8"/>
    <w:rsid w:val="00964C82"/>
    <w:rsid w:val="00964CA3"/>
    <w:rsid w:val="00964CC7"/>
    <w:rsid w:val="00964D41"/>
    <w:rsid w:val="00964D4C"/>
    <w:rsid w:val="00964E09"/>
    <w:rsid w:val="00964F8C"/>
    <w:rsid w:val="00965187"/>
    <w:rsid w:val="009651EE"/>
    <w:rsid w:val="00965295"/>
    <w:rsid w:val="00965459"/>
    <w:rsid w:val="00965502"/>
    <w:rsid w:val="00965579"/>
    <w:rsid w:val="00965711"/>
    <w:rsid w:val="00965723"/>
    <w:rsid w:val="00965825"/>
    <w:rsid w:val="00965837"/>
    <w:rsid w:val="00965870"/>
    <w:rsid w:val="009658E8"/>
    <w:rsid w:val="0096593F"/>
    <w:rsid w:val="0096596B"/>
    <w:rsid w:val="0096597E"/>
    <w:rsid w:val="0096599E"/>
    <w:rsid w:val="009659E1"/>
    <w:rsid w:val="00965A40"/>
    <w:rsid w:val="00965A68"/>
    <w:rsid w:val="00965AA9"/>
    <w:rsid w:val="00965AE2"/>
    <w:rsid w:val="00965B00"/>
    <w:rsid w:val="00965B14"/>
    <w:rsid w:val="00965BEF"/>
    <w:rsid w:val="00965E1C"/>
    <w:rsid w:val="00965EA1"/>
    <w:rsid w:val="00965F74"/>
    <w:rsid w:val="009660BB"/>
    <w:rsid w:val="0096614A"/>
    <w:rsid w:val="00966156"/>
    <w:rsid w:val="00966180"/>
    <w:rsid w:val="00966275"/>
    <w:rsid w:val="0096629D"/>
    <w:rsid w:val="009662E3"/>
    <w:rsid w:val="0096630C"/>
    <w:rsid w:val="0096636B"/>
    <w:rsid w:val="00966529"/>
    <w:rsid w:val="00966553"/>
    <w:rsid w:val="00966564"/>
    <w:rsid w:val="00966655"/>
    <w:rsid w:val="0096673C"/>
    <w:rsid w:val="00966790"/>
    <w:rsid w:val="0096681A"/>
    <w:rsid w:val="00966895"/>
    <w:rsid w:val="009668ED"/>
    <w:rsid w:val="00966A97"/>
    <w:rsid w:val="00966DBA"/>
    <w:rsid w:val="00966DBB"/>
    <w:rsid w:val="00966E14"/>
    <w:rsid w:val="00966EAE"/>
    <w:rsid w:val="00966FBB"/>
    <w:rsid w:val="00967007"/>
    <w:rsid w:val="00967088"/>
    <w:rsid w:val="00967110"/>
    <w:rsid w:val="0096712C"/>
    <w:rsid w:val="009671A1"/>
    <w:rsid w:val="00967203"/>
    <w:rsid w:val="00967211"/>
    <w:rsid w:val="0096726E"/>
    <w:rsid w:val="00967272"/>
    <w:rsid w:val="0096731A"/>
    <w:rsid w:val="009675BB"/>
    <w:rsid w:val="009676A5"/>
    <w:rsid w:val="009676CA"/>
    <w:rsid w:val="0096774A"/>
    <w:rsid w:val="00967790"/>
    <w:rsid w:val="009677B2"/>
    <w:rsid w:val="009678EF"/>
    <w:rsid w:val="00967931"/>
    <w:rsid w:val="0096793C"/>
    <w:rsid w:val="0096795E"/>
    <w:rsid w:val="009679CC"/>
    <w:rsid w:val="00967A5F"/>
    <w:rsid w:val="00967B75"/>
    <w:rsid w:val="00967CE6"/>
    <w:rsid w:val="00967E80"/>
    <w:rsid w:val="0097005A"/>
    <w:rsid w:val="009700C5"/>
    <w:rsid w:val="00970410"/>
    <w:rsid w:val="00970479"/>
    <w:rsid w:val="009704CE"/>
    <w:rsid w:val="00970510"/>
    <w:rsid w:val="00970729"/>
    <w:rsid w:val="0097091D"/>
    <w:rsid w:val="00970A1C"/>
    <w:rsid w:val="00970A2B"/>
    <w:rsid w:val="00970BE0"/>
    <w:rsid w:val="00970CA8"/>
    <w:rsid w:val="00970CBB"/>
    <w:rsid w:val="00970DB5"/>
    <w:rsid w:val="00970ED6"/>
    <w:rsid w:val="00970F9F"/>
    <w:rsid w:val="00971056"/>
    <w:rsid w:val="009710B1"/>
    <w:rsid w:val="009710B6"/>
    <w:rsid w:val="009711EA"/>
    <w:rsid w:val="0097120F"/>
    <w:rsid w:val="00971249"/>
    <w:rsid w:val="00971373"/>
    <w:rsid w:val="00971389"/>
    <w:rsid w:val="0097139D"/>
    <w:rsid w:val="009713B9"/>
    <w:rsid w:val="009714FD"/>
    <w:rsid w:val="0097153F"/>
    <w:rsid w:val="009715C2"/>
    <w:rsid w:val="00971634"/>
    <w:rsid w:val="00971691"/>
    <w:rsid w:val="009716BA"/>
    <w:rsid w:val="009716CA"/>
    <w:rsid w:val="009717B7"/>
    <w:rsid w:val="0097182B"/>
    <w:rsid w:val="009719D2"/>
    <w:rsid w:val="00971A0F"/>
    <w:rsid w:val="00971B01"/>
    <w:rsid w:val="00971BA4"/>
    <w:rsid w:val="00971DC0"/>
    <w:rsid w:val="00971E71"/>
    <w:rsid w:val="00971FB2"/>
    <w:rsid w:val="00972033"/>
    <w:rsid w:val="00972047"/>
    <w:rsid w:val="00972253"/>
    <w:rsid w:val="0097227E"/>
    <w:rsid w:val="00972434"/>
    <w:rsid w:val="0097267F"/>
    <w:rsid w:val="00972764"/>
    <w:rsid w:val="009729BD"/>
    <w:rsid w:val="00972A9D"/>
    <w:rsid w:val="00972ACA"/>
    <w:rsid w:val="00972ADF"/>
    <w:rsid w:val="00972D9A"/>
    <w:rsid w:val="00972DB4"/>
    <w:rsid w:val="00972DBA"/>
    <w:rsid w:val="00972DFB"/>
    <w:rsid w:val="00972ECD"/>
    <w:rsid w:val="00972F12"/>
    <w:rsid w:val="009731CB"/>
    <w:rsid w:val="009732A7"/>
    <w:rsid w:val="00973348"/>
    <w:rsid w:val="009733D2"/>
    <w:rsid w:val="009734B6"/>
    <w:rsid w:val="00973581"/>
    <w:rsid w:val="0097360F"/>
    <w:rsid w:val="0097365A"/>
    <w:rsid w:val="00973701"/>
    <w:rsid w:val="00973821"/>
    <w:rsid w:val="00973869"/>
    <w:rsid w:val="009738C1"/>
    <w:rsid w:val="00973910"/>
    <w:rsid w:val="00973958"/>
    <w:rsid w:val="00973A28"/>
    <w:rsid w:val="00973A2C"/>
    <w:rsid w:val="00973A7E"/>
    <w:rsid w:val="00973AD1"/>
    <w:rsid w:val="00973B1B"/>
    <w:rsid w:val="00973B21"/>
    <w:rsid w:val="00973D7B"/>
    <w:rsid w:val="00973E35"/>
    <w:rsid w:val="00973E43"/>
    <w:rsid w:val="00973EEE"/>
    <w:rsid w:val="00973F6C"/>
    <w:rsid w:val="0097406C"/>
    <w:rsid w:val="009740A9"/>
    <w:rsid w:val="009740F4"/>
    <w:rsid w:val="009741C7"/>
    <w:rsid w:val="00974228"/>
    <w:rsid w:val="00974291"/>
    <w:rsid w:val="009742F7"/>
    <w:rsid w:val="00974318"/>
    <w:rsid w:val="00974359"/>
    <w:rsid w:val="00974511"/>
    <w:rsid w:val="00974549"/>
    <w:rsid w:val="00974563"/>
    <w:rsid w:val="009745AE"/>
    <w:rsid w:val="00974641"/>
    <w:rsid w:val="009746F6"/>
    <w:rsid w:val="00974719"/>
    <w:rsid w:val="00974798"/>
    <w:rsid w:val="009747A2"/>
    <w:rsid w:val="009747E7"/>
    <w:rsid w:val="00974839"/>
    <w:rsid w:val="00974952"/>
    <w:rsid w:val="00974954"/>
    <w:rsid w:val="009749C3"/>
    <w:rsid w:val="00974B0D"/>
    <w:rsid w:val="00974B39"/>
    <w:rsid w:val="00974B3E"/>
    <w:rsid w:val="00974C56"/>
    <w:rsid w:val="00974D6C"/>
    <w:rsid w:val="00974D9A"/>
    <w:rsid w:val="00974DCA"/>
    <w:rsid w:val="00974DDC"/>
    <w:rsid w:val="00974E50"/>
    <w:rsid w:val="00974E5A"/>
    <w:rsid w:val="00974FAB"/>
    <w:rsid w:val="00974FC4"/>
    <w:rsid w:val="00975070"/>
    <w:rsid w:val="0097509B"/>
    <w:rsid w:val="00975122"/>
    <w:rsid w:val="009752D0"/>
    <w:rsid w:val="009754AE"/>
    <w:rsid w:val="009754B6"/>
    <w:rsid w:val="009754CA"/>
    <w:rsid w:val="00975522"/>
    <w:rsid w:val="00975659"/>
    <w:rsid w:val="009756A0"/>
    <w:rsid w:val="009756AD"/>
    <w:rsid w:val="00975790"/>
    <w:rsid w:val="009757CD"/>
    <w:rsid w:val="00975843"/>
    <w:rsid w:val="00975899"/>
    <w:rsid w:val="009759DE"/>
    <w:rsid w:val="00975A8E"/>
    <w:rsid w:val="00975BC4"/>
    <w:rsid w:val="00975C1C"/>
    <w:rsid w:val="00975C86"/>
    <w:rsid w:val="00975D1D"/>
    <w:rsid w:val="00975D45"/>
    <w:rsid w:val="00975DAF"/>
    <w:rsid w:val="00975DF9"/>
    <w:rsid w:val="00975E27"/>
    <w:rsid w:val="00975E80"/>
    <w:rsid w:val="00975EFA"/>
    <w:rsid w:val="00975FB7"/>
    <w:rsid w:val="00976096"/>
    <w:rsid w:val="009760ED"/>
    <w:rsid w:val="009760FE"/>
    <w:rsid w:val="00976240"/>
    <w:rsid w:val="00976280"/>
    <w:rsid w:val="009762EE"/>
    <w:rsid w:val="009763B3"/>
    <w:rsid w:val="00976434"/>
    <w:rsid w:val="00976498"/>
    <w:rsid w:val="009764E0"/>
    <w:rsid w:val="0097659C"/>
    <w:rsid w:val="00976688"/>
    <w:rsid w:val="009766E9"/>
    <w:rsid w:val="00976704"/>
    <w:rsid w:val="0097678D"/>
    <w:rsid w:val="00976798"/>
    <w:rsid w:val="009767E5"/>
    <w:rsid w:val="0097680A"/>
    <w:rsid w:val="0097686D"/>
    <w:rsid w:val="009768DD"/>
    <w:rsid w:val="0097696D"/>
    <w:rsid w:val="00976999"/>
    <w:rsid w:val="009769B1"/>
    <w:rsid w:val="00976AA0"/>
    <w:rsid w:val="00976AAF"/>
    <w:rsid w:val="00976C52"/>
    <w:rsid w:val="00976CA9"/>
    <w:rsid w:val="00976CB2"/>
    <w:rsid w:val="00976DD3"/>
    <w:rsid w:val="00976E2F"/>
    <w:rsid w:val="00976EC8"/>
    <w:rsid w:val="00976EE2"/>
    <w:rsid w:val="0097717D"/>
    <w:rsid w:val="00977243"/>
    <w:rsid w:val="00977258"/>
    <w:rsid w:val="0097725A"/>
    <w:rsid w:val="00977388"/>
    <w:rsid w:val="00977468"/>
    <w:rsid w:val="009774D9"/>
    <w:rsid w:val="00977703"/>
    <w:rsid w:val="00977769"/>
    <w:rsid w:val="0097780B"/>
    <w:rsid w:val="00977909"/>
    <w:rsid w:val="00977971"/>
    <w:rsid w:val="009779CC"/>
    <w:rsid w:val="00977A28"/>
    <w:rsid w:val="00977A31"/>
    <w:rsid w:val="00977A7D"/>
    <w:rsid w:val="00977A9E"/>
    <w:rsid w:val="00977AC3"/>
    <w:rsid w:val="00977B63"/>
    <w:rsid w:val="00977B7C"/>
    <w:rsid w:val="00977EC9"/>
    <w:rsid w:val="00977F28"/>
    <w:rsid w:val="00977F85"/>
    <w:rsid w:val="00980057"/>
    <w:rsid w:val="0098009B"/>
    <w:rsid w:val="00980193"/>
    <w:rsid w:val="009801BD"/>
    <w:rsid w:val="00980216"/>
    <w:rsid w:val="00980328"/>
    <w:rsid w:val="009803B3"/>
    <w:rsid w:val="0098040E"/>
    <w:rsid w:val="00980486"/>
    <w:rsid w:val="009805C5"/>
    <w:rsid w:val="00980670"/>
    <w:rsid w:val="00980694"/>
    <w:rsid w:val="00980701"/>
    <w:rsid w:val="00980A29"/>
    <w:rsid w:val="00980A52"/>
    <w:rsid w:val="00980A5C"/>
    <w:rsid w:val="00980A77"/>
    <w:rsid w:val="00980A98"/>
    <w:rsid w:val="00980A9A"/>
    <w:rsid w:val="00980B36"/>
    <w:rsid w:val="00980B48"/>
    <w:rsid w:val="00980CC0"/>
    <w:rsid w:val="00980D52"/>
    <w:rsid w:val="00980E01"/>
    <w:rsid w:val="00980E75"/>
    <w:rsid w:val="00980E83"/>
    <w:rsid w:val="00980EAE"/>
    <w:rsid w:val="00980F00"/>
    <w:rsid w:val="00980FFD"/>
    <w:rsid w:val="00981083"/>
    <w:rsid w:val="0098109B"/>
    <w:rsid w:val="00981237"/>
    <w:rsid w:val="009812DB"/>
    <w:rsid w:val="009812FF"/>
    <w:rsid w:val="00981307"/>
    <w:rsid w:val="00981356"/>
    <w:rsid w:val="00981441"/>
    <w:rsid w:val="00981530"/>
    <w:rsid w:val="00981596"/>
    <w:rsid w:val="009815A8"/>
    <w:rsid w:val="009815F1"/>
    <w:rsid w:val="00981662"/>
    <w:rsid w:val="009817B6"/>
    <w:rsid w:val="00981807"/>
    <w:rsid w:val="0098191B"/>
    <w:rsid w:val="009819FD"/>
    <w:rsid w:val="00981A9B"/>
    <w:rsid w:val="00981B10"/>
    <w:rsid w:val="00981B2B"/>
    <w:rsid w:val="00981C2E"/>
    <w:rsid w:val="00981EE3"/>
    <w:rsid w:val="00981F84"/>
    <w:rsid w:val="0098203F"/>
    <w:rsid w:val="009820B0"/>
    <w:rsid w:val="009820C3"/>
    <w:rsid w:val="009820E1"/>
    <w:rsid w:val="00982270"/>
    <w:rsid w:val="0098232D"/>
    <w:rsid w:val="00982350"/>
    <w:rsid w:val="00982380"/>
    <w:rsid w:val="00982451"/>
    <w:rsid w:val="00982457"/>
    <w:rsid w:val="0098250A"/>
    <w:rsid w:val="00982541"/>
    <w:rsid w:val="00982634"/>
    <w:rsid w:val="00982651"/>
    <w:rsid w:val="0098278C"/>
    <w:rsid w:val="0098278E"/>
    <w:rsid w:val="009827FF"/>
    <w:rsid w:val="00982800"/>
    <w:rsid w:val="009829B4"/>
    <w:rsid w:val="009829F3"/>
    <w:rsid w:val="009829F6"/>
    <w:rsid w:val="00982C90"/>
    <w:rsid w:val="00982D3A"/>
    <w:rsid w:val="00982F31"/>
    <w:rsid w:val="00983021"/>
    <w:rsid w:val="009830E3"/>
    <w:rsid w:val="00983198"/>
    <w:rsid w:val="0098325E"/>
    <w:rsid w:val="0098336D"/>
    <w:rsid w:val="009833D4"/>
    <w:rsid w:val="00983421"/>
    <w:rsid w:val="0098352F"/>
    <w:rsid w:val="00983602"/>
    <w:rsid w:val="0098364B"/>
    <w:rsid w:val="009836A2"/>
    <w:rsid w:val="00983775"/>
    <w:rsid w:val="00983777"/>
    <w:rsid w:val="0098383A"/>
    <w:rsid w:val="009838D1"/>
    <w:rsid w:val="009839BE"/>
    <w:rsid w:val="00983ABA"/>
    <w:rsid w:val="00983B04"/>
    <w:rsid w:val="00983BB7"/>
    <w:rsid w:val="00983BC2"/>
    <w:rsid w:val="00983BEC"/>
    <w:rsid w:val="00983CAA"/>
    <w:rsid w:val="00983CC6"/>
    <w:rsid w:val="00983D1E"/>
    <w:rsid w:val="00983E05"/>
    <w:rsid w:val="00983ED1"/>
    <w:rsid w:val="00983F4F"/>
    <w:rsid w:val="00983FB3"/>
    <w:rsid w:val="00984062"/>
    <w:rsid w:val="009841F7"/>
    <w:rsid w:val="00984214"/>
    <w:rsid w:val="00984286"/>
    <w:rsid w:val="009843B4"/>
    <w:rsid w:val="009843BE"/>
    <w:rsid w:val="009844A5"/>
    <w:rsid w:val="00984527"/>
    <w:rsid w:val="0098458A"/>
    <w:rsid w:val="009845B0"/>
    <w:rsid w:val="009845C0"/>
    <w:rsid w:val="00984681"/>
    <w:rsid w:val="009846A9"/>
    <w:rsid w:val="009846F3"/>
    <w:rsid w:val="00984737"/>
    <w:rsid w:val="00984743"/>
    <w:rsid w:val="0098490D"/>
    <w:rsid w:val="009849F5"/>
    <w:rsid w:val="009849F9"/>
    <w:rsid w:val="00984C56"/>
    <w:rsid w:val="00984CAD"/>
    <w:rsid w:val="00984CE3"/>
    <w:rsid w:val="00984D36"/>
    <w:rsid w:val="00984D6F"/>
    <w:rsid w:val="00984DEE"/>
    <w:rsid w:val="00984EDB"/>
    <w:rsid w:val="00984F04"/>
    <w:rsid w:val="00984F3C"/>
    <w:rsid w:val="00984FD0"/>
    <w:rsid w:val="0098502D"/>
    <w:rsid w:val="00985031"/>
    <w:rsid w:val="00985220"/>
    <w:rsid w:val="0098522A"/>
    <w:rsid w:val="009852C8"/>
    <w:rsid w:val="0098551D"/>
    <w:rsid w:val="0098554A"/>
    <w:rsid w:val="0098558B"/>
    <w:rsid w:val="009855C4"/>
    <w:rsid w:val="009856CF"/>
    <w:rsid w:val="00985725"/>
    <w:rsid w:val="00985761"/>
    <w:rsid w:val="009857F8"/>
    <w:rsid w:val="009857FB"/>
    <w:rsid w:val="00985842"/>
    <w:rsid w:val="009859D6"/>
    <w:rsid w:val="00985A49"/>
    <w:rsid w:val="00985AC7"/>
    <w:rsid w:val="00985AF7"/>
    <w:rsid w:val="00985AFC"/>
    <w:rsid w:val="00985B21"/>
    <w:rsid w:val="00985B76"/>
    <w:rsid w:val="00985B95"/>
    <w:rsid w:val="00985C0A"/>
    <w:rsid w:val="00985DCE"/>
    <w:rsid w:val="00985DDB"/>
    <w:rsid w:val="00985DFC"/>
    <w:rsid w:val="00985E4A"/>
    <w:rsid w:val="00985F98"/>
    <w:rsid w:val="00985FA8"/>
    <w:rsid w:val="009860DB"/>
    <w:rsid w:val="009860EF"/>
    <w:rsid w:val="00986189"/>
    <w:rsid w:val="00986355"/>
    <w:rsid w:val="009864C1"/>
    <w:rsid w:val="00986538"/>
    <w:rsid w:val="00986548"/>
    <w:rsid w:val="009865A8"/>
    <w:rsid w:val="0098676D"/>
    <w:rsid w:val="009867E0"/>
    <w:rsid w:val="00986902"/>
    <w:rsid w:val="00986924"/>
    <w:rsid w:val="00986A57"/>
    <w:rsid w:val="00986B21"/>
    <w:rsid w:val="00986C5F"/>
    <w:rsid w:val="00986CFE"/>
    <w:rsid w:val="00986DD4"/>
    <w:rsid w:val="00986E5D"/>
    <w:rsid w:val="00986E7F"/>
    <w:rsid w:val="00986E84"/>
    <w:rsid w:val="00986F75"/>
    <w:rsid w:val="00987003"/>
    <w:rsid w:val="009870C6"/>
    <w:rsid w:val="00987131"/>
    <w:rsid w:val="0098715A"/>
    <w:rsid w:val="00987198"/>
    <w:rsid w:val="0098733A"/>
    <w:rsid w:val="00987355"/>
    <w:rsid w:val="0098747F"/>
    <w:rsid w:val="0098749F"/>
    <w:rsid w:val="0098750C"/>
    <w:rsid w:val="0098750E"/>
    <w:rsid w:val="00987614"/>
    <w:rsid w:val="00987669"/>
    <w:rsid w:val="0098775C"/>
    <w:rsid w:val="00987950"/>
    <w:rsid w:val="009879B4"/>
    <w:rsid w:val="009879FA"/>
    <w:rsid w:val="00987AC4"/>
    <w:rsid w:val="00987B95"/>
    <w:rsid w:val="00987BBF"/>
    <w:rsid w:val="00987C57"/>
    <w:rsid w:val="00987CF7"/>
    <w:rsid w:val="00987D10"/>
    <w:rsid w:val="00987DDB"/>
    <w:rsid w:val="00987EF7"/>
    <w:rsid w:val="00990070"/>
    <w:rsid w:val="00990223"/>
    <w:rsid w:val="0099049D"/>
    <w:rsid w:val="009905C4"/>
    <w:rsid w:val="00990627"/>
    <w:rsid w:val="0099068B"/>
    <w:rsid w:val="009907D2"/>
    <w:rsid w:val="009907DA"/>
    <w:rsid w:val="00990882"/>
    <w:rsid w:val="0099094F"/>
    <w:rsid w:val="00990A36"/>
    <w:rsid w:val="00990C31"/>
    <w:rsid w:val="00990C6A"/>
    <w:rsid w:val="00990C70"/>
    <w:rsid w:val="00990CA4"/>
    <w:rsid w:val="00990D71"/>
    <w:rsid w:val="00990EC5"/>
    <w:rsid w:val="00990F04"/>
    <w:rsid w:val="00990F09"/>
    <w:rsid w:val="00990F0D"/>
    <w:rsid w:val="00990F35"/>
    <w:rsid w:val="00990F3C"/>
    <w:rsid w:val="00990F3D"/>
    <w:rsid w:val="00990FEF"/>
    <w:rsid w:val="009910BF"/>
    <w:rsid w:val="0099112E"/>
    <w:rsid w:val="00991133"/>
    <w:rsid w:val="0099117F"/>
    <w:rsid w:val="009911A3"/>
    <w:rsid w:val="009911E6"/>
    <w:rsid w:val="009912CC"/>
    <w:rsid w:val="009912F3"/>
    <w:rsid w:val="0099149E"/>
    <w:rsid w:val="009914D6"/>
    <w:rsid w:val="0099152F"/>
    <w:rsid w:val="0099156B"/>
    <w:rsid w:val="0099158D"/>
    <w:rsid w:val="009916B6"/>
    <w:rsid w:val="00991713"/>
    <w:rsid w:val="00991928"/>
    <w:rsid w:val="00991963"/>
    <w:rsid w:val="009919F1"/>
    <w:rsid w:val="00991A68"/>
    <w:rsid w:val="00991ABA"/>
    <w:rsid w:val="00991BCD"/>
    <w:rsid w:val="00991E19"/>
    <w:rsid w:val="00991FAB"/>
    <w:rsid w:val="00992048"/>
    <w:rsid w:val="00992080"/>
    <w:rsid w:val="00992110"/>
    <w:rsid w:val="00992242"/>
    <w:rsid w:val="00992323"/>
    <w:rsid w:val="0099237D"/>
    <w:rsid w:val="009923C2"/>
    <w:rsid w:val="009923DF"/>
    <w:rsid w:val="009923E7"/>
    <w:rsid w:val="00992422"/>
    <w:rsid w:val="00992542"/>
    <w:rsid w:val="0099265D"/>
    <w:rsid w:val="00992882"/>
    <w:rsid w:val="009928A2"/>
    <w:rsid w:val="0099292E"/>
    <w:rsid w:val="00992A0A"/>
    <w:rsid w:val="00992B2A"/>
    <w:rsid w:val="00992B44"/>
    <w:rsid w:val="00992CB7"/>
    <w:rsid w:val="00992D4A"/>
    <w:rsid w:val="00992E37"/>
    <w:rsid w:val="00992E4E"/>
    <w:rsid w:val="00992E54"/>
    <w:rsid w:val="00992EBF"/>
    <w:rsid w:val="00993138"/>
    <w:rsid w:val="009931DA"/>
    <w:rsid w:val="009932C6"/>
    <w:rsid w:val="0099331F"/>
    <w:rsid w:val="0099336F"/>
    <w:rsid w:val="00993525"/>
    <w:rsid w:val="0099353A"/>
    <w:rsid w:val="00993552"/>
    <w:rsid w:val="00993573"/>
    <w:rsid w:val="009935EB"/>
    <w:rsid w:val="009936F0"/>
    <w:rsid w:val="00993857"/>
    <w:rsid w:val="00993975"/>
    <w:rsid w:val="0099397C"/>
    <w:rsid w:val="00993C22"/>
    <w:rsid w:val="00993DF6"/>
    <w:rsid w:val="00993DF7"/>
    <w:rsid w:val="00993F35"/>
    <w:rsid w:val="00993F86"/>
    <w:rsid w:val="00993F91"/>
    <w:rsid w:val="009941FE"/>
    <w:rsid w:val="009941FF"/>
    <w:rsid w:val="00994207"/>
    <w:rsid w:val="00994291"/>
    <w:rsid w:val="00994314"/>
    <w:rsid w:val="009943C4"/>
    <w:rsid w:val="0099440A"/>
    <w:rsid w:val="00994412"/>
    <w:rsid w:val="0099444E"/>
    <w:rsid w:val="009944EF"/>
    <w:rsid w:val="00994507"/>
    <w:rsid w:val="009947B8"/>
    <w:rsid w:val="00994868"/>
    <w:rsid w:val="0099495A"/>
    <w:rsid w:val="009949C2"/>
    <w:rsid w:val="00994B8D"/>
    <w:rsid w:val="00994B9B"/>
    <w:rsid w:val="00994CE2"/>
    <w:rsid w:val="00994E7C"/>
    <w:rsid w:val="00994F58"/>
    <w:rsid w:val="00994F87"/>
    <w:rsid w:val="00994FB5"/>
    <w:rsid w:val="00995298"/>
    <w:rsid w:val="009953B7"/>
    <w:rsid w:val="00995425"/>
    <w:rsid w:val="009956BF"/>
    <w:rsid w:val="009956D6"/>
    <w:rsid w:val="0099589B"/>
    <w:rsid w:val="009958A2"/>
    <w:rsid w:val="00995951"/>
    <w:rsid w:val="00995A03"/>
    <w:rsid w:val="00995B2B"/>
    <w:rsid w:val="00995B74"/>
    <w:rsid w:val="00995BC8"/>
    <w:rsid w:val="00995BCD"/>
    <w:rsid w:val="00995C42"/>
    <w:rsid w:val="00995C99"/>
    <w:rsid w:val="00995DD1"/>
    <w:rsid w:val="00995E60"/>
    <w:rsid w:val="00995EC3"/>
    <w:rsid w:val="00995EEF"/>
    <w:rsid w:val="0099600B"/>
    <w:rsid w:val="0099602A"/>
    <w:rsid w:val="00996088"/>
    <w:rsid w:val="009960CC"/>
    <w:rsid w:val="0099618A"/>
    <w:rsid w:val="0099623E"/>
    <w:rsid w:val="009962E6"/>
    <w:rsid w:val="009963E0"/>
    <w:rsid w:val="00996409"/>
    <w:rsid w:val="009964C4"/>
    <w:rsid w:val="0099652D"/>
    <w:rsid w:val="009965E0"/>
    <w:rsid w:val="009966F4"/>
    <w:rsid w:val="00996706"/>
    <w:rsid w:val="00996766"/>
    <w:rsid w:val="00996944"/>
    <w:rsid w:val="009969B4"/>
    <w:rsid w:val="00996A13"/>
    <w:rsid w:val="00996A62"/>
    <w:rsid w:val="00996AF5"/>
    <w:rsid w:val="00996B14"/>
    <w:rsid w:val="00996C9B"/>
    <w:rsid w:val="00996D43"/>
    <w:rsid w:val="00996D85"/>
    <w:rsid w:val="00996E83"/>
    <w:rsid w:val="00996E90"/>
    <w:rsid w:val="00996FB3"/>
    <w:rsid w:val="00997040"/>
    <w:rsid w:val="00997055"/>
    <w:rsid w:val="009970DC"/>
    <w:rsid w:val="00997144"/>
    <w:rsid w:val="009971D5"/>
    <w:rsid w:val="00997269"/>
    <w:rsid w:val="009972C7"/>
    <w:rsid w:val="00997369"/>
    <w:rsid w:val="00997406"/>
    <w:rsid w:val="00997424"/>
    <w:rsid w:val="00997447"/>
    <w:rsid w:val="00997560"/>
    <w:rsid w:val="0099761C"/>
    <w:rsid w:val="00997675"/>
    <w:rsid w:val="009976C6"/>
    <w:rsid w:val="009976DB"/>
    <w:rsid w:val="00997757"/>
    <w:rsid w:val="009977EA"/>
    <w:rsid w:val="00997822"/>
    <w:rsid w:val="00997826"/>
    <w:rsid w:val="009978FD"/>
    <w:rsid w:val="00997974"/>
    <w:rsid w:val="00997ACF"/>
    <w:rsid w:val="00997B42"/>
    <w:rsid w:val="00997BB7"/>
    <w:rsid w:val="00997C7C"/>
    <w:rsid w:val="00997D11"/>
    <w:rsid w:val="00997D1B"/>
    <w:rsid w:val="00997D83"/>
    <w:rsid w:val="00997E97"/>
    <w:rsid w:val="00997EEE"/>
    <w:rsid w:val="009A0034"/>
    <w:rsid w:val="009A008D"/>
    <w:rsid w:val="009A0106"/>
    <w:rsid w:val="009A015E"/>
    <w:rsid w:val="009A033A"/>
    <w:rsid w:val="009A05BC"/>
    <w:rsid w:val="009A06CA"/>
    <w:rsid w:val="009A06FF"/>
    <w:rsid w:val="009A0734"/>
    <w:rsid w:val="009A07CD"/>
    <w:rsid w:val="009A0811"/>
    <w:rsid w:val="009A0813"/>
    <w:rsid w:val="009A0860"/>
    <w:rsid w:val="009A0873"/>
    <w:rsid w:val="009A0931"/>
    <w:rsid w:val="009A0943"/>
    <w:rsid w:val="009A0A2B"/>
    <w:rsid w:val="009A0B3F"/>
    <w:rsid w:val="009A0C0C"/>
    <w:rsid w:val="009A0CCE"/>
    <w:rsid w:val="009A0D00"/>
    <w:rsid w:val="009A0DAC"/>
    <w:rsid w:val="009A0DC4"/>
    <w:rsid w:val="009A0E4E"/>
    <w:rsid w:val="009A0EE6"/>
    <w:rsid w:val="009A1012"/>
    <w:rsid w:val="009A106F"/>
    <w:rsid w:val="009A11D0"/>
    <w:rsid w:val="009A122C"/>
    <w:rsid w:val="009A125A"/>
    <w:rsid w:val="009A128C"/>
    <w:rsid w:val="009A1296"/>
    <w:rsid w:val="009A1411"/>
    <w:rsid w:val="009A14B1"/>
    <w:rsid w:val="009A1510"/>
    <w:rsid w:val="009A152F"/>
    <w:rsid w:val="009A1583"/>
    <w:rsid w:val="009A15EC"/>
    <w:rsid w:val="009A1603"/>
    <w:rsid w:val="009A165A"/>
    <w:rsid w:val="009A176D"/>
    <w:rsid w:val="009A1838"/>
    <w:rsid w:val="009A18A2"/>
    <w:rsid w:val="009A19C2"/>
    <w:rsid w:val="009A1A15"/>
    <w:rsid w:val="009A1A1E"/>
    <w:rsid w:val="009A1A25"/>
    <w:rsid w:val="009A1AD0"/>
    <w:rsid w:val="009A1CDA"/>
    <w:rsid w:val="009A1D13"/>
    <w:rsid w:val="009A1DE1"/>
    <w:rsid w:val="009A1ED8"/>
    <w:rsid w:val="009A1EF2"/>
    <w:rsid w:val="009A1FC7"/>
    <w:rsid w:val="009A2081"/>
    <w:rsid w:val="009A21BE"/>
    <w:rsid w:val="009A21F4"/>
    <w:rsid w:val="009A2208"/>
    <w:rsid w:val="009A2297"/>
    <w:rsid w:val="009A22A4"/>
    <w:rsid w:val="009A251F"/>
    <w:rsid w:val="009A258C"/>
    <w:rsid w:val="009A258D"/>
    <w:rsid w:val="009A25B9"/>
    <w:rsid w:val="009A2617"/>
    <w:rsid w:val="009A2632"/>
    <w:rsid w:val="009A267F"/>
    <w:rsid w:val="009A26CC"/>
    <w:rsid w:val="009A26EE"/>
    <w:rsid w:val="009A27F0"/>
    <w:rsid w:val="009A28B7"/>
    <w:rsid w:val="009A296F"/>
    <w:rsid w:val="009A297C"/>
    <w:rsid w:val="009A2A02"/>
    <w:rsid w:val="009A2A44"/>
    <w:rsid w:val="009A2A64"/>
    <w:rsid w:val="009A2ACF"/>
    <w:rsid w:val="009A2AD2"/>
    <w:rsid w:val="009A2AFB"/>
    <w:rsid w:val="009A2B5E"/>
    <w:rsid w:val="009A2B6B"/>
    <w:rsid w:val="009A2BF2"/>
    <w:rsid w:val="009A2C1C"/>
    <w:rsid w:val="009A2D0B"/>
    <w:rsid w:val="009A2EBF"/>
    <w:rsid w:val="009A2EC4"/>
    <w:rsid w:val="009A2F57"/>
    <w:rsid w:val="009A2FA6"/>
    <w:rsid w:val="009A3013"/>
    <w:rsid w:val="009A30CE"/>
    <w:rsid w:val="009A31DC"/>
    <w:rsid w:val="009A31E8"/>
    <w:rsid w:val="009A323E"/>
    <w:rsid w:val="009A328F"/>
    <w:rsid w:val="009A334B"/>
    <w:rsid w:val="009A3393"/>
    <w:rsid w:val="009A349C"/>
    <w:rsid w:val="009A3555"/>
    <w:rsid w:val="009A357D"/>
    <w:rsid w:val="009A35AF"/>
    <w:rsid w:val="009A36F8"/>
    <w:rsid w:val="009A3726"/>
    <w:rsid w:val="009A374C"/>
    <w:rsid w:val="009A37DD"/>
    <w:rsid w:val="009A390B"/>
    <w:rsid w:val="009A3A78"/>
    <w:rsid w:val="009A3B41"/>
    <w:rsid w:val="009A3B8E"/>
    <w:rsid w:val="009A3CEA"/>
    <w:rsid w:val="009A3EA6"/>
    <w:rsid w:val="009A3ECC"/>
    <w:rsid w:val="009A3F18"/>
    <w:rsid w:val="009A4051"/>
    <w:rsid w:val="009A405E"/>
    <w:rsid w:val="009A4089"/>
    <w:rsid w:val="009A40FA"/>
    <w:rsid w:val="009A4126"/>
    <w:rsid w:val="009A41F9"/>
    <w:rsid w:val="009A42BB"/>
    <w:rsid w:val="009A4378"/>
    <w:rsid w:val="009A43C6"/>
    <w:rsid w:val="009A43E6"/>
    <w:rsid w:val="009A4432"/>
    <w:rsid w:val="009A44F7"/>
    <w:rsid w:val="009A456F"/>
    <w:rsid w:val="009A458E"/>
    <w:rsid w:val="009A460B"/>
    <w:rsid w:val="009A472F"/>
    <w:rsid w:val="009A481C"/>
    <w:rsid w:val="009A481F"/>
    <w:rsid w:val="009A489C"/>
    <w:rsid w:val="009A4A01"/>
    <w:rsid w:val="009A4A22"/>
    <w:rsid w:val="009A4A35"/>
    <w:rsid w:val="009A4A45"/>
    <w:rsid w:val="009A4A7B"/>
    <w:rsid w:val="009A4C0B"/>
    <w:rsid w:val="009A4C31"/>
    <w:rsid w:val="009A4CA9"/>
    <w:rsid w:val="009A4D31"/>
    <w:rsid w:val="009A4D70"/>
    <w:rsid w:val="009A4D94"/>
    <w:rsid w:val="009A4E21"/>
    <w:rsid w:val="009A4E53"/>
    <w:rsid w:val="009A4E8F"/>
    <w:rsid w:val="009A4F01"/>
    <w:rsid w:val="009A5150"/>
    <w:rsid w:val="009A5172"/>
    <w:rsid w:val="009A5417"/>
    <w:rsid w:val="009A55DF"/>
    <w:rsid w:val="009A55E9"/>
    <w:rsid w:val="009A561B"/>
    <w:rsid w:val="009A572D"/>
    <w:rsid w:val="009A5816"/>
    <w:rsid w:val="009A5835"/>
    <w:rsid w:val="009A58E4"/>
    <w:rsid w:val="009A59D2"/>
    <w:rsid w:val="009A5C25"/>
    <w:rsid w:val="009A5D12"/>
    <w:rsid w:val="009A5D1C"/>
    <w:rsid w:val="009A5D9B"/>
    <w:rsid w:val="009A5DE3"/>
    <w:rsid w:val="009A5E5C"/>
    <w:rsid w:val="009A5E9B"/>
    <w:rsid w:val="009A5E9F"/>
    <w:rsid w:val="009A5EF3"/>
    <w:rsid w:val="009A6082"/>
    <w:rsid w:val="009A60BE"/>
    <w:rsid w:val="009A61EF"/>
    <w:rsid w:val="009A62FF"/>
    <w:rsid w:val="009A6376"/>
    <w:rsid w:val="009A6391"/>
    <w:rsid w:val="009A66A0"/>
    <w:rsid w:val="009A66E3"/>
    <w:rsid w:val="009A6764"/>
    <w:rsid w:val="009A68D0"/>
    <w:rsid w:val="009A69B8"/>
    <w:rsid w:val="009A6ACD"/>
    <w:rsid w:val="009A6AD7"/>
    <w:rsid w:val="009A6B14"/>
    <w:rsid w:val="009A6B43"/>
    <w:rsid w:val="009A6B98"/>
    <w:rsid w:val="009A6BEA"/>
    <w:rsid w:val="009A6C33"/>
    <w:rsid w:val="009A6CC7"/>
    <w:rsid w:val="009A6E12"/>
    <w:rsid w:val="009A6FF6"/>
    <w:rsid w:val="009A7046"/>
    <w:rsid w:val="009A705D"/>
    <w:rsid w:val="009A70C2"/>
    <w:rsid w:val="009A70C7"/>
    <w:rsid w:val="009A7161"/>
    <w:rsid w:val="009A71A7"/>
    <w:rsid w:val="009A724B"/>
    <w:rsid w:val="009A7299"/>
    <w:rsid w:val="009A7320"/>
    <w:rsid w:val="009A73D8"/>
    <w:rsid w:val="009A73F1"/>
    <w:rsid w:val="009A7406"/>
    <w:rsid w:val="009A7461"/>
    <w:rsid w:val="009A74D9"/>
    <w:rsid w:val="009A75E8"/>
    <w:rsid w:val="009A7616"/>
    <w:rsid w:val="009A7673"/>
    <w:rsid w:val="009A7683"/>
    <w:rsid w:val="009A769D"/>
    <w:rsid w:val="009A76B3"/>
    <w:rsid w:val="009A79C4"/>
    <w:rsid w:val="009A7A01"/>
    <w:rsid w:val="009A7B47"/>
    <w:rsid w:val="009A7B9A"/>
    <w:rsid w:val="009A7C92"/>
    <w:rsid w:val="009A7D6C"/>
    <w:rsid w:val="009A7DD2"/>
    <w:rsid w:val="009A7DDC"/>
    <w:rsid w:val="009A7E6B"/>
    <w:rsid w:val="009A7FCC"/>
    <w:rsid w:val="009B009E"/>
    <w:rsid w:val="009B01E1"/>
    <w:rsid w:val="009B04B9"/>
    <w:rsid w:val="009B054D"/>
    <w:rsid w:val="009B06FA"/>
    <w:rsid w:val="009B07F5"/>
    <w:rsid w:val="009B0808"/>
    <w:rsid w:val="009B0930"/>
    <w:rsid w:val="009B093A"/>
    <w:rsid w:val="009B09A4"/>
    <w:rsid w:val="009B0A78"/>
    <w:rsid w:val="009B0BC6"/>
    <w:rsid w:val="009B0C32"/>
    <w:rsid w:val="009B0CB9"/>
    <w:rsid w:val="009B0D15"/>
    <w:rsid w:val="009B0DC2"/>
    <w:rsid w:val="009B0F23"/>
    <w:rsid w:val="009B102B"/>
    <w:rsid w:val="009B1044"/>
    <w:rsid w:val="009B1130"/>
    <w:rsid w:val="009B1145"/>
    <w:rsid w:val="009B118C"/>
    <w:rsid w:val="009B1240"/>
    <w:rsid w:val="009B1308"/>
    <w:rsid w:val="009B130F"/>
    <w:rsid w:val="009B136A"/>
    <w:rsid w:val="009B13C5"/>
    <w:rsid w:val="009B13D1"/>
    <w:rsid w:val="009B1400"/>
    <w:rsid w:val="009B1504"/>
    <w:rsid w:val="009B1575"/>
    <w:rsid w:val="009B15CF"/>
    <w:rsid w:val="009B15FF"/>
    <w:rsid w:val="009B1632"/>
    <w:rsid w:val="009B1668"/>
    <w:rsid w:val="009B1679"/>
    <w:rsid w:val="009B16DD"/>
    <w:rsid w:val="009B173B"/>
    <w:rsid w:val="009B1752"/>
    <w:rsid w:val="009B1829"/>
    <w:rsid w:val="009B18C4"/>
    <w:rsid w:val="009B1A10"/>
    <w:rsid w:val="009B1A51"/>
    <w:rsid w:val="009B1B06"/>
    <w:rsid w:val="009B1B12"/>
    <w:rsid w:val="009B1B4E"/>
    <w:rsid w:val="009B1B7D"/>
    <w:rsid w:val="009B1B83"/>
    <w:rsid w:val="009B1BD8"/>
    <w:rsid w:val="009B1CC4"/>
    <w:rsid w:val="009B1DBC"/>
    <w:rsid w:val="009B1E9C"/>
    <w:rsid w:val="009B1FE8"/>
    <w:rsid w:val="009B2008"/>
    <w:rsid w:val="009B2080"/>
    <w:rsid w:val="009B2170"/>
    <w:rsid w:val="009B21E1"/>
    <w:rsid w:val="009B225D"/>
    <w:rsid w:val="009B2273"/>
    <w:rsid w:val="009B227B"/>
    <w:rsid w:val="009B22C8"/>
    <w:rsid w:val="009B22E6"/>
    <w:rsid w:val="009B23C5"/>
    <w:rsid w:val="009B25B3"/>
    <w:rsid w:val="009B26E2"/>
    <w:rsid w:val="009B2784"/>
    <w:rsid w:val="009B27A3"/>
    <w:rsid w:val="009B2872"/>
    <w:rsid w:val="009B288A"/>
    <w:rsid w:val="009B2917"/>
    <w:rsid w:val="009B2918"/>
    <w:rsid w:val="009B2ADA"/>
    <w:rsid w:val="009B2B66"/>
    <w:rsid w:val="009B2B9C"/>
    <w:rsid w:val="009B2BAC"/>
    <w:rsid w:val="009B2E7D"/>
    <w:rsid w:val="009B2EA5"/>
    <w:rsid w:val="009B2EC6"/>
    <w:rsid w:val="009B2EEE"/>
    <w:rsid w:val="009B2F39"/>
    <w:rsid w:val="009B2F3F"/>
    <w:rsid w:val="009B2F62"/>
    <w:rsid w:val="009B3008"/>
    <w:rsid w:val="009B30D8"/>
    <w:rsid w:val="009B31AA"/>
    <w:rsid w:val="009B3250"/>
    <w:rsid w:val="009B32A2"/>
    <w:rsid w:val="009B330F"/>
    <w:rsid w:val="009B33A4"/>
    <w:rsid w:val="009B33CF"/>
    <w:rsid w:val="009B33E9"/>
    <w:rsid w:val="009B34EF"/>
    <w:rsid w:val="009B365D"/>
    <w:rsid w:val="009B3703"/>
    <w:rsid w:val="009B371A"/>
    <w:rsid w:val="009B3730"/>
    <w:rsid w:val="009B374E"/>
    <w:rsid w:val="009B3783"/>
    <w:rsid w:val="009B37F1"/>
    <w:rsid w:val="009B3915"/>
    <w:rsid w:val="009B3945"/>
    <w:rsid w:val="009B3963"/>
    <w:rsid w:val="009B399D"/>
    <w:rsid w:val="009B39C1"/>
    <w:rsid w:val="009B3BA3"/>
    <w:rsid w:val="009B3C55"/>
    <w:rsid w:val="009B3D94"/>
    <w:rsid w:val="009B3DE5"/>
    <w:rsid w:val="009B3E17"/>
    <w:rsid w:val="009B3E1E"/>
    <w:rsid w:val="009B3E2C"/>
    <w:rsid w:val="009B3EE1"/>
    <w:rsid w:val="009B3F7A"/>
    <w:rsid w:val="009B3FBA"/>
    <w:rsid w:val="009B3FD6"/>
    <w:rsid w:val="009B404E"/>
    <w:rsid w:val="009B40DA"/>
    <w:rsid w:val="009B4152"/>
    <w:rsid w:val="009B419C"/>
    <w:rsid w:val="009B4247"/>
    <w:rsid w:val="009B4288"/>
    <w:rsid w:val="009B4369"/>
    <w:rsid w:val="009B4478"/>
    <w:rsid w:val="009B453C"/>
    <w:rsid w:val="009B456B"/>
    <w:rsid w:val="009B456E"/>
    <w:rsid w:val="009B45D6"/>
    <w:rsid w:val="009B467E"/>
    <w:rsid w:val="009B4711"/>
    <w:rsid w:val="009B471B"/>
    <w:rsid w:val="009B473D"/>
    <w:rsid w:val="009B4766"/>
    <w:rsid w:val="009B478F"/>
    <w:rsid w:val="009B485D"/>
    <w:rsid w:val="009B492F"/>
    <w:rsid w:val="009B496E"/>
    <w:rsid w:val="009B49B5"/>
    <w:rsid w:val="009B49EE"/>
    <w:rsid w:val="009B4A52"/>
    <w:rsid w:val="009B4B79"/>
    <w:rsid w:val="009B4BBC"/>
    <w:rsid w:val="009B4BCE"/>
    <w:rsid w:val="009B4BF5"/>
    <w:rsid w:val="009B4BFA"/>
    <w:rsid w:val="009B4BFC"/>
    <w:rsid w:val="009B4C0D"/>
    <w:rsid w:val="009B4C29"/>
    <w:rsid w:val="009B4D0E"/>
    <w:rsid w:val="009B4DA8"/>
    <w:rsid w:val="009B4DCE"/>
    <w:rsid w:val="009B4DD9"/>
    <w:rsid w:val="009B4DF1"/>
    <w:rsid w:val="009B4DFC"/>
    <w:rsid w:val="009B4FFC"/>
    <w:rsid w:val="009B5032"/>
    <w:rsid w:val="009B506F"/>
    <w:rsid w:val="009B50B9"/>
    <w:rsid w:val="009B514F"/>
    <w:rsid w:val="009B51EB"/>
    <w:rsid w:val="009B524B"/>
    <w:rsid w:val="009B52DA"/>
    <w:rsid w:val="009B5318"/>
    <w:rsid w:val="009B5337"/>
    <w:rsid w:val="009B5394"/>
    <w:rsid w:val="009B5577"/>
    <w:rsid w:val="009B558A"/>
    <w:rsid w:val="009B55AF"/>
    <w:rsid w:val="009B56A0"/>
    <w:rsid w:val="009B56BD"/>
    <w:rsid w:val="009B5734"/>
    <w:rsid w:val="009B57AC"/>
    <w:rsid w:val="009B5869"/>
    <w:rsid w:val="009B5873"/>
    <w:rsid w:val="009B5A87"/>
    <w:rsid w:val="009B5D7E"/>
    <w:rsid w:val="009B5E3E"/>
    <w:rsid w:val="009B5EAC"/>
    <w:rsid w:val="009B5F21"/>
    <w:rsid w:val="009B5F45"/>
    <w:rsid w:val="009B5FC2"/>
    <w:rsid w:val="009B60AF"/>
    <w:rsid w:val="009B6114"/>
    <w:rsid w:val="009B6292"/>
    <w:rsid w:val="009B6375"/>
    <w:rsid w:val="009B63BC"/>
    <w:rsid w:val="009B63FA"/>
    <w:rsid w:val="009B6473"/>
    <w:rsid w:val="009B64B0"/>
    <w:rsid w:val="009B65CA"/>
    <w:rsid w:val="009B6621"/>
    <w:rsid w:val="009B669B"/>
    <w:rsid w:val="009B66A3"/>
    <w:rsid w:val="009B6705"/>
    <w:rsid w:val="009B679A"/>
    <w:rsid w:val="009B6870"/>
    <w:rsid w:val="009B69BA"/>
    <w:rsid w:val="009B69C1"/>
    <w:rsid w:val="009B69E1"/>
    <w:rsid w:val="009B6A49"/>
    <w:rsid w:val="009B6AD5"/>
    <w:rsid w:val="009B6BF1"/>
    <w:rsid w:val="009B6C9E"/>
    <w:rsid w:val="009B6D25"/>
    <w:rsid w:val="009B6D2D"/>
    <w:rsid w:val="009B6DA0"/>
    <w:rsid w:val="009B6ECC"/>
    <w:rsid w:val="009B6EDB"/>
    <w:rsid w:val="009B6FAC"/>
    <w:rsid w:val="009B71CD"/>
    <w:rsid w:val="009B7216"/>
    <w:rsid w:val="009B7259"/>
    <w:rsid w:val="009B73F2"/>
    <w:rsid w:val="009B752B"/>
    <w:rsid w:val="009B753A"/>
    <w:rsid w:val="009B756A"/>
    <w:rsid w:val="009B7580"/>
    <w:rsid w:val="009B75F2"/>
    <w:rsid w:val="009B7600"/>
    <w:rsid w:val="009B7603"/>
    <w:rsid w:val="009B760C"/>
    <w:rsid w:val="009B774F"/>
    <w:rsid w:val="009B77EC"/>
    <w:rsid w:val="009B7815"/>
    <w:rsid w:val="009B78AC"/>
    <w:rsid w:val="009B7902"/>
    <w:rsid w:val="009B79BC"/>
    <w:rsid w:val="009B79BF"/>
    <w:rsid w:val="009B7BAF"/>
    <w:rsid w:val="009B7C29"/>
    <w:rsid w:val="009B7C2E"/>
    <w:rsid w:val="009B7C88"/>
    <w:rsid w:val="009B7D11"/>
    <w:rsid w:val="009B7D43"/>
    <w:rsid w:val="009B7ED4"/>
    <w:rsid w:val="009B7F49"/>
    <w:rsid w:val="009B7FF5"/>
    <w:rsid w:val="009C0017"/>
    <w:rsid w:val="009C00A5"/>
    <w:rsid w:val="009C00F5"/>
    <w:rsid w:val="009C01AA"/>
    <w:rsid w:val="009C02E1"/>
    <w:rsid w:val="009C02E3"/>
    <w:rsid w:val="009C0358"/>
    <w:rsid w:val="009C03DE"/>
    <w:rsid w:val="009C042F"/>
    <w:rsid w:val="009C04A1"/>
    <w:rsid w:val="009C04AF"/>
    <w:rsid w:val="009C05D1"/>
    <w:rsid w:val="009C0715"/>
    <w:rsid w:val="009C0810"/>
    <w:rsid w:val="009C0815"/>
    <w:rsid w:val="009C0827"/>
    <w:rsid w:val="009C091B"/>
    <w:rsid w:val="009C0933"/>
    <w:rsid w:val="009C093A"/>
    <w:rsid w:val="009C093E"/>
    <w:rsid w:val="009C093F"/>
    <w:rsid w:val="009C0949"/>
    <w:rsid w:val="009C0ADD"/>
    <w:rsid w:val="009C0B08"/>
    <w:rsid w:val="009C0B8F"/>
    <w:rsid w:val="009C0BD1"/>
    <w:rsid w:val="009C0C3D"/>
    <w:rsid w:val="009C0CBC"/>
    <w:rsid w:val="009C0D61"/>
    <w:rsid w:val="009C0DBA"/>
    <w:rsid w:val="009C0E32"/>
    <w:rsid w:val="009C0E5F"/>
    <w:rsid w:val="009C0EA1"/>
    <w:rsid w:val="009C0ED8"/>
    <w:rsid w:val="009C0EF1"/>
    <w:rsid w:val="009C0F92"/>
    <w:rsid w:val="009C0FBD"/>
    <w:rsid w:val="009C1073"/>
    <w:rsid w:val="009C10A5"/>
    <w:rsid w:val="009C10AB"/>
    <w:rsid w:val="009C111D"/>
    <w:rsid w:val="009C112F"/>
    <w:rsid w:val="009C11F8"/>
    <w:rsid w:val="009C1417"/>
    <w:rsid w:val="009C14B8"/>
    <w:rsid w:val="009C1515"/>
    <w:rsid w:val="009C15F8"/>
    <w:rsid w:val="009C1685"/>
    <w:rsid w:val="009C16B3"/>
    <w:rsid w:val="009C173D"/>
    <w:rsid w:val="009C1765"/>
    <w:rsid w:val="009C1789"/>
    <w:rsid w:val="009C17A3"/>
    <w:rsid w:val="009C1860"/>
    <w:rsid w:val="009C18E6"/>
    <w:rsid w:val="009C1956"/>
    <w:rsid w:val="009C1977"/>
    <w:rsid w:val="009C19FE"/>
    <w:rsid w:val="009C1A0D"/>
    <w:rsid w:val="009C1A40"/>
    <w:rsid w:val="009C1A6B"/>
    <w:rsid w:val="009C1A80"/>
    <w:rsid w:val="009C1A9C"/>
    <w:rsid w:val="009C1C2B"/>
    <w:rsid w:val="009C1C2E"/>
    <w:rsid w:val="009C1D0B"/>
    <w:rsid w:val="009C1D29"/>
    <w:rsid w:val="009C1D75"/>
    <w:rsid w:val="009C1DE5"/>
    <w:rsid w:val="009C1E06"/>
    <w:rsid w:val="009C1E7D"/>
    <w:rsid w:val="009C1E8F"/>
    <w:rsid w:val="009C1E91"/>
    <w:rsid w:val="009C1EA9"/>
    <w:rsid w:val="009C1F32"/>
    <w:rsid w:val="009C1F84"/>
    <w:rsid w:val="009C2014"/>
    <w:rsid w:val="009C203B"/>
    <w:rsid w:val="009C2157"/>
    <w:rsid w:val="009C2173"/>
    <w:rsid w:val="009C21D3"/>
    <w:rsid w:val="009C21E0"/>
    <w:rsid w:val="009C2260"/>
    <w:rsid w:val="009C2285"/>
    <w:rsid w:val="009C2312"/>
    <w:rsid w:val="009C236F"/>
    <w:rsid w:val="009C2388"/>
    <w:rsid w:val="009C2490"/>
    <w:rsid w:val="009C262E"/>
    <w:rsid w:val="009C2673"/>
    <w:rsid w:val="009C26FB"/>
    <w:rsid w:val="009C2716"/>
    <w:rsid w:val="009C2720"/>
    <w:rsid w:val="009C2725"/>
    <w:rsid w:val="009C27E5"/>
    <w:rsid w:val="009C2825"/>
    <w:rsid w:val="009C2926"/>
    <w:rsid w:val="009C296D"/>
    <w:rsid w:val="009C297E"/>
    <w:rsid w:val="009C2A5D"/>
    <w:rsid w:val="009C2C18"/>
    <w:rsid w:val="009C2C4C"/>
    <w:rsid w:val="009C2D09"/>
    <w:rsid w:val="009C2D41"/>
    <w:rsid w:val="009C2DD4"/>
    <w:rsid w:val="009C2F63"/>
    <w:rsid w:val="009C3095"/>
    <w:rsid w:val="009C3197"/>
    <w:rsid w:val="009C3407"/>
    <w:rsid w:val="009C343E"/>
    <w:rsid w:val="009C34A2"/>
    <w:rsid w:val="009C3600"/>
    <w:rsid w:val="009C368B"/>
    <w:rsid w:val="009C36B0"/>
    <w:rsid w:val="009C37C0"/>
    <w:rsid w:val="009C37CF"/>
    <w:rsid w:val="009C3A6E"/>
    <w:rsid w:val="009C3AE7"/>
    <w:rsid w:val="009C3B18"/>
    <w:rsid w:val="009C3B97"/>
    <w:rsid w:val="009C3CFE"/>
    <w:rsid w:val="009C3D40"/>
    <w:rsid w:val="009C3DAA"/>
    <w:rsid w:val="009C3EBF"/>
    <w:rsid w:val="009C3EC0"/>
    <w:rsid w:val="009C3ECD"/>
    <w:rsid w:val="009C3EE9"/>
    <w:rsid w:val="009C3EEA"/>
    <w:rsid w:val="009C400D"/>
    <w:rsid w:val="009C402B"/>
    <w:rsid w:val="009C4053"/>
    <w:rsid w:val="009C4161"/>
    <w:rsid w:val="009C4239"/>
    <w:rsid w:val="009C428B"/>
    <w:rsid w:val="009C42FC"/>
    <w:rsid w:val="009C431B"/>
    <w:rsid w:val="009C434F"/>
    <w:rsid w:val="009C4500"/>
    <w:rsid w:val="009C4584"/>
    <w:rsid w:val="009C45DF"/>
    <w:rsid w:val="009C45FF"/>
    <w:rsid w:val="009C4655"/>
    <w:rsid w:val="009C46F7"/>
    <w:rsid w:val="009C4718"/>
    <w:rsid w:val="009C4755"/>
    <w:rsid w:val="009C4773"/>
    <w:rsid w:val="009C479F"/>
    <w:rsid w:val="009C4862"/>
    <w:rsid w:val="009C4907"/>
    <w:rsid w:val="009C4935"/>
    <w:rsid w:val="009C496E"/>
    <w:rsid w:val="009C49A6"/>
    <w:rsid w:val="009C49FD"/>
    <w:rsid w:val="009C4B32"/>
    <w:rsid w:val="009C4B35"/>
    <w:rsid w:val="009C4B6B"/>
    <w:rsid w:val="009C4C1D"/>
    <w:rsid w:val="009C4CB5"/>
    <w:rsid w:val="009C4D04"/>
    <w:rsid w:val="009C4D1B"/>
    <w:rsid w:val="009C4D77"/>
    <w:rsid w:val="009C4DC2"/>
    <w:rsid w:val="009C4DF8"/>
    <w:rsid w:val="009C4E1F"/>
    <w:rsid w:val="009C4F0C"/>
    <w:rsid w:val="009C4F18"/>
    <w:rsid w:val="009C4F4C"/>
    <w:rsid w:val="009C4FB3"/>
    <w:rsid w:val="009C4FF2"/>
    <w:rsid w:val="009C5059"/>
    <w:rsid w:val="009C507C"/>
    <w:rsid w:val="009C5102"/>
    <w:rsid w:val="009C5118"/>
    <w:rsid w:val="009C5183"/>
    <w:rsid w:val="009C520E"/>
    <w:rsid w:val="009C52DC"/>
    <w:rsid w:val="009C5533"/>
    <w:rsid w:val="009C55EA"/>
    <w:rsid w:val="009C5624"/>
    <w:rsid w:val="009C563D"/>
    <w:rsid w:val="009C563E"/>
    <w:rsid w:val="009C56F5"/>
    <w:rsid w:val="009C5771"/>
    <w:rsid w:val="009C58C5"/>
    <w:rsid w:val="009C5921"/>
    <w:rsid w:val="009C5934"/>
    <w:rsid w:val="009C5952"/>
    <w:rsid w:val="009C5A36"/>
    <w:rsid w:val="009C5ACF"/>
    <w:rsid w:val="009C5B8B"/>
    <w:rsid w:val="009C5BC0"/>
    <w:rsid w:val="009C5C43"/>
    <w:rsid w:val="009C5C6B"/>
    <w:rsid w:val="009C5E47"/>
    <w:rsid w:val="009C5FC8"/>
    <w:rsid w:val="009C601A"/>
    <w:rsid w:val="009C60A5"/>
    <w:rsid w:val="009C614E"/>
    <w:rsid w:val="009C618A"/>
    <w:rsid w:val="009C626A"/>
    <w:rsid w:val="009C6271"/>
    <w:rsid w:val="009C630E"/>
    <w:rsid w:val="009C6331"/>
    <w:rsid w:val="009C637E"/>
    <w:rsid w:val="009C63C3"/>
    <w:rsid w:val="009C63D4"/>
    <w:rsid w:val="009C63DB"/>
    <w:rsid w:val="009C63E7"/>
    <w:rsid w:val="009C6487"/>
    <w:rsid w:val="009C6505"/>
    <w:rsid w:val="009C6577"/>
    <w:rsid w:val="009C6626"/>
    <w:rsid w:val="009C66D6"/>
    <w:rsid w:val="009C6732"/>
    <w:rsid w:val="009C6781"/>
    <w:rsid w:val="009C6789"/>
    <w:rsid w:val="009C684F"/>
    <w:rsid w:val="009C69C2"/>
    <w:rsid w:val="009C6A04"/>
    <w:rsid w:val="009C6A08"/>
    <w:rsid w:val="009C6AEB"/>
    <w:rsid w:val="009C6AF8"/>
    <w:rsid w:val="009C6AFF"/>
    <w:rsid w:val="009C6B1C"/>
    <w:rsid w:val="009C6BB7"/>
    <w:rsid w:val="009C6C13"/>
    <w:rsid w:val="009C6C3A"/>
    <w:rsid w:val="009C6C51"/>
    <w:rsid w:val="009C6C61"/>
    <w:rsid w:val="009C6E3B"/>
    <w:rsid w:val="009C6E59"/>
    <w:rsid w:val="009C6F36"/>
    <w:rsid w:val="009C6FBF"/>
    <w:rsid w:val="009C7010"/>
    <w:rsid w:val="009C7188"/>
    <w:rsid w:val="009C7449"/>
    <w:rsid w:val="009C7660"/>
    <w:rsid w:val="009C7732"/>
    <w:rsid w:val="009C7742"/>
    <w:rsid w:val="009C78C1"/>
    <w:rsid w:val="009C78DC"/>
    <w:rsid w:val="009C79C0"/>
    <w:rsid w:val="009C7AA1"/>
    <w:rsid w:val="009C7AB1"/>
    <w:rsid w:val="009C7ADA"/>
    <w:rsid w:val="009C7B4F"/>
    <w:rsid w:val="009C7CD1"/>
    <w:rsid w:val="009C7DBD"/>
    <w:rsid w:val="009C7EEF"/>
    <w:rsid w:val="009C7F16"/>
    <w:rsid w:val="009C7F6C"/>
    <w:rsid w:val="009C7FE3"/>
    <w:rsid w:val="009D0026"/>
    <w:rsid w:val="009D00BB"/>
    <w:rsid w:val="009D01A1"/>
    <w:rsid w:val="009D0271"/>
    <w:rsid w:val="009D03BD"/>
    <w:rsid w:val="009D03DB"/>
    <w:rsid w:val="009D0405"/>
    <w:rsid w:val="009D043C"/>
    <w:rsid w:val="009D044C"/>
    <w:rsid w:val="009D04F6"/>
    <w:rsid w:val="009D04FF"/>
    <w:rsid w:val="009D07AF"/>
    <w:rsid w:val="009D07BA"/>
    <w:rsid w:val="009D0983"/>
    <w:rsid w:val="009D09D8"/>
    <w:rsid w:val="009D0A30"/>
    <w:rsid w:val="009D0AF0"/>
    <w:rsid w:val="009D0BB3"/>
    <w:rsid w:val="009D0BC9"/>
    <w:rsid w:val="009D0D1A"/>
    <w:rsid w:val="009D0D26"/>
    <w:rsid w:val="009D0DDE"/>
    <w:rsid w:val="009D0E53"/>
    <w:rsid w:val="009D0F57"/>
    <w:rsid w:val="009D0FD9"/>
    <w:rsid w:val="009D0FDA"/>
    <w:rsid w:val="009D100C"/>
    <w:rsid w:val="009D1036"/>
    <w:rsid w:val="009D116D"/>
    <w:rsid w:val="009D130F"/>
    <w:rsid w:val="009D1337"/>
    <w:rsid w:val="009D153F"/>
    <w:rsid w:val="009D1582"/>
    <w:rsid w:val="009D1671"/>
    <w:rsid w:val="009D1805"/>
    <w:rsid w:val="009D1821"/>
    <w:rsid w:val="009D1868"/>
    <w:rsid w:val="009D18B5"/>
    <w:rsid w:val="009D199F"/>
    <w:rsid w:val="009D1B3B"/>
    <w:rsid w:val="009D1BD9"/>
    <w:rsid w:val="009D1C5F"/>
    <w:rsid w:val="009D1CA0"/>
    <w:rsid w:val="009D1CAE"/>
    <w:rsid w:val="009D1D16"/>
    <w:rsid w:val="009D1E9B"/>
    <w:rsid w:val="009D1EDE"/>
    <w:rsid w:val="009D1F9A"/>
    <w:rsid w:val="009D1F9D"/>
    <w:rsid w:val="009D1FDC"/>
    <w:rsid w:val="009D20D3"/>
    <w:rsid w:val="009D2159"/>
    <w:rsid w:val="009D2188"/>
    <w:rsid w:val="009D2194"/>
    <w:rsid w:val="009D2258"/>
    <w:rsid w:val="009D22FC"/>
    <w:rsid w:val="009D2315"/>
    <w:rsid w:val="009D23A0"/>
    <w:rsid w:val="009D2475"/>
    <w:rsid w:val="009D2588"/>
    <w:rsid w:val="009D259A"/>
    <w:rsid w:val="009D2761"/>
    <w:rsid w:val="009D2783"/>
    <w:rsid w:val="009D27F7"/>
    <w:rsid w:val="009D282D"/>
    <w:rsid w:val="009D2915"/>
    <w:rsid w:val="009D293D"/>
    <w:rsid w:val="009D29BA"/>
    <w:rsid w:val="009D29DE"/>
    <w:rsid w:val="009D2BAC"/>
    <w:rsid w:val="009D2BC1"/>
    <w:rsid w:val="009D2BF9"/>
    <w:rsid w:val="009D2D06"/>
    <w:rsid w:val="009D2D24"/>
    <w:rsid w:val="009D2DC4"/>
    <w:rsid w:val="009D2F19"/>
    <w:rsid w:val="009D2FD0"/>
    <w:rsid w:val="009D3155"/>
    <w:rsid w:val="009D317F"/>
    <w:rsid w:val="009D31DF"/>
    <w:rsid w:val="009D3287"/>
    <w:rsid w:val="009D32BB"/>
    <w:rsid w:val="009D32CE"/>
    <w:rsid w:val="009D335E"/>
    <w:rsid w:val="009D343B"/>
    <w:rsid w:val="009D3466"/>
    <w:rsid w:val="009D3492"/>
    <w:rsid w:val="009D34EE"/>
    <w:rsid w:val="009D3530"/>
    <w:rsid w:val="009D3535"/>
    <w:rsid w:val="009D3555"/>
    <w:rsid w:val="009D3570"/>
    <w:rsid w:val="009D3588"/>
    <w:rsid w:val="009D35A6"/>
    <w:rsid w:val="009D35D0"/>
    <w:rsid w:val="009D35E0"/>
    <w:rsid w:val="009D3608"/>
    <w:rsid w:val="009D364E"/>
    <w:rsid w:val="009D366B"/>
    <w:rsid w:val="009D36AD"/>
    <w:rsid w:val="009D36E5"/>
    <w:rsid w:val="009D36E8"/>
    <w:rsid w:val="009D379E"/>
    <w:rsid w:val="009D3824"/>
    <w:rsid w:val="009D3893"/>
    <w:rsid w:val="009D3899"/>
    <w:rsid w:val="009D38A9"/>
    <w:rsid w:val="009D3A19"/>
    <w:rsid w:val="009D3A5D"/>
    <w:rsid w:val="009D3A95"/>
    <w:rsid w:val="009D3B07"/>
    <w:rsid w:val="009D3C11"/>
    <w:rsid w:val="009D3C50"/>
    <w:rsid w:val="009D3CB5"/>
    <w:rsid w:val="009D3CD4"/>
    <w:rsid w:val="009D3CDB"/>
    <w:rsid w:val="009D3E2D"/>
    <w:rsid w:val="009D3E6D"/>
    <w:rsid w:val="009D400C"/>
    <w:rsid w:val="009D422D"/>
    <w:rsid w:val="009D42C4"/>
    <w:rsid w:val="009D42DD"/>
    <w:rsid w:val="009D43AD"/>
    <w:rsid w:val="009D44C3"/>
    <w:rsid w:val="009D44F5"/>
    <w:rsid w:val="009D4532"/>
    <w:rsid w:val="009D4594"/>
    <w:rsid w:val="009D4683"/>
    <w:rsid w:val="009D46E7"/>
    <w:rsid w:val="009D473D"/>
    <w:rsid w:val="009D47A1"/>
    <w:rsid w:val="009D4868"/>
    <w:rsid w:val="009D48A1"/>
    <w:rsid w:val="009D48B2"/>
    <w:rsid w:val="009D48B3"/>
    <w:rsid w:val="009D48D6"/>
    <w:rsid w:val="009D499C"/>
    <w:rsid w:val="009D49CE"/>
    <w:rsid w:val="009D49FF"/>
    <w:rsid w:val="009D4AB2"/>
    <w:rsid w:val="009D4BC3"/>
    <w:rsid w:val="009D4BC6"/>
    <w:rsid w:val="009D4C80"/>
    <w:rsid w:val="009D4D63"/>
    <w:rsid w:val="009D4DAB"/>
    <w:rsid w:val="009D4E19"/>
    <w:rsid w:val="009D4E23"/>
    <w:rsid w:val="009D4E5F"/>
    <w:rsid w:val="009D4E60"/>
    <w:rsid w:val="009D4FB9"/>
    <w:rsid w:val="009D5007"/>
    <w:rsid w:val="009D5077"/>
    <w:rsid w:val="009D50E4"/>
    <w:rsid w:val="009D510F"/>
    <w:rsid w:val="009D5112"/>
    <w:rsid w:val="009D5288"/>
    <w:rsid w:val="009D5332"/>
    <w:rsid w:val="009D53CE"/>
    <w:rsid w:val="009D54B9"/>
    <w:rsid w:val="009D54D8"/>
    <w:rsid w:val="009D54EF"/>
    <w:rsid w:val="009D55BE"/>
    <w:rsid w:val="009D564B"/>
    <w:rsid w:val="009D56D2"/>
    <w:rsid w:val="009D56DB"/>
    <w:rsid w:val="009D56E9"/>
    <w:rsid w:val="009D58F2"/>
    <w:rsid w:val="009D58F9"/>
    <w:rsid w:val="009D59AE"/>
    <w:rsid w:val="009D5A3A"/>
    <w:rsid w:val="009D5A49"/>
    <w:rsid w:val="009D5B06"/>
    <w:rsid w:val="009D5B84"/>
    <w:rsid w:val="009D5C56"/>
    <w:rsid w:val="009D5D14"/>
    <w:rsid w:val="009D5DDF"/>
    <w:rsid w:val="009D5E88"/>
    <w:rsid w:val="009D60DA"/>
    <w:rsid w:val="009D6119"/>
    <w:rsid w:val="009D6180"/>
    <w:rsid w:val="009D6306"/>
    <w:rsid w:val="009D6400"/>
    <w:rsid w:val="009D6511"/>
    <w:rsid w:val="009D656A"/>
    <w:rsid w:val="009D65AE"/>
    <w:rsid w:val="009D65C3"/>
    <w:rsid w:val="009D65DC"/>
    <w:rsid w:val="009D65EF"/>
    <w:rsid w:val="009D66D7"/>
    <w:rsid w:val="009D66F4"/>
    <w:rsid w:val="009D6770"/>
    <w:rsid w:val="009D6823"/>
    <w:rsid w:val="009D69A5"/>
    <w:rsid w:val="009D6A0A"/>
    <w:rsid w:val="009D6AAD"/>
    <w:rsid w:val="009D6BC8"/>
    <w:rsid w:val="009D6C18"/>
    <w:rsid w:val="009D6CB0"/>
    <w:rsid w:val="009D6DC7"/>
    <w:rsid w:val="009D6E0C"/>
    <w:rsid w:val="009D6F0F"/>
    <w:rsid w:val="009D6F8D"/>
    <w:rsid w:val="009D6FBC"/>
    <w:rsid w:val="009D6FE3"/>
    <w:rsid w:val="009D7096"/>
    <w:rsid w:val="009D7103"/>
    <w:rsid w:val="009D723A"/>
    <w:rsid w:val="009D73DD"/>
    <w:rsid w:val="009D73F0"/>
    <w:rsid w:val="009D7433"/>
    <w:rsid w:val="009D748E"/>
    <w:rsid w:val="009D7491"/>
    <w:rsid w:val="009D7509"/>
    <w:rsid w:val="009D7658"/>
    <w:rsid w:val="009D7727"/>
    <w:rsid w:val="009D7793"/>
    <w:rsid w:val="009D7820"/>
    <w:rsid w:val="009D7824"/>
    <w:rsid w:val="009D785B"/>
    <w:rsid w:val="009D7948"/>
    <w:rsid w:val="009D7970"/>
    <w:rsid w:val="009D79C5"/>
    <w:rsid w:val="009D7A1D"/>
    <w:rsid w:val="009D7A47"/>
    <w:rsid w:val="009D7BD7"/>
    <w:rsid w:val="009D7CA8"/>
    <w:rsid w:val="009D7E34"/>
    <w:rsid w:val="009D7F21"/>
    <w:rsid w:val="009D7F7D"/>
    <w:rsid w:val="009D7FD6"/>
    <w:rsid w:val="009D9241"/>
    <w:rsid w:val="009E013F"/>
    <w:rsid w:val="009E0234"/>
    <w:rsid w:val="009E024D"/>
    <w:rsid w:val="009E027E"/>
    <w:rsid w:val="009E0338"/>
    <w:rsid w:val="009E03EA"/>
    <w:rsid w:val="009E03FD"/>
    <w:rsid w:val="009E0477"/>
    <w:rsid w:val="009E060F"/>
    <w:rsid w:val="009E065E"/>
    <w:rsid w:val="009E0660"/>
    <w:rsid w:val="009E066D"/>
    <w:rsid w:val="009E069B"/>
    <w:rsid w:val="009E0792"/>
    <w:rsid w:val="009E09B6"/>
    <w:rsid w:val="009E0C54"/>
    <w:rsid w:val="009E0CD6"/>
    <w:rsid w:val="009E0D95"/>
    <w:rsid w:val="009E0DAC"/>
    <w:rsid w:val="009E0DC4"/>
    <w:rsid w:val="009E0E16"/>
    <w:rsid w:val="009E0EB4"/>
    <w:rsid w:val="009E0F6E"/>
    <w:rsid w:val="009E0F71"/>
    <w:rsid w:val="009E0F97"/>
    <w:rsid w:val="009E110D"/>
    <w:rsid w:val="009E118E"/>
    <w:rsid w:val="009E1209"/>
    <w:rsid w:val="009E121E"/>
    <w:rsid w:val="009E12B6"/>
    <w:rsid w:val="009E12BD"/>
    <w:rsid w:val="009E12FE"/>
    <w:rsid w:val="009E132F"/>
    <w:rsid w:val="009E135B"/>
    <w:rsid w:val="009E140D"/>
    <w:rsid w:val="009E1499"/>
    <w:rsid w:val="009E14AC"/>
    <w:rsid w:val="009E14BB"/>
    <w:rsid w:val="009E15FC"/>
    <w:rsid w:val="009E1603"/>
    <w:rsid w:val="009E170A"/>
    <w:rsid w:val="009E183D"/>
    <w:rsid w:val="009E1853"/>
    <w:rsid w:val="009E18D1"/>
    <w:rsid w:val="009E192A"/>
    <w:rsid w:val="009E19FD"/>
    <w:rsid w:val="009E1BEB"/>
    <w:rsid w:val="009E1C94"/>
    <w:rsid w:val="009E1CA2"/>
    <w:rsid w:val="009E1CC9"/>
    <w:rsid w:val="009E1CD0"/>
    <w:rsid w:val="009E1D6D"/>
    <w:rsid w:val="009E1D7B"/>
    <w:rsid w:val="009E1F6F"/>
    <w:rsid w:val="009E20E4"/>
    <w:rsid w:val="009E20E9"/>
    <w:rsid w:val="009E2121"/>
    <w:rsid w:val="009E2187"/>
    <w:rsid w:val="009E221E"/>
    <w:rsid w:val="009E2249"/>
    <w:rsid w:val="009E2270"/>
    <w:rsid w:val="009E2281"/>
    <w:rsid w:val="009E23BE"/>
    <w:rsid w:val="009E243B"/>
    <w:rsid w:val="009E256D"/>
    <w:rsid w:val="009E25B2"/>
    <w:rsid w:val="009E25B7"/>
    <w:rsid w:val="009E2644"/>
    <w:rsid w:val="009E27AE"/>
    <w:rsid w:val="009E27B5"/>
    <w:rsid w:val="009E27D8"/>
    <w:rsid w:val="009E2823"/>
    <w:rsid w:val="009E28B9"/>
    <w:rsid w:val="009E28D0"/>
    <w:rsid w:val="009E2976"/>
    <w:rsid w:val="009E297A"/>
    <w:rsid w:val="009E2AA0"/>
    <w:rsid w:val="009E2AD0"/>
    <w:rsid w:val="009E2C3F"/>
    <w:rsid w:val="009E2C6E"/>
    <w:rsid w:val="009E2C91"/>
    <w:rsid w:val="009E2CF0"/>
    <w:rsid w:val="009E2D2D"/>
    <w:rsid w:val="009E2D64"/>
    <w:rsid w:val="009E2D9C"/>
    <w:rsid w:val="009E2DCE"/>
    <w:rsid w:val="009E2E10"/>
    <w:rsid w:val="009E2EBC"/>
    <w:rsid w:val="009E2FA9"/>
    <w:rsid w:val="009E2FC9"/>
    <w:rsid w:val="009E3026"/>
    <w:rsid w:val="009E3048"/>
    <w:rsid w:val="009E3107"/>
    <w:rsid w:val="009E3177"/>
    <w:rsid w:val="009E32F2"/>
    <w:rsid w:val="009E343F"/>
    <w:rsid w:val="009E35C1"/>
    <w:rsid w:val="009E3710"/>
    <w:rsid w:val="009E37B2"/>
    <w:rsid w:val="009E37CF"/>
    <w:rsid w:val="009E3909"/>
    <w:rsid w:val="009E391D"/>
    <w:rsid w:val="009E393F"/>
    <w:rsid w:val="009E3AA0"/>
    <w:rsid w:val="009E3AC0"/>
    <w:rsid w:val="009E3AF3"/>
    <w:rsid w:val="009E3B25"/>
    <w:rsid w:val="009E3BE4"/>
    <w:rsid w:val="009E3BFA"/>
    <w:rsid w:val="009E3C4B"/>
    <w:rsid w:val="009E3C9A"/>
    <w:rsid w:val="009E3D06"/>
    <w:rsid w:val="009E3D5B"/>
    <w:rsid w:val="009E3E03"/>
    <w:rsid w:val="009E3E58"/>
    <w:rsid w:val="009E421D"/>
    <w:rsid w:val="009E4298"/>
    <w:rsid w:val="009E42B1"/>
    <w:rsid w:val="009E430B"/>
    <w:rsid w:val="009E441B"/>
    <w:rsid w:val="009E4435"/>
    <w:rsid w:val="009E44F1"/>
    <w:rsid w:val="009E4674"/>
    <w:rsid w:val="009E4743"/>
    <w:rsid w:val="009E47AB"/>
    <w:rsid w:val="009E487F"/>
    <w:rsid w:val="009E48C3"/>
    <w:rsid w:val="009E48DE"/>
    <w:rsid w:val="009E49C5"/>
    <w:rsid w:val="009E4A48"/>
    <w:rsid w:val="009E4A50"/>
    <w:rsid w:val="009E4BEC"/>
    <w:rsid w:val="009E4CA7"/>
    <w:rsid w:val="009E4D25"/>
    <w:rsid w:val="009E4D50"/>
    <w:rsid w:val="009E4D6A"/>
    <w:rsid w:val="009E4DA6"/>
    <w:rsid w:val="009E4DC4"/>
    <w:rsid w:val="009E4E48"/>
    <w:rsid w:val="009E4E87"/>
    <w:rsid w:val="009E4EC0"/>
    <w:rsid w:val="009E4FA0"/>
    <w:rsid w:val="009E500B"/>
    <w:rsid w:val="009E5099"/>
    <w:rsid w:val="009E50B6"/>
    <w:rsid w:val="009E5226"/>
    <w:rsid w:val="009E527C"/>
    <w:rsid w:val="009E527D"/>
    <w:rsid w:val="009E5379"/>
    <w:rsid w:val="009E53C0"/>
    <w:rsid w:val="009E54CB"/>
    <w:rsid w:val="009E55B2"/>
    <w:rsid w:val="009E55C6"/>
    <w:rsid w:val="009E5731"/>
    <w:rsid w:val="009E573A"/>
    <w:rsid w:val="009E5871"/>
    <w:rsid w:val="009E58A1"/>
    <w:rsid w:val="009E5938"/>
    <w:rsid w:val="009E598B"/>
    <w:rsid w:val="009E59C4"/>
    <w:rsid w:val="009E59F6"/>
    <w:rsid w:val="009E5A8B"/>
    <w:rsid w:val="009E5C37"/>
    <w:rsid w:val="009E5DFE"/>
    <w:rsid w:val="009E5E66"/>
    <w:rsid w:val="009E5E8A"/>
    <w:rsid w:val="009E5EE3"/>
    <w:rsid w:val="009E5F81"/>
    <w:rsid w:val="009E6007"/>
    <w:rsid w:val="009E6015"/>
    <w:rsid w:val="009E60A7"/>
    <w:rsid w:val="009E622D"/>
    <w:rsid w:val="009E6438"/>
    <w:rsid w:val="009E6463"/>
    <w:rsid w:val="009E653E"/>
    <w:rsid w:val="009E65BB"/>
    <w:rsid w:val="009E667A"/>
    <w:rsid w:val="009E670F"/>
    <w:rsid w:val="009E6732"/>
    <w:rsid w:val="009E678A"/>
    <w:rsid w:val="009E679F"/>
    <w:rsid w:val="009E68F0"/>
    <w:rsid w:val="009E692A"/>
    <w:rsid w:val="009E69F1"/>
    <w:rsid w:val="009E6A78"/>
    <w:rsid w:val="009E6AFD"/>
    <w:rsid w:val="009E6B06"/>
    <w:rsid w:val="009E6B1F"/>
    <w:rsid w:val="009E6B40"/>
    <w:rsid w:val="009E6BB3"/>
    <w:rsid w:val="009E6C70"/>
    <w:rsid w:val="009E6D28"/>
    <w:rsid w:val="009E6DF5"/>
    <w:rsid w:val="009E6DFA"/>
    <w:rsid w:val="009E6E8A"/>
    <w:rsid w:val="009E6F1B"/>
    <w:rsid w:val="009E6F48"/>
    <w:rsid w:val="009E6F8C"/>
    <w:rsid w:val="009E7060"/>
    <w:rsid w:val="009E7150"/>
    <w:rsid w:val="009E7284"/>
    <w:rsid w:val="009E72AC"/>
    <w:rsid w:val="009E72FF"/>
    <w:rsid w:val="009E730E"/>
    <w:rsid w:val="009E734F"/>
    <w:rsid w:val="009E73FB"/>
    <w:rsid w:val="009E7417"/>
    <w:rsid w:val="009E74EA"/>
    <w:rsid w:val="009E763C"/>
    <w:rsid w:val="009E7818"/>
    <w:rsid w:val="009E7876"/>
    <w:rsid w:val="009E78B1"/>
    <w:rsid w:val="009E79C4"/>
    <w:rsid w:val="009E7A23"/>
    <w:rsid w:val="009E7B57"/>
    <w:rsid w:val="009E7C70"/>
    <w:rsid w:val="009E7CD1"/>
    <w:rsid w:val="009E7D06"/>
    <w:rsid w:val="009E7D94"/>
    <w:rsid w:val="009E7DDF"/>
    <w:rsid w:val="009E7EBB"/>
    <w:rsid w:val="009F0061"/>
    <w:rsid w:val="009F00EE"/>
    <w:rsid w:val="009F0138"/>
    <w:rsid w:val="009F016F"/>
    <w:rsid w:val="009F01C6"/>
    <w:rsid w:val="009F01D2"/>
    <w:rsid w:val="009F037B"/>
    <w:rsid w:val="009F0383"/>
    <w:rsid w:val="009F038B"/>
    <w:rsid w:val="009F03BC"/>
    <w:rsid w:val="009F03D8"/>
    <w:rsid w:val="009F0576"/>
    <w:rsid w:val="009F05A8"/>
    <w:rsid w:val="009F061A"/>
    <w:rsid w:val="009F068F"/>
    <w:rsid w:val="009F08FE"/>
    <w:rsid w:val="009F093F"/>
    <w:rsid w:val="009F099B"/>
    <w:rsid w:val="009F09F2"/>
    <w:rsid w:val="009F0A39"/>
    <w:rsid w:val="009F0AA9"/>
    <w:rsid w:val="009F0AC3"/>
    <w:rsid w:val="009F0B0A"/>
    <w:rsid w:val="009F0B38"/>
    <w:rsid w:val="009F0B57"/>
    <w:rsid w:val="009F0BC7"/>
    <w:rsid w:val="009F0C26"/>
    <w:rsid w:val="009F0C48"/>
    <w:rsid w:val="009F0C53"/>
    <w:rsid w:val="009F0C61"/>
    <w:rsid w:val="009F0C81"/>
    <w:rsid w:val="009F0D13"/>
    <w:rsid w:val="009F0DE8"/>
    <w:rsid w:val="009F0EFE"/>
    <w:rsid w:val="009F0F7B"/>
    <w:rsid w:val="009F1010"/>
    <w:rsid w:val="009F10CC"/>
    <w:rsid w:val="009F1191"/>
    <w:rsid w:val="009F1291"/>
    <w:rsid w:val="009F12C1"/>
    <w:rsid w:val="009F12DD"/>
    <w:rsid w:val="009F1413"/>
    <w:rsid w:val="009F148F"/>
    <w:rsid w:val="009F15ED"/>
    <w:rsid w:val="009F16C5"/>
    <w:rsid w:val="009F17A3"/>
    <w:rsid w:val="009F17FA"/>
    <w:rsid w:val="009F183D"/>
    <w:rsid w:val="009F1927"/>
    <w:rsid w:val="009F1994"/>
    <w:rsid w:val="009F19D3"/>
    <w:rsid w:val="009F1A07"/>
    <w:rsid w:val="009F1A6E"/>
    <w:rsid w:val="009F1AF8"/>
    <w:rsid w:val="009F1BBC"/>
    <w:rsid w:val="009F1DBD"/>
    <w:rsid w:val="009F1F81"/>
    <w:rsid w:val="009F1FA4"/>
    <w:rsid w:val="009F2064"/>
    <w:rsid w:val="009F2140"/>
    <w:rsid w:val="009F2194"/>
    <w:rsid w:val="009F22BD"/>
    <w:rsid w:val="009F22EE"/>
    <w:rsid w:val="009F2367"/>
    <w:rsid w:val="009F237A"/>
    <w:rsid w:val="009F239C"/>
    <w:rsid w:val="009F242E"/>
    <w:rsid w:val="009F2433"/>
    <w:rsid w:val="009F243E"/>
    <w:rsid w:val="009F24F3"/>
    <w:rsid w:val="009F25B2"/>
    <w:rsid w:val="009F26C6"/>
    <w:rsid w:val="009F2893"/>
    <w:rsid w:val="009F29B3"/>
    <w:rsid w:val="009F2A8C"/>
    <w:rsid w:val="009F2A98"/>
    <w:rsid w:val="009F2B7D"/>
    <w:rsid w:val="009F2C76"/>
    <w:rsid w:val="009F2CD4"/>
    <w:rsid w:val="009F2D31"/>
    <w:rsid w:val="009F2D76"/>
    <w:rsid w:val="009F2EFE"/>
    <w:rsid w:val="009F2F6D"/>
    <w:rsid w:val="009F3163"/>
    <w:rsid w:val="009F3208"/>
    <w:rsid w:val="009F329C"/>
    <w:rsid w:val="009F32FD"/>
    <w:rsid w:val="009F344E"/>
    <w:rsid w:val="009F3461"/>
    <w:rsid w:val="009F3525"/>
    <w:rsid w:val="009F354B"/>
    <w:rsid w:val="009F35EC"/>
    <w:rsid w:val="009F3680"/>
    <w:rsid w:val="009F36B7"/>
    <w:rsid w:val="009F3710"/>
    <w:rsid w:val="009F37EC"/>
    <w:rsid w:val="009F3889"/>
    <w:rsid w:val="009F3942"/>
    <w:rsid w:val="009F39BA"/>
    <w:rsid w:val="009F3A91"/>
    <w:rsid w:val="009F3AC2"/>
    <w:rsid w:val="009F3BE7"/>
    <w:rsid w:val="009F3BF1"/>
    <w:rsid w:val="009F3C27"/>
    <w:rsid w:val="009F3C6C"/>
    <w:rsid w:val="009F3C85"/>
    <w:rsid w:val="009F3D87"/>
    <w:rsid w:val="009F3E8F"/>
    <w:rsid w:val="009F3EB8"/>
    <w:rsid w:val="009F3F33"/>
    <w:rsid w:val="009F3F7D"/>
    <w:rsid w:val="009F3F97"/>
    <w:rsid w:val="009F4019"/>
    <w:rsid w:val="009F4024"/>
    <w:rsid w:val="009F40CB"/>
    <w:rsid w:val="009F4306"/>
    <w:rsid w:val="009F4333"/>
    <w:rsid w:val="009F4356"/>
    <w:rsid w:val="009F43E0"/>
    <w:rsid w:val="009F440C"/>
    <w:rsid w:val="009F4487"/>
    <w:rsid w:val="009F44A4"/>
    <w:rsid w:val="009F45B6"/>
    <w:rsid w:val="009F45E2"/>
    <w:rsid w:val="009F4672"/>
    <w:rsid w:val="009F4700"/>
    <w:rsid w:val="009F4750"/>
    <w:rsid w:val="009F4779"/>
    <w:rsid w:val="009F484D"/>
    <w:rsid w:val="009F48D3"/>
    <w:rsid w:val="009F48F3"/>
    <w:rsid w:val="009F4920"/>
    <w:rsid w:val="009F4957"/>
    <w:rsid w:val="009F4968"/>
    <w:rsid w:val="009F4AE8"/>
    <w:rsid w:val="009F4B01"/>
    <w:rsid w:val="009F4B04"/>
    <w:rsid w:val="009F4B4D"/>
    <w:rsid w:val="009F4B63"/>
    <w:rsid w:val="009F4B8D"/>
    <w:rsid w:val="009F4BB0"/>
    <w:rsid w:val="009F4D8C"/>
    <w:rsid w:val="009F4E0D"/>
    <w:rsid w:val="009F4E1D"/>
    <w:rsid w:val="009F4E30"/>
    <w:rsid w:val="009F4E92"/>
    <w:rsid w:val="009F4FA0"/>
    <w:rsid w:val="009F5079"/>
    <w:rsid w:val="009F50E5"/>
    <w:rsid w:val="009F50E7"/>
    <w:rsid w:val="009F50EE"/>
    <w:rsid w:val="009F512D"/>
    <w:rsid w:val="009F5176"/>
    <w:rsid w:val="009F5195"/>
    <w:rsid w:val="009F525F"/>
    <w:rsid w:val="009F5278"/>
    <w:rsid w:val="009F52E4"/>
    <w:rsid w:val="009F5303"/>
    <w:rsid w:val="009F557D"/>
    <w:rsid w:val="009F55CF"/>
    <w:rsid w:val="009F5602"/>
    <w:rsid w:val="009F5638"/>
    <w:rsid w:val="009F5651"/>
    <w:rsid w:val="009F5658"/>
    <w:rsid w:val="009F574E"/>
    <w:rsid w:val="009F576A"/>
    <w:rsid w:val="009F5A9E"/>
    <w:rsid w:val="009F5B20"/>
    <w:rsid w:val="009F5BCB"/>
    <w:rsid w:val="009F5BED"/>
    <w:rsid w:val="009F5BF2"/>
    <w:rsid w:val="009F5C22"/>
    <w:rsid w:val="009F5D93"/>
    <w:rsid w:val="009F5E06"/>
    <w:rsid w:val="009F5F44"/>
    <w:rsid w:val="009F600A"/>
    <w:rsid w:val="009F60AE"/>
    <w:rsid w:val="009F60EF"/>
    <w:rsid w:val="009F6178"/>
    <w:rsid w:val="009F61EF"/>
    <w:rsid w:val="009F6217"/>
    <w:rsid w:val="009F6349"/>
    <w:rsid w:val="009F642C"/>
    <w:rsid w:val="009F64C0"/>
    <w:rsid w:val="009F6588"/>
    <w:rsid w:val="009F65A8"/>
    <w:rsid w:val="009F6615"/>
    <w:rsid w:val="009F668F"/>
    <w:rsid w:val="009F669A"/>
    <w:rsid w:val="009F66DE"/>
    <w:rsid w:val="009F672C"/>
    <w:rsid w:val="009F68C4"/>
    <w:rsid w:val="009F68DF"/>
    <w:rsid w:val="009F6AE3"/>
    <w:rsid w:val="009F6B99"/>
    <w:rsid w:val="009F6BCC"/>
    <w:rsid w:val="009F6C0A"/>
    <w:rsid w:val="009F6D6F"/>
    <w:rsid w:val="009F6D81"/>
    <w:rsid w:val="009F6D86"/>
    <w:rsid w:val="009F6E2E"/>
    <w:rsid w:val="009F6E7F"/>
    <w:rsid w:val="009F6EC8"/>
    <w:rsid w:val="009F701D"/>
    <w:rsid w:val="009F70A0"/>
    <w:rsid w:val="009F70F5"/>
    <w:rsid w:val="009F739E"/>
    <w:rsid w:val="009F7444"/>
    <w:rsid w:val="009F74A7"/>
    <w:rsid w:val="009F74C2"/>
    <w:rsid w:val="009F7660"/>
    <w:rsid w:val="009F76D8"/>
    <w:rsid w:val="009F7769"/>
    <w:rsid w:val="009F77EE"/>
    <w:rsid w:val="009F796C"/>
    <w:rsid w:val="009F79B0"/>
    <w:rsid w:val="009F79B1"/>
    <w:rsid w:val="009F7A0C"/>
    <w:rsid w:val="009F7AE0"/>
    <w:rsid w:val="009F7B32"/>
    <w:rsid w:val="009F7B67"/>
    <w:rsid w:val="009F7BE2"/>
    <w:rsid w:val="009F7D50"/>
    <w:rsid w:val="009F7E80"/>
    <w:rsid w:val="009F7FB2"/>
    <w:rsid w:val="00A00049"/>
    <w:rsid w:val="00A000D3"/>
    <w:rsid w:val="00A001CF"/>
    <w:rsid w:val="00A002F3"/>
    <w:rsid w:val="00A003C6"/>
    <w:rsid w:val="00A0048C"/>
    <w:rsid w:val="00A00563"/>
    <w:rsid w:val="00A005C1"/>
    <w:rsid w:val="00A00657"/>
    <w:rsid w:val="00A00698"/>
    <w:rsid w:val="00A0071A"/>
    <w:rsid w:val="00A0073D"/>
    <w:rsid w:val="00A00752"/>
    <w:rsid w:val="00A0078C"/>
    <w:rsid w:val="00A00859"/>
    <w:rsid w:val="00A00879"/>
    <w:rsid w:val="00A008F8"/>
    <w:rsid w:val="00A0093D"/>
    <w:rsid w:val="00A00A08"/>
    <w:rsid w:val="00A00AD3"/>
    <w:rsid w:val="00A00C48"/>
    <w:rsid w:val="00A00C51"/>
    <w:rsid w:val="00A00D44"/>
    <w:rsid w:val="00A00D63"/>
    <w:rsid w:val="00A00DBD"/>
    <w:rsid w:val="00A00E15"/>
    <w:rsid w:val="00A00ECA"/>
    <w:rsid w:val="00A00EDB"/>
    <w:rsid w:val="00A011E6"/>
    <w:rsid w:val="00A012CD"/>
    <w:rsid w:val="00A01346"/>
    <w:rsid w:val="00A013A3"/>
    <w:rsid w:val="00A013D1"/>
    <w:rsid w:val="00A014AC"/>
    <w:rsid w:val="00A015EA"/>
    <w:rsid w:val="00A01709"/>
    <w:rsid w:val="00A017D3"/>
    <w:rsid w:val="00A0188B"/>
    <w:rsid w:val="00A01897"/>
    <w:rsid w:val="00A01917"/>
    <w:rsid w:val="00A01A26"/>
    <w:rsid w:val="00A01AA4"/>
    <w:rsid w:val="00A01B62"/>
    <w:rsid w:val="00A01C11"/>
    <w:rsid w:val="00A01C4A"/>
    <w:rsid w:val="00A01CA3"/>
    <w:rsid w:val="00A01CA6"/>
    <w:rsid w:val="00A01CBE"/>
    <w:rsid w:val="00A01CFA"/>
    <w:rsid w:val="00A01DC4"/>
    <w:rsid w:val="00A01DDD"/>
    <w:rsid w:val="00A01E0A"/>
    <w:rsid w:val="00A01EC2"/>
    <w:rsid w:val="00A0204F"/>
    <w:rsid w:val="00A02164"/>
    <w:rsid w:val="00A02188"/>
    <w:rsid w:val="00A02380"/>
    <w:rsid w:val="00A02396"/>
    <w:rsid w:val="00A023BA"/>
    <w:rsid w:val="00A02437"/>
    <w:rsid w:val="00A024AD"/>
    <w:rsid w:val="00A02545"/>
    <w:rsid w:val="00A02596"/>
    <w:rsid w:val="00A02629"/>
    <w:rsid w:val="00A02675"/>
    <w:rsid w:val="00A0267F"/>
    <w:rsid w:val="00A026B1"/>
    <w:rsid w:val="00A0275E"/>
    <w:rsid w:val="00A027A2"/>
    <w:rsid w:val="00A02853"/>
    <w:rsid w:val="00A0287D"/>
    <w:rsid w:val="00A028A5"/>
    <w:rsid w:val="00A028C2"/>
    <w:rsid w:val="00A028CE"/>
    <w:rsid w:val="00A02910"/>
    <w:rsid w:val="00A02966"/>
    <w:rsid w:val="00A02A1F"/>
    <w:rsid w:val="00A02B5F"/>
    <w:rsid w:val="00A02CC7"/>
    <w:rsid w:val="00A02D85"/>
    <w:rsid w:val="00A02DBD"/>
    <w:rsid w:val="00A02DFE"/>
    <w:rsid w:val="00A02E18"/>
    <w:rsid w:val="00A02E2E"/>
    <w:rsid w:val="00A02E89"/>
    <w:rsid w:val="00A02EAE"/>
    <w:rsid w:val="00A02F82"/>
    <w:rsid w:val="00A02FE3"/>
    <w:rsid w:val="00A03060"/>
    <w:rsid w:val="00A031B6"/>
    <w:rsid w:val="00A032BB"/>
    <w:rsid w:val="00A03349"/>
    <w:rsid w:val="00A033B4"/>
    <w:rsid w:val="00A033E8"/>
    <w:rsid w:val="00A03468"/>
    <w:rsid w:val="00A03519"/>
    <w:rsid w:val="00A03589"/>
    <w:rsid w:val="00A035EA"/>
    <w:rsid w:val="00A03715"/>
    <w:rsid w:val="00A03755"/>
    <w:rsid w:val="00A03899"/>
    <w:rsid w:val="00A038ED"/>
    <w:rsid w:val="00A039D9"/>
    <w:rsid w:val="00A03A23"/>
    <w:rsid w:val="00A03A9A"/>
    <w:rsid w:val="00A03DFD"/>
    <w:rsid w:val="00A03E68"/>
    <w:rsid w:val="00A03E7E"/>
    <w:rsid w:val="00A03EBB"/>
    <w:rsid w:val="00A03FF8"/>
    <w:rsid w:val="00A04072"/>
    <w:rsid w:val="00A040C1"/>
    <w:rsid w:val="00A04214"/>
    <w:rsid w:val="00A04288"/>
    <w:rsid w:val="00A042B9"/>
    <w:rsid w:val="00A04309"/>
    <w:rsid w:val="00A0457A"/>
    <w:rsid w:val="00A04643"/>
    <w:rsid w:val="00A0464A"/>
    <w:rsid w:val="00A046D0"/>
    <w:rsid w:val="00A046E1"/>
    <w:rsid w:val="00A047D5"/>
    <w:rsid w:val="00A04860"/>
    <w:rsid w:val="00A04879"/>
    <w:rsid w:val="00A048C2"/>
    <w:rsid w:val="00A0499A"/>
    <w:rsid w:val="00A049B6"/>
    <w:rsid w:val="00A04A37"/>
    <w:rsid w:val="00A04A9A"/>
    <w:rsid w:val="00A04AC3"/>
    <w:rsid w:val="00A04B1D"/>
    <w:rsid w:val="00A04B7D"/>
    <w:rsid w:val="00A04B81"/>
    <w:rsid w:val="00A04C83"/>
    <w:rsid w:val="00A04CE6"/>
    <w:rsid w:val="00A04D82"/>
    <w:rsid w:val="00A04E39"/>
    <w:rsid w:val="00A04E42"/>
    <w:rsid w:val="00A04E5F"/>
    <w:rsid w:val="00A04E8E"/>
    <w:rsid w:val="00A04EFB"/>
    <w:rsid w:val="00A04FE9"/>
    <w:rsid w:val="00A0507C"/>
    <w:rsid w:val="00A05187"/>
    <w:rsid w:val="00A051CC"/>
    <w:rsid w:val="00A051DB"/>
    <w:rsid w:val="00A052A1"/>
    <w:rsid w:val="00A0535F"/>
    <w:rsid w:val="00A0536D"/>
    <w:rsid w:val="00A05534"/>
    <w:rsid w:val="00A05567"/>
    <w:rsid w:val="00A05612"/>
    <w:rsid w:val="00A057DD"/>
    <w:rsid w:val="00A0581C"/>
    <w:rsid w:val="00A05863"/>
    <w:rsid w:val="00A058B2"/>
    <w:rsid w:val="00A058CA"/>
    <w:rsid w:val="00A058F6"/>
    <w:rsid w:val="00A05917"/>
    <w:rsid w:val="00A05979"/>
    <w:rsid w:val="00A05A7D"/>
    <w:rsid w:val="00A05AE7"/>
    <w:rsid w:val="00A05BCC"/>
    <w:rsid w:val="00A05BD3"/>
    <w:rsid w:val="00A05BF0"/>
    <w:rsid w:val="00A05CB2"/>
    <w:rsid w:val="00A05D0E"/>
    <w:rsid w:val="00A05D5B"/>
    <w:rsid w:val="00A05E66"/>
    <w:rsid w:val="00A05E95"/>
    <w:rsid w:val="00A05F04"/>
    <w:rsid w:val="00A05F06"/>
    <w:rsid w:val="00A05FDF"/>
    <w:rsid w:val="00A05FEC"/>
    <w:rsid w:val="00A060CA"/>
    <w:rsid w:val="00A06102"/>
    <w:rsid w:val="00A0611F"/>
    <w:rsid w:val="00A061A3"/>
    <w:rsid w:val="00A061FF"/>
    <w:rsid w:val="00A06229"/>
    <w:rsid w:val="00A0622B"/>
    <w:rsid w:val="00A06256"/>
    <w:rsid w:val="00A062A2"/>
    <w:rsid w:val="00A06316"/>
    <w:rsid w:val="00A0633E"/>
    <w:rsid w:val="00A0634F"/>
    <w:rsid w:val="00A064DC"/>
    <w:rsid w:val="00A0650D"/>
    <w:rsid w:val="00A0658A"/>
    <w:rsid w:val="00A065B2"/>
    <w:rsid w:val="00A0661D"/>
    <w:rsid w:val="00A0668F"/>
    <w:rsid w:val="00A0681B"/>
    <w:rsid w:val="00A06937"/>
    <w:rsid w:val="00A069FA"/>
    <w:rsid w:val="00A06A1C"/>
    <w:rsid w:val="00A06A22"/>
    <w:rsid w:val="00A06A97"/>
    <w:rsid w:val="00A06B7C"/>
    <w:rsid w:val="00A06B85"/>
    <w:rsid w:val="00A06B8B"/>
    <w:rsid w:val="00A06C34"/>
    <w:rsid w:val="00A06C7C"/>
    <w:rsid w:val="00A06C8A"/>
    <w:rsid w:val="00A06CAC"/>
    <w:rsid w:val="00A06DE5"/>
    <w:rsid w:val="00A06E09"/>
    <w:rsid w:val="00A06E1C"/>
    <w:rsid w:val="00A06E53"/>
    <w:rsid w:val="00A06FBE"/>
    <w:rsid w:val="00A070EF"/>
    <w:rsid w:val="00A07116"/>
    <w:rsid w:val="00A07234"/>
    <w:rsid w:val="00A07263"/>
    <w:rsid w:val="00A0731E"/>
    <w:rsid w:val="00A0743C"/>
    <w:rsid w:val="00A07443"/>
    <w:rsid w:val="00A07560"/>
    <w:rsid w:val="00A075A8"/>
    <w:rsid w:val="00A075BD"/>
    <w:rsid w:val="00A07A6E"/>
    <w:rsid w:val="00A07AFA"/>
    <w:rsid w:val="00A07B76"/>
    <w:rsid w:val="00A07C6F"/>
    <w:rsid w:val="00A07D56"/>
    <w:rsid w:val="00A07DAD"/>
    <w:rsid w:val="00A07DB6"/>
    <w:rsid w:val="00A07F89"/>
    <w:rsid w:val="00A07FD0"/>
    <w:rsid w:val="00A10007"/>
    <w:rsid w:val="00A1006F"/>
    <w:rsid w:val="00A1017D"/>
    <w:rsid w:val="00A1051C"/>
    <w:rsid w:val="00A105F7"/>
    <w:rsid w:val="00A10740"/>
    <w:rsid w:val="00A10741"/>
    <w:rsid w:val="00A107A6"/>
    <w:rsid w:val="00A10850"/>
    <w:rsid w:val="00A108F0"/>
    <w:rsid w:val="00A1091F"/>
    <w:rsid w:val="00A10976"/>
    <w:rsid w:val="00A10A3A"/>
    <w:rsid w:val="00A10AAC"/>
    <w:rsid w:val="00A10AF7"/>
    <w:rsid w:val="00A10BB1"/>
    <w:rsid w:val="00A10C5A"/>
    <w:rsid w:val="00A10DD7"/>
    <w:rsid w:val="00A10DE3"/>
    <w:rsid w:val="00A10E0A"/>
    <w:rsid w:val="00A10E16"/>
    <w:rsid w:val="00A10E31"/>
    <w:rsid w:val="00A10E32"/>
    <w:rsid w:val="00A10ECA"/>
    <w:rsid w:val="00A10EDE"/>
    <w:rsid w:val="00A10F1F"/>
    <w:rsid w:val="00A10F20"/>
    <w:rsid w:val="00A11083"/>
    <w:rsid w:val="00A110CF"/>
    <w:rsid w:val="00A110DD"/>
    <w:rsid w:val="00A11138"/>
    <w:rsid w:val="00A1123A"/>
    <w:rsid w:val="00A11261"/>
    <w:rsid w:val="00A1128A"/>
    <w:rsid w:val="00A112BE"/>
    <w:rsid w:val="00A11347"/>
    <w:rsid w:val="00A11360"/>
    <w:rsid w:val="00A113BC"/>
    <w:rsid w:val="00A11485"/>
    <w:rsid w:val="00A1176C"/>
    <w:rsid w:val="00A117B7"/>
    <w:rsid w:val="00A11961"/>
    <w:rsid w:val="00A119F4"/>
    <w:rsid w:val="00A11ACA"/>
    <w:rsid w:val="00A11B53"/>
    <w:rsid w:val="00A11C62"/>
    <w:rsid w:val="00A11C81"/>
    <w:rsid w:val="00A11D1F"/>
    <w:rsid w:val="00A11D94"/>
    <w:rsid w:val="00A11E2E"/>
    <w:rsid w:val="00A11E70"/>
    <w:rsid w:val="00A1202E"/>
    <w:rsid w:val="00A12056"/>
    <w:rsid w:val="00A12235"/>
    <w:rsid w:val="00A12363"/>
    <w:rsid w:val="00A123A7"/>
    <w:rsid w:val="00A123AA"/>
    <w:rsid w:val="00A123BA"/>
    <w:rsid w:val="00A12411"/>
    <w:rsid w:val="00A12458"/>
    <w:rsid w:val="00A1245B"/>
    <w:rsid w:val="00A124C5"/>
    <w:rsid w:val="00A127E0"/>
    <w:rsid w:val="00A1286F"/>
    <w:rsid w:val="00A12A12"/>
    <w:rsid w:val="00A12B09"/>
    <w:rsid w:val="00A12B1E"/>
    <w:rsid w:val="00A12B51"/>
    <w:rsid w:val="00A12BE5"/>
    <w:rsid w:val="00A12CD4"/>
    <w:rsid w:val="00A12CDE"/>
    <w:rsid w:val="00A12D52"/>
    <w:rsid w:val="00A12EED"/>
    <w:rsid w:val="00A12F2B"/>
    <w:rsid w:val="00A13042"/>
    <w:rsid w:val="00A13174"/>
    <w:rsid w:val="00A131AA"/>
    <w:rsid w:val="00A131BB"/>
    <w:rsid w:val="00A133D9"/>
    <w:rsid w:val="00A135B1"/>
    <w:rsid w:val="00A137DC"/>
    <w:rsid w:val="00A1399B"/>
    <w:rsid w:val="00A13A55"/>
    <w:rsid w:val="00A13A89"/>
    <w:rsid w:val="00A13B4A"/>
    <w:rsid w:val="00A13BA9"/>
    <w:rsid w:val="00A13C2D"/>
    <w:rsid w:val="00A13C7E"/>
    <w:rsid w:val="00A13F70"/>
    <w:rsid w:val="00A13FE2"/>
    <w:rsid w:val="00A13FFF"/>
    <w:rsid w:val="00A14186"/>
    <w:rsid w:val="00A14263"/>
    <w:rsid w:val="00A142B0"/>
    <w:rsid w:val="00A14310"/>
    <w:rsid w:val="00A14361"/>
    <w:rsid w:val="00A1438B"/>
    <w:rsid w:val="00A143EC"/>
    <w:rsid w:val="00A14485"/>
    <w:rsid w:val="00A1455C"/>
    <w:rsid w:val="00A1464D"/>
    <w:rsid w:val="00A146C8"/>
    <w:rsid w:val="00A14725"/>
    <w:rsid w:val="00A14739"/>
    <w:rsid w:val="00A149AE"/>
    <w:rsid w:val="00A14A24"/>
    <w:rsid w:val="00A14B14"/>
    <w:rsid w:val="00A14BA8"/>
    <w:rsid w:val="00A14C03"/>
    <w:rsid w:val="00A14D43"/>
    <w:rsid w:val="00A14D61"/>
    <w:rsid w:val="00A14DA0"/>
    <w:rsid w:val="00A14E03"/>
    <w:rsid w:val="00A14E6F"/>
    <w:rsid w:val="00A14F67"/>
    <w:rsid w:val="00A14F6E"/>
    <w:rsid w:val="00A14FA3"/>
    <w:rsid w:val="00A14FB5"/>
    <w:rsid w:val="00A15054"/>
    <w:rsid w:val="00A15194"/>
    <w:rsid w:val="00A15328"/>
    <w:rsid w:val="00A15344"/>
    <w:rsid w:val="00A15347"/>
    <w:rsid w:val="00A1537F"/>
    <w:rsid w:val="00A15430"/>
    <w:rsid w:val="00A1555C"/>
    <w:rsid w:val="00A155BB"/>
    <w:rsid w:val="00A156E5"/>
    <w:rsid w:val="00A157A5"/>
    <w:rsid w:val="00A157A7"/>
    <w:rsid w:val="00A15855"/>
    <w:rsid w:val="00A15960"/>
    <w:rsid w:val="00A159F6"/>
    <w:rsid w:val="00A15A0D"/>
    <w:rsid w:val="00A15A28"/>
    <w:rsid w:val="00A15AD4"/>
    <w:rsid w:val="00A15B3E"/>
    <w:rsid w:val="00A15B76"/>
    <w:rsid w:val="00A15C23"/>
    <w:rsid w:val="00A15C97"/>
    <w:rsid w:val="00A15D42"/>
    <w:rsid w:val="00A15D98"/>
    <w:rsid w:val="00A15DF0"/>
    <w:rsid w:val="00A15E30"/>
    <w:rsid w:val="00A15EDC"/>
    <w:rsid w:val="00A16000"/>
    <w:rsid w:val="00A1602E"/>
    <w:rsid w:val="00A160A2"/>
    <w:rsid w:val="00A160CD"/>
    <w:rsid w:val="00A16167"/>
    <w:rsid w:val="00A161DD"/>
    <w:rsid w:val="00A16344"/>
    <w:rsid w:val="00A163E1"/>
    <w:rsid w:val="00A16411"/>
    <w:rsid w:val="00A1643B"/>
    <w:rsid w:val="00A1645B"/>
    <w:rsid w:val="00A16522"/>
    <w:rsid w:val="00A165D5"/>
    <w:rsid w:val="00A165DE"/>
    <w:rsid w:val="00A165E4"/>
    <w:rsid w:val="00A16632"/>
    <w:rsid w:val="00A167DF"/>
    <w:rsid w:val="00A16830"/>
    <w:rsid w:val="00A16838"/>
    <w:rsid w:val="00A168D6"/>
    <w:rsid w:val="00A1694A"/>
    <w:rsid w:val="00A16955"/>
    <w:rsid w:val="00A16A14"/>
    <w:rsid w:val="00A16A1E"/>
    <w:rsid w:val="00A16A3B"/>
    <w:rsid w:val="00A16A44"/>
    <w:rsid w:val="00A16AD1"/>
    <w:rsid w:val="00A16AF1"/>
    <w:rsid w:val="00A16BC5"/>
    <w:rsid w:val="00A16C8F"/>
    <w:rsid w:val="00A16D55"/>
    <w:rsid w:val="00A16DB6"/>
    <w:rsid w:val="00A16DC8"/>
    <w:rsid w:val="00A16DF3"/>
    <w:rsid w:val="00A16DFC"/>
    <w:rsid w:val="00A16E80"/>
    <w:rsid w:val="00A16ED2"/>
    <w:rsid w:val="00A16EE8"/>
    <w:rsid w:val="00A16FEA"/>
    <w:rsid w:val="00A1705E"/>
    <w:rsid w:val="00A17115"/>
    <w:rsid w:val="00A1711F"/>
    <w:rsid w:val="00A1729D"/>
    <w:rsid w:val="00A17348"/>
    <w:rsid w:val="00A1736B"/>
    <w:rsid w:val="00A17673"/>
    <w:rsid w:val="00A1779E"/>
    <w:rsid w:val="00A17970"/>
    <w:rsid w:val="00A179D8"/>
    <w:rsid w:val="00A17A34"/>
    <w:rsid w:val="00A17A45"/>
    <w:rsid w:val="00A17B65"/>
    <w:rsid w:val="00A17DF0"/>
    <w:rsid w:val="00A17E71"/>
    <w:rsid w:val="00A20036"/>
    <w:rsid w:val="00A20051"/>
    <w:rsid w:val="00A20204"/>
    <w:rsid w:val="00A202EC"/>
    <w:rsid w:val="00A202F6"/>
    <w:rsid w:val="00A20326"/>
    <w:rsid w:val="00A20370"/>
    <w:rsid w:val="00A203BF"/>
    <w:rsid w:val="00A203ED"/>
    <w:rsid w:val="00A20547"/>
    <w:rsid w:val="00A20610"/>
    <w:rsid w:val="00A206E7"/>
    <w:rsid w:val="00A20793"/>
    <w:rsid w:val="00A207A5"/>
    <w:rsid w:val="00A20848"/>
    <w:rsid w:val="00A20930"/>
    <w:rsid w:val="00A20984"/>
    <w:rsid w:val="00A2098A"/>
    <w:rsid w:val="00A209BD"/>
    <w:rsid w:val="00A20B4B"/>
    <w:rsid w:val="00A20BA2"/>
    <w:rsid w:val="00A20C10"/>
    <w:rsid w:val="00A20C57"/>
    <w:rsid w:val="00A20D7C"/>
    <w:rsid w:val="00A20DAC"/>
    <w:rsid w:val="00A20F02"/>
    <w:rsid w:val="00A20F79"/>
    <w:rsid w:val="00A2102F"/>
    <w:rsid w:val="00A210AE"/>
    <w:rsid w:val="00A21120"/>
    <w:rsid w:val="00A21138"/>
    <w:rsid w:val="00A21144"/>
    <w:rsid w:val="00A21192"/>
    <w:rsid w:val="00A211DF"/>
    <w:rsid w:val="00A2130E"/>
    <w:rsid w:val="00A21383"/>
    <w:rsid w:val="00A213F3"/>
    <w:rsid w:val="00A21416"/>
    <w:rsid w:val="00A2147E"/>
    <w:rsid w:val="00A2148C"/>
    <w:rsid w:val="00A21638"/>
    <w:rsid w:val="00A21834"/>
    <w:rsid w:val="00A21857"/>
    <w:rsid w:val="00A21864"/>
    <w:rsid w:val="00A21B0F"/>
    <w:rsid w:val="00A21B15"/>
    <w:rsid w:val="00A21BCE"/>
    <w:rsid w:val="00A21DD2"/>
    <w:rsid w:val="00A21EA2"/>
    <w:rsid w:val="00A21F55"/>
    <w:rsid w:val="00A21FD0"/>
    <w:rsid w:val="00A22023"/>
    <w:rsid w:val="00A220DF"/>
    <w:rsid w:val="00A2226C"/>
    <w:rsid w:val="00A22312"/>
    <w:rsid w:val="00A22370"/>
    <w:rsid w:val="00A2259B"/>
    <w:rsid w:val="00A225AA"/>
    <w:rsid w:val="00A226DA"/>
    <w:rsid w:val="00A226FD"/>
    <w:rsid w:val="00A227EA"/>
    <w:rsid w:val="00A228D3"/>
    <w:rsid w:val="00A2295A"/>
    <w:rsid w:val="00A2295E"/>
    <w:rsid w:val="00A22A0A"/>
    <w:rsid w:val="00A22AF1"/>
    <w:rsid w:val="00A22B29"/>
    <w:rsid w:val="00A22B41"/>
    <w:rsid w:val="00A22B59"/>
    <w:rsid w:val="00A22BB8"/>
    <w:rsid w:val="00A22D4B"/>
    <w:rsid w:val="00A22EC0"/>
    <w:rsid w:val="00A22F5E"/>
    <w:rsid w:val="00A22F70"/>
    <w:rsid w:val="00A22FA8"/>
    <w:rsid w:val="00A22FAA"/>
    <w:rsid w:val="00A22FBF"/>
    <w:rsid w:val="00A23014"/>
    <w:rsid w:val="00A230D6"/>
    <w:rsid w:val="00A231EA"/>
    <w:rsid w:val="00A23288"/>
    <w:rsid w:val="00A232F4"/>
    <w:rsid w:val="00A234B1"/>
    <w:rsid w:val="00A23568"/>
    <w:rsid w:val="00A235A6"/>
    <w:rsid w:val="00A235DC"/>
    <w:rsid w:val="00A23640"/>
    <w:rsid w:val="00A23686"/>
    <w:rsid w:val="00A2368F"/>
    <w:rsid w:val="00A236B3"/>
    <w:rsid w:val="00A236FD"/>
    <w:rsid w:val="00A23926"/>
    <w:rsid w:val="00A23995"/>
    <w:rsid w:val="00A23996"/>
    <w:rsid w:val="00A23A49"/>
    <w:rsid w:val="00A23A4A"/>
    <w:rsid w:val="00A23B0C"/>
    <w:rsid w:val="00A23BDB"/>
    <w:rsid w:val="00A23C63"/>
    <w:rsid w:val="00A23C70"/>
    <w:rsid w:val="00A23CA0"/>
    <w:rsid w:val="00A23CAD"/>
    <w:rsid w:val="00A23F30"/>
    <w:rsid w:val="00A23F50"/>
    <w:rsid w:val="00A23F61"/>
    <w:rsid w:val="00A23F6C"/>
    <w:rsid w:val="00A241A4"/>
    <w:rsid w:val="00A242A3"/>
    <w:rsid w:val="00A242B7"/>
    <w:rsid w:val="00A2436D"/>
    <w:rsid w:val="00A243EC"/>
    <w:rsid w:val="00A2445C"/>
    <w:rsid w:val="00A24575"/>
    <w:rsid w:val="00A245C3"/>
    <w:rsid w:val="00A246FC"/>
    <w:rsid w:val="00A2476B"/>
    <w:rsid w:val="00A2485A"/>
    <w:rsid w:val="00A248EE"/>
    <w:rsid w:val="00A24970"/>
    <w:rsid w:val="00A249DF"/>
    <w:rsid w:val="00A249F3"/>
    <w:rsid w:val="00A24A27"/>
    <w:rsid w:val="00A24A75"/>
    <w:rsid w:val="00A24AF1"/>
    <w:rsid w:val="00A24B30"/>
    <w:rsid w:val="00A24B38"/>
    <w:rsid w:val="00A24D48"/>
    <w:rsid w:val="00A24E26"/>
    <w:rsid w:val="00A24F42"/>
    <w:rsid w:val="00A25066"/>
    <w:rsid w:val="00A250AF"/>
    <w:rsid w:val="00A251E8"/>
    <w:rsid w:val="00A25219"/>
    <w:rsid w:val="00A25296"/>
    <w:rsid w:val="00A25317"/>
    <w:rsid w:val="00A2535A"/>
    <w:rsid w:val="00A2535B"/>
    <w:rsid w:val="00A256A0"/>
    <w:rsid w:val="00A2571C"/>
    <w:rsid w:val="00A25765"/>
    <w:rsid w:val="00A25790"/>
    <w:rsid w:val="00A25796"/>
    <w:rsid w:val="00A25802"/>
    <w:rsid w:val="00A25998"/>
    <w:rsid w:val="00A259DE"/>
    <w:rsid w:val="00A25B2E"/>
    <w:rsid w:val="00A25B53"/>
    <w:rsid w:val="00A25B8A"/>
    <w:rsid w:val="00A25BA5"/>
    <w:rsid w:val="00A25CFA"/>
    <w:rsid w:val="00A25D59"/>
    <w:rsid w:val="00A25D6F"/>
    <w:rsid w:val="00A25E25"/>
    <w:rsid w:val="00A25E91"/>
    <w:rsid w:val="00A26022"/>
    <w:rsid w:val="00A2602E"/>
    <w:rsid w:val="00A260B4"/>
    <w:rsid w:val="00A26198"/>
    <w:rsid w:val="00A261A8"/>
    <w:rsid w:val="00A26237"/>
    <w:rsid w:val="00A2635D"/>
    <w:rsid w:val="00A2636C"/>
    <w:rsid w:val="00A263A0"/>
    <w:rsid w:val="00A263A9"/>
    <w:rsid w:val="00A26402"/>
    <w:rsid w:val="00A2646A"/>
    <w:rsid w:val="00A26640"/>
    <w:rsid w:val="00A2670D"/>
    <w:rsid w:val="00A26793"/>
    <w:rsid w:val="00A26841"/>
    <w:rsid w:val="00A26908"/>
    <w:rsid w:val="00A26978"/>
    <w:rsid w:val="00A26AC6"/>
    <w:rsid w:val="00A26B5A"/>
    <w:rsid w:val="00A26C08"/>
    <w:rsid w:val="00A26CA8"/>
    <w:rsid w:val="00A26CE2"/>
    <w:rsid w:val="00A26E1C"/>
    <w:rsid w:val="00A26E9A"/>
    <w:rsid w:val="00A26F82"/>
    <w:rsid w:val="00A26F84"/>
    <w:rsid w:val="00A26F87"/>
    <w:rsid w:val="00A270BA"/>
    <w:rsid w:val="00A270F5"/>
    <w:rsid w:val="00A2714F"/>
    <w:rsid w:val="00A271BC"/>
    <w:rsid w:val="00A271DB"/>
    <w:rsid w:val="00A2727E"/>
    <w:rsid w:val="00A27288"/>
    <w:rsid w:val="00A2731B"/>
    <w:rsid w:val="00A27385"/>
    <w:rsid w:val="00A2740B"/>
    <w:rsid w:val="00A27456"/>
    <w:rsid w:val="00A27473"/>
    <w:rsid w:val="00A274A8"/>
    <w:rsid w:val="00A27590"/>
    <w:rsid w:val="00A275E0"/>
    <w:rsid w:val="00A27686"/>
    <w:rsid w:val="00A2778F"/>
    <w:rsid w:val="00A2790B"/>
    <w:rsid w:val="00A279A9"/>
    <w:rsid w:val="00A279F7"/>
    <w:rsid w:val="00A27A47"/>
    <w:rsid w:val="00A27A79"/>
    <w:rsid w:val="00A27A81"/>
    <w:rsid w:val="00A27AF1"/>
    <w:rsid w:val="00A27CEE"/>
    <w:rsid w:val="00A27D70"/>
    <w:rsid w:val="00A27E23"/>
    <w:rsid w:val="00A27F4F"/>
    <w:rsid w:val="00A3009C"/>
    <w:rsid w:val="00A300A4"/>
    <w:rsid w:val="00A30158"/>
    <w:rsid w:val="00A30170"/>
    <w:rsid w:val="00A302E4"/>
    <w:rsid w:val="00A303BA"/>
    <w:rsid w:val="00A3047B"/>
    <w:rsid w:val="00A304AB"/>
    <w:rsid w:val="00A304BF"/>
    <w:rsid w:val="00A304D3"/>
    <w:rsid w:val="00A30520"/>
    <w:rsid w:val="00A3080A"/>
    <w:rsid w:val="00A30913"/>
    <w:rsid w:val="00A30972"/>
    <w:rsid w:val="00A309AD"/>
    <w:rsid w:val="00A309ED"/>
    <w:rsid w:val="00A30A1C"/>
    <w:rsid w:val="00A30AB5"/>
    <w:rsid w:val="00A30B26"/>
    <w:rsid w:val="00A30BA1"/>
    <w:rsid w:val="00A30D6D"/>
    <w:rsid w:val="00A30E29"/>
    <w:rsid w:val="00A30F0F"/>
    <w:rsid w:val="00A30F2F"/>
    <w:rsid w:val="00A30FE9"/>
    <w:rsid w:val="00A3103E"/>
    <w:rsid w:val="00A3106A"/>
    <w:rsid w:val="00A31112"/>
    <w:rsid w:val="00A3120E"/>
    <w:rsid w:val="00A31227"/>
    <w:rsid w:val="00A31237"/>
    <w:rsid w:val="00A312FB"/>
    <w:rsid w:val="00A313F6"/>
    <w:rsid w:val="00A31584"/>
    <w:rsid w:val="00A3165C"/>
    <w:rsid w:val="00A3172D"/>
    <w:rsid w:val="00A31832"/>
    <w:rsid w:val="00A3193D"/>
    <w:rsid w:val="00A31954"/>
    <w:rsid w:val="00A319EE"/>
    <w:rsid w:val="00A31A11"/>
    <w:rsid w:val="00A31A6B"/>
    <w:rsid w:val="00A31AD9"/>
    <w:rsid w:val="00A31B1C"/>
    <w:rsid w:val="00A31B63"/>
    <w:rsid w:val="00A31B65"/>
    <w:rsid w:val="00A31D1F"/>
    <w:rsid w:val="00A31F23"/>
    <w:rsid w:val="00A31F36"/>
    <w:rsid w:val="00A31FCC"/>
    <w:rsid w:val="00A32092"/>
    <w:rsid w:val="00A320D1"/>
    <w:rsid w:val="00A3213B"/>
    <w:rsid w:val="00A32153"/>
    <w:rsid w:val="00A321A1"/>
    <w:rsid w:val="00A323A9"/>
    <w:rsid w:val="00A32406"/>
    <w:rsid w:val="00A3241C"/>
    <w:rsid w:val="00A3242D"/>
    <w:rsid w:val="00A3245A"/>
    <w:rsid w:val="00A32475"/>
    <w:rsid w:val="00A324C8"/>
    <w:rsid w:val="00A3264B"/>
    <w:rsid w:val="00A326E7"/>
    <w:rsid w:val="00A32728"/>
    <w:rsid w:val="00A3273C"/>
    <w:rsid w:val="00A32781"/>
    <w:rsid w:val="00A329BD"/>
    <w:rsid w:val="00A32A41"/>
    <w:rsid w:val="00A32A64"/>
    <w:rsid w:val="00A32B27"/>
    <w:rsid w:val="00A32B29"/>
    <w:rsid w:val="00A32BB2"/>
    <w:rsid w:val="00A32BEE"/>
    <w:rsid w:val="00A32CC1"/>
    <w:rsid w:val="00A32CE8"/>
    <w:rsid w:val="00A32DB5"/>
    <w:rsid w:val="00A32E01"/>
    <w:rsid w:val="00A32E20"/>
    <w:rsid w:val="00A32EBB"/>
    <w:rsid w:val="00A32EDB"/>
    <w:rsid w:val="00A32F6A"/>
    <w:rsid w:val="00A32F98"/>
    <w:rsid w:val="00A330A4"/>
    <w:rsid w:val="00A33114"/>
    <w:rsid w:val="00A3312B"/>
    <w:rsid w:val="00A333C4"/>
    <w:rsid w:val="00A334BE"/>
    <w:rsid w:val="00A3352D"/>
    <w:rsid w:val="00A335F8"/>
    <w:rsid w:val="00A33604"/>
    <w:rsid w:val="00A33A0D"/>
    <w:rsid w:val="00A33AB3"/>
    <w:rsid w:val="00A33AB7"/>
    <w:rsid w:val="00A33ABF"/>
    <w:rsid w:val="00A33B7B"/>
    <w:rsid w:val="00A33BA1"/>
    <w:rsid w:val="00A33BD9"/>
    <w:rsid w:val="00A33C9E"/>
    <w:rsid w:val="00A33CA6"/>
    <w:rsid w:val="00A33CD5"/>
    <w:rsid w:val="00A33CE2"/>
    <w:rsid w:val="00A33F39"/>
    <w:rsid w:val="00A33FC3"/>
    <w:rsid w:val="00A34026"/>
    <w:rsid w:val="00A34072"/>
    <w:rsid w:val="00A340B0"/>
    <w:rsid w:val="00A3410B"/>
    <w:rsid w:val="00A341BB"/>
    <w:rsid w:val="00A34219"/>
    <w:rsid w:val="00A3423C"/>
    <w:rsid w:val="00A342A9"/>
    <w:rsid w:val="00A342DD"/>
    <w:rsid w:val="00A3435F"/>
    <w:rsid w:val="00A34383"/>
    <w:rsid w:val="00A344A8"/>
    <w:rsid w:val="00A344C3"/>
    <w:rsid w:val="00A344FE"/>
    <w:rsid w:val="00A34504"/>
    <w:rsid w:val="00A345B3"/>
    <w:rsid w:val="00A345BF"/>
    <w:rsid w:val="00A34601"/>
    <w:rsid w:val="00A34626"/>
    <w:rsid w:val="00A346F5"/>
    <w:rsid w:val="00A3470F"/>
    <w:rsid w:val="00A34765"/>
    <w:rsid w:val="00A34805"/>
    <w:rsid w:val="00A34830"/>
    <w:rsid w:val="00A348EE"/>
    <w:rsid w:val="00A34906"/>
    <w:rsid w:val="00A34942"/>
    <w:rsid w:val="00A34C5E"/>
    <w:rsid w:val="00A34DBF"/>
    <w:rsid w:val="00A34E4A"/>
    <w:rsid w:val="00A34E86"/>
    <w:rsid w:val="00A34EF9"/>
    <w:rsid w:val="00A35014"/>
    <w:rsid w:val="00A3506D"/>
    <w:rsid w:val="00A351F5"/>
    <w:rsid w:val="00A351F7"/>
    <w:rsid w:val="00A35296"/>
    <w:rsid w:val="00A35333"/>
    <w:rsid w:val="00A3533D"/>
    <w:rsid w:val="00A3537A"/>
    <w:rsid w:val="00A353D8"/>
    <w:rsid w:val="00A35402"/>
    <w:rsid w:val="00A3547F"/>
    <w:rsid w:val="00A354FD"/>
    <w:rsid w:val="00A35564"/>
    <w:rsid w:val="00A355DC"/>
    <w:rsid w:val="00A3577B"/>
    <w:rsid w:val="00A357F3"/>
    <w:rsid w:val="00A3586F"/>
    <w:rsid w:val="00A35873"/>
    <w:rsid w:val="00A358D4"/>
    <w:rsid w:val="00A358E9"/>
    <w:rsid w:val="00A35AEA"/>
    <w:rsid w:val="00A35B1D"/>
    <w:rsid w:val="00A35B4A"/>
    <w:rsid w:val="00A35BD5"/>
    <w:rsid w:val="00A35BFE"/>
    <w:rsid w:val="00A35C51"/>
    <w:rsid w:val="00A35D66"/>
    <w:rsid w:val="00A35DDA"/>
    <w:rsid w:val="00A35E69"/>
    <w:rsid w:val="00A35FA1"/>
    <w:rsid w:val="00A35FB4"/>
    <w:rsid w:val="00A3601C"/>
    <w:rsid w:val="00A36099"/>
    <w:rsid w:val="00A360B3"/>
    <w:rsid w:val="00A3619F"/>
    <w:rsid w:val="00A3635A"/>
    <w:rsid w:val="00A36370"/>
    <w:rsid w:val="00A363DF"/>
    <w:rsid w:val="00A36565"/>
    <w:rsid w:val="00A365C9"/>
    <w:rsid w:val="00A365CC"/>
    <w:rsid w:val="00A365E8"/>
    <w:rsid w:val="00A36638"/>
    <w:rsid w:val="00A3667A"/>
    <w:rsid w:val="00A3676F"/>
    <w:rsid w:val="00A367A2"/>
    <w:rsid w:val="00A368DF"/>
    <w:rsid w:val="00A36958"/>
    <w:rsid w:val="00A36966"/>
    <w:rsid w:val="00A36967"/>
    <w:rsid w:val="00A36A4B"/>
    <w:rsid w:val="00A36A67"/>
    <w:rsid w:val="00A36AD6"/>
    <w:rsid w:val="00A36B0C"/>
    <w:rsid w:val="00A36BEA"/>
    <w:rsid w:val="00A36CC2"/>
    <w:rsid w:val="00A36FD5"/>
    <w:rsid w:val="00A3706E"/>
    <w:rsid w:val="00A370C1"/>
    <w:rsid w:val="00A37116"/>
    <w:rsid w:val="00A37189"/>
    <w:rsid w:val="00A37190"/>
    <w:rsid w:val="00A3726B"/>
    <w:rsid w:val="00A373BA"/>
    <w:rsid w:val="00A37486"/>
    <w:rsid w:val="00A37517"/>
    <w:rsid w:val="00A37570"/>
    <w:rsid w:val="00A375EF"/>
    <w:rsid w:val="00A37646"/>
    <w:rsid w:val="00A37658"/>
    <w:rsid w:val="00A37725"/>
    <w:rsid w:val="00A3776F"/>
    <w:rsid w:val="00A3777D"/>
    <w:rsid w:val="00A377A6"/>
    <w:rsid w:val="00A377C7"/>
    <w:rsid w:val="00A378ED"/>
    <w:rsid w:val="00A378EF"/>
    <w:rsid w:val="00A37921"/>
    <w:rsid w:val="00A37957"/>
    <w:rsid w:val="00A37972"/>
    <w:rsid w:val="00A379E2"/>
    <w:rsid w:val="00A37A69"/>
    <w:rsid w:val="00A37C21"/>
    <w:rsid w:val="00A37CDA"/>
    <w:rsid w:val="00A37D0F"/>
    <w:rsid w:val="00A37DBD"/>
    <w:rsid w:val="00A37E0F"/>
    <w:rsid w:val="00A37E83"/>
    <w:rsid w:val="00A37F17"/>
    <w:rsid w:val="00A37FD2"/>
    <w:rsid w:val="00A4007F"/>
    <w:rsid w:val="00A40093"/>
    <w:rsid w:val="00A40193"/>
    <w:rsid w:val="00A4019A"/>
    <w:rsid w:val="00A4030B"/>
    <w:rsid w:val="00A403B8"/>
    <w:rsid w:val="00A4046D"/>
    <w:rsid w:val="00A40487"/>
    <w:rsid w:val="00A404C5"/>
    <w:rsid w:val="00A40542"/>
    <w:rsid w:val="00A40567"/>
    <w:rsid w:val="00A405FE"/>
    <w:rsid w:val="00A406DB"/>
    <w:rsid w:val="00A406F7"/>
    <w:rsid w:val="00A40710"/>
    <w:rsid w:val="00A40803"/>
    <w:rsid w:val="00A40823"/>
    <w:rsid w:val="00A408BA"/>
    <w:rsid w:val="00A40913"/>
    <w:rsid w:val="00A4097D"/>
    <w:rsid w:val="00A409FB"/>
    <w:rsid w:val="00A40A2F"/>
    <w:rsid w:val="00A40A4D"/>
    <w:rsid w:val="00A40ADD"/>
    <w:rsid w:val="00A40B9A"/>
    <w:rsid w:val="00A40C3F"/>
    <w:rsid w:val="00A40D36"/>
    <w:rsid w:val="00A40D45"/>
    <w:rsid w:val="00A40DF9"/>
    <w:rsid w:val="00A40E7B"/>
    <w:rsid w:val="00A40F78"/>
    <w:rsid w:val="00A40FFF"/>
    <w:rsid w:val="00A410C8"/>
    <w:rsid w:val="00A411BE"/>
    <w:rsid w:val="00A41220"/>
    <w:rsid w:val="00A412EC"/>
    <w:rsid w:val="00A413B1"/>
    <w:rsid w:val="00A413C3"/>
    <w:rsid w:val="00A4142F"/>
    <w:rsid w:val="00A4159E"/>
    <w:rsid w:val="00A4162C"/>
    <w:rsid w:val="00A416BB"/>
    <w:rsid w:val="00A417EE"/>
    <w:rsid w:val="00A417F0"/>
    <w:rsid w:val="00A41814"/>
    <w:rsid w:val="00A41AEC"/>
    <w:rsid w:val="00A41B4F"/>
    <w:rsid w:val="00A41F88"/>
    <w:rsid w:val="00A41FCA"/>
    <w:rsid w:val="00A420C0"/>
    <w:rsid w:val="00A420C8"/>
    <w:rsid w:val="00A420E6"/>
    <w:rsid w:val="00A42131"/>
    <w:rsid w:val="00A422C9"/>
    <w:rsid w:val="00A42332"/>
    <w:rsid w:val="00A42371"/>
    <w:rsid w:val="00A4241B"/>
    <w:rsid w:val="00A42425"/>
    <w:rsid w:val="00A42617"/>
    <w:rsid w:val="00A4263A"/>
    <w:rsid w:val="00A426FF"/>
    <w:rsid w:val="00A427EA"/>
    <w:rsid w:val="00A427F5"/>
    <w:rsid w:val="00A427FD"/>
    <w:rsid w:val="00A42887"/>
    <w:rsid w:val="00A4295F"/>
    <w:rsid w:val="00A42A6E"/>
    <w:rsid w:val="00A42B9E"/>
    <w:rsid w:val="00A42C53"/>
    <w:rsid w:val="00A42D58"/>
    <w:rsid w:val="00A42D88"/>
    <w:rsid w:val="00A42DCB"/>
    <w:rsid w:val="00A42E99"/>
    <w:rsid w:val="00A42EAD"/>
    <w:rsid w:val="00A42F41"/>
    <w:rsid w:val="00A42F7D"/>
    <w:rsid w:val="00A42FAF"/>
    <w:rsid w:val="00A431D6"/>
    <w:rsid w:val="00A432BB"/>
    <w:rsid w:val="00A43431"/>
    <w:rsid w:val="00A43439"/>
    <w:rsid w:val="00A4349F"/>
    <w:rsid w:val="00A434F7"/>
    <w:rsid w:val="00A43515"/>
    <w:rsid w:val="00A435D3"/>
    <w:rsid w:val="00A43605"/>
    <w:rsid w:val="00A43629"/>
    <w:rsid w:val="00A43735"/>
    <w:rsid w:val="00A43767"/>
    <w:rsid w:val="00A437F3"/>
    <w:rsid w:val="00A4386B"/>
    <w:rsid w:val="00A438D8"/>
    <w:rsid w:val="00A438F6"/>
    <w:rsid w:val="00A439A9"/>
    <w:rsid w:val="00A439E5"/>
    <w:rsid w:val="00A43A3C"/>
    <w:rsid w:val="00A43A74"/>
    <w:rsid w:val="00A43A8F"/>
    <w:rsid w:val="00A43B1D"/>
    <w:rsid w:val="00A43B4A"/>
    <w:rsid w:val="00A43BA8"/>
    <w:rsid w:val="00A43C6F"/>
    <w:rsid w:val="00A43D9E"/>
    <w:rsid w:val="00A43DAC"/>
    <w:rsid w:val="00A43DD8"/>
    <w:rsid w:val="00A43E2F"/>
    <w:rsid w:val="00A43F17"/>
    <w:rsid w:val="00A43F27"/>
    <w:rsid w:val="00A43FBC"/>
    <w:rsid w:val="00A44057"/>
    <w:rsid w:val="00A4405A"/>
    <w:rsid w:val="00A44119"/>
    <w:rsid w:val="00A4420A"/>
    <w:rsid w:val="00A44282"/>
    <w:rsid w:val="00A44352"/>
    <w:rsid w:val="00A44377"/>
    <w:rsid w:val="00A44437"/>
    <w:rsid w:val="00A44464"/>
    <w:rsid w:val="00A4462E"/>
    <w:rsid w:val="00A44742"/>
    <w:rsid w:val="00A4477D"/>
    <w:rsid w:val="00A447BB"/>
    <w:rsid w:val="00A449C1"/>
    <w:rsid w:val="00A449C9"/>
    <w:rsid w:val="00A449E2"/>
    <w:rsid w:val="00A44B08"/>
    <w:rsid w:val="00A44B0C"/>
    <w:rsid w:val="00A44B2D"/>
    <w:rsid w:val="00A44BCA"/>
    <w:rsid w:val="00A44CFC"/>
    <w:rsid w:val="00A44D5D"/>
    <w:rsid w:val="00A44F1E"/>
    <w:rsid w:val="00A44F51"/>
    <w:rsid w:val="00A4501E"/>
    <w:rsid w:val="00A45054"/>
    <w:rsid w:val="00A4508B"/>
    <w:rsid w:val="00A451BF"/>
    <w:rsid w:val="00A45252"/>
    <w:rsid w:val="00A4537D"/>
    <w:rsid w:val="00A4549D"/>
    <w:rsid w:val="00A454BD"/>
    <w:rsid w:val="00A4552A"/>
    <w:rsid w:val="00A4557E"/>
    <w:rsid w:val="00A455FD"/>
    <w:rsid w:val="00A45660"/>
    <w:rsid w:val="00A45677"/>
    <w:rsid w:val="00A456FE"/>
    <w:rsid w:val="00A45701"/>
    <w:rsid w:val="00A457F0"/>
    <w:rsid w:val="00A45908"/>
    <w:rsid w:val="00A4592A"/>
    <w:rsid w:val="00A45A75"/>
    <w:rsid w:val="00A45A8A"/>
    <w:rsid w:val="00A45AB2"/>
    <w:rsid w:val="00A45B0A"/>
    <w:rsid w:val="00A45B32"/>
    <w:rsid w:val="00A45B6B"/>
    <w:rsid w:val="00A45C26"/>
    <w:rsid w:val="00A45C39"/>
    <w:rsid w:val="00A45CF8"/>
    <w:rsid w:val="00A45CFB"/>
    <w:rsid w:val="00A45D19"/>
    <w:rsid w:val="00A45E46"/>
    <w:rsid w:val="00A45E47"/>
    <w:rsid w:val="00A45E73"/>
    <w:rsid w:val="00A45E9F"/>
    <w:rsid w:val="00A45EE0"/>
    <w:rsid w:val="00A45FD6"/>
    <w:rsid w:val="00A4607E"/>
    <w:rsid w:val="00A46254"/>
    <w:rsid w:val="00A462A9"/>
    <w:rsid w:val="00A46338"/>
    <w:rsid w:val="00A463B5"/>
    <w:rsid w:val="00A46436"/>
    <w:rsid w:val="00A464F4"/>
    <w:rsid w:val="00A46778"/>
    <w:rsid w:val="00A467BF"/>
    <w:rsid w:val="00A46871"/>
    <w:rsid w:val="00A46880"/>
    <w:rsid w:val="00A468E5"/>
    <w:rsid w:val="00A4696E"/>
    <w:rsid w:val="00A4697B"/>
    <w:rsid w:val="00A469F6"/>
    <w:rsid w:val="00A469F9"/>
    <w:rsid w:val="00A46A1E"/>
    <w:rsid w:val="00A46ABE"/>
    <w:rsid w:val="00A46B66"/>
    <w:rsid w:val="00A46C04"/>
    <w:rsid w:val="00A46CD9"/>
    <w:rsid w:val="00A46DAC"/>
    <w:rsid w:val="00A46E7A"/>
    <w:rsid w:val="00A46EFF"/>
    <w:rsid w:val="00A47287"/>
    <w:rsid w:val="00A4732D"/>
    <w:rsid w:val="00A4738F"/>
    <w:rsid w:val="00A47408"/>
    <w:rsid w:val="00A474C1"/>
    <w:rsid w:val="00A474D7"/>
    <w:rsid w:val="00A475A1"/>
    <w:rsid w:val="00A47612"/>
    <w:rsid w:val="00A476B0"/>
    <w:rsid w:val="00A476F9"/>
    <w:rsid w:val="00A4774B"/>
    <w:rsid w:val="00A4775B"/>
    <w:rsid w:val="00A477F1"/>
    <w:rsid w:val="00A47863"/>
    <w:rsid w:val="00A478BA"/>
    <w:rsid w:val="00A478F8"/>
    <w:rsid w:val="00A47A30"/>
    <w:rsid w:val="00A47A57"/>
    <w:rsid w:val="00A47AD1"/>
    <w:rsid w:val="00A47AE4"/>
    <w:rsid w:val="00A47B1E"/>
    <w:rsid w:val="00A47B2E"/>
    <w:rsid w:val="00A47D4B"/>
    <w:rsid w:val="00A47DC9"/>
    <w:rsid w:val="00A47E24"/>
    <w:rsid w:val="00A47EE8"/>
    <w:rsid w:val="00A4DF3E"/>
    <w:rsid w:val="00A50075"/>
    <w:rsid w:val="00A500D9"/>
    <w:rsid w:val="00A501B8"/>
    <w:rsid w:val="00A5028C"/>
    <w:rsid w:val="00A5039D"/>
    <w:rsid w:val="00A50420"/>
    <w:rsid w:val="00A50432"/>
    <w:rsid w:val="00A50482"/>
    <w:rsid w:val="00A50564"/>
    <w:rsid w:val="00A505C0"/>
    <w:rsid w:val="00A50690"/>
    <w:rsid w:val="00A50692"/>
    <w:rsid w:val="00A506DC"/>
    <w:rsid w:val="00A508B9"/>
    <w:rsid w:val="00A508F4"/>
    <w:rsid w:val="00A508F6"/>
    <w:rsid w:val="00A50A41"/>
    <w:rsid w:val="00A50A56"/>
    <w:rsid w:val="00A50B09"/>
    <w:rsid w:val="00A50B0D"/>
    <w:rsid w:val="00A50B89"/>
    <w:rsid w:val="00A50C93"/>
    <w:rsid w:val="00A50CBB"/>
    <w:rsid w:val="00A50DA5"/>
    <w:rsid w:val="00A50ED7"/>
    <w:rsid w:val="00A5101D"/>
    <w:rsid w:val="00A51062"/>
    <w:rsid w:val="00A5110E"/>
    <w:rsid w:val="00A5126D"/>
    <w:rsid w:val="00A5127E"/>
    <w:rsid w:val="00A512E2"/>
    <w:rsid w:val="00A5136F"/>
    <w:rsid w:val="00A51374"/>
    <w:rsid w:val="00A513C2"/>
    <w:rsid w:val="00A51437"/>
    <w:rsid w:val="00A515B5"/>
    <w:rsid w:val="00A515E4"/>
    <w:rsid w:val="00A51729"/>
    <w:rsid w:val="00A5173D"/>
    <w:rsid w:val="00A517A2"/>
    <w:rsid w:val="00A5182B"/>
    <w:rsid w:val="00A518C9"/>
    <w:rsid w:val="00A51998"/>
    <w:rsid w:val="00A51AF0"/>
    <w:rsid w:val="00A51B2B"/>
    <w:rsid w:val="00A51B56"/>
    <w:rsid w:val="00A51BD6"/>
    <w:rsid w:val="00A51BE1"/>
    <w:rsid w:val="00A51D98"/>
    <w:rsid w:val="00A51E4C"/>
    <w:rsid w:val="00A51E58"/>
    <w:rsid w:val="00A51E94"/>
    <w:rsid w:val="00A51F2C"/>
    <w:rsid w:val="00A52084"/>
    <w:rsid w:val="00A520CB"/>
    <w:rsid w:val="00A521C4"/>
    <w:rsid w:val="00A521D3"/>
    <w:rsid w:val="00A5229B"/>
    <w:rsid w:val="00A52373"/>
    <w:rsid w:val="00A52436"/>
    <w:rsid w:val="00A52494"/>
    <w:rsid w:val="00A52517"/>
    <w:rsid w:val="00A526C8"/>
    <w:rsid w:val="00A5272E"/>
    <w:rsid w:val="00A52736"/>
    <w:rsid w:val="00A5278D"/>
    <w:rsid w:val="00A527C1"/>
    <w:rsid w:val="00A52864"/>
    <w:rsid w:val="00A528BD"/>
    <w:rsid w:val="00A529C3"/>
    <w:rsid w:val="00A52A1D"/>
    <w:rsid w:val="00A52A6B"/>
    <w:rsid w:val="00A52AA0"/>
    <w:rsid w:val="00A52BDD"/>
    <w:rsid w:val="00A52CC8"/>
    <w:rsid w:val="00A52CE8"/>
    <w:rsid w:val="00A52D85"/>
    <w:rsid w:val="00A52F6C"/>
    <w:rsid w:val="00A5303D"/>
    <w:rsid w:val="00A53165"/>
    <w:rsid w:val="00A53179"/>
    <w:rsid w:val="00A53194"/>
    <w:rsid w:val="00A532E4"/>
    <w:rsid w:val="00A5332B"/>
    <w:rsid w:val="00A535E1"/>
    <w:rsid w:val="00A5360B"/>
    <w:rsid w:val="00A536A9"/>
    <w:rsid w:val="00A536D5"/>
    <w:rsid w:val="00A538A5"/>
    <w:rsid w:val="00A538B3"/>
    <w:rsid w:val="00A53907"/>
    <w:rsid w:val="00A539B4"/>
    <w:rsid w:val="00A53A15"/>
    <w:rsid w:val="00A53ACA"/>
    <w:rsid w:val="00A53C45"/>
    <w:rsid w:val="00A53CC0"/>
    <w:rsid w:val="00A53CE1"/>
    <w:rsid w:val="00A53D28"/>
    <w:rsid w:val="00A53E0A"/>
    <w:rsid w:val="00A53E52"/>
    <w:rsid w:val="00A53F0E"/>
    <w:rsid w:val="00A53F52"/>
    <w:rsid w:val="00A53F8E"/>
    <w:rsid w:val="00A5409E"/>
    <w:rsid w:val="00A5410E"/>
    <w:rsid w:val="00A5413A"/>
    <w:rsid w:val="00A54263"/>
    <w:rsid w:val="00A542C6"/>
    <w:rsid w:val="00A542EC"/>
    <w:rsid w:val="00A5443B"/>
    <w:rsid w:val="00A5444D"/>
    <w:rsid w:val="00A544A1"/>
    <w:rsid w:val="00A544BC"/>
    <w:rsid w:val="00A54557"/>
    <w:rsid w:val="00A54564"/>
    <w:rsid w:val="00A54578"/>
    <w:rsid w:val="00A545A7"/>
    <w:rsid w:val="00A545DA"/>
    <w:rsid w:val="00A54679"/>
    <w:rsid w:val="00A546BF"/>
    <w:rsid w:val="00A546F2"/>
    <w:rsid w:val="00A54831"/>
    <w:rsid w:val="00A54858"/>
    <w:rsid w:val="00A548CA"/>
    <w:rsid w:val="00A54949"/>
    <w:rsid w:val="00A54AC2"/>
    <w:rsid w:val="00A54AC3"/>
    <w:rsid w:val="00A54AE3"/>
    <w:rsid w:val="00A54AF8"/>
    <w:rsid w:val="00A54B53"/>
    <w:rsid w:val="00A54C01"/>
    <w:rsid w:val="00A54C2E"/>
    <w:rsid w:val="00A54C79"/>
    <w:rsid w:val="00A54D2A"/>
    <w:rsid w:val="00A54DBE"/>
    <w:rsid w:val="00A54E4E"/>
    <w:rsid w:val="00A54EC4"/>
    <w:rsid w:val="00A54EED"/>
    <w:rsid w:val="00A54F26"/>
    <w:rsid w:val="00A54FA8"/>
    <w:rsid w:val="00A54FF0"/>
    <w:rsid w:val="00A55081"/>
    <w:rsid w:val="00A55316"/>
    <w:rsid w:val="00A55415"/>
    <w:rsid w:val="00A55418"/>
    <w:rsid w:val="00A55429"/>
    <w:rsid w:val="00A55470"/>
    <w:rsid w:val="00A55472"/>
    <w:rsid w:val="00A5550E"/>
    <w:rsid w:val="00A55548"/>
    <w:rsid w:val="00A55558"/>
    <w:rsid w:val="00A55580"/>
    <w:rsid w:val="00A555F4"/>
    <w:rsid w:val="00A55668"/>
    <w:rsid w:val="00A55789"/>
    <w:rsid w:val="00A557A6"/>
    <w:rsid w:val="00A5585B"/>
    <w:rsid w:val="00A5587B"/>
    <w:rsid w:val="00A5588E"/>
    <w:rsid w:val="00A559EF"/>
    <w:rsid w:val="00A55A48"/>
    <w:rsid w:val="00A55BBF"/>
    <w:rsid w:val="00A55CBA"/>
    <w:rsid w:val="00A55D2D"/>
    <w:rsid w:val="00A55D85"/>
    <w:rsid w:val="00A55E47"/>
    <w:rsid w:val="00A5600A"/>
    <w:rsid w:val="00A560E1"/>
    <w:rsid w:val="00A5611D"/>
    <w:rsid w:val="00A562AF"/>
    <w:rsid w:val="00A562E3"/>
    <w:rsid w:val="00A56310"/>
    <w:rsid w:val="00A56369"/>
    <w:rsid w:val="00A563F0"/>
    <w:rsid w:val="00A56433"/>
    <w:rsid w:val="00A56457"/>
    <w:rsid w:val="00A564B5"/>
    <w:rsid w:val="00A5669D"/>
    <w:rsid w:val="00A5673B"/>
    <w:rsid w:val="00A56767"/>
    <w:rsid w:val="00A567ED"/>
    <w:rsid w:val="00A5682F"/>
    <w:rsid w:val="00A56878"/>
    <w:rsid w:val="00A568B8"/>
    <w:rsid w:val="00A568E3"/>
    <w:rsid w:val="00A56A06"/>
    <w:rsid w:val="00A56A43"/>
    <w:rsid w:val="00A56B3E"/>
    <w:rsid w:val="00A56BA6"/>
    <w:rsid w:val="00A56BAE"/>
    <w:rsid w:val="00A56C8A"/>
    <w:rsid w:val="00A56DFE"/>
    <w:rsid w:val="00A56E94"/>
    <w:rsid w:val="00A56F56"/>
    <w:rsid w:val="00A56FCE"/>
    <w:rsid w:val="00A57123"/>
    <w:rsid w:val="00A57151"/>
    <w:rsid w:val="00A572D6"/>
    <w:rsid w:val="00A57304"/>
    <w:rsid w:val="00A574BD"/>
    <w:rsid w:val="00A574D4"/>
    <w:rsid w:val="00A57561"/>
    <w:rsid w:val="00A57588"/>
    <w:rsid w:val="00A576E2"/>
    <w:rsid w:val="00A57701"/>
    <w:rsid w:val="00A57753"/>
    <w:rsid w:val="00A5776D"/>
    <w:rsid w:val="00A577AC"/>
    <w:rsid w:val="00A577FD"/>
    <w:rsid w:val="00A57A1D"/>
    <w:rsid w:val="00A57A98"/>
    <w:rsid w:val="00A57AF9"/>
    <w:rsid w:val="00A57B5D"/>
    <w:rsid w:val="00A57B98"/>
    <w:rsid w:val="00A57C55"/>
    <w:rsid w:val="00A57C9A"/>
    <w:rsid w:val="00A57D31"/>
    <w:rsid w:val="00A57DA1"/>
    <w:rsid w:val="00A57E14"/>
    <w:rsid w:val="00A57EB2"/>
    <w:rsid w:val="00A60035"/>
    <w:rsid w:val="00A60079"/>
    <w:rsid w:val="00A600B8"/>
    <w:rsid w:val="00A602FE"/>
    <w:rsid w:val="00A603FD"/>
    <w:rsid w:val="00A60407"/>
    <w:rsid w:val="00A60597"/>
    <w:rsid w:val="00A60626"/>
    <w:rsid w:val="00A6067F"/>
    <w:rsid w:val="00A6098B"/>
    <w:rsid w:val="00A609B0"/>
    <w:rsid w:val="00A60B72"/>
    <w:rsid w:val="00A60C05"/>
    <w:rsid w:val="00A60C32"/>
    <w:rsid w:val="00A60C9F"/>
    <w:rsid w:val="00A60D5C"/>
    <w:rsid w:val="00A60E5B"/>
    <w:rsid w:val="00A60E66"/>
    <w:rsid w:val="00A6102C"/>
    <w:rsid w:val="00A6104B"/>
    <w:rsid w:val="00A61056"/>
    <w:rsid w:val="00A6107B"/>
    <w:rsid w:val="00A610D0"/>
    <w:rsid w:val="00A61173"/>
    <w:rsid w:val="00A61271"/>
    <w:rsid w:val="00A6139F"/>
    <w:rsid w:val="00A61429"/>
    <w:rsid w:val="00A614A8"/>
    <w:rsid w:val="00A61727"/>
    <w:rsid w:val="00A618AB"/>
    <w:rsid w:val="00A61959"/>
    <w:rsid w:val="00A619CA"/>
    <w:rsid w:val="00A61A3E"/>
    <w:rsid w:val="00A61A5F"/>
    <w:rsid w:val="00A61A71"/>
    <w:rsid w:val="00A61B16"/>
    <w:rsid w:val="00A61C39"/>
    <w:rsid w:val="00A61C3E"/>
    <w:rsid w:val="00A61C47"/>
    <w:rsid w:val="00A61C68"/>
    <w:rsid w:val="00A61D75"/>
    <w:rsid w:val="00A61D7A"/>
    <w:rsid w:val="00A61DC3"/>
    <w:rsid w:val="00A61DE7"/>
    <w:rsid w:val="00A61DEF"/>
    <w:rsid w:val="00A61E74"/>
    <w:rsid w:val="00A61F7E"/>
    <w:rsid w:val="00A62087"/>
    <w:rsid w:val="00A6210F"/>
    <w:rsid w:val="00A6215B"/>
    <w:rsid w:val="00A621B2"/>
    <w:rsid w:val="00A622A4"/>
    <w:rsid w:val="00A62306"/>
    <w:rsid w:val="00A6238F"/>
    <w:rsid w:val="00A623B8"/>
    <w:rsid w:val="00A62418"/>
    <w:rsid w:val="00A62524"/>
    <w:rsid w:val="00A62590"/>
    <w:rsid w:val="00A6259D"/>
    <w:rsid w:val="00A626D2"/>
    <w:rsid w:val="00A62919"/>
    <w:rsid w:val="00A62953"/>
    <w:rsid w:val="00A62991"/>
    <w:rsid w:val="00A629CF"/>
    <w:rsid w:val="00A62BEA"/>
    <w:rsid w:val="00A62D46"/>
    <w:rsid w:val="00A62E3F"/>
    <w:rsid w:val="00A62E7B"/>
    <w:rsid w:val="00A62EE5"/>
    <w:rsid w:val="00A62F95"/>
    <w:rsid w:val="00A6305A"/>
    <w:rsid w:val="00A6320E"/>
    <w:rsid w:val="00A6329A"/>
    <w:rsid w:val="00A63381"/>
    <w:rsid w:val="00A633D8"/>
    <w:rsid w:val="00A63468"/>
    <w:rsid w:val="00A6352F"/>
    <w:rsid w:val="00A63544"/>
    <w:rsid w:val="00A635E9"/>
    <w:rsid w:val="00A63661"/>
    <w:rsid w:val="00A636C0"/>
    <w:rsid w:val="00A636C5"/>
    <w:rsid w:val="00A637B4"/>
    <w:rsid w:val="00A63868"/>
    <w:rsid w:val="00A6390D"/>
    <w:rsid w:val="00A63AC4"/>
    <w:rsid w:val="00A63AD8"/>
    <w:rsid w:val="00A63CC3"/>
    <w:rsid w:val="00A63CD9"/>
    <w:rsid w:val="00A63DC5"/>
    <w:rsid w:val="00A63E44"/>
    <w:rsid w:val="00A63F26"/>
    <w:rsid w:val="00A63FB4"/>
    <w:rsid w:val="00A640B9"/>
    <w:rsid w:val="00A640F5"/>
    <w:rsid w:val="00A64120"/>
    <w:rsid w:val="00A64147"/>
    <w:rsid w:val="00A64276"/>
    <w:rsid w:val="00A642DA"/>
    <w:rsid w:val="00A6438D"/>
    <w:rsid w:val="00A64632"/>
    <w:rsid w:val="00A64688"/>
    <w:rsid w:val="00A646A3"/>
    <w:rsid w:val="00A6472A"/>
    <w:rsid w:val="00A64829"/>
    <w:rsid w:val="00A64925"/>
    <w:rsid w:val="00A64953"/>
    <w:rsid w:val="00A649A5"/>
    <w:rsid w:val="00A649CA"/>
    <w:rsid w:val="00A64AE6"/>
    <w:rsid w:val="00A64B83"/>
    <w:rsid w:val="00A64C0B"/>
    <w:rsid w:val="00A64C69"/>
    <w:rsid w:val="00A64C84"/>
    <w:rsid w:val="00A64CC5"/>
    <w:rsid w:val="00A64E53"/>
    <w:rsid w:val="00A64EB3"/>
    <w:rsid w:val="00A64EC8"/>
    <w:rsid w:val="00A65047"/>
    <w:rsid w:val="00A65055"/>
    <w:rsid w:val="00A6520F"/>
    <w:rsid w:val="00A65252"/>
    <w:rsid w:val="00A6525A"/>
    <w:rsid w:val="00A652AD"/>
    <w:rsid w:val="00A652C9"/>
    <w:rsid w:val="00A653C9"/>
    <w:rsid w:val="00A653D8"/>
    <w:rsid w:val="00A65448"/>
    <w:rsid w:val="00A65498"/>
    <w:rsid w:val="00A654D4"/>
    <w:rsid w:val="00A6559A"/>
    <w:rsid w:val="00A65601"/>
    <w:rsid w:val="00A65622"/>
    <w:rsid w:val="00A65662"/>
    <w:rsid w:val="00A656FF"/>
    <w:rsid w:val="00A6571F"/>
    <w:rsid w:val="00A65720"/>
    <w:rsid w:val="00A657F6"/>
    <w:rsid w:val="00A65802"/>
    <w:rsid w:val="00A6580E"/>
    <w:rsid w:val="00A65925"/>
    <w:rsid w:val="00A65A05"/>
    <w:rsid w:val="00A65B8C"/>
    <w:rsid w:val="00A65B9F"/>
    <w:rsid w:val="00A65BA2"/>
    <w:rsid w:val="00A65BF3"/>
    <w:rsid w:val="00A65C24"/>
    <w:rsid w:val="00A65D7D"/>
    <w:rsid w:val="00A65DD8"/>
    <w:rsid w:val="00A65E04"/>
    <w:rsid w:val="00A65E0D"/>
    <w:rsid w:val="00A65F26"/>
    <w:rsid w:val="00A6607F"/>
    <w:rsid w:val="00A66086"/>
    <w:rsid w:val="00A660FD"/>
    <w:rsid w:val="00A6610F"/>
    <w:rsid w:val="00A661BA"/>
    <w:rsid w:val="00A6622D"/>
    <w:rsid w:val="00A66238"/>
    <w:rsid w:val="00A662DA"/>
    <w:rsid w:val="00A66305"/>
    <w:rsid w:val="00A6632A"/>
    <w:rsid w:val="00A66338"/>
    <w:rsid w:val="00A6639B"/>
    <w:rsid w:val="00A66568"/>
    <w:rsid w:val="00A66578"/>
    <w:rsid w:val="00A66581"/>
    <w:rsid w:val="00A6663C"/>
    <w:rsid w:val="00A66724"/>
    <w:rsid w:val="00A66741"/>
    <w:rsid w:val="00A66749"/>
    <w:rsid w:val="00A667CF"/>
    <w:rsid w:val="00A667F2"/>
    <w:rsid w:val="00A66871"/>
    <w:rsid w:val="00A66872"/>
    <w:rsid w:val="00A669B8"/>
    <w:rsid w:val="00A669D7"/>
    <w:rsid w:val="00A66A3C"/>
    <w:rsid w:val="00A66A43"/>
    <w:rsid w:val="00A66B2C"/>
    <w:rsid w:val="00A66B5E"/>
    <w:rsid w:val="00A66B9A"/>
    <w:rsid w:val="00A66BEC"/>
    <w:rsid w:val="00A66D1C"/>
    <w:rsid w:val="00A66D89"/>
    <w:rsid w:val="00A66DE4"/>
    <w:rsid w:val="00A66DEC"/>
    <w:rsid w:val="00A66E95"/>
    <w:rsid w:val="00A66EB1"/>
    <w:rsid w:val="00A66F56"/>
    <w:rsid w:val="00A66F85"/>
    <w:rsid w:val="00A66FA5"/>
    <w:rsid w:val="00A670FD"/>
    <w:rsid w:val="00A671D1"/>
    <w:rsid w:val="00A67270"/>
    <w:rsid w:val="00A672FF"/>
    <w:rsid w:val="00A673D2"/>
    <w:rsid w:val="00A674E4"/>
    <w:rsid w:val="00A6757F"/>
    <w:rsid w:val="00A675EC"/>
    <w:rsid w:val="00A6763E"/>
    <w:rsid w:val="00A67668"/>
    <w:rsid w:val="00A67786"/>
    <w:rsid w:val="00A67982"/>
    <w:rsid w:val="00A67A15"/>
    <w:rsid w:val="00A67A81"/>
    <w:rsid w:val="00A67A83"/>
    <w:rsid w:val="00A67A86"/>
    <w:rsid w:val="00A67AA9"/>
    <w:rsid w:val="00A67BC3"/>
    <w:rsid w:val="00A67C31"/>
    <w:rsid w:val="00A67C60"/>
    <w:rsid w:val="00A67DDD"/>
    <w:rsid w:val="00A67E19"/>
    <w:rsid w:val="00A67EF3"/>
    <w:rsid w:val="00A67F88"/>
    <w:rsid w:val="00A7000B"/>
    <w:rsid w:val="00A7005F"/>
    <w:rsid w:val="00A70096"/>
    <w:rsid w:val="00A70229"/>
    <w:rsid w:val="00A702B8"/>
    <w:rsid w:val="00A702EF"/>
    <w:rsid w:val="00A7032D"/>
    <w:rsid w:val="00A70477"/>
    <w:rsid w:val="00A70503"/>
    <w:rsid w:val="00A705CA"/>
    <w:rsid w:val="00A70885"/>
    <w:rsid w:val="00A7089F"/>
    <w:rsid w:val="00A708D9"/>
    <w:rsid w:val="00A708F7"/>
    <w:rsid w:val="00A70A2E"/>
    <w:rsid w:val="00A70A65"/>
    <w:rsid w:val="00A70C40"/>
    <w:rsid w:val="00A70CEF"/>
    <w:rsid w:val="00A70D66"/>
    <w:rsid w:val="00A70DDE"/>
    <w:rsid w:val="00A70E37"/>
    <w:rsid w:val="00A70E86"/>
    <w:rsid w:val="00A70EF6"/>
    <w:rsid w:val="00A70F1E"/>
    <w:rsid w:val="00A71048"/>
    <w:rsid w:val="00A710F3"/>
    <w:rsid w:val="00A711CB"/>
    <w:rsid w:val="00A711D4"/>
    <w:rsid w:val="00A7122F"/>
    <w:rsid w:val="00A71233"/>
    <w:rsid w:val="00A7130D"/>
    <w:rsid w:val="00A7152F"/>
    <w:rsid w:val="00A71696"/>
    <w:rsid w:val="00A716D0"/>
    <w:rsid w:val="00A71726"/>
    <w:rsid w:val="00A71842"/>
    <w:rsid w:val="00A7185E"/>
    <w:rsid w:val="00A7196E"/>
    <w:rsid w:val="00A719A1"/>
    <w:rsid w:val="00A719D6"/>
    <w:rsid w:val="00A719EB"/>
    <w:rsid w:val="00A71A64"/>
    <w:rsid w:val="00A71D0F"/>
    <w:rsid w:val="00A71D56"/>
    <w:rsid w:val="00A71F96"/>
    <w:rsid w:val="00A71FA6"/>
    <w:rsid w:val="00A71FE9"/>
    <w:rsid w:val="00A72050"/>
    <w:rsid w:val="00A72135"/>
    <w:rsid w:val="00A721B0"/>
    <w:rsid w:val="00A721B9"/>
    <w:rsid w:val="00A721E7"/>
    <w:rsid w:val="00A721F2"/>
    <w:rsid w:val="00A721FA"/>
    <w:rsid w:val="00A72411"/>
    <w:rsid w:val="00A72478"/>
    <w:rsid w:val="00A7252E"/>
    <w:rsid w:val="00A72584"/>
    <w:rsid w:val="00A725D6"/>
    <w:rsid w:val="00A72623"/>
    <w:rsid w:val="00A72636"/>
    <w:rsid w:val="00A72706"/>
    <w:rsid w:val="00A727F7"/>
    <w:rsid w:val="00A728AA"/>
    <w:rsid w:val="00A728B7"/>
    <w:rsid w:val="00A729ED"/>
    <w:rsid w:val="00A72A00"/>
    <w:rsid w:val="00A72ACC"/>
    <w:rsid w:val="00A72B57"/>
    <w:rsid w:val="00A72B65"/>
    <w:rsid w:val="00A72DF6"/>
    <w:rsid w:val="00A72E46"/>
    <w:rsid w:val="00A72FA8"/>
    <w:rsid w:val="00A72FED"/>
    <w:rsid w:val="00A73059"/>
    <w:rsid w:val="00A730C0"/>
    <w:rsid w:val="00A73105"/>
    <w:rsid w:val="00A7323E"/>
    <w:rsid w:val="00A7328E"/>
    <w:rsid w:val="00A732E7"/>
    <w:rsid w:val="00A73331"/>
    <w:rsid w:val="00A73359"/>
    <w:rsid w:val="00A7336A"/>
    <w:rsid w:val="00A73415"/>
    <w:rsid w:val="00A73480"/>
    <w:rsid w:val="00A7361E"/>
    <w:rsid w:val="00A736D2"/>
    <w:rsid w:val="00A7370D"/>
    <w:rsid w:val="00A73754"/>
    <w:rsid w:val="00A73864"/>
    <w:rsid w:val="00A73932"/>
    <w:rsid w:val="00A7394D"/>
    <w:rsid w:val="00A7397B"/>
    <w:rsid w:val="00A73985"/>
    <w:rsid w:val="00A73A11"/>
    <w:rsid w:val="00A73AF5"/>
    <w:rsid w:val="00A73BB6"/>
    <w:rsid w:val="00A73CAB"/>
    <w:rsid w:val="00A73CE0"/>
    <w:rsid w:val="00A73CFA"/>
    <w:rsid w:val="00A73D44"/>
    <w:rsid w:val="00A73DE3"/>
    <w:rsid w:val="00A73E4C"/>
    <w:rsid w:val="00A73E4F"/>
    <w:rsid w:val="00A73EE0"/>
    <w:rsid w:val="00A73EF6"/>
    <w:rsid w:val="00A73F2A"/>
    <w:rsid w:val="00A73FA1"/>
    <w:rsid w:val="00A7406E"/>
    <w:rsid w:val="00A7416C"/>
    <w:rsid w:val="00A741C6"/>
    <w:rsid w:val="00A743D6"/>
    <w:rsid w:val="00A7442E"/>
    <w:rsid w:val="00A744A5"/>
    <w:rsid w:val="00A744B0"/>
    <w:rsid w:val="00A7452A"/>
    <w:rsid w:val="00A745C1"/>
    <w:rsid w:val="00A745D7"/>
    <w:rsid w:val="00A74635"/>
    <w:rsid w:val="00A7467E"/>
    <w:rsid w:val="00A74696"/>
    <w:rsid w:val="00A747F3"/>
    <w:rsid w:val="00A74898"/>
    <w:rsid w:val="00A748AF"/>
    <w:rsid w:val="00A74B8C"/>
    <w:rsid w:val="00A74C1F"/>
    <w:rsid w:val="00A74D21"/>
    <w:rsid w:val="00A74DE2"/>
    <w:rsid w:val="00A74E19"/>
    <w:rsid w:val="00A74E39"/>
    <w:rsid w:val="00A74E42"/>
    <w:rsid w:val="00A74FD5"/>
    <w:rsid w:val="00A750EE"/>
    <w:rsid w:val="00A75113"/>
    <w:rsid w:val="00A7516D"/>
    <w:rsid w:val="00A751B0"/>
    <w:rsid w:val="00A7526F"/>
    <w:rsid w:val="00A75362"/>
    <w:rsid w:val="00A753BD"/>
    <w:rsid w:val="00A753E2"/>
    <w:rsid w:val="00A7540A"/>
    <w:rsid w:val="00A75488"/>
    <w:rsid w:val="00A75669"/>
    <w:rsid w:val="00A7576A"/>
    <w:rsid w:val="00A75796"/>
    <w:rsid w:val="00A757AF"/>
    <w:rsid w:val="00A757DC"/>
    <w:rsid w:val="00A759B1"/>
    <w:rsid w:val="00A75C13"/>
    <w:rsid w:val="00A75C4D"/>
    <w:rsid w:val="00A75C69"/>
    <w:rsid w:val="00A75CC2"/>
    <w:rsid w:val="00A75EA5"/>
    <w:rsid w:val="00A75ED3"/>
    <w:rsid w:val="00A75FC7"/>
    <w:rsid w:val="00A760F2"/>
    <w:rsid w:val="00A7616A"/>
    <w:rsid w:val="00A761A4"/>
    <w:rsid w:val="00A7620E"/>
    <w:rsid w:val="00A762C4"/>
    <w:rsid w:val="00A7648B"/>
    <w:rsid w:val="00A765A7"/>
    <w:rsid w:val="00A76623"/>
    <w:rsid w:val="00A76630"/>
    <w:rsid w:val="00A76693"/>
    <w:rsid w:val="00A766ED"/>
    <w:rsid w:val="00A767F4"/>
    <w:rsid w:val="00A7680D"/>
    <w:rsid w:val="00A7686C"/>
    <w:rsid w:val="00A768CD"/>
    <w:rsid w:val="00A768E1"/>
    <w:rsid w:val="00A769EB"/>
    <w:rsid w:val="00A76A91"/>
    <w:rsid w:val="00A76B5D"/>
    <w:rsid w:val="00A76E13"/>
    <w:rsid w:val="00A77024"/>
    <w:rsid w:val="00A7702D"/>
    <w:rsid w:val="00A77098"/>
    <w:rsid w:val="00A7719B"/>
    <w:rsid w:val="00A771FB"/>
    <w:rsid w:val="00A7723D"/>
    <w:rsid w:val="00A77353"/>
    <w:rsid w:val="00A77463"/>
    <w:rsid w:val="00A774B8"/>
    <w:rsid w:val="00A77546"/>
    <w:rsid w:val="00A775E4"/>
    <w:rsid w:val="00A775F2"/>
    <w:rsid w:val="00A77668"/>
    <w:rsid w:val="00A77673"/>
    <w:rsid w:val="00A77687"/>
    <w:rsid w:val="00A776CE"/>
    <w:rsid w:val="00A776D2"/>
    <w:rsid w:val="00A77729"/>
    <w:rsid w:val="00A777B9"/>
    <w:rsid w:val="00A778F3"/>
    <w:rsid w:val="00A778F6"/>
    <w:rsid w:val="00A779AD"/>
    <w:rsid w:val="00A779E7"/>
    <w:rsid w:val="00A77B1E"/>
    <w:rsid w:val="00A77C1D"/>
    <w:rsid w:val="00A77C8A"/>
    <w:rsid w:val="00A77D39"/>
    <w:rsid w:val="00A77E52"/>
    <w:rsid w:val="00A77E99"/>
    <w:rsid w:val="00A80004"/>
    <w:rsid w:val="00A80093"/>
    <w:rsid w:val="00A80112"/>
    <w:rsid w:val="00A8014A"/>
    <w:rsid w:val="00A80270"/>
    <w:rsid w:val="00A80295"/>
    <w:rsid w:val="00A8048C"/>
    <w:rsid w:val="00A8049B"/>
    <w:rsid w:val="00A804B5"/>
    <w:rsid w:val="00A804D1"/>
    <w:rsid w:val="00A80606"/>
    <w:rsid w:val="00A806D1"/>
    <w:rsid w:val="00A806EC"/>
    <w:rsid w:val="00A80755"/>
    <w:rsid w:val="00A8082C"/>
    <w:rsid w:val="00A80842"/>
    <w:rsid w:val="00A808E2"/>
    <w:rsid w:val="00A80958"/>
    <w:rsid w:val="00A809F2"/>
    <w:rsid w:val="00A809F7"/>
    <w:rsid w:val="00A80A8D"/>
    <w:rsid w:val="00A80ACA"/>
    <w:rsid w:val="00A80B90"/>
    <w:rsid w:val="00A80BCE"/>
    <w:rsid w:val="00A80C25"/>
    <w:rsid w:val="00A80C79"/>
    <w:rsid w:val="00A80D69"/>
    <w:rsid w:val="00A80D82"/>
    <w:rsid w:val="00A80D9B"/>
    <w:rsid w:val="00A81057"/>
    <w:rsid w:val="00A811AF"/>
    <w:rsid w:val="00A811DA"/>
    <w:rsid w:val="00A81244"/>
    <w:rsid w:val="00A812C4"/>
    <w:rsid w:val="00A813B8"/>
    <w:rsid w:val="00A81473"/>
    <w:rsid w:val="00A814FA"/>
    <w:rsid w:val="00A815DC"/>
    <w:rsid w:val="00A81660"/>
    <w:rsid w:val="00A81694"/>
    <w:rsid w:val="00A816C3"/>
    <w:rsid w:val="00A81760"/>
    <w:rsid w:val="00A81823"/>
    <w:rsid w:val="00A81830"/>
    <w:rsid w:val="00A81851"/>
    <w:rsid w:val="00A818CD"/>
    <w:rsid w:val="00A818ED"/>
    <w:rsid w:val="00A81A04"/>
    <w:rsid w:val="00A81AC8"/>
    <w:rsid w:val="00A81B5D"/>
    <w:rsid w:val="00A81B67"/>
    <w:rsid w:val="00A81BD7"/>
    <w:rsid w:val="00A81BEE"/>
    <w:rsid w:val="00A81CAD"/>
    <w:rsid w:val="00A81CFE"/>
    <w:rsid w:val="00A81D79"/>
    <w:rsid w:val="00A81D96"/>
    <w:rsid w:val="00A81DFD"/>
    <w:rsid w:val="00A81E19"/>
    <w:rsid w:val="00A81E1D"/>
    <w:rsid w:val="00A81E47"/>
    <w:rsid w:val="00A81E7D"/>
    <w:rsid w:val="00A81F6A"/>
    <w:rsid w:val="00A8204D"/>
    <w:rsid w:val="00A82064"/>
    <w:rsid w:val="00A82096"/>
    <w:rsid w:val="00A82111"/>
    <w:rsid w:val="00A82112"/>
    <w:rsid w:val="00A8211A"/>
    <w:rsid w:val="00A82257"/>
    <w:rsid w:val="00A82383"/>
    <w:rsid w:val="00A823E4"/>
    <w:rsid w:val="00A8253B"/>
    <w:rsid w:val="00A825F3"/>
    <w:rsid w:val="00A82688"/>
    <w:rsid w:val="00A82747"/>
    <w:rsid w:val="00A82808"/>
    <w:rsid w:val="00A8285A"/>
    <w:rsid w:val="00A828DE"/>
    <w:rsid w:val="00A82924"/>
    <w:rsid w:val="00A82A6D"/>
    <w:rsid w:val="00A82C9A"/>
    <w:rsid w:val="00A82E4C"/>
    <w:rsid w:val="00A82E6F"/>
    <w:rsid w:val="00A82E77"/>
    <w:rsid w:val="00A82ECA"/>
    <w:rsid w:val="00A82F11"/>
    <w:rsid w:val="00A82F84"/>
    <w:rsid w:val="00A82F98"/>
    <w:rsid w:val="00A82FC0"/>
    <w:rsid w:val="00A82FE2"/>
    <w:rsid w:val="00A83077"/>
    <w:rsid w:val="00A8319A"/>
    <w:rsid w:val="00A831AC"/>
    <w:rsid w:val="00A831B0"/>
    <w:rsid w:val="00A8322D"/>
    <w:rsid w:val="00A8323E"/>
    <w:rsid w:val="00A83254"/>
    <w:rsid w:val="00A832F4"/>
    <w:rsid w:val="00A83460"/>
    <w:rsid w:val="00A83552"/>
    <w:rsid w:val="00A835BA"/>
    <w:rsid w:val="00A83739"/>
    <w:rsid w:val="00A83747"/>
    <w:rsid w:val="00A8375A"/>
    <w:rsid w:val="00A837F5"/>
    <w:rsid w:val="00A838E3"/>
    <w:rsid w:val="00A83925"/>
    <w:rsid w:val="00A8393C"/>
    <w:rsid w:val="00A8394E"/>
    <w:rsid w:val="00A83956"/>
    <w:rsid w:val="00A83A24"/>
    <w:rsid w:val="00A83A68"/>
    <w:rsid w:val="00A83B8D"/>
    <w:rsid w:val="00A83C90"/>
    <w:rsid w:val="00A83CAC"/>
    <w:rsid w:val="00A83DEA"/>
    <w:rsid w:val="00A83EAA"/>
    <w:rsid w:val="00A83EF0"/>
    <w:rsid w:val="00A83FC6"/>
    <w:rsid w:val="00A83FDE"/>
    <w:rsid w:val="00A8402A"/>
    <w:rsid w:val="00A84030"/>
    <w:rsid w:val="00A840F1"/>
    <w:rsid w:val="00A84182"/>
    <w:rsid w:val="00A841FB"/>
    <w:rsid w:val="00A84265"/>
    <w:rsid w:val="00A8433C"/>
    <w:rsid w:val="00A8436A"/>
    <w:rsid w:val="00A84484"/>
    <w:rsid w:val="00A845A7"/>
    <w:rsid w:val="00A84722"/>
    <w:rsid w:val="00A84725"/>
    <w:rsid w:val="00A847F0"/>
    <w:rsid w:val="00A848C4"/>
    <w:rsid w:val="00A848D8"/>
    <w:rsid w:val="00A84974"/>
    <w:rsid w:val="00A84ABB"/>
    <w:rsid w:val="00A84AEE"/>
    <w:rsid w:val="00A84B97"/>
    <w:rsid w:val="00A84CDA"/>
    <w:rsid w:val="00A84E29"/>
    <w:rsid w:val="00A84E42"/>
    <w:rsid w:val="00A84E87"/>
    <w:rsid w:val="00A84F34"/>
    <w:rsid w:val="00A84F3F"/>
    <w:rsid w:val="00A85003"/>
    <w:rsid w:val="00A850B3"/>
    <w:rsid w:val="00A85174"/>
    <w:rsid w:val="00A852A6"/>
    <w:rsid w:val="00A85329"/>
    <w:rsid w:val="00A85369"/>
    <w:rsid w:val="00A85456"/>
    <w:rsid w:val="00A854B1"/>
    <w:rsid w:val="00A85514"/>
    <w:rsid w:val="00A85520"/>
    <w:rsid w:val="00A855B9"/>
    <w:rsid w:val="00A855D0"/>
    <w:rsid w:val="00A855E9"/>
    <w:rsid w:val="00A85683"/>
    <w:rsid w:val="00A858B9"/>
    <w:rsid w:val="00A858E8"/>
    <w:rsid w:val="00A85901"/>
    <w:rsid w:val="00A8591F"/>
    <w:rsid w:val="00A8592E"/>
    <w:rsid w:val="00A85966"/>
    <w:rsid w:val="00A859A4"/>
    <w:rsid w:val="00A85A1A"/>
    <w:rsid w:val="00A85A79"/>
    <w:rsid w:val="00A85AEE"/>
    <w:rsid w:val="00A85B1E"/>
    <w:rsid w:val="00A85C35"/>
    <w:rsid w:val="00A85C9E"/>
    <w:rsid w:val="00A85CEE"/>
    <w:rsid w:val="00A85E6B"/>
    <w:rsid w:val="00A85EE0"/>
    <w:rsid w:val="00A85EED"/>
    <w:rsid w:val="00A86046"/>
    <w:rsid w:val="00A8614B"/>
    <w:rsid w:val="00A861A1"/>
    <w:rsid w:val="00A861F6"/>
    <w:rsid w:val="00A862A7"/>
    <w:rsid w:val="00A862B0"/>
    <w:rsid w:val="00A864BE"/>
    <w:rsid w:val="00A864F0"/>
    <w:rsid w:val="00A8652E"/>
    <w:rsid w:val="00A866A3"/>
    <w:rsid w:val="00A86742"/>
    <w:rsid w:val="00A867A7"/>
    <w:rsid w:val="00A867D4"/>
    <w:rsid w:val="00A8690B"/>
    <w:rsid w:val="00A869B4"/>
    <w:rsid w:val="00A86A5D"/>
    <w:rsid w:val="00A86AB9"/>
    <w:rsid w:val="00A86AC8"/>
    <w:rsid w:val="00A86B1A"/>
    <w:rsid w:val="00A86B6E"/>
    <w:rsid w:val="00A86D6E"/>
    <w:rsid w:val="00A86D70"/>
    <w:rsid w:val="00A86D78"/>
    <w:rsid w:val="00A86F35"/>
    <w:rsid w:val="00A86F89"/>
    <w:rsid w:val="00A86F95"/>
    <w:rsid w:val="00A87128"/>
    <w:rsid w:val="00A8712D"/>
    <w:rsid w:val="00A87187"/>
    <w:rsid w:val="00A8722A"/>
    <w:rsid w:val="00A87286"/>
    <w:rsid w:val="00A872BB"/>
    <w:rsid w:val="00A872C6"/>
    <w:rsid w:val="00A872E5"/>
    <w:rsid w:val="00A8731F"/>
    <w:rsid w:val="00A8732D"/>
    <w:rsid w:val="00A87406"/>
    <w:rsid w:val="00A8742B"/>
    <w:rsid w:val="00A87438"/>
    <w:rsid w:val="00A874AC"/>
    <w:rsid w:val="00A87519"/>
    <w:rsid w:val="00A8755B"/>
    <w:rsid w:val="00A8757D"/>
    <w:rsid w:val="00A87585"/>
    <w:rsid w:val="00A876E9"/>
    <w:rsid w:val="00A8770E"/>
    <w:rsid w:val="00A87842"/>
    <w:rsid w:val="00A878AB"/>
    <w:rsid w:val="00A87926"/>
    <w:rsid w:val="00A87BE1"/>
    <w:rsid w:val="00A87C32"/>
    <w:rsid w:val="00A87D04"/>
    <w:rsid w:val="00A87D20"/>
    <w:rsid w:val="00A87D64"/>
    <w:rsid w:val="00A87D8D"/>
    <w:rsid w:val="00A87DFB"/>
    <w:rsid w:val="00A87E30"/>
    <w:rsid w:val="00A87F50"/>
    <w:rsid w:val="00A87FCE"/>
    <w:rsid w:val="00A9002C"/>
    <w:rsid w:val="00A90041"/>
    <w:rsid w:val="00A9005E"/>
    <w:rsid w:val="00A9008E"/>
    <w:rsid w:val="00A90231"/>
    <w:rsid w:val="00A9026E"/>
    <w:rsid w:val="00A90348"/>
    <w:rsid w:val="00A9043F"/>
    <w:rsid w:val="00A904EE"/>
    <w:rsid w:val="00A9051E"/>
    <w:rsid w:val="00A90525"/>
    <w:rsid w:val="00A90659"/>
    <w:rsid w:val="00A9066B"/>
    <w:rsid w:val="00A90741"/>
    <w:rsid w:val="00A90748"/>
    <w:rsid w:val="00A90767"/>
    <w:rsid w:val="00A907FC"/>
    <w:rsid w:val="00A90800"/>
    <w:rsid w:val="00A90851"/>
    <w:rsid w:val="00A90899"/>
    <w:rsid w:val="00A908A8"/>
    <w:rsid w:val="00A908DD"/>
    <w:rsid w:val="00A90985"/>
    <w:rsid w:val="00A909A9"/>
    <w:rsid w:val="00A909D5"/>
    <w:rsid w:val="00A90ACD"/>
    <w:rsid w:val="00A90BBA"/>
    <w:rsid w:val="00A90BDE"/>
    <w:rsid w:val="00A90C2D"/>
    <w:rsid w:val="00A90C7E"/>
    <w:rsid w:val="00A90D44"/>
    <w:rsid w:val="00A90E29"/>
    <w:rsid w:val="00A90E63"/>
    <w:rsid w:val="00A90FF7"/>
    <w:rsid w:val="00A91066"/>
    <w:rsid w:val="00A911E7"/>
    <w:rsid w:val="00A912A3"/>
    <w:rsid w:val="00A912B1"/>
    <w:rsid w:val="00A912CB"/>
    <w:rsid w:val="00A91307"/>
    <w:rsid w:val="00A9135C"/>
    <w:rsid w:val="00A9135D"/>
    <w:rsid w:val="00A91390"/>
    <w:rsid w:val="00A91410"/>
    <w:rsid w:val="00A914C9"/>
    <w:rsid w:val="00A916CF"/>
    <w:rsid w:val="00A916EE"/>
    <w:rsid w:val="00A9183C"/>
    <w:rsid w:val="00A91892"/>
    <w:rsid w:val="00A918C1"/>
    <w:rsid w:val="00A919C3"/>
    <w:rsid w:val="00A919FD"/>
    <w:rsid w:val="00A91A06"/>
    <w:rsid w:val="00A91A8E"/>
    <w:rsid w:val="00A91B4E"/>
    <w:rsid w:val="00A91BDA"/>
    <w:rsid w:val="00A91C02"/>
    <w:rsid w:val="00A91C10"/>
    <w:rsid w:val="00A91C3A"/>
    <w:rsid w:val="00A91C73"/>
    <w:rsid w:val="00A91CF9"/>
    <w:rsid w:val="00A91D7A"/>
    <w:rsid w:val="00A91E57"/>
    <w:rsid w:val="00A91E64"/>
    <w:rsid w:val="00A91F4B"/>
    <w:rsid w:val="00A91F70"/>
    <w:rsid w:val="00A91FDE"/>
    <w:rsid w:val="00A920A9"/>
    <w:rsid w:val="00A92109"/>
    <w:rsid w:val="00A9221E"/>
    <w:rsid w:val="00A92302"/>
    <w:rsid w:val="00A9242B"/>
    <w:rsid w:val="00A92523"/>
    <w:rsid w:val="00A9253E"/>
    <w:rsid w:val="00A9259C"/>
    <w:rsid w:val="00A9269F"/>
    <w:rsid w:val="00A926BA"/>
    <w:rsid w:val="00A926FC"/>
    <w:rsid w:val="00A9270C"/>
    <w:rsid w:val="00A927F5"/>
    <w:rsid w:val="00A9283F"/>
    <w:rsid w:val="00A9288B"/>
    <w:rsid w:val="00A929E3"/>
    <w:rsid w:val="00A92A30"/>
    <w:rsid w:val="00A92B9E"/>
    <w:rsid w:val="00A92CEA"/>
    <w:rsid w:val="00A92DFC"/>
    <w:rsid w:val="00A92EF6"/>
    <w:rsid w:val="00A92FCE"/>
    <w:rsid w:val="00A92FF9"/>
    <w:rsid w:val="00A92FFD"/>
    <w:rsid w:val="00A93009"/>
    <w:rsid w:val="00A9300A"/>
    <w:rsid w:val="00A93030"/>
    <w:rsid w:val="00A9312A"/>
    <w:rsid w:val="00A931A6"/>
    <w:rsid w:val="00A931C5"/>
    <w:rsid w:val="00A932C2"/>
    <w:rsid w:val="00A934AF"/>
    <w:rsid w:val="00A937BB"/>
    <w:rsid w:val="00A937FC"/>
    <w:rsid w:val="00A9381E"/>
    <w:rsid w:val="00A938F4"/>
    <w:rsid w:val="00A93992"/>
    <w:rsid w:val="00A93A82"/>
    <w:rsid w:val="00A93B33"/>
    <w:rsid w:val="00A93B6D"/>
    <w:rsid w:val="00A93BFC"/>
    <w:rsid w:val="00A93C17"/>
    <w:rsid w:val="00A93D08"/>
    <w:rsid w:val="00A93D46"/>
    <w:rsid w:val="00A93DAD"/>
    <w:rsid w:val="00A93DB7"/>
    <w:rsid w:val="00A93EC7"/>
    <w:rsid w:val="00A93EEE"/>
    <w:rsid w:val="00A93F0D"/>
    <w:rsid w:val="00A9404D"/>
    <w:rsid w:val="00A94079"/>
    <w:rsid w:val="00A94213"/>
    <w:rsid w:val="00A942C9"/>
    <w:rsid w:val="00A94353"/>
    <w:rsid w:val="00A943F8"/>
    <w:rsid w:val="00A94436"/>
    <w:rsid w:val="00A94480"/>
    <w:rsid w:val="00A944E8"/>
    <w:rsid w:val="00A94527"/>
    <w:rsid w:val="00A94607"/>
    <w:rsid w:val="00A9468D"/>
    <w:rsid w:val="00A9476E"/>
    <w:rsid w:val="00A9478E"/>
    <w:rsid w:val="00A947CA"/>
    <w:rsid w:val="00A94844"/>
    <w:rsid w:val="00A94987"/>
    <w:rsid w:val="00A949F1"/>
    <w:rsid w:val="00A94A69"/>
    <w:rsid w:val="00A94AF4"/>
    <w:rsid w:val="00A94BBF"/>
    <w:rsid w:val="00A94C37"/>
    <w:rsid w:val="00A94CB3"/>
    <w:rsid w:val="00A94CEA"/>
    <w:rsid w:val="00A94D4D"/>
    <w:rsid w:val="00A94D50"/>
    <w:rsid w:val="00A94DFB"/>
    <w:rsid w:val="00A94DFE"/>
    <w:rsid w:val="00A94E97"/>
    <w:rsid w:val="00A94F08"/>
    <w:rsid w:val="00A94F1A"/>
    <w:rsid w:val="00A94FD2"/>
    <w:rsid w:val="00A951F9"/>
    <w:rsid w:val="00A95217"/>
    <w:rsid w:val="00A95353"/>
    <w:rsid w:val="00A9537A"/>
    <w:rsid w:val="00A9540B"/>
    <w:rsid w:val="00A95491"/>
    <w:rsid w:val="00A95516"/>
    <w:rsid w:val="00A9557E"/>
    <w:rsid w:val="00A956EB"/>
    <w:rsid w:val="00A957C8"/>
    <w:rsid w:val="00A95832"/>
    <w:rsid w:val="00A95854"/>
    <w:rsid w:val="00A9588F"/>
    <w:rsid w:val="00A95900"/>
    <w:rsid w:val="00A9597D"/>
    <w:rsid w:val="00A95A2F"/>
    <w:rsid w:val="00A95AC6"/>
    <w:rsid w:val="00A95B11"/>
    <w:rsid w:val="00A95BD2"/>
    <w:rsid w:val="00A95D11"/>
    <w:rsid w:val="00A95DD6"/>
    <w:rsid w:val="00A95E13"/>
    <w:rsid w:val="00A95E17"/>
    <w:rsid w:val="00A960A2"/>
    <w:rsid w:val="00A960AA"/>
    <w:rsid w:val="00A960CA"/>
    <w:rsid w:val="00A9610D"/>
    <w:rsid w:val="00A9611D"/>
    <w:rsid w:val="00A96234"/>
    <w:rsid w:val="00A962D7"/>
    <w:rsid w:val="00A96439"/>
    <w:rsid w:val="00A964A1"/>
    <w:rsid w:val="00A964EB"/>
    <w:rsid w:val="00A9660C"/>
    <w:rsid w:val="00A96663"/>
    <w:rsid w:val="00A96694"/>
    <w:rsid w:val="00A966DB"/>
    <w:rsid w:val="00A9670F"/>
    <w:rsid w:val="00A9684E"/>
    <w:rsid w:val="00A9687D"/>
    <w:rsid w:val="00A9689C"/>
    <w:rsid w:val="00A968F7"/>
    <w:rsid w:val="00A96917"/>
    <w:rsid w:val="00A96964"/>
    <w:rsid w:val="00A9698D"/>
    <w:rsid w:val="00A969FE"/>
    <w:rsid w:val="00A96C4D"/>
    <w:rsid w:val="00A96C5D"/>
    <w:rsid w:val="00A96DA1"/>
    <w:rsid w:val="00A96DE5"/>
    <w:rsid w:val="00A96E12"/>
    <w:rsid w:val="00A96FCB"/>
    <w:rsid w:val="00A96FFC"/>
    <w:rsid w:val="00A97077"/>
    <w:rsid w:val="00A9715E"/>
    <w:rsid w:val="00A97190"/>
    <w:rsid w:val="00A971AE"/>
    <w:rsid w:val="00A972BA"/>
    <w:rsid w:val="00A972CD"/>
    <w:rsid w:val="00A97378"/>
    <w:rsid w:val="00A973AE"/>
    <w:rsid w:val="00A973F4"/>
    <w:rsid w:val="00A97416"/>
    <w:rsid w:val="00A97429"/>
    <w:rsid w:val="00A9745B"/>
    <w:rsid w:val="00A974DE"/>
    <w:rsid w:val="00A975CA"/>
    <w:rsid w:val="00A9779B"/>
    <w:rsid w:val="00A977D9"/>
    <w:rsid w:val="00A97894"/>
    <w:rsid w:val="00A97936"/>
    <w:rsid w:val="00A9795D"/>
    <w:rsid w:val="00A97A19"/>
    <w:rsid w:val="00A97A95"/>
    <w:rsid w:val="00A97AAA"/>
    <w:rsid w:val="00A97B2A"/>
    <w:rsid w:val="00A97BBF"/>
    <w:rsid w:val="00A97BE3"/>
    <w:rsid w:val="00A97C20"/>
    <w:rsid w:val="00A97CB8"/>
    <w:rsid w:val="00A97CFF"/>
    <w:rsid w:val="00A97DCD"/>
    <w:rsid w:val="00A97DEA"/>
    <w:rsid w:val="00A97E94"/>
    <w:rsid w:val="00A97EE6"/>
    <w:rsid w:val="00A97F8C"/>
    <w:rsid w:val="00A97F90"/>
    <w:rsid w:val="00A97FDD"/>
    <w:rsid w:val="00AA00F7"/>
    <w:rsid w:val="00AA0123"/>
    <w:rsid w:val="00AA013D"/>
    <w:rsid w:val="00AA016A"/>
    <w:rsid w:val="00AA0202"/>
    <w:rsid w:val="00AA020F"/>
    <w:rsid w:val="00AA026E"/>
    <w:rsid w:val="00AA0295"/>
    <w:rsid w:val="00AA0393"/>
    <w:rsid w:val="00AA03BF"/>
    <w:rsid w:val="00AA0414"/>
    <w:rsid w:val="00AA042E"/>
    <w:rsid w:val="00AA0580"/>
    <w:rsid w:val="00AA060E"/>
    <w:rsid w:val="00AA074E"/>
    <w:rsid w:val="00AA0761"/>
    <w:rsid w:val="00AA07DA"/>
    <w:rsid w:val="00AA0887"/>
    <w:rsid w:val="00AA0905"/>
    <w:rsid w:val="00AA09D2"/>
    <w:rsid w:val="00AA0A23"/>
    <w:rsid w:val="00AA0B45"/>
    <w:rsid w:val="00AA0C26"/>
    <w:rsid w:val="00AA0D30"/>
    <w:rsid w:val="00AA0E92"/>
    <w:rsid w:val="00AA0F3D"/>
    <w:rsid w:val="00AA0F63"/>
    <w:rsid w:val="00AA0F74"/>
    <w:rsid w:val="00AA0FA4"/>
    <w:rsid w:val="00AA104E"/>
    <w:rsid w:val="00AA1061"/>
    <w:rsid w:val="00AA11E0"/>
    <w:rsid w:val="00AA11FD"/>
    <w:rsid w:val="00AA12D3"/>
    <w:rsid w:val="00AA12E8"/>
    <w:rsid w:val="00AA1311"/>
    <w:rsid w:val="00AA1391"/>
    <w:rsid w:val="00AA13C1"/>
    <w:rsid w:val="00AA13C6"/>
    <w:rsid w:val="00AA1545"/>
    <w:rsid w:val="00AA164F"/>
    <w:rsid w:val="00AA167E"/>
    <w:rsid w:val="00AA168F"/>
    <w:rsid w:val="00AA176A"/>
    <w:rsid w:val="00AA1772"/>
    <w:rsid w:val="00AA17BB"/>
    <w:rsid w:val="00AA18F7"/>
    <w:rsid w:val="00AA1B47"/>
    <w:rsid w:val="00AA1C1C"/>
    <w:rsid w:val="00AA1C38"/>
    <w:rsid w:val="00AA1E17"/>
    <w:rsid w:val="00AA1E5B"/>
    <w:rsid w:val="00AA1FA2"/>
    <w:rsid w:val="00AA2035"/>
    <w:rsid w:val="00AA2091"/>
    <w:rsid w:val="00AA20A8"/>
    <w:rsid w:val="00AA20D8"/>
    <w:rsid w:val="00AA2179"/>
    <w:rsid w:val="00AA218B"/>
    <w:rsid w:val="00AA22D3"/>
    <w:rsid w:val="00AA2359"/>
    <w:rsid w:val="00AA2363"/>
    <w:rsid w:val="00AA2397"/>
    <w:rsid w:val="00AA23E6"/>
    <w:rsid w:val="00AA244F"/>
    <w:rsid w:val="00AA245A"/>
    <w:rsid w:val="00AA24A3"/>
    <w:rsid w:val="00AA24AA"/>
    <w:rsid w:val="00AA2500"/>
    <w:rsid w:val="00AA27F5"/>
    <w:rsid w:val="00AA28B2"/>
    <w:rsid w:val="00AA29CE"/>
    <w:rsid w:val="00AA2A1E"/>
    <w:rsid w:val="00AA2A42"/>
    <w:rsid w:val="00AA2BA9"/>
    <w:rsid w:val="00AA2BAD"/>
    <w:rsid w:val="00AA2BC1"/>
    <w:rsid w:val="00AA2C6A"/>
    <w:rsid w:val="00AA2CA9"/>
    <w:rsid w:val="00AA2D52"/>
    <w:rsid w:val="00AA2F51"/>
    <w:rsid w:val="00AA3030"/>
    <w:rsid w:val="00AA3082"/>
    <w:rsid w:val="00AA3476"/>
    <w:rsid w:val="00AA3595"/>
    <w:rsid w:val="00AA359B"/>
    <w:rsid w:val="00AA3612"/>
    <w:rsid w:val="00AA369F"/>
    <w:rsid w:val="00AA37B7"/>
    <w:rsid w:val="00AA37E2"/>
    <w:rsid w:val="00AA37EA"/>
    <w:rsid w:val="00AA37F4"/>
    <w:rsid w:val="00AA38CA"/>
    <w:rsid w:val="00AA3995"/>
    <w:rsid w:val="00AA39A9"/>
    <w:rsid w:val="00AA39B5"/>
    <w:rsid w:val="00AA3A84"/>
    <w:rsid w:val="00AA3AA4"/>
    <w:rsid w:val="00AA3B59"/>
    <w:rsid w:val="00AA3B8E"/>
    <w:rsid w:val="00AA3BDF"/>
    <w:rsid w:val="00AA3C5F"/>
    <w:rsid w:val="00AA3CA3"/>
    <w:rsid w:val="00AA3E68"/>
    <w:rsid w:val="00AA3E7A"/>
    <w:rsid w:val="00AA3EC3"/>
    <w:rsid w:val="00AA3F5C"/>
    <w:rsid w:val="00AA405B"/>
    <w:rsid w:val="00AA41A7"/>
    <w:rsid w:val="00AA41D5"/>
    <w:rsid w:val="00AA41F3"/>
    <w:rsid w:val="00AA4445"/>
    <w:rsid w:val="00AA459A"/>
    <w:rsid w:val="00AA45D0"/>
    <w:rsid w:val="00AA45D9"/>
    <w:rsid w:val="00AA4662"/>
    <w:rsid w:val="00AA46C1"/>
    <w:rsid w:val="00AA4794"/>
    <w:rsid w:val="00AA4866"/>
    <w:rsid w:val="00AA48C9"/>
    <w:rsid w:val="00AA4A5F"/>
    <w:rsid w:val="00AA4A60"/>
    <w:rsid w:val="00AA4A9F"/>
    <w:rsid w:val="00AA4D2E"/>
    <w:rsid w:val="00AA4E1A"/>
    <w:rsid w:val="00AA4E1C"/>
    <w:rsid w:val="00AA4ECA"/>
    <w:rsid w:val="00AA50E2"/>
    <w:rsid w:val="00AA50F3"/>
    <w:rsid w:val="00AA5120"/>
    <w:rsid w:val="00AA51F3"/>
    <w:rsid w:val="00AA51F6"/>
    <w:rsid w:val="00AA528F"/>
    <w:rsid w:val="00AA52AA"/>
    <w:rsid w:val="00AA539D"/>
    <w:rsid w:val="00AA53C7"/>
    <w:rsid w:val="00AA5488"/>
    <w:rsid w:val="00AA5495"/>
    <w:rsid w:val="00AA5608"/>
    <w:rsid w:val="00AA5613"/>
    <w:rsid w:val="00AA599B"/>
    <w:rsid w:val="00AA5A0C"/>
    <w:rsid w:val="00AA5A43"/>
    <w:rsid w:val="00AA5ACB"/>
    <w:rsid w:val="00AA5B60"/>
    <w:rsid w:val="00AA5BBB"/>
    <w:rsid w:val="00AA5C9A"/>
    <w:rsid w:val="00AA5CE8"/>
    <w:rsid w:val="00AA5D18"/>
    <w:rsid w:val="00AA5D63"/>
    <w:rsid w:val="00AA5E8B"/>
    <w:rsid w:val="00AA6012"/>
    <w:rsid w:val="00AA603D"/>
    <w:rsid w:val="00AA603E"/>
    <w:rsid w:val="00AA6238"/>
    <w:rsid w:val="00AA62B1"/>
    <w:rsid w:val="00AA62BD"/>
    <w:rsid w:val="00AA6358"/>
    <w:rsid w:val="00AA63F4"/>
    <w:rsid w:val="00AA646C"/>
    <w:rsid w:val="00AA6501"/>
    <w:rsid w:val="00AA65D6"/>
    <w:rsid w:val="00AA6613"/>
    <w:rsid w:val="00AA6626"/>
    <w:rsid w:val="00AA67EB"/>
    <w:rsid w:val="00AA6924"/>
    <w:rsid w:val="00AA6B1B"/>
    <w:rsid w:val="00AA6BD4"/>
    <w:rsid w:val="00AA6C77"/>
    <w:rsid w:val="00AA6C92"/>
    <w:rsid w:val="00AA6C96"/>
    <w:rsid w:val="00AA6D62"/>
    <w:rsid w:val="00AA6DB0"/>
    <w:rsid w:val="00AA6E17"/>
    <w:rsid w:val="00AA6F5F"/>
    <w:rsid w:val="00AA6F7A"/>
    <w:rsid w:val="00AA6FEC"/>
    <w:rsid w:val="00AA701D"/>
    <w:rsid w:val="00AA70B2"/>
    <w:rsid w:val="00AA7142"/>
    <w:rsid w:val="00AA7157"/>
    <w:rsid w:val="00AA73E4"/>
    <w:rsid w:val="00AA7419"/>
    <w:rsid w:val="00AA744F"/>
    <w:rsid w:val="00AA7450"/>
    <w:rsid w:val="00AA74B5"/>
    <w:rsid w:val="00AA74EE"/>
    <w:rsid w:val="00AA7535"/>
    <w:rsid w:val="00AA754B"/>
    <w:rsid w:val="00AA7567"/>
    <w:rsid w:val="00AA7583"/>
    <w:rsid w:val="00AA7637"/>
    <w:rsid w:val="00AA77D0"/>
    <w:rsid w:val="00AA7813"/>
    <w:rsid w:val="00AA7880"/>
    <w:rsid w:val="00AA789C"/>
    <w:rsid w:val="00AA78E9"/>
    <w:rsid w:val="00AA7986"/>
    <w:rsid w:val="00AA79FF"/>
    <w:rsid w:val="00AA7AD6"/>
    <w:rsid w:val="00AA7B22"/>
    <w:rsid w:val="00AA7B28"/>
    <w:rsid w:val="00AA7B59"/>
    <w:rsid w:val="00AA7B88"/>
    <w:rsid w:val="00AA7BCA"/>
    <w:rsid w:val="00AA7BF1"/>
    <w:rsid w:val="00AA7CE9"/>
    <w:rsid w:val="00AA7D5E"/>
    <w:rsid w:val="00AA7D9F"/>
    <w:rsid w:val="00AA7DE3"/>
    <w:rsid w:val="00AA7DE6"/>
    <w:rsid w:val="00AA7DF6"/>
    <w:rsid w:val="00AA7E7C"/>
    <w:rsid w:val="00AA7EB2"/>
    <w:rsid w:val="00AA7EFE"/>
    <w:rsid w:val="00AB0043"/>
    <w:rsid w:val="00AB0191"/>
    <w:rsid w:val="00AB020A"/>
    <w:rsid w:val="00AB02A0"/>
    <w:rsid w:val="00AB02BA"/>
    <w:rsid w:val="00AB02F9"/>
    <w:rsid w:val="00AB0367"/>
    <w:rsid w:val="00AB047E"/>
    <w:rsid w:val="00AB04D7"/>
    <w:rsid w:val="00AB0596"/>
    <w:rsid w:val="00AB062B"/>
    <w:rsid w:val="00AB06FE"/>
    <w:rsid w:val="00AB075A"/>
    <w:rsid w:val="00AB07A3"/>
    <w:rsid w:val="00AB07B2"/>
    <w:rsid w:val="00AB08F3"/>
    <w:rsid w:val="00AB0C2D"/>
    <w:rsid w:val="00AB0CA2"/>
    <w:rsid w:val="00AB0CDD"/>
    <w:rsid w:val="00AB0D45"/>
    <w:rsid w:val="00AB0E00"/>
    <w:rsid w:val="00AB0E39"/>
    <w:rsid w:val="00AB0E4D"/>
    <w:rsid w:val="00AB0EB6"/>
    <w:rsid w:val="00AB0F63"/>
    <w:rsid w:val="00AB0F96"/>
    <w:rsid w:val="00AB0FB1"/>
    <w:rsid w:val="00AB0FC1"/>
    <w:rsid w:val="00AB0FC2"/>
    <w:rsid w:val="00AB1058"/>
    <w:rsid w:val="00AB105F"/>
    <w:rsid w:val="00AB10E0"/>
    <w:rsid w:val="00AB10EB"/>
    <w:rsid w:val="00AB147C"/>
    <w:rsid w:val="00AB149E"/>
    <w:rsid w:val="00AB14A4"/>
    <w:rsid w:val="00AB1593"/>
    <w:rsid w:val="00AB1782"/>
    <w:rsid w:val="00AB1AAB"/>
    <w:rsid w:val="00AB1B20"/>
    <w:rsid w:val="00AB1BE9"/>
    <w:rsid w:val="00AB1C5B"/>
    <w:rsid w:val="00AB1D76"/>
    <w:rsid w:val="00AB1E4D"/>
    <w:rsid w:val="00AB1F78"/>
    <w:rsid w:val="00AB2079"/>
    <w:rsid w:val="00AB20B8"/>
    <w:rsid w:val="00AB20D5"/>
    <w:rsid w:val="00AB20DD"/>
    <w:rsid w:val="00AB2100"/>
    <w:rsid w:val="00AB2222"/>
    <w:rsid w:val="00AB22C8"/>
    <w:rsid w:val="00AB2368"/>
    <w:rsid w:val="00AB2381"/>
    <w:rsid w:val="00AB24A8"/>
    <w:rsid w:val="00AB24EE"/>
    <w:rsid w:val="00AB250A"/>
    <w:rsid w:val="00AB254A"/>
    <w:rsid w:val="00AB25AE"/>
    <w:rsid w:val="00AB25D1"/>
    <w:rsid w:val="00AB2606"/>
    <w:rsid w:val="00AB2623"/>
    <w:rsid w:val="00AB2674"/>
    <w:rsid w:val="00AB2751"/>
    <w:rsid w:val="00AB2770"/>
    <w:rsid w:val="00AB27A1"/>
    <w:rsid w:val="00AB27C2"/>
    <w:rsid w:val="00AB2804"/>
    <w:rsid w:val="00AB28B1"/>
    <w:rsid w:val="00AB29EB"/>
    <w:rsid w:val="00AB2A01"/>
    <w:rsid w:val="00AB2AD9"/>
    <w:rsid w:val="00AB2B06"/>
    <w:rsid w:val="00AB2D3C"/>
    <w:rsid w:val="00AB2ECC"/>
    <w:rsid w:val="00AB3008"/>
    <w:rsid w:val="00AB3116"/>
    <w:rsid w:val="00AB313F"/>
    <w:rsid w:val="00AB31D3"/>
    <w:rsid w:val="00AB32A3"/>
    <w:rsid w:val="00AB33C3"/>
    <w:rsid w:val="00AB33CE"/>
    <w:rsid w:val="00AB33DA"/>
    <w:rsid w:val="00AB34CF"/>
    <w:rsid w:val="00AB3533"/>
    <w:rsid w:val="00AB3576"/>
    <w:rsid w:val="00AB36A4"/>
    <w:rsid w:val="00AB36DA"/>
    <w:rsid w:val="00AB37E1"/>
    <w:rsid w:val="00AB3920"/>
    <w:rsid w:val="00AB397E"/>
    <w:rsid w:val="00AB3C01"/>
    <w:rsid w:val="00AB3C96"/>
    <w:rsid w:val="00AB3CA9"/>
    <w:rsid w:val="00AB3CD7"/>
    <w:rsid w:val="00AB3DE1"/>
    <w:rsid w:val="00AB3DED"/>
    <w:rsid w:val="00AB3F89"/>
    <w:rsid w:val="00AB3F91"/>
    <w:rsid w:val="00AB4087"/>
    <w:rsid w:val="00AB409D"/>
    <w:rsid w:val="00AB40AF"/>
    <w:rsid w:val="00AB40CD"/>
    <w:rsid w:val="00AB42B6"/>
    <w:rsid w:val="00AB4323"/>
    <w:rsid w:val="00AB432D"/>
    <w:rsid w:val="00AB4446"/>
    <w:rsid w:val="00AB44D3"/>
    <w:rsid w:val="00AB451F"/>
    <w:rsid w:val="00AB45DB"/>
    <w:rsid w:val="00AB4649"/>
    <w:rsid w:val="00AB4864"/>
    <w:rsid w:val="00AB488E"/>
    <w:rsid w:val="00AB490D"/>
    <w:rsid w:val="00AB4AD8"/>
    <w:rsid w:val="00AB4C7A"/>
    <w:rsid w:val="00AB4C9D"/>
    <w:rsid w:val="00AB4CF9"/>
    <w:rsid w:val="00AB4E1A"/>
    <w:rsid w:val="00AB4EB5"/>
    <w:rsid w:val="00AB4EBC"/>
    <w:rsid w:val="00AB4F9C"/>
    <w:rsid w:val="00AB4FA0"/>
    <w:rsid w:val="00AB5004"/>
    <w:rsid w:val="00AB5014"/>
    <w:rsid w:val="00AB502D"/>
    <w:rsid w:val="00AB51B8"/>
    <w:rsid w:val="00AB51BE"/>
    <w:rsid w:val="00AB5211"/>
    <w:rsid w:val="00AB5235"/>
    <w:rsid w:val="00AB524E"/>
    <w:rsid w:val="00AB5380"/>
    <w:rsid w:val="00AB53AD"/>
    <w:rsid w:val="00AB547A"/>
    <w:rsid w:val="00AB54E6"/>
    <w:rsid w:val="00AB564E"/>
    <w:rsid w:val="00AB5689"/>
    <w:rsid w:val="00AB5727"/>
    <w:rsid w:val="00AB57E5"/>
    <w:rsid w:val="00AB5A04"/>
    <w:rsid w:val="00AB5AA1"/>
    <w:rsid w:val="00AB5BCB"/>
    <w:rsid w:val="00AB5BCE"/>
    <w:rsid w:val="00AB5C2F"/>
    <w:rsid w:val="00AB5CFE"/>
    <w:rsid w:val="00AB5DD8"/>
    <w:rsid w:val="00AB5F01"/>
    <w:rsid w:val="00AB5F2C"/>
    <w:rsid w:val="00AB6038"/>
    <w:rsid w:val="00AB6092"/>
    <w:rsid w:val="00AB626F"/>
    <w:rsid w:val="00AB62FA"/>
    <w:rsid w:val="00AB6496"/>
    <w:rsid w:val="00AB6498"/>
    <w:rsid w:val="00AB64EB"/>
    <w:rsid w:val="00AB6519"/>
    <w:rsid w:val="00AB664A"/>
    <w:rsid w:val="00AB6655"/>
    <w:rsid w:val="00AB66BF"/>
    <w:rsid w:val="00AB66CA"/>
    <w:rsid w:val="00AB66F5"/>
    <w:rsid w:val="00AB6727"/>
    <w:rsid w:val="00AB67FF"/>
    <w:rsid w:val="00AB681F"/>
    <w:rsid w:val="00AB6A7E"/>
    <w:rsid w:val="00AB6A9B"/>
    <w:rsid w:val="00AB6D40"/>
    <w:rsid w:val="00AB6DC0"/>
    <w:rsid w:val="00AB6E24"/>
    <w:rsid w:val="00AB6EDD"/>
    <w:rsid w:val="00AB7378"/>
    <w:rsid w:val="00AB74AB"/>
    <w:rsid w:val="00AB7545"/>
    <w:rsid w:val="00AB7687"/>
    <w:rsid w:val="00AB7691"/>
    <w:rsid w:val="00AB777C"/>
    <w:rsid w:val="00AB77E9"/>
    <w:rsid w:val="00AB77FA"/>
    <w:rsid w:val="00AB781B"/>
    <w:rsid w:val="00AB7855"/>
    <w:rsid w:val="00AB78B2"/>
    <w:rsid w:val="00AB78C8"/>
    <w:rsid w:val="00AB7911"/>
    <w:rsid w:val="00AB795C"/>
    <w:rsid w:val="00AB79FA"/>
    <w:rsid w:val="00AB7A2A"/>
    <w:rsid w:val="00AB7AFE"/>
    <w:rsid w:val="00AB7B2B"/>
    <w:rsid w:val="00AB7BD5"/>
    <w:rsid w:val="00AB7D50"/>
    <w:rsid w:val="00AC0069"/>
    <w:rsid w:val="00AC0091"/>
    <w:rsid w:val="00AC0130"/>
    <w:rsid w:val="00AC0189"/>
    <w:rsid w:val="00AC0270"/>
    <w:rsid w:val="00AC027D"/>
    <w:rsid w:val="00AC02A9"/>
    <w:rsid w:val="00AC02B8"/>
    <w:rsid w:val="00AC0419"/>
    <w:rsid w:val="00AC0456"/>
    <w:rsid w:val="00AC047F"/>
    <w:rsid w:val="00AC0547"/>
    <w:rsid w:val="00AC05F2"/>
    <w:rsid w:val="00AC0625"/>
    <w:rsid w:val="00AC0630"/>
    <w:rsid w:val="00AC0657"/>
    <w:rsid w:val="00AC0767"/>
    <w:rsid w:val="00AC08F8"/>
    <w:rsid w:val="00AC096B"/>
    <w:rsid w:val="00AC0A88"/>
    <w:rsid w:val="00AC0AE3"/>
    <w:rsid w:val="00AC0AE8"/>
    <w:rsid w:val="00AC0B0A"/>
    <w:rsid w:val="00AC0B83"/>
    <w:rsid w:val="00AC0BB6"/>
    <w:rsid w:val="00AC0CD6"/>
    <w:rsid w:val="00AC0D84"/>
    <w:rsid w:val="00AC0DF4"/>
    <w:rsid w:val="00AC0E07"/>
    <w:rsid w:val="00AC102D"/>
    <w:rsid w:val="00AC103E"/>
    <w:rsid w:val="00AC112D"/>
    <w:rsid w:val="00AC128B"/>
    <w:rsid w:val="00AC1324"/>
    <w:rsid w:val="00AC1461"/>
    <w:rsid w:val="00AC15A6"/>
    <w:rsid w:val="00AC1646"/>
    <w:rsid w:val="00AC16E4"/>
    <w:rsid w:val="00AC18B2"/>
    <w:rsid w:val="00AC198E"/>
    <w:rsid w:val="00AC19C2"/>
    <w:rsid w:val="00AC1AA6"/>
    <w:rsid w:val="00AC1B59"/>
    <w:rsid w:val="00AC1B7C"/>
    <w:rsid w:val="00AC1C05"/>
    <w:rsid w:val="00AC1C3B"/>
    <w:rsid w:val="00AC1CEC"/>
    <w:rsid w:val="00AC1D72"/>
    <w:rsid w:val="00AC1D97"/>
    <w:rsid w:val="00AC1E29"/>
    <w:rsid w:val="00AC1EB2"/>
    <w:rsid w:val="00AC207E"/>
    <w:rsid w:val="00AC20BF"/>
    <w:rsid w:val="00AC2282"/>
    <w:rsid w:val="00AC22BC"/>
    <w:rsid w:val="00AC22EA"/>
    <w:rsid w:val="00AC23F2"/>
    <w:rsid w:val="00AC2426"/>
    <w:rsid w:val="00AC255F"/>
    <w:rsid w:val="00AC25A3"/>
    <w:rsid w:val="00AC2636"/>
    <w:rsid w:val="00AC26CA"/>
    <w:rsid w:val="00AC26F8"/>
    <w:rsid w:val="00AC288B"/>
    <w:rsid w:val="00AC2ACD"/>
    <w:rsid w:val="00AC2B7A"/>
    <w:rsid w:val="00AC2BCF"/>
    <w:rsid w:val="00AC2BD4"/>
    <w:rsid w:val="00AC2BF1"/>
    <w:rsid w:val="00AC2CF4"/>
    <w:rsid w:val="00AC2D0B"/>
    <w:rsid w:val="00AC2D1C"/>
    <w:rsid w:val="00AC2F5C"/>
    <w:rsid w:val="00AC2F90"/>
    <w:rsid w:val="00AC2FC5"/>
    <w:rsid w:val="00AC2FF8"/>
    <w:rsid w:val="00AC3143"/>
    <w:rsid w:val="00AC31D6"/>
    <w:rsid w:val="00AC32B6"/>
    <w:rsid w:val="00AC32BA"/>
    <w:rsid w:val="00AC3343"/>
    <w:rsid w:val="00AC3351"/>
    <w:rsid w:val="00AC337D"/>
    <w:rsid w:val="00AC33D7"/>
    <w:rsid w:val="00AC3579"/>
    <w:rsid w:val="00AC35F5"/>
    <w:rsid w:val="00AC367B"/>
    <w:rsid w:val="00AC3729"/>
    <w:rsid w:val="00AC376A"/>
    <w:rsid w:val="00AC389F"/>
    <w:rsid w:val="00AC39A2"/>
    <w:rsid w:val="00AC39FD"/>
    <w:rsid w:val="00AC3C45"/>
    <w:rsid w:val="00AC3D2D"/>
    <w:rsid w:val="00AC3D3A"/>
    <w:rsid w:val="00AC3DB0"/>
    <w:rsid w:val="00AC3DF0"/>
    <w:rsid w:val="00AC3DFE"/>
    <w:rsid w:val="00AC3E38"/>
    <w:rsid w:val="00AC3E6A"/>
    <w:rsid w:val="00AC4099"/>
    <w:rsid w:val="00AC40DC"/>
    <w:rsid w:val="00AC4205"/>
    <w:rsid w:val="00AC428C"/>
    <w:rsid w:val="00AC429E"/>
    <w:rsid w:val="00AC42A4"/>
    <w:rsid w:val="00AC44AF"/>
    <w:rsid w:val="00AC4501"/>
    <w:rsid w:val="00AC4554"/>
    <w:rsid w:val="00AC4581"/>
    <w:rsid w:val="00AC4782"/>
    <w:rsid w:val="00AC47BD"/>
    <w:rsid w:val="00AC47BE"/>
    <w:rsid w:val="00AC4830"/>
    <w:rsid w:val="00AC4856"/>
    <w:rsid w:val="00AC48B3"/>
    <w:rsid w:val="00AC48EB"/>
    <w:rsid w:val="00AC4919"/>
    <w:rsid w:val="00AC493D"/>
    <w:rsid w:val="00AC4A51"/>
    <w:rsid w:val="00AC4C65"/>
    <w:rsid w:val="00AC4FEC"/>
    <w:rsid w:val="00AC5064"/>
    <w:rsid w:val="00AC508D"/>
    <w:rsid w:val="00AC5179"/>
    <w:rsid w:val="00AC53E3"/>
    <w:rsid w:val="00AC541D"/>
    <w:rsid w:val="00AC5658"/>
    <w:rsid w:val="00AC56AC"/>
    <w:rsid w:val="00AC5809"/>
    <w:rsid w:val="00AC5844"/>
    <w:rsid w:val="00AC589C"/>
    <w:rsid w:val="00AC592A"/>
    <w:rsid w:val="00AC5A6B"/>
    <w:rsid w:val="00AC5C6A"/>
    <w:rsid w:val="00AC5D39"/>
    <w:rsid w:val="00AC5EB8"/>
    <w:rsid w:val="00AC5F55"/>
    <w:rsid w:val="00AC60F6"/>
    <w:rsid w:val="00AC6114"/>
    <w:rsid w:val="00AC61AB"/>
    <w:rsid w:val="00AC61BA"/>
    <w:rsid w:val="00AC6206"/>
    <w:rsid w:val="00AC624F"/>
    <w:rsid w:val="00AC626E"/>
    <w:rsid w:val="00AC6309"/>
    <w:rsid w:val="00AC6319"/>
    <w:rsid w:val="00AC6321"/>
    <w:rsid w:val="00AC63A4"/>
    <w:rsid w:val="00AC63FE"/>
    <w:rsid w:val="00AC640E"/>
    <w:rsid w:val="00AC64A8"/>
    <w:rsid w:val="00AC6507"/>
    <w:rsid w:val="00AC6576"/>
    <w:rsid w:val="00AC65A3"/>
    <w:rsid w:val="00AC6670"/>
    <w:rsid w:val="00AC6672"/>
    <w:rsid w:val="00AC677E"/>
    <w:rsid w:val="00AC678B"/>
    <w:rsid w:val="00AC68AF"/>
    <w:rsid w:val="00AC68D6"/>
    <w:rsid w:val="00AC6914"/>
    <w:rsid w:val="00AC6921"/>
    <w:rsid w:val="00AC6941"/>
    <w:rsid w:val="00AC6949"/>
    <w:rsid w:val="00AC69B8"/>
    <w:rsid w:val="00AC69FD"/>
    <w:rsid w:val="00AC6AD7"/>
    <w:rsid w:val="00AC6B01"/>
    <w:rsid w:val="00AC6B29"/>
    <w:rsid w:val="00AC6C81"/>
    <w:rsid w:val="00AC6CD6"/>
    <w:rsid w:val="00AC6DBA"/>
    <w:rsid w:val="00AC6E73"/>
    <w:rsid w:val="00AC6F2E"/>
    <w:rsid w:val="00AC6F7D"/>
    <w:rsid w:val="00AC6FBB"/>
    <w:rsid w:val="00AC6FBD"/>
    <w:rsid w:val="00AC70DB"/>
    <w:rsid w:val="00AC7120"/>
    <w:rsid w:val="00AC7169"/>
    <w:rsid w:val="00AC71CB"/>
    <w:rsid w:val="00AC71D6"/>
    <w:rsid w:val="00AC7233"/>
    <w:rsid w:val="00AC72FD"/>
    <w:rsid w:val="00AC7339"/>
    <w:rsid w:val="00AC73D3"/>
    <w:rsid w:val="00AC747A"/>
    <w:rsid w:val="00AC74B3"/>
    <w:rsid w:val="00AC7581"/>
    <w:rsid w:val="00AC7598"/>
    <w:rsid w:val="00AC75CD"/>
    <w:rsid w:val="00AC7650"/>
    <w:rsid w:val="00AC76F9"/>
    <w:rsid w:val="00AC77BF"/>
    <w:rsid w:val="00AC7889"/>
    <w:rsid w:val="00AC7938"/>
    <w:rsid w:val="00AC7944"/>
    <w:rsid w:val="00AC79D7"/>
    <w:rsid w:val="00AC7BDC"/>
    <w:rsid w:val="00AC7CA1"/>
    <w:rsid w:val="00AC7CDA"/>
    <w:rsid w:val="00AC7D39"/>
    <w:rsid w:val="00AC7DE1"/>
    <w:rsid w:val="00AC7E31"/>
    <w:rsid w:val="00AC7F05"/>
    <w:rsid w:val="00AC7F10"/>
    <w:rsid w:val="00AC7F40"/>
    <w:rsid w:val="00AC7F5D"/>
    <w:rsid w:val="00AC7FB5"/>
    <w:rsid w:val="00AC7FCF"/>
    <w:rsid w:val="00AD0097"/>
    <w:rsid w:val="00AD01BD"/>
    <w:rsid w:val="00AD023F"/>
    <w:rsid w:val="00AD033B"/>
    <w:rsid w:val="00AD03C9"/>
    <w:rsid w:val="00AD041C"/>
    <w:rsid w:val="00AD0447"/>
    <w:rsid w:val="00AD0454"/>
    <w:rsid w:val="00AD045E"/>
    <w:rsid w:val="00AD05D3"/>
    <w:rsid w:val="00AD0655"/>
    <w:rsid w:val="00AD0748"/>
    <w:rsid w:val="00AD0858"/>
    <w:rsid w:val="00AD0899"/>
    <w:rsid w:val="00AD08A2"/>
    <w:rsid w:val="00AD093B"/>
    <w:rsid w:val="00AD0A01"/>
    <w:rsid w:val="00AD0B0E"/>
    <w:rsid w:val="00AD0C72"/>
    <w:rsid w:val="00AD0D2F"/>
    <w:rsid w:val="00AD0D6D"/>
    <w:rsid w:val="00AD0DC7"/>
    <w:rsid w:val="00AD0DC9"/>
    <w:rsid w:val="00AD0E53"/>
    <w:rsid w:val="00AD0EA1"/>
    <w:rsid w:val="00AD0EDF"/>
    <w:rsid w:val="00AD0F5E"/>
    <w:rsid w:val="00AD0FF8"/>
    <w:rsid w:val="00AD1095"/>
    <w:rsid w:val="00AD10B1"/>
    <w:rsid w:val="00AD1165"/>
    <w:rsid w:val="00AD120C"/>
    <w:rsid w:val="00AD12FD"/>
    <w:rsid w:val="00AD13FD"/>
    <w:rsid w:val="00AD1408"/>
    <w:rsid w:val="00AD1503"/>
    <w:rsid w:val="00AD15C6"/>
    <w:rsid w:val="00AD177C"/>
    <w:rsid w:val="00AD17FB"/>
    <w:rsid w:val="00AD18BF"/>
    <w:rsid w:val="00AD18EA"/>
    <w:rsid w:val="00AD199A"/>
    <w:rsid w:val="00AD19C9"/>
    <w:rsid w:val="00AD1A07"/>
    <w:rsid w:val="00AD1AA3"/>
    <w:rsid w:val="00AD1AA7"/>
    <w:rsid w:val="00AD1AA9"/>
    <w:rsid w:val="00AD1C56"/>
    <w:rsid w:val="00AD1DCE"/>
    <w:rsid w:val="00AD2128"/>
    <w:rsid w:val="00AD2240"/>
    <w:rsid w:val="00AD226D"/>
    <w:rsid w:val="00AD2390"/>
    <w:rsid w:val="00AD23D0"/>
    <w:rsid w:val="00AD2405"/>
    <w:rsid w:val="00AD240D"/>
    <w:rsid w:val="00AD2555"/>
    <w:rsid w:val="00AD2563"/>
    <w:rsid w:val="00AD25DE"/>
    <w:rsid w:val="00AD2619"/>
    <w:rsid w:val="00AD2657"/>
    <w:rsid w:val="00AD2665"/>
    <w:rsid w:val="00AD26B4"/>
    <w:rsid w:val="00AD26B7"/>
    <w:rsid w:val="00AD26C8"/>
    <w:rsid w:val="00AD2745"/>
    <w:rsid w:val="00AD277C"/>
    <w:rsid w:val="00AD2828"/>
    <w:rsid w:val="00AD288C"/>
    <w:rsid w:val="00AD28CF"/>
    <w:rsid w:val="00AD2912"/>
    <w:rsid w:val="00AD2A1C"/>
    <w:rsid w:val="00AD2A1D"/>
    <w:rsid w:val="00AD2A55"/>
    <w:rsid w:val="00AD2B40"/>
    <w:rsid w:val="00AD2BE5"/>
    <w:rsid w:val="00AD2DE7"/>
    <w:rsid w:val="00AD2EAB"/>
    <w:rsid w:val="00AD2EFF"/>
    <w:rsid w:val="00AD2F2E"/>
    <w:rsid w:val="00AD2F65"/>
    <w:rsid w:val="00AD2F94"/>
    <w:rsid w:val="00AD2FC2"/>
    <w:rsid w:val="00AD3063"/>
    <w:rsid w:val="00AD3090"/>
    <w:rsid w:val="00AD30A8"/>
    <w:rsid w:val="00AD3108"/>
    <w:rsid w:val="00AD3157"/>
    <w:rsid w:val="00AD322A"/>
    <w:rsid w:val="00AD3361"/>
    <w:rsid w:val="00AD3398"/>
    <w:rsid w:val="00AD3540"/>
    <w:rsid w:val="00AD3619"/>
    <w:rsid w:val="00AD3659"/>
    <w:rsid w:val="00AD36BD"/>
    <w:rsid w:val="00AD370E"/>
    <w:rsid w:val="00AD378F"/>
    <w:rsid w:val="00AD3808"/>
    <w:rsid w:val="00AD3A57"/>
    <w:rsid w:val="00AD3A9E"/>
    <w:rsid w:val="00AD3CDF"/>
    <w:rsid w:val="00AD3D03"/>
    <w:rsid w:val="00AD3D3D"/>
    <w:rsid w:val="00AD3D83"/>
    <w:rsid w:val="00AD3DF7"/>
    <w:rsid w:val="00AD3E59"/>
    <w:rsid w:val="00AD3EBA"/>
    <w:rsid w:val="00AD3F00"/>
    <w:rsid w:val="00AD3F64"/>
    <w:rsid w:val="00AD3F6A"/>
    <w:rsid w:val="00AD4007"/>
    <w:rsid w:val="00AD412F"/>
    <w:rsid w:val="00AD41C5"/>
    <w:rsid w:val="00AD4260"/>
    <w:rsid w:val="00AD435B"/>
    <w:rsid w:val="00AD4378"/>
    <w:rsid w:val="00AD4513"/>
    <w:rsid w:val="00AD45A2"/>
    <w:rsid w:val="00AD46DC"/>
    <w:rsid w:val="00AD491D"/>
    <w:rsid w:val="00AD4925"/>
    <w:rsid w:val="00AD49B2"/>
    <w:rsid w:val="00AD4A39"/>
    <w:rsid w:val="00AD4BF1"/>
    <w:rsid w:val="00AD4C44"/>
    <w:rsid w:val="00AD4C45"/>
    <w:rsid w:val="00AD4C5A"/>
    <w:rsid w:val="00AD4CAE"/>
    <w:rsid w:val="00AD4CEC"/>
    <w:rsid w:val="00AD4ECA"/>
    <w:rsid w:val="00AD4F46"/>
    <w:rsid w:val="00AD4F70"/>
    <w:rsid w:val="00AD5086"/>
    <w:rsid w:val="00AD509E"/>
    <w:rsid w:val="00AD50DC"/>
    <w:rsid w:val="00AD516B"/>
    <w:rsid w:val="00AD519A"/>
    <w:rsid w:val="00AD51E9"/>
    <w:rsid w:val="00AD51EA"/>
    <w:rsid w:val="00AD5209"/>
    <w:rsid w:val="00AD5237"/>
    <w:rsid w:val="00AD5267"/>
    <w:rsid w:val="00AD5397"/>
    <w:rsid w:val="00AD542E"/>
    <w:rsid w:val="00AD54AA"/>
    <w:rsid w:val="00AD5765"/>
    <w:rsid w:val="00AD57D2"/>
    <w:rsid w:val="00AD57EB"/>
    <w:rsid w:val="00AD5891"/>
    <w:rsid w:val="00AD59AD"/>
    <w:rsid w:val="00AD5A28"/>
    <w:rsid w:val="00AD5A29"/>
    <w:rsid w:val="00AD5B1D"/>
    <w:rsid w:val="00AD5B24"/>
    <w:rsid w:val="00AD5BFD"/>
    <w:rsid w:val="00AD5C1A"/>
    <w:rsid w:val="00AD5C1E"/>
    <w:rsid w:val="00AD5CB4"/>
    <w:rsid w:val="00AD5DA4"/>
    <w:rsid w:val="00AD5EB3"/>
    <w:rsid w:val="00AD5EE4"/>
    <w:rsid w:val="00AD5F23"/>
    <w:rsid w:val="00AD5F7C"/>
    <w:rsid w:val="00AD5FB5"/>
    <w:rsid w:val="00AD5FEB"/>
    <w:rsid w:val="00AD608C"/>
    <w:rsid w:val="00AD60C3"/>
    <w:rsid w:val="00AD60C9"/>
    <w:rsid w:val="00AD61BF"/>
    <w:rsid w:val="00AD61CF"/>
    <w:rsid w:val="00AD622E"/>
    <w:rsid w:val="00AD6349"/>
    <w:rsid w:val="00AD6496"/>
    <w:rsid w:val="00AD65AD"/>
    <w:rsid w:val="00AD6619"/>
    <w:rsid w:val="00AD6633"/>
    <w:rsid w:val="00AD66BA"/>
    <w:rsid w:val="00AD671D"/>
    <w:rsid w:val="00AD674B"/>
    <w:rsid w:val="00AD676E"/>
    <w:rsid w:val="00AD6985"/>
    <w:rsid w:val="00AD6ACF"/>
    <w:rsid w:val="00AD6B52"/>
    <w:rsid w:val="00AD6B69"/>
    <w:rsid w:val="00AD6BFF"/>
    <w:rsid w:val="00AD6D52"/>
    <w:rsid w:val="00AD6E83"/>
    <w:rsid w:val="00AD6EDE"/>
    <w:rsid w:val="00AD6F1C"/>
    <w:rsid w:val="00AD7017"/>
    <w:rsid w:val="00AD7155"/>
    <w:rsid w:val="00AD715E"/>
    <w:rsid w:val="00AD7187"/>
    <w:rsid w:val="00AD7216"/>
    <w:rsid w:val="00AD7262"/>
    <w:rsid w:val="00AD72ED"/>
    <w:rsid w:val="00AD7301"/>
    <w:rsid w:val="00AD7355"/>
    <w:rsid w:val="00AD737F"/>
    <w:rsid w:val="00AD7404"/>
    <w:rsid w:val="00AD7429"/>
    <w:rsid w:val="00AD749E"/>
    <w:rsid w:val="00AD76B5"/>
    <w:rsid w:val="00AD779D"/>
    <w:rsid w:val="00AD78E9"/>
    <w:rsid w:val="00AD7999"/>
    <w:rsid w:val="00AD79D4"/>
    <w:rsid w:val="00AD7B57"/>
    <w:rsid w:val="00AD7BA8"/>
    <w:rsid w:val="00AD7D13"/>
    <w:rsid w:val="00AD7E13"/>
    <w:rsid w:val="00AD7EA8"/>
    <w:rsid w:val="00AD7EC7"/>
    <w:rsid w:val="00AD7F62"/>
    <w:rsid w:val="00AE0024"/>
    <w:rsid w:val="00AE0060"/>
    <w:rsid w:val="00AE018E"/>
    <w:rsid w:val="00AE02E9"/>
    <w:rsid w:val="00AE0318"/>
    <w:rsid w:val="00AE0348"/>
    <w:rsid w:val="00AE036A"/>
    <w:rsid w:val="00AE038C"/>
    <w:rsid w:val="00AE041A"/>
    <w:rsid w:val="00AE04E0"/>
    <w:rsid w:val="00AE051C"/>
    <w:rsid w:val="00AE0595"/>
    <w:rsid w:val="00AE067F"/>
    <w:rsid w:val="00AE074E"/>
    <w:rsid w:val="00AE07F2"/>
    <w:rsid w:val="00AE0809"/>
    <w:rsid w:val="00AE085B"/>
    <w:rsid w:val="00AE08B5"/>
    <w:rsid w:val="00AE09F7"/>
    <w:rsid w:val="00AE0B8F"/>
    <w:rsid w:val="00AE0BC9"/>
    <w:rsid w:val="00AE0BFC"/>
    <w:rsid w:val="00AE0D43"/>
    <w:rsid w:val="00AE0E36"/>
    <w:rsid w:val="00AE0E88"/>
    <w:rsid w:val="00AE0EFD"/>
    <w:rsid w:val="00AE0F02"/>
    <w:rsid w:val="00AE0F9E"/>
    <w:rsid w:val="00AE0FEB"/>
    <w:rsid w:val="00AE109F"/>
    <w:rsid w:val="00AE10A7"/>
    <w:rsid w:val="00AE1148"/>
    <w:rsid w:val="00AE11A9"/>
    <w:rsid w:val="00AE1295"/>
    <w:rsid w:val="00AE130C"/>
    <w:rsid w:val="00AE1333"/>
    <w:rsid w:val="00AE144E"/>
    <w:rsid w:val="00AE1549"/>
    <w:rsid w:val="00AE1550"/>
    <w:rsid w:val="00AE1743"/>
    <w:rsid w:val="00AE17C9"/>
    <w:rsid w:val="00AE17E6"/>
    <w:rsid w:val="00AE182C"/>
    <w:rsid w:val="00AE18A9"/>
    <w:rsid w:val="00AE18CC"/>
    <w:rsid w:val="00AE18E7"/>
    <w:rsid w:val="00AE193D"/>
    <w:rsid w:val="00AE1965"/>
    <w:rsid w:val="00AE19A7"/>
    <w:rsid w:val="00AE1A19"/>
    <w:rsid w:val="00AE1A1E"/>
    <w:rsid w:val="00AE1A93"/>
    <w:rsid w:val="00AE1B09"/>
    <w:rsid w:val="00AE1B25"/>
    <w:rsid w:val="00AE1B52"/>
    <w:rsid w:val="00AE1B9C"/>
    <w:rsid w:val="00AE1D1E"/>
    <w:rsid w:val="00AE1E02"/>
    <w:rsid w:val="00AE1E8A"/>
    <w:rsid w:val="00AE1EFF"/>
    <w:rsid w:val="00AE1F3B"/>
    <w:rsid w:val="00AE1FE2"/>
    <w:rsid w:val="00AE20DF"/>
    <w:rsid w:val="00AE2113"/>
    <w:rsid w:val="00AE21DB"/>
    <w:rsid w:val="00AE2218"/>
    <w:rsid w:val="00AE240C"/>
    <w:rsid w:val="00AE257A"/>
    <w:rsid w:val="00AE2598"/>
    <w:rsid w:val="00AE25D2"/>
    <w:rsid w:val="00AE25D4"/>
    <w:rsid w:val="00AE260F"/>
    <w:rsid w:val="00AE2634"/>
    <w:rsid w:val="00AE278A"/>
    <w:rsid w:val="00AE299A"/>
    <w:rsid w:val="00AE29C7"/>
    <w:rsid w:val="00AE29F2"/>
    <w:rsid w:val="00AE2A4C"/>
    <w:rsid w:val="00AE2ADC"/>
    <w:rsid w:val="00AE2B39"/>
    <w:rsid w:val="00AE2B3F"/>
    <w:rsid w:val="00AE2CCF"/>
    <w:rsid w:val="00AE2D0F"/>
    <w:rsid w:val="00AE2DAC"/>
    <w:rsid w:val="00AE2DB1"/>
    <w:rsid w:val="00AE2E32"/>
    <w:rsid w:val="00AE2E40"/>
    <w:rsid w:val="00AE2E74"/>
    <w:rsid w:val="00AE2EEF"/>
    <w:rsid w:val="00AE2F00"/>
    <w:rsid w:val="00AE2F3A"/>
    <w:rsid w:val="00AE2FC8"/>
    <w:rsid w:val="00AE3030"/>
    <w:rsid w:val="00AE309F"/>
    <w:rsid w:val="00AE30CC"/>
    <w:rsid w:val="00AE310F"/>
    <w:rsid w:val="00AE31B2"/>
    <w:rsid w:val="00AE31D1"/>
    <w:rsid w:val="00AE31E8"/>
    <w:rsid w:val="00AE3212"/>
    <w:rsid w:val="00AE3311"/>
    <w:rsid w:val="00AE332C"/>
    <w:rsid w:val="00AE3384"/>
    <w:rsid w:val="00AE33CA"/>
    <w:rsid w:val="00AE3446"/>
    <w:rsid w:val="00AE374A"/>
    <w:rsid w:val="00AE3752"/>
    <w:rsid w:val="00AE38C6"/>
    <w:rsid w:val="00AE3956"/>
    <w:rsid w:val="00AE3A77"/>
    <w:rsid w:val="00AE3AD7"/>
    <w:rsid w:val="00AE3ADF"/>
    <w:rsid w:val="00AE3C7D"/>
    <w:rsid w:val="00AE3D6A"/>
    <w:rsid w:val="00AE3DF5"/>
    <w:rsid w:val="00AE3E6B"/>
    <w:rsid w:val="00AE3EBA"/>
    <w:rsid w:val="00AE3EC8"/>
    <w:rsid w:val="00AE3F61"/>
    <w:rsid w:val="00AE402E"/>
    <w:rsid w:val="00AE40B4"/>
    <w:rsid w:val="00AE40D3"/>
    <w:rsid w:val="00AE40EC"/>
    <w:rsid w:val="00AE41FE"/>
    <w:rsid w:val="00AE4220"/>
    <w:rsid w:val="00AE4235"/>
    <w:rsid w:val="00AE4237"/>
    <w:rsid w:val="00AE42C6"/>
    <w:rsid w:val="00AE4366"/>
    <w:rsid w:val="00AE43EE"/>
    <w:rsid w:val="00AE4418"/>
    <w:rsid w:val="00AE44BB"/>
    <w:rsid w:val="00AE4658"/>
    <w:rsid w:val="00AE465C"/>
    <w:rsid w:val="00AE4769"/>
    <w:rsid w:val="00AE480E"/>
    <w:rsid w:val="00AE481C"/>
    <w:rsid w:val="00AE4869"/>
    <w:rsid w:val="00AE48D2"/>
    <w:rsid w:val="00AE490D"/>
    <w:rsid w:val="00AE4953"/>
    <w:rsid w:val="00AE4967"/>
    <w:rsid w:val="00AE4B65"/>
    <w:rsid w:val="00AE4B6F"/>
    <w:rsid w:val="00AE4C00"/>
    <w:rsid w:val="00AE4DE8"/>
    <w:rsid w:val="00AE4FCA"/>
    <w:rsid w:val="00AE5065"/>
    <w:rsid w:val="00AE518D"/>
    <w:rsid w:val="00AE5280"/>
    <w:rsid w:val="00AE52A9"/>
    <w:rsid w:val="00AE52CC"/>
    <w:rsid w:val="00AE52FF"/>
    <w:rsid w:val="00AE5358"/>
    <w:rsid w:val="00AE53C2"/>
    <w:rsid w:val="00AE5402"/>
    <w:rsid w:val="00AE54B2"/>
    <w:rsid w:val="00AE55D9"/>
    <w:rsid w:val="00AE5824"/>
    <w:rsid w:val="00AE58D5"/>
    <w:rsid w:val="00AE5A05"/>
    <w:rsid w:val="00AE5A7E"/>
    <w:rsid w:val="00AE5A92"/>
    <w:rsid w:val="00AE5ACC"/>
    <w:rsid w:val="00AE5BAC"/>
    <w:rsid w:val="00AE5CD2"/>
    <w:rsid w:val="00AE5CF5"/>
    <w:rsid w:val="00AE5D0E"/>
    <w:rsid w:val="00AE5DCB"/>
    <w:rsid w:val="00AE5DF8"/>
    <w:rsid w:val="00AE5E93"/>
    <w:rsid w:val="00AE5EDF"/>
    <w:rsid w:val="00AE5EF1"/>
    <w:rsid w:val="00AE5F38"/>
    <w:rsid w:val="00AE6198"/>
    <w:rsid w:val="00AE623E"/>
    <w:rsid w:val="00AE62A8"/>
    <w:rsid w:val="00AE6344"/>
    <w:rsid w:val="00AE6371"/>
    <w:rsid w:val="00AE64B2"/>
    <w:rsid w:val="00AE6561"/>
    <w:rsid w:val="00AE6596"/>
    <w:rsid w:val="00AE6598"/>
    <w:rsid w:val="00AE65F5"/>
    <w:rsid w:val="00AE6647"/>
    <w:rsid w:val="00AE66B0"/>
    <w:rsid w:val="00AE671B"/>
    <w:rsid w:val="00AE6843"/>
    <w:rsid w:val="00AE688E"/>
    <w:rsid w:val="00AE69B2"/>
    <w:rsid w:val="00AE6AD9"/>
    <w:rsid w:val="00AE6AFD"/>
    <w:rsid w:val="00AE6B2B"/>
    <w:rsid w:val="00AE6BB1"/>
    <w:rsid w:val="00AE6C7C"/>
    <w:rsid w:val="00AE6CF3"/>
    <w:rsid w:val="00AE6D4C"/>
    <w:rsid w:val="00AE6D77"/>
    <w:rsid w:val="00AE6F16"/>
    <w:rsid w:val="00AE6FE6"/>
    <w:rsid w:val="00AE7063"/>
    <w:rsid w:val="00AE70D4"/>
    <w:rsid w:val="00AE70E9"/>
    <w:rsid w:val="00AE7167"/>
    <w:rsid w:val="00AE719F"/>
    <w:rsid w:val="00AE71A8"/>
    <w:rsid w:val="00AE7362"/>
    <w:rsid w:val="00AE7443"/>
    <w:rsid w:val="00AE75C6"/>
    <w:rsid w:val="00AE76D2"/>
    <w:rsid w:val="00AE76FF"/>
    <w:rsid w:val="00AE787A"/>
    <w:rsid w:val="00AE7924"/>
    <w:rsid w:val="00AE7937"/>
    <w:rsid w:val="00AE7939"/>
    <w:rsid w:val="00AE7AE9"/>
    <w:rsid w:val="00AE7AED"/>
    <w:rsid w:val="00AE7B5E"/>
    <w:rsid w:val="00AE7BE6"/>
    <w:rsid w:val="00AE7C7B"/>
    <w:rsid w:val="00AE7CAD"/>
    <w:rsid w:val="00AE7CE0"/>
    <w:rsid w:val="00AE7CFA"/>
    <w:rsid w:val="00AE7F63"/>
    <w:rsid w:val="00AE7FC1"/>
    <w:rsid w:val="00AF006D"/>
    <w:rsid w:val="00AF00A7"/>
    <w:rsid w:val="00AF0177"/>
    <w:rsid w:val="00AF01BA"/>
    <w:rsid w:val="00AF0243"/>
    <w:rsid w:val="00AF032B"/>
    <w:rsid w:val="00AF03BE"/>
    <w:rsid w:val="00AF04BE"/>
    <w:rsid w:val="00AF0506"/>
    <w:rsid w:val="00AF0508"/>
    <w:rsid w:val="00AF0666"/>
    <w:rsid w:val="00AF07E7"/>
    <w:rsid w:val="00AF07FD"/>
    <w:rsid w:val="00AF089C"/>
    <w:rsid w:val="00AF09B7"/>
    <w:rsid w:val="00AF09EA"/>
    <w:rsid w:val="00AF09F9"/>
    <w:rsid w:val="00AF0ACE"/>
    <w:rsid w:val="00AF0AF4"/>
    <w:rsid w:val="00AF0B87"/>
    <w:rsid w:val="00AF0C77"/>
    <w:rsid w:val="00AF0CA4"/>
    <w:rsid w:val="00AF0CAC"/>
    <w:rsid w:val="00AF0D08"/>
    <w:rsid w:val="00AF0D75"/>
    <w:rsid w:val="00AF0F99"/>
    <w:rsid w:val="00AF0FD8"/>
    <w:rsid w:val="00AF0FFE"/>
    <w:rsid w:val="00AF1058"/>
    <w:rsid w:val="00AF10DE"/>
    <w:rsid w:val="00AF118C"/>
    <w:rsid w:val="00AF11F6"/>
    <w:rsid w:val="00AF12E2"/>
    <w:rsid w:val="00AF13CE"/>
    <w:rsid w:val="00AF1485"/>
    <w:rsid w:val="00AF152B"/>
    <w:rsid w:val="00AF1589"/>
    <w:rsid w:val="00AF158C"/>
    <w:rsid w:val="00AF169E"/>
    <w:rsid w:val="00AF16B4"/>
    <w:rsid w:val="00AF175D"/>
    <w:rsid w:val="00AF1767"/>
    <w:rsid w:val="00AF17AB"/>
    <w:rsid w:val="00AF1803"/>
    <w:rsid w:val="00AF1A5D"/>
    <w:rsid w:val="00AF1B8E"/>
    <w:rsid w:val="00AF1D15"/>
    <w:rsid w:val="00AF1DA3"/>
    <w:rsid w:val="00AF1E4E"/>
    <w:rsid w:val="00AF1EA9"/>
    <w:rsid w:val="00AF1EDC"/>
    <w:rsid w:val="00AF1F27"/>
    <w:rsid w:val="00AF1F32"/>
    <w:rsid w:val="00AF1F44"/>
    <w:rsid w:val="00AF200E"/>
    <w:rsid w:val="00AF20B5"/>
    <w:rsid w:val="00AF20E3"/>
    <w:rsid w:val="00AF2193"/>
    <w:rsid w:val="00AF219B"/>
    <w:rsid w:val="00AF2256"/>
    <w:rsid w:val="00AF22E0"/>
    <w:rsid w:val="00AF23BC"/>
    <w:rsid w:val="00AF2524"/>
    <w:rsid w:val="00AF2548"/>
    <w:rsid w:val="00AF25C0"/>
    <w:rsid w:val="00AF285D"/>
    <w:rsid w:val="00AF2912"/>
    <w:rsid w:val="00AF2995"/>
    <w:rsid w:val="00AF29BA"/>
    <w:rsid w:val="00AF29F5"/>
    <w:rsid w:val="00AF2B31"/>
    <w:rsid w:val="00AF2BA4"/>
    <w:rsid w:val="00AF2C60"/>
    <w:rsid w:val="00AF2C7B"/>
    <w:rsid w:val="00AF2C91"/>
    <w:rsid w:val="00AF2CC1"/>
    <w:rsid w:val="00AF2CC3"/>
    <w:rsid w:val="00AF2CC8"/>
    <w:rsid w:val="00AF2D48"/>
    <w:rsid w:val="00AF2DC5"/>
    <w:rsid w:val="00AF2F90"/>
    <w:rsid w:val="00AF2FAE"/>
    <w:rsid w:val="00AF2FB6"/>
    <w:rsid w:val="00AF2FCA"/>
    <w:rsid w:val="00AF3124"/>
    <w:rsid w:val="00AF317E"/>
    <w:rsid w:val="00AF31D9"/>
    <w:rsid w:val="00AF321D"/>
    <w:rsid w:val="00AF323E"/>
    <w:rsid w:val="00AF344C"/>
    <w:rsid w:val="00AF352C"/>
    <w:rsid w:val="00AF3580"/>
    <w:rsid w:val="00AF35E0"/>
    <w:rsid w:val="00AF361A"/>
    <w:rsid w:val="00AF3673"/>
    <w:rsid w:val="00AF3857"/>
    <w:rsid w:val="00AF3912"/>
    <w:rsid w:val="00AF3A41"/>
    <w:rsid w:val="00AF3A9B"/>
    <w:rsid w:val="00AF3AF7"/>
    <w:rsid w:val="00AF3B63"/>
    <w:rsid w:val="00AF3B7A"/>
    <w:rsid w:val="00AF3CB2"/>
    <w:rsid w:val="00AF3CFE"/>
    <w:rsid w:val="00AF3D69"/>
    <w:rsid w:val="00AF3DAA"/>
    <w:rsid w:val="00AF3E0C"/>
    <w:rsid w:val="00AF3EA6"/>
    <w:rsid w:val="00AF3EE5"/>
    <w:rsid w:val="00AF3FFB"/>
    <w:rsid w:val="00AF402C"/>
    <w:rsid w:val="00AF408C"/>
    <w:rsid w:val="00AF4113"/>
    <w:rsid w:val="00AF4212"/>
    <w:rsid w:val="00AF42C9"/>
    <w:rsid w:val="00AF44AB"/>
    <w:rsid w:val="00AF4506"/>
    <w:rsid w:val="00AF4532"/>
    <w:rsid w:val="00AF4586"/>
    <w:rsid w:val="00AF45DE"/>
    <w:rsid w:val="00AF47CF"/>
    <w:rsid w:val="00AF48A5"/>
    <w:rsid w:val="00AF48D5"/>
    <w:rsid w:val="00AF494F"/>
    <w:rsid w:val="00AF4991"/>
    <w:rsid w:val="00AF4A4F"/>
    <w:rsid w:val="00AF4A6F"/>
    <w:rsid w:val="00AF4A87"/>
    <w:rsid w:val="00AF4C8F"/>
    <w:rsid w:val="00AF4DB8"/>
    <w:rsid w:val="00AF4E88"/>
    <w:rsid w:val="00AF4EC8"/>
    <w:rsid w:val="00AF4F08"/>
    <w:rsid w:val="00AF4F1A"/>
    <w:rsid w:val="00AF4F9A"/>
    <w:rsid w:val="00AF4FF4"/>
    <w:rsid w:val="00AF5053"/>
    <w:rsid w:val="00AF50C5"/>
    <w:rsid w:val="00AF51F7"/>
    <w:rsid w:val="00AF5286"/>
    <w:rsid w:val="00AF5306"/>
    <w:rsid w:val="00AF5343"/>
    <w:rsid w:val="00AF5352"/>
    <w:rsid w:val="00AF5427"/>
    <w:rsid w:val="00AF5467"/>
    <w:rsid w:val="00AF54B2"/>
    <w:rsid w:val="00AF57F0"/>
    <w:rsid w:val="00AF5908"/>
    <w:rsid w:val="00AF59E7"/>
    <w:rsid w:val="00AF5A21"/>
    <w:rsid w:val="00AF5AB6"/>
    <w:rsid w:val="00AF5C3E"/>
    <w:rsid w:val="00AF5CA3"/>
    <w:rsid w:val="00AF5CB3"/>
    <w:rsid w:val="00AF5D2D"/>
    <w:rsid w:val="00AF5D3E"/>
    <w:rsid w:val="00AF5DE0"/>
    <w:rsid w:val="00AF5E42"/>
    <w:rsid w:val="00AF5E7F"/>
    <w:rsid w:val="00AF5EEE"/>
    <w:rsid w:val="00AF5F1D"/>
    <w:rsid w:val="00AF5F4C"/>
    <w:rsid w:val="00AF5F52"/>
    <w:rsid w:val="00AF5FC3"/>
    <w:rsid w:val="00AF60AD"/>
    <w:rsid w:val="00AF60FB"/>
    <w:rsid w:val="00AF61A3"/>
    <w:rsid w:val="00AF6210"/>
    <w:rsid w:val="00AF621D"/>
    <w:rsid w:val="00AF621E"/>
    <w:rsid w:val="00AF6258"/>
    <w:rsid w:val="00AF62AC"/>
    <w:rsid w:val="00AF6325"/>
    <w:rsid w:val="00AF6392"/>
    <w:rsid w:val="00AF65A7"/>
    <w:rsid w:val="00AF6628"/>
    <w:rsid w:val="00AF6637"/>
    <w:rsid w:val="00AF66F2"/>
    <w:rsid w:val="00AF690A"/>
    <w:rsid w:val="00AF6999"/>
    <w:rsid w:val="00AF69AB"/>
    <w:rsid w:val="00AF6E37"/>
    <w:rsid w:val="00AF6E71"/>
    <w:rsid w:val="00AF6E8D"/>
    <w:rsid w:val="00AF6EBE"/>
    <w:rsid w:val="00AF6F3B"/>
    <w:rsid w:val="00AF7024"/>
    <w:rsid w:val="00AF704F"/>
    <w:rsid w:val="00AF7111"/>
    <w:rsid w:val="00AF711F"/>
    <w:rsid w:val="00AF7268"/>
    <w:rsid w:val="00AF7269"/>
    <w:rsid w:val="00AF72A5"/>
    <w:rsid w:val="00AF7308"/>
    <w:rsid w:val="00AF736A"/>
    <w:rsid w:val="00AF7375"/>
    <w:rsid w:val="00AF74B0"/>
    <w:rsid w:val="00AF74C8"/>
    <w:rsid w:val="00AF7581"/>
    <w:rsid w:val="00AF75EE"/>
    <w:rsid w:val="00AF76F7"/>
    <w:rsid w:val="00AF7741"/>
    <w:rsid w:val="00AF77A4"/>
    <w:rsid w:val="00AF77FB"/>
    <w:rsid w:val="00AF7934"/>
    <w:rsid w:val="00AF797A"/>
    <w:rsid w:val="00AF79BB"/>
    <w:rsid w:val="00AF7A76"/>
    <w:rsid w:val="00AF7AD3"/>
    <w:rsid w:val="00AF7AFD"/>
    <w:rsid w:val="00AF7B21"/>
    <w:rsid w:val="00AF7C31"/>
    <w:rsid w:val="00AF7C46"/>
    <w:rsid w:val="00AF7C70"/>
    <w:rsid w:val="00AF7CAE"/>
    <w:rsid w:val="00AF7D5E"/>
    <w:rsid w:val="00B00077"/>
    <w:rsid w:val="00B00140"/>
    <w:rsid w:val="00B001A4"/>
    <w:rsid w:val="00B001B7"/>
    <w:rsid w:val="00B00273"/>
    <w:rsid w:val="00B002D5"/>
    <w:rsid w:val="00B0032E"/>
    <w:rsid w:val="00B00386"/>
    <w:rsid w:val="00B00431"/>
    <w:rsid w:val="00B00747"/>
    <w:rsid w:val="00B00810"/>
    <w:rsid w:val="00B009E6"/>
    <w:rsid w:val="00B009FA"/>
    <w:rsid w:val="00B00A03"/>
    <w:rsid w:val="00B00A64"/>
    <w:rsid w:val="00B00B56"/>
    <w:rsid w:val="00B00BD9"/>
    <w:rsid w:val="00B00C2E"/>
    <w:rsid w:val="00B00C42"/>
    <w:rsid w:val="00B00C49"/>
    <w:rsid w:val="00B00D7D"/>
    <w:rsid w:val="00B00E11"/>
    <w:rsid w:val="00B00F5F"/>
    <w:rsid w:val="00B01093"/>
    <w:rsid w:val="00B0109F"/>
    <w:rsid w:val="00B010CF"/>
    <w:rsid w:val="00B0111D"/>
    <w:rsid w:val="00B01182"/>
    <w:rsid w:val="00B0124E"/>
    <w:rsid w:val="00B01364"/>
    <w:rsid w:val="00B01372"/>
    <w:rsid w:val="00B01410"/>
    <w:rsid w:val="00B01420"/>
    <w:rsid w:val="00B0149D"/>
    <w:rsid w:val="00B014AE"/>
    <w:rsid w:val="00B0155E"/>
    <w:rsid w:val="00B01561"/>
    <w:rsid w:val="00B015B3"/>
    <w:rsid w:val="00B0164F"/>
    <w:rsid w:val="00B016F6"/>
    <w:rsid w:val="00B01703"/>
    <w:rsid w:val="00B01821"/>
    <w:rsid w:val="00B01822"/>
    <w:rsid w:val="00B01857"/>
    <w:rsid w:val="00B0189F"/>
    <w:rsid w:val="00B01907"/>
    <w:rsid w:val="00B01953"/>
    <w:rsid w:val="00B0197C"/>
    <w:rsid w:val="00B019D6"/>
    <w:rsid w:val="00B019DF"/>
    <w:rsid w:val="00B01A23"/>
    <w:rsid w:val="00B01AEE"/>
    <w:rsid w:val="00B01B29"/>
    <w:rsid w:val="00B01B3B"/>
    <w:rsid w:val="00B01C4B"/>
    <w:rsid w:val="00B01CA0"/>
    <w:rsid w:val="00B01D70"/>
    <w:rsid w:val="00B01D95"/>
    <w:rsid w:val="00B01DA6"/>
    <w:rsid w:val="00B01E07"/>
    <w:rsid w:val="00B01F4A"/>
    <w:rsid w:val="00B01FB5"/>
    <w:rsid w:val="00B02045"/>
    <w:rsid w:val="00B021B0"/>
    <w:rsid w:val="00B0224A"/>
    <w:rsid w:val="00B02280"/>
    <w:rsid w:val="00B0236D"/>
    <w:rsid w:val="00B02391"/>
    <w:rsid w:val="00B02453"/>
    <w:rsid w:val="00B02590"/>
    <w:rsid w:val="00B02624"/>
    <w:rsid w:val="00B02722"/>
    <w:rsid w:val="00B02732"/>
    <w:rsid w:val="00B027EF"/>
    <w:rsid w:val="00B02807"/>
    <w:rsid w:val="00B0283B"/>
    <w:rsid w:val="00B028CA"/>
    <w:rsid w:val="00B029A0"/>
    <w:rsid w:val="00B02A2C"/>
    <w:rsid w:val="00B02A84"/>
    <w:rsid w:val="00B02AB7"/>
    <w:rsid w:val="00B02B9B"/>
    <w:rsid w:val="00B02BC3"/>
    <w:rsid w:val="00B02C08"/>
    <w:rsid w:val="00B02C63"/>
    <w:rsid w:val="00B02D9B"/>
    <w:rsid w:val="00B02E34"/>
    <w:rsid w:val="00B02FBE"/>
    <w:rsid w:val="00B02FC8"/>
    <w:rsid w:val="00B0300F"/>
    <w:rsid w:val="00B0305E"/>
    <w:rsid w:val="00B03081"/>
    <w:rsid w:val="00B0312A"/>
    <w:rsid w:val="00B03233"/>
    <w:rsid w:val="00B033D2"/>
    <w:rsid w:val="00B0340E"/>
    <w:rsid w:val="00B03410"/>
    <w:rsid w:val="00B0349C"/>
    <w:rsid w:val="00B03739"/>
    <w:rsid w:val="00B037F3"/>
    <w:rsid w:val="00B038AD"/>
    <w:rsid w:val="00B03B1F"/>
    <w:rsid w:val="00B03C00"/>
    <w:rsid w:val="00B03CA6"/>
    <w:rsid w:val="00B03CE8"/>
    <w:rsid w:val="00B03EAC"/>
    <w:rsid w:val="00B03F26"/>
    <w:rsid w:val="00B03F5D"/>
    <w:rsid w:val="00B03FFC"/>
    <w:rsid w:val="00B04037"/>
    <w:rsid w:val="00B040CD"/>
    <w:rsid w:val="00B0414A"/>
    <w:rsid w:val="00B0421D"/>
    <w:rsid w:val="00B04233"/>
    <w:rsid w:val="00B04251"/>
    <w:rsid w:val="00B04438"/>
    <w:rsid w:val="00B04473"/>
    <w:rsid w:val="00B044A9"/>
    <w:rsid w:val="00B044E9"/>
    <w:rsid w:val="00B04505"/>
    <w:rsid w:val="00B045C7"/>
    <w:rsid w:val="00B04660"/>
    <w:rsid w:val="00B046A8"/>
    <w:rsid w:val="00B046FC"/>
    <w:rsid w:val="00B04889"/>
    <w:rsid w:val="00B048CC"/>
    <w:rsid w:val="00B0492B"/>
    <w:rsid w:val="00B04964"/>
    <w:rsid w:val="00B049CE"/>
    <w:rsid w:val="00B04A56"/>
    <w:rsid w:val="00B04A9E"/>
    <w:rsid w:val="00B04ADD"/>
    <w:rsid w:val="00B04B57"/>
    <w:rsid w:val="00B04D67"/>
    <w:rsid w:val="00B04E81"/>
    <w:rsid w:val="00B04F68"/>
    <w:rsid w:val="00B04F6B"/>
    <w:rsid w:val="00B0508B"/>
    <w:rsid w:val="00B0511A"/>
    <w:rsid w:val="00B05151"/>
    <w:rsid w:val="00B0518E"/>
    <w:rsid w:val="00B051F7"/>
    <w:rsid w:val="00B052F3"/>
    <w:rsid w:val="00B05495"/>
    <w:rsid w:val="00B0551E"/>
    <w:rsid w:val="00B05629"/>
    <w:rsid w:val="00B056D4"/>
    <w:rsid w:val="00B056F2"/>
    <w:rsid w:val="00B05918"/>
    <w:rsid w:val="00B05944"/>
    <w:rsid w:val="00B0594E"/>
    <w:rsid w:val="00B059F3"/>
    <w:rsid w:val="00B05A08"/>
    <w:rsid w:val="00B05A1F"/>
    <w:rsid w:val="00B05A8F"/>
    <w:rsid w:val="00B05B49"/>
    <w:rsid w:val="00B05C72"/>
    <w:rsid w:val="00B05D62"/>
    <w:rsid w:val="00B05EE1"/>
    <w:rsid w:val="00B05F50"/>
    <w:rsid w:val="00B05F9F"/>
    <w:rsid w:val="00B06037"/>
    <w:rsid w:val="00B06038"/>
    <w:rsid w:val="00B060AB"/>
    <w:rsid w:val="00B060B6"/>
    <w:rsid w:val="00B060D5"/>
    <w:rsid w:val="00B06150"/>
    <w:rsid w:val="00B06230"/>
    <w:rsid w:val="00B062AC"/>
    <w:rsid w:val="00B062EA"/>
    <w:rsid w:val="00B06361"/>
    <w:rsid w:val="00B0639A"/>
    <w:rsid w:val="00B063AA"/>
    <w:rsid w:val="00B06410"/>
    <w:rsid w:val="00B0649E"/>
    <w:rsid w:val="00B064C3"/>
    <w:rsid w:val="00B0650A"/>
    <w:rsid w:val="00B0658A"/>
    <w:rsid w:val="00B065DA"/>
    <w:rsid w:val="00B065EC"/>
    <w:rsid w:val="00B06882"/>
    <w:rsid w:val="00B06942"/>
    <w:rsid w:val="00B06A04"/>
    <w:rsid w:val="00B06A33"/>
    <w:rsid w:val="00B06AF2"/>
    <w:rsid w:val="00B06B29"/>
    <w:rsid w:val="00B06BC2"/>
    <w:rsid w:val="00B06BEA"/>
    <w:rsid w:val="00B06E04"/>
    <w:rsid w:val="00B06F2E"/>
    <w:rsid w:val="00B06F59"/>
    <w:rsid w:val="00B070AB"/>
    <w:rsid w:val="00B070E0"/>
    <w:rsid w:val="00B070EE"/>
    <w:rsid w:val="00B0710A"/>
    <w:rsid w:val="00B07183"/>
    <w:rsid w:val="00B071C2"/>
    <w:rsid w:val="00B07267"/>
    <w:rsid w:val="00B072B7"/>
    <w:rsid w:val="00B0737F"/>
    <w:rsid w:val="00B07416"/>
    <w:rsid w:val="00B074A9"/>
    <w:rsid w:val="00B07548"/>
    <w:rsid w:val="00B07571"/>
    <w:rsid w:val="00B07576"/>
    <w:rsid w:val="00B07644"/>
    <w:rsid w:val="00B076C5"/>
    <w:rsid w:val="00B078C8"/>
    <w:rsid w:val="00B078EA"/>
    <w:rsid w:val="00B079DA"/>
    <w:rsid w:val="00B07B37"/>
    <w:rsid w:val="00B07BDD"/>
    <w:rsid w:val="00B07C9C"/>
    <w:rsid w:val="00B07CD1"/>
    <w:rsid w:val="00B07CD4"/>
    <w:rsid w:val="00B07D45"/>
    <w:rsid w:val="00B07D5A"/>
    <w:rsid w:val="00B07D9F"/>
    <w:rsid w:val="00B07DE0"/>
    <w:rsid w:val="00B07DF0"/>
    <w:rsid w:val="00B07F8B"/>
    <w:rsid w:val="00B1012B"/>
    <w:rsid w:val="00B10277"/>
    <w:rsid w:val="00B102DD"/>
    <w:rsid w:val="00B10408"/>
    <w:rsid w:val="00B104B4"/>
    <w:rsid w:val="00B104F4"/>
    <w:rsid w:val="00B1057B"/>
    <w:rsid w:val="00B1058C"/>
    <w:rsid w:val="00B1065F"/>
    <w:rsid w:val="00B107BC"/>
    <w:rsid w:val="00B10849"/>
    <w:rsid w:val="00B108CC"/>
    <w:rsid w:val="00B10919"/>
    <w:rsid w:val="00B1096A"/>
    <w:rsid w:val="00B10A6B"/>
    <w:rsid w:val="00B10A8F"/>
    <w:rsid w:val="00B10B0A"/>
    <w:rsid w:val="00B10C71"/>
    <w:rsid w:val="00B10C80"/>
    <w:rsid w:val="00B10C9E"/>
    <w:rsid w:val="00B10CC5"/>
    <w:rsid w:val="00B10CE2"/>
    <w:rsid w:val="00B10CE3"/>
    <w:rsid w:val="00B10D34"/>
    <w:rsid w:val="00B10E1B"/>
    <w:rsid w:val="00B10E46"/>
    <w:rsid w:val="00B10EFE"/>
    <w:rsid w:val="00B10F41"/>
    <w:rsid w:val="00B10F4B"/>
    <w:rsid w:val="00B110FF"/>
    <w:rsid w:val="00B112FC"/>
    <w:rsid w:val="00B113B8"/>
    <w:rsid w:val="00B113E3"/>
    <w:rsid w:val="00B11445"/>
    <w:rsid w:val="00B11463"/>
    <w:rsid w:val="00B11631"/>
    <w:rsid w:val="00B11664"/>
    <w:rsid w:val="00B116A4"/>
    <w:rsid w:val="00B116F3"/>
    <w:rsid w:val="00B11788"/>
    <w:rsid w:val="00B117A8"/>
    <w:rsid w:val="00B1187F"/>
    <w:rsid w:val="00B11919"/>
    <w:rsid w:val="00B11986"/>
    <w:rsid w:val="00B11A0A"/>
    <w:rsid w:val="00B11B3D"/>
    <w:rsid w:val="00B11B87"/>
    <w:rsid w:val="00B11BD1"/>
    <w:rsid w:val="00B11C96"/>
    <w:rsid w:val="00B11D01"/>
    <w:rsid w:val="00B11D9A"/>
    <w:rsid w:val="00B11EB6"/>
    <w:rsid w:val="00B12018"/>
    <w:rsid w:val="00B120B0"/>
    <w:rsid w:val="00B120CB"/>
    <w:rsid w:val="00B12133"/>
    <w:rsid w:val="00B1214D"/>
    <w:rsid w:val="00B1219E"/>
    <w:rsid w:val="00B121FC"/>
    <w:rsid w:val="00B1221F"/>
    <w:rsid w:val="00B12285"/>
    <w:rsid w:val="00B12396"/>
    <w:rsid w:val="00B124FE"/>
    <w:rsid w:val="00B1260C"/>
    <w:rsid w:val="00B12613"/>
    <w:rsid w:val="00B126FB"/>
    <w:rsid w:val="00B12701"/>
    <w:rsid w:val="00B1281A"/>
    <w:rsid w:val="00B1291B"/>
    <w:rsid w:val="00B12A50"/>
    <w:rsid w:val="00B12A84"/>
    <w:rsid w:val="00B12AF5"/>
    <w:rsid w:val="00B12BAC"/>
    <w:rsid w:val="00B12D98"/>
    <w:rsid w:val="00B12DCA"/>
    <w:rsid w:val="00B12E16"/>
    <w:rsid w:val="00B12E1E"/>
    <w:rsid w:val="00B12EF4"/>
    <w:rsid w:val="00B12F1C"/>
    <w:rsid w:val="00B12F92"/>
    <w:rsid w:val="00B12FA9"/>
    <w:rsid w:val="00B12FC7"/>
    <w:rsid w:val="00B13002"/>
    <w:rsid w:val="00B13071"/>
    <w:rsid w:val="00B1307C"/>
    <w:rsid w:val="00B130B3"/>
    <w:rsid w:val="00B130ED"/>
    <w:rsid w:val="00B131AD"/>
    <w:rsid w:val="00B13248"/>
    <w:rsid w:val="00B132EE"/>
    <w:rsid w:val="00B1336F"/>
    <w:rsid w:val="00B1337B"/>
    <w:rsid w:val="00B133EF"/>
    <w:rsid w:val="00B1347B"/>
    <w:rsid w:val="00B13495"/>
    <w:rsid w:val="00B135DE"/>
    <w:rsid w:val="00B13612"/>
    <w:rsid w:val="00B13627"/>
    <w:rsid w:val="00B13673"/>
    <w:rsid w:val="00B139A2"/>
    <w:rsid w:val="00B13A08"/>
    <w:rsid w:val="00B13A32"/>
    <w:rsid w:val="00B13A87"/>
    <w:rsid w:val="00B13B9B"/>
    <w:rsid w:val="00B13BAA"/>
    <w:rsid w:val="00B13C6A"/>
    <w:rsid w:val="00B13D1B"/>
    <w:rsid w:val="00B13D47"/>
    <w:rsid w:val="00B13D57"/>
    <w:rsid w:val="00B13D99"/>
    <w:rsid w:val="00B13E0E"/>
    <w:rsid w:val="00B13E45"/>
    <w:rsid w:val="00B13E5E"/>
    <w:rsid w:val="00B13EA7"/>
    <w:rsid w:val="00B13EC9"/>
    <w:rsid w:val="00B13EFA"/>
    <w:rsid w:val="00B13F3B"/>
    <w:rsid w:val="00B1403E"/>
    <w:rsid w:val="00B141E9"/>
    <w:rsid w:val="00B142AE"/>
    <w:rsid w:val="00B144B8"/>
    <w:rsid w:val="00B145E7"/>
    <w:rsid w:val="00B14699"/>
    <w:rsid w:val="00B146CF"/>
    <w:rsid w:val="00B1471C"/>
    <w:rsid w:val="00B14720"/>
    <w:rsid w:val="00B14725"/>
    <w:rsid w:val="00B14727"/>
    <w:rsid w:val="00B1480B"/>
    <w:rsid w:val="00B1484E"/>
    <w:rsid w:val="00B14923"/>
    <w:rsid w:val="00B14927"/>
    <w:rsid w:val="00B14929"/>
    <w:rsid w:val="00B14A01"/>
    <w:rsid w:val="00B14B6B"/>
    <w:rsid w:val="00B14BAF"/>
    <w:rsid w:val="00B14C6B"/>
    <w:rsid w:val="00B14CB8"/>
    <w:rsid w:val="00B14CEC"/>
    <w:rsid w:val="00B14E24"/>
    <w:rsid w:val="00B14E9A"/>
    <w:rsid w:val="00B14F20"/>
    <w:rsid w:val="00B15048"/>
    <w:rsid w:val="00B15075"/>
    <w:rsid w:val="00B150F6"/>
    <w:rsid w:val="00B1523D"/>
    <w:rsid w:val="00B152A6"/>
    <w:rsid w:val="00B15347"/>
    <w:rsid w:val="00B15378"/>
    <w:rsid w:val="00B153A3"/>
    <w:rsid w:val="00B1548D"/>
    <w:rsid w:val="00B1548E"/>
    <w:rsid w:val="00B15650"/>
    <w:rsid w:val="00B156D2"/>
    <w:rsid w:val="00B15708"/>
    <w:rsid w:val="00B15763"/>
    <w:rsid w:val="00B15767"/>
    <w:rsid w:val="00B15770"/>
    <w:rsid w:val="00B1578B"/>
    <w:rsid w:val="00B15954"/>
    <w:rsid w:val="00B159AE"/>
    <w:rsid w:val="00B159CC"/>
    <w:rsid w:val="00B15A5E"/>
    <w:rsid w:val="00B15ACA"/>
    <w:rsid w:val="00B15BA4"/>
    <w:rsid w:val="00B15CA8"/>
    <w:rsid w:val="00B15CC6"/>
    <w:rsid w:val="00B15CF7"/>
    <w:rsid w:val="00B15DCE"/>
    <w:rsid w:val="00B15EC6"/>
    <w:rsid w:val="00B15F50"/>
    <w:rsid w:val="00B15F56"/>
    <w:rsid w:val="00B15FD8"/>
    <w:rsid w:val="00B15FEF"/>
    <w:rsid w:val="00B16115"/>
    <w:rsid w:val="00B16148"/>
    <w:rsid w:val="00B161EC"/>
    <w:rsid w:val="00B162BC"/>
    <w:rsid w:val="00B163C1"/>
    <w:rsid w:val="00B1654B"/>
    <w:rsid w:val="00B1662C"/>
    <w:rsid w:val="00B16701"/>
    <w:rsid w:val="00B16749"/>
    <w:rsid w:val="00B169FD"/>
    <w:rsid w:val="00B16A71"/>
    <w:rsid w:val="00B16A82"/>
    <w:rsid w:val="00B16AF3"/>
    <w:rsid w:val="00B16B8F"/>
    <w:rsid w:val="00B16BBA"/>
    <w:rsid w:val="00B16BCC"/>
    <w:rsid w:val="00B16CCC"/>
    <w:rsid w:val="00B16D12"/>
    <w:rsid w:val="00B16D25"/>
    <w:rsid w:val="00B16D72"/>
    <w:rsid w:val="00B16E50"/>
    <w:rsid w:val="00B17038"/>
    <w:rsid w:val="00B170A7"/>
    <w:rsid w:val="00B170EA"/>
    <w:rsid w:val="00B170F3"/>
    <w:rsid w:val="00B17154"/>
    <w:rsid w:val="00B1718C"/>
    <w:rsid w:val="00B171B8"/>
    <w:rsid w:val="00B171D9"/>
    <w:rsid w:val="00B171EA"/>
    <w:rsid w:val="00B17206"/>
    <w:rsid w:val="00B1727B"/>
    <w:rsid w:val="00B17287"/>
    <w:rsid w:val="00B172B9"/>
    <w:rsid w:val="00B1745A"/>
    <w:rsid w:val="00B174AD"/>
    <w:rsid w:val="00B17508"/>
    <w:rsid w:val="00B175A0"/>
    <w:rsid w:val="00B1770D"/>
    <w:rsid w:val="00B1790D"/>
    <w:rsid w:val="00B17A18"/>
    <w:rsid w:val="00B17A3F"/>
    <w:rsid w:val="00B17A53"/>
    <w:rsid w:val="00B17A5C"/>
    <w:rsid w:val="00B17BFB"/>
    <w:rsid w:val="00B17CEE"/>
    <w:rsid w:val="00B17D31"/>
    <w:rsid w:val="00B17D42"/>
    <w:rsid w:val="00B17E3A"/>
    <w:rsid w:val="00B2001D"/>
    <w:rsid w:val="00B2030A"/>
    <w:rsid w:val="00B20379"/>
    <w:rsid w:val="00B203C1"/>
    <w:rsid w:val="00B20446"/>
    <w:rsid w:val="00B20467"/>
    <w:rsid w:val="00B20477"/>
    <w:rsid w:val="00B2065F"/>
    <w:rsid w:val="00B2069D"/>
    <w:rsid w:val="00B206E5"/>
    <w:rsid w:val="00B206E6"/>
    <w:rsid w:val="00B20851"/>
    <w:rsid w:val="00B20859"/>
    <w:rsid w:val="00B2087B"/>
    <w:rsid w:val="00B208F4"/>
    <w:rsid w:val="00B20937"/>
    <w:rsid w:val="00B20964"/>
    <w:rsid w:val="00B20A58"/>
    <w:rsid w:val="00B20AE4"/>
    <w:rsid w:val="00B20AEC"/>
    <w:rsid w:val="00B20BB6"/>
    <w:rsid w:val="00B20BD8"/>
    <w:rsid w:val="00B20C45"/>
    <w:rsid w:val="00B20CB3"/>
    <w:rsid w:val="00B20D45"/>
    <w:rsid w:val="00B20D53"/>
    <w:rsid w:val="00B20EAB"/>
    <w:rsid w:val="00B20F7D"/>
    <w:rsid w:val="00B20FDE"/>
    <w:rsid w:val="00B211CC"/>
    <w:rsid w:val="00B211D6"/>
    <w:rsid w:val="00B211E8"/>
    <w:rsid w:val="00B21223"/>
    <w:rsid w:val="00B21285"/>
    <w:rsid w:val="00B2133B"/>
    <w:rsid w:val="00B21374"/>
    <w:rsid w:val="00B2143A"/>
    <w:rsid w:val="00B21533"/>
    <w:rsid w:val="00B21555"/>
    <w:rsid w:val="00B21556"/>
    <w:rsid w:val="00B21609"/>
    <w:rsid w:val="00B21686"/>
    <w:rsid w:val="00B21755"/>
    <w:rsid w:val="00B21770"/>
    <w:rsid w:val="00B21880"/>
    <w:rsid w:val="00B218D6"/>
    <w:rsid w:val="00B218F2"/>
    <w:rsid w:val="00B2197D"/>
    <w:rsid w:val="00B21A3B"/>
    <w:rsid w:val="00B21A59"/>
    <w:rsid w:val="00B21BEC"/>
    <w:rsid w:val="00B21C76"/>
    <w:rsid w:val="00B21CF8"/>
    <w:rsid w:val="00B21D2F"/>
    <w:rsid w:val="00B21D77"/>
    <w:rsid w:val="00B21DBB"/>
    <w:rsid w:val="00B21EA5"/>
    <w:rsid w:val="00B22020"/>
    <w:rsid w:val="00B2208B"/>
    <w:rsid w:val="00B220FC"/>
    <w:rsid w:val="00B22232"/>
    <w:rsid w:val="00B2226C"/>
    <w:rsid w:val="00B2228D"/>
    <w:rsid w:val="00B22409"/>
    <w:rsid w:val="00B224AB"/>
    <w:rsid w:val="00B225B5"/>
    <w:rsid w:val="00B225D1"/>
    <w:rsid w:val="00B226CD"/>
    <w:rsid w:val="00B226FE"/>
    <w:rsid w:val="00B22716"/>
    <w:rsid w:val="00B22796"/>
    <w:rsid w:val="00B227E0"/>
    <w:rsid w:val="00B228B9"/>
    <w:rsid w:val="00B22971"/>
    <w:rsid w:val="00B22A70"/>
    <w:rsid w:val="00B22AA8"/>
    <w:rsid w:val="00B22AED"/>
    <w:rsid w:val="00B22B22"/>
    <w:rsid w:val="00B22C1F"/>
    <w:rsid w:val="00B22C78"/>
    <w:rsid w:val="00B22CDA"/>
    <w:rsid w:val="00B22E25"/>
    <w:rsid w:val="00B2301B"/>
    <w:rsid w:val="00B23068"/>
    <w:rsid w:val="00B230C6"/>
    <w:rsid w:val="00B23121"/>
    <w:rsid w:val="00B23236"/>
    <w:rsid w:val="00B232B6"/>
    <w:rsid w:val="00B234F2"/>
    <w:rsid w:val="00B23528"/>
    <w:rsid w:val="00B235A8"/>
    <w:rsid w:val="00B235B6"/>
    <w:rsid w:val="00B2366F"/>
    <w:rsid w:val="00B237D7"/>
    <w:rsid w:val="00B237F3"/>
    <w:rsid w:val="00B23905"/>
    <w:rsid w:val="00B2396D"/>
    <w:rsid w:val="00B23971"/>
    <w:rsid w:val="00B23A0E"/>
    <w:rsid w:val="00B23A76"/>
    <w:rsid w:val="00B23AAD"/>
    <w:rsid w:val="00B23ABB"/>
    <w:rsid w:val="00B23B3F"/>
    <w:rsid w:val="00B23D5B"/>
    <w:rsid w:val="00B23DB0"/>
    <w:rsid w:val="00B23E1A"/>
    <w:rsid w:val="00B23E2C"/>
    <w:rsid w:val="00B23EF8"/>
    <w:rsid w:val="00B23F7E"/>
    <w:rsid w:val="00B23FD6"/>
    <w:rsid w:val="00B2401A"/>
    <w:rsid w:val="00B24061"/>
    <w:rsid w:val="00B24103"/>
    <w:rsid w:val="00B24114"/>
    <w:rsid w:val="00B242F3"/>
    <w:rsid w:val="00B24301"/>
    <w:rsid w:val="00B24314"/>
    <w:rsid w:val="00B2433B"/>
    <w:rsid w:val="00B2440C"/>
    <w:rsid w:val="00B245FE"/>
    <w:rsid w:val="00B2468B"/>
    <w:rsid w:val="00B246BE"/>
    <w:rsid w:val="00B246F1"/>
    <w:rsid w:val="00B24758"/>
    <w:rsid w:val="00B24798"/>
    <w:rsid w:val="00B2481C"/>
    <w:rsid w:val="00B2484B"/>
    <w:rsid w:val="00B2485F"/>
    <w:rsid w:val="00B24961"/>
    <w:rsid w:val="00B24972"/>
    <w:rsid w:val="00B24A18"/>
    <w:rsid w:val="00B24A21"/>
    <w:rsid w:val="00B24AF6"/>
    <w:rsid w:val="00B24C39"/>
    <w:rsid w:val="00B24C85"/>
    <w:rsid w:val="00B24CA8"/>
    <w:rsid w:val="00B24D6C"/>
    <w:rsid w:val="00B24D98"/>
    <w:rsid w:val="00B24E25"/>
    <w:rsid w:val="00B24E38"/>
    <w:rsid w:val="00B24E8F"/>
    <w:rsid w:val="00B24F1F"/>
    <w:rsid w:val="00B24F5D"/>
    <w:rsid w:val="00B24F9C"/>
    <w:rsid w:val="00B24FF1"/>
    <w:rsid w:val="00B25074"/>
    <w:rsid w:val="00B250CA"/>
    <w:rsid w:val="00B251CA"/>
    <w:rsid w:val="00B2529F"/>
    <w:rsid w:val="00B252B8"/>
    <w:rsid w:val="00B252E3"/>
    <w:rsid w:val="00B252EA"/>
    <w:rsid w:val="00B252EB"/>
    <w:rsid w:val="00B253B4"/>
    <w:rsid w:val="00B254B1"/>
    <w:rsid w:val="00B254D7"/>
    <w:rsid w:val="00B25610"/>
    <w:rsid w:val="00B256C2"/>
    <w:rsid w:val="00B258E3"/>
    <w:rsid w:val="00B25911"/>
    <w:rsid w:val="00B2592F"/>
    <w:rsid w:val="00B2594F"/>
    <w:rsid w:val="00B25BB2"/>
    <w:rsid w:val="00B25BF4"/>
    <w:rsid w:val="00B25C73"/>
    <w:rsid w:val="00B26113"/>
    <w:rsid w:val="00B2615E"/>
    <w:rsid w:val="00B262AC"/>
    <w:rsid w:val="00B263B7"/>
    <w:rsid w:val="00B26472"/>
    <w:rsid w:val="00B264DF"/>
    <w:rsid w:val="00B26552"/>
    <w:rsid w:val="00B265C4"/>
    <w:rsid w:val="00B267DD"/>
    <w:rsid w:val="00B267DE"/>
    <w:rsid w:val="00B2682E"/>
    <w:rsid w:val="00B26866"/>
    <w:rsid w:val="00B26911"/>
    <w:rsid w:val="00B26962"/>
    <w:rsid w:val="00B26A96"/>
    <w:rsid w:val="00B26B32"/>
    <w:rsid w:val="00B26B9C"/>
    <w:rsid w:val="00B26D4D"/>
    <w:rsid w:val="00B26EE9"/>
    <w:rsid w:val="00B26F05"/>
    <w:rsid w:val="00B26F5B"/>
    <w:rsid w:val="00B2701A"/>
    <w:rsid w:val="00B2704A"/>
    <w:rsid w:val="00B2707E"/>
    <w:rsid w:val="00B2718D"/>
    <w:rsid w:val="00B271F9"/>
    <w:rsid w:val="00B27332"/>
    <w:rsid w:val="00B273EB"/>
    <w:rsid w:val="00B274E9"/>
    <w:rsid w:val="00B27518"/>
    <w:rsid w:val="00B27542"/>
    <w:rsid w:val="00B27613"/>
    <w:rsid w:val="00B27682"/>
    <w:rsid w:val="00B2778C"/>
    <w:rsid w:val="00B277FB"/>
    <w:rsid w:val="00B27835"/>
    <w:rsid w:val="00B278A9"/>
    <w:rsid w:val="00B279A9"/>
    <w:rsid w:val="00B279C3"/>
    <w:rsid w:val="00B27A40"/>
    <w:rsid w:val="00B27A60"/>
    <w:rsid w:val="00B27A71"/>
    <w:rsid w:val="00B27AB9"/>
    <w:rsid w:val="00B27B40"/>
    <w:rsid w:val="00B27B6D"/>
    <w:rsid w:val="00B27C03"/>
    <w:rsid w:val="00B27C13"/>
    <w:rsid w:val="00B27F16"/>
    <w:rsid w:val="00B27FCF"/>
    <w:rsid w:val="00B27FE9"/>
    <w:rsid w:val="00B27FFE"/>
    <w:rsid w:val="00B2EEF3"/>
    <w:rsid w:val="00B30003"/>
    <w:rsid w:val="00B30079"/>
    <w:rsid w:val="00B30138"/>
    <w:rsid w:val="00B301AD"/>
    <w:rsid w:val="00B30200"/>
    <w:rsid w:val="00B30322"/>
    <w:rsid w:val="00B30365"/>
    <w:rsid w:val="00B303C0"/>
    <w:rsid w:val="00B3041C"/>
    <w:rsid w:val="00B30421"/>
    <w:rsid w:val="00B3049F"/>
    <w:rsid w:val="00B30523"/>
    <w:rsid w:val="00B30560"/>
    <w:rsid w:val="00B305E2"/>
    <w:rsid w:val="00B3075E"/>
    <w:rsid w:val="00B30771"/>
    <w:rsid w:val="00B3078E"/>
    <w:rsid w:val="00B30993"/>
    <w:rsid w:val="00B309A4"/>
    <w:rsid w:val="00B30A2D"/>
    <w:rsid w:val="00B30AE4"/>
    <w:rsid w:val="00B30B9F"/>
    <w:rsid w:val="00B30BFB"/>
    <w:rsid w:val="00B30BFE"/>
    <w:rsid w:val="00B30C1C"/>
    <w:rsid w:val="00B30C2E"/>
    <w:rsid w:val="00B30C4B"/>
    <w:rsid w:val="00B30C9E"/>
    <w:rsid w:val="00B30CF1"/>
    <w:rsid w:val="00B30D31"/>
    <w:rsid w:val="00B30D60"/>
    <w:rsid w:val="00B30DA6"/>
    <w:rsid w:val="00B30DE6"/>
    <w:rsid w:val="00B30F16"/>
    <w:rsid w:val="00B30F33"/>
    <w:rsid w:val="00B310DE"/>
    <w:rsid w:val="00B31197"/>
    <w:rsid w:val="00B31202"/>
    <w:rsid w:val="00B31326"/>
    <w:rsid w:val="00B31358"/>
    <w:rsid w:val="00B313E0"/>
    <w:rsid w:val="00B315AE"/>
    <w:rsid w:val="00B315F2"/>
    <w:rsid w:val="00B31611"/>
    <w:rsid w:val="00B31655"/>
    <w:rsid w:val="00B31661"/>
    <w:rsid w:val="00B31961"/>
    <w:rsid w:val="00B319F4"/>
    <w:rsid w:val="00B31A31"/>
    <w:rsid w:val="00B31A59"/>
    <w:rsid w:val="00B31B04"/>
    <w:rsid w:val="00B31B0C"/>
    <w:rsid w:val="00B31BCE"/>
    <w:rsid w:val="00B31C5C"/>
    <w:rsid w:val="00B31C64"/>
    <w:rsid w:val="00B31CC8"/>
    <w:rsid w:val="00B31CD4"/>
    <w:rsid w:val="00B31E95"/>
    <w:rsid w:val="00B31E9E"/>
    <w:rsid w:val="00B31FD1"/>
    <w:rsid w:val="00B31FDA"/>
    <w:rsid w:val="00B32041"/>
    <w:rsid w:val="00B32047"/>
    <w:rsid w:val="00B32065"/>
    <w:rsid w:val="00B320FD"/>
    <w:rsid w:val="00B32115"/>
    <w:rsid w:val="00B321C5"/>
    <w:rsid w:val="00B322E9"/>
    <w:rsid w:val="00B3239C"/>
    <w:rsid w:val="00B32433"/>
    <w:rsid w:val="00B3254E"/>
    <w:rsid w:val="00B32565"/>
    <w:rsid w:val="00B32606"/>
    <w:rsid w:val="00B326E6"/>
    <w:rsid w:val="00B32735"/>
    <w:rsid w:val="00B32854"/>
    <w:rsid w:val="00B3287B"/>
    <w:rsid w:val="00B3292D"/>
    <w:rsid w:val="00B329F7"/>
    <w:rsid w:val="00B32A3D"/>
    <w:rsid w:val="00B32BDE"/>
    <w:rsid w:val="00B32C0D"/>
    <w:rsid w:val="00B32CD2"/>
    <w:rsid w:val="00B32D8F"/>
    <w:rsid w:val="00B32E26"/>
    <w:rsid w:val="00B32ECB"/>
    <w:rsid w:val="00B32F26"/>
    <w:rsid w:val="00B33100"/>
    <w:rsid w:val="00B33324"/>
    <w:rsid w:val="00B333FB"/>
    <w:rsid w:val="00B33446"/>
    <w:rsid w:val="00B33463"/>
    <w:rsid w:val="00B3347D"/>
    <w:rsid w:val="00B334CF"/>
    <w:rsid w:val="00B334EE"/>
    <w:rsid w:val="00B33544"/>
    <w:rsid w:val="00B33560"/>
    <w:rsid w:val="00B335FA"/>
    <w:rsid w:val="00B336BB"/>
    <w:rsid w:val="00B33783"/>
    <w:rsid w:val="00B3383E"/>
    <w:rsid w:val="00B33925"/>
    <w:rsid w:val="00B33965"/>
    <w:rsid w:val="00B33971"/>
    <w:rsid w:val="00B3397F"/>
    <w:rsid w:val="00B3398A"/>
    <w:rsid w:val="00B3399C"/>
    <w:rsid w:val="00B33A82"/>
    <w:rsid w:val="00B33AC9"/>
    <w:rsid w:val="00B33B3A"/>
    <w:rsid w:val="00B33B7E"/>
    <w:rsid w:val="00B33CC3"/>
    <w:rsid w:val="00B33CF3"/>
    <w:rsid w:val="00B33CFA"/>
    <w:rsid w:val="00B33D9D"/>
    <w:rsid w:val="00B33DA4"/>
    <w:rsid w:val="00B33DA6"/>
    <w:rsid w:val="00B33FE1"/>
    <w:rsid w:val="00B33FF0"/>
    <w:rsid w:val="00B33FFE"/>
    <w:rsid w:val="00B34030"/>
    <w:rsid w:val="00B34116"/>
    <w:rsid w:val="00B34131"/>
    <w:rsid w:val="00B341CD"/>
    <w:rsid w:val="00B341FD"/>
    <w:rsid w:val="00B34241"/>
    <w:rsid w:val="00B342CA"/>
    <w:rsid w:val="00B3431C"/>
    <w:rsid w:val="00B34327"/>
    <w:rsid w:val="00B34503"/>
    <w:rsid w:val="00B34510"/>
    <w:rsid w:val="00B346BC"/>
    <w:rsid w:val="00B346FB"/>
    <w:rsid w:val="00B3477C"/>
    <w:rsid w:val="00B347E9"/>
    <w:rsid w:val="00B34806"/>
    <w:rsid w:val="00B348B2"/>
    <w:rsid w:val="00B348DE"/>
    <w:rsid w:val="00B348FD"/>
    <w:rsid w:val="00B34922"/>
    <w:rsid w:val="00B34D09"/>
    <w:rsid w:val="00B34D42"/>
    <w:rsid w:val="00B34EA4"/>
    <w:rsid w:val="00B34F15"/>
    <w:rsid w:val="00B34F23"/>
    <w:rsid w:val="00B34FE5"/>
    <w:rsid w:val="00B34FEF"/>
    <w:rsid w:val="00B3507E"/>
    <w:rsid w:val="00B3510A"/>
    <w:rsid w:val="00B35159"/>
    <w:rsid w:val="00B35185"/>
    <w:rsid w:val="00B351BB"/>
    <w:rsid w:val="00B352DC"/>
    <w:rsid w:val="00B354AE"/>
    <w:rsid w:val="00B356A0"/>
    <w:rsid w:val="00B356F1"/>
    <w:rsid w:val="00B35711"/>
    <w:rsid w:val="00B3572C"/>
    <w:rsid w:val="00B357EA"/>
    <w:rsid w:val="00B3583F"/>
    <w:rsid w:val="00B358DD"/>
    <w:rsid w:val="00B35941"/>
    <w:rsid w:val="00B359C6"/>
    <w:rsid w:val="00B35B80"/>
    <w:rsid w:val="00B35C74"/>
    <w:rsid w:val="00B35C8E"/>
    <w:rsid w:val="00B35D0A"/>
    <w:rsid w:val="00B35D78"/>
    <w:rsid w:val="00B35D88"/>
    <w:rsid w:val="00B35F69"/>
    <w:rsid w:val="00B3606C"/>
    <w:rsid w:val="00B360D9"/>
    <w:rsid w:val="00B3621A"/>
    <w:rsid w:val="00B36305"/>
    <w:rsid w:val="00B36396"/>
    <w:rsid w:val="00B3645B"/>
    <w:rsid w:val="00B364B6"/>
    <w:rsid w:val="00B364BB"/>
    <w:rsid w:val="00B3651D"/>
    <w:rsid w:val="00B3656B"/>
    <w:rsid w:val="00B36580"/>
    <w:rsid w:val="00B365FE"/>
    <w:rsid w:val="00B3660B"/>
    <w:rsid w:val="00B3661B"/>
    <w:rsid w:val="00B36671"/>
    <w:rsid w:val="00B366C4"/>
    <w:rsid w:val="00B36718"/>
    <w:rsid w:val="00B36726"/>
    <w:rsid w:val="00B36748"/>
    <w:rsid w:val="00B36824"/>
    <w:rsid w:val="00B36984"/>
    <w:rsid w:val="00B36A12"/>
    <w:rsid w:val="00B36A50"/>
    <w:rsid w:val="00B36A9F"/>
    <w:rsid w:val="00B36AB5"/>
    <w:rsid w:val="00B36B63"/>
    <w:rsid w:val="00B36B98"/>
    <w:rsid w:val="00B36C0F"/>
    <w:rsid w:val="00B36C95"/>
    <w:rsid w:val="00B36D7C"/>
    <w:rsid w:val="00B36D85"/>
    <w:rsid w:val="00B36DF5"/>
    <w:rsid w:val="00B36EB8"/>
    <w:rsid w:val="00B36FC3"/>
    <w:rsid w:val="00B370F7"/>
    <w:rsid w:val="00B3713C"/>
    <w:rsid w:val="00B37186"/>
    <w:rsid w:val="00B37257"/>
    <w:rsid w:val="00B37287"/>
    <w:rsid w:val="00B372A2"/>
    <w:rsid w:val="00B37301"/>
    <w:rsid w:val="00B3739E"/>
    <w:rsid w:val="00B373E4"/>
    <w:rsid w:val="00B37414"/>
    <w:rsid w:val="00B37436"/>
    <w:rsid w:val="00B37484"/>
    <w:rsid w:val="00B37654"/>
    <w:rsid w:val="00B37656"/>
    <w:rsid w:val="00B37724"/>
    <w:rsid w:val="00B3778C"/>
    <w:rsid w:val="00B377C9"/>
    <w:rsid w:val="00B377ED"/>
    <w:rsid w:val="00B377F9"/>
    <w:rsid w:val="00B3782C"/>
    <w:rsid w:val="00B37898"/>
    <w:rsid w:val="00B378EE"/>
    <w:rsid w:val="00B3791C"/>
    <w:rsid w:val="00B3797B"/>
    <w:rsid w:val="00B37AF6"/>
    <w:rsid w:val="00B37C60"/>
    <w:rsid w:val="00B37D93"/>
    <w:rsid w:val="00B37E64"/>
    <w:rsid w:val="00B37EB9"/>
    <w:rsid w:val="00B37ECA"/>
    <w:rsid w:val="00B37F5E"/>
    <w:rsid w:val="00B37F79"/>
    <w:rsid w:val="00B37FCF"/>
    <w:rsid w:val="00B40034"/>
    <w:rsid w:val="00B40053"/>
    <w:rsid w:val="00B400FB"/>
    <w:rsid w:val="00B40285"/>
    <w:rsid w:val="00B40301"/>
    <w:rsid w:val="00B4038E"/>
    <w:rsid w:val="00B4047F"/>
    <w:rsid w:val="00B404A3"/>
    <w:rsid w:val="00B404AC"/>
    <w:rsid w:val="00B40551"/>
    <w:rsid w:val="00B405F5"/>
    <w:rsid w:val="00B4063A"/>
    <w:rsid w:val="00B406D5"/>
    <w:rsid w:val="00B406F7"/>
    <w:rsid w:val="00B40727"/>
    <w:rsid w:val="00B407D7"/>
    <w:rsid w:val="00B407D9"/>
    <w:rsid w:val="00B40808"/>
    <w:rsid w:val="00B40891"/>
    <w:rsid w:val="00B408D2"/>
    <w:rsid w:val="00B408EC"/>
    <w:rsid w:val="00B40998"/>
    <w:rsid w:val="00B40B0B"/>
    <w:rsid w:val="00B40C51"/>
    <w:rsid w:val="00B40C59"/>
    <w:rsid w:val="00B40C6A"/>
    <w:rsid w:val="00B40DB0"/>
    <w:rsid w:val="00B40DDB"/>
    <w:rsid w:val="00B40E65"/>
    <w:rsid w:val="00B40EDD"/>
    <w:rsid w:val="00B40FA1"/>
    <w:rsid w:val="00B40FF4"/>
    <w:rsid w:val="00B411FE"/>
    <w:rsid w:val="00B41221"/>
    <w:rsid w:val="00B4123D"/>
    <w:rsid w:val="00B412C1"/>
    <w:rsid w:val="00B41423"/>
    <w:rsid w:val="00B41457"/>
    <w:rsid w:val="00B41931"/>
    <w:rsid w:val="00B41A07"/>
    <w:rsid w:val="00B41A78"/>
    <w:rsid w:val="00B41B48"/>
    <w:rsid w:val="00B41C80"/>
    <w:rsid w:val="00B41EF9"/>
    <w:rsid w:val="00B41F39"/>
    <w:rsid w:val="00B41F65"/>
    <w:rsid w:val="00B42024"/>
    <w:rsid w:val="00B42031"/>
    <w:rsid w:val="00B42128"/>
    <w:rsid w:val="00B421FE"/>
    <w:rsid w:val="00B42279"/>
    <w:rsid w:val="00B4233E"/>
    <w:rsid w:val="00B42365"/>
    <w:rsid w:val="00B423B2"/>
    <w:rsid w:val="00B423CB"/>
    <w:rsid w:val="00B42468"/>
    <w:rsid w:val="00B4257C"/>
    <w:rsid w:val="00B425F8"/>
    <w:rsid w:val="00B42665"/>
    <w:rsid w:val="00B42727"/>
    <w:rsid w:val="00B4279C"/>
    <w:rsid w:val="00B4281D"/>
    <w:rsid w:val="00B42941"/>
    <w:rsid w:val="00B429BA"/>
    <w:rsid w:val="00B42ADE"/>
    <w:rsid w:val="00B42AF7"/>
    <w:rsid w:val="00B42BAA"/>
    <w:rsid w:val="00B42CD7"/>
    <w:rsid w:val="00B42D99"/>
    <w:rsid w:val="00B42E63"/>
    <w:rsid w:val="00B42F0D"/>
    <w:rsid w:val="00B42F2E"/>
    <w:rsid w:val="00B42F44"/>
    <w:rsid w:val="00B43024"/>
    <w:rsid w:val="00B43155"/>
    <w:rsid w:val="00B43156"/>
    <w:rsid w:val="00B431A5"/>
    <w:rsid w:val="00B4322D"/>
    <w:rsid w:val="00B43371"/>
    <w:rsid w:val="00B43374"/>
    <w:rsid w:val="00B43450"/>
    <w:rsid w:val="00B43458"/>
    <w:rsid w:val="00B43465"/>
    <w:rsid w:val="00B4349F"/>
    <w:rsid w:val="00B43509"/>
    <w:rsid w:val="00B43633"/>
    <w:rsid w:val="00B4378A"/>
    <w:rsid w:val="00B4378F"/>
    <w:rsid w:val="00B437AA"/>
    <w:rsid w:val="00B43848"/>
    <w:rsid w:val="00B43A0D"/>
    <w:rsid w:val="00B43ACD"/>
    <w:rsid w:val="00B43B27"/>
    <w:rsid w:val="00B43BA6"/>
    <w:rsid w:val="00B43D18"/>
    <w:rsid w:val="00B43D46"/>
    <w:rsid w:val="00B43D4F"/>
    <w:rsid w:val="00B43DA6"/>
    <w:rsid w:val="00B43ED5"/>
    <w:rsid w:val="00B43FA1"/>
    <w:rsid w:val="00B4400A"/>
    <w:rsid w:val="00B44077"/>
    <w:rsid w:val="00B44162"/>
    <w:rsid w:val="00B441CA"/>
    <w:rsid w:val="00B441D5"/>
    <w:rsid w:val="00B441DB"/>
    <w:rsid w:val="00B44217"/>
    <w:rsid w:val="00B44468"/>
    <w:rsid w:val="00B44476"/>
    <w:rsid w:val="00B4449C"/>
    <w:rsid w:val="00B444A0"/>
    <w:rsid w:val="00B444F5"/>
    <w:rsid w:val="00B445FC"/>
    <w:rsid w:val="00B4463D"/>
    <w:rsid w:val="00B447D7"/>
    <w:rsid w:val="00B447F2"/>
    <w:rsid w:val="00B448D6"/>
    <w:rsid w:val="00B448FF"/>
    <w:rsid w:val="00B4491B"/>
    <w:rsid w:val="00B4491D"/>
    <w:rsid w:val="00B449B2"/>
    <w:rsid w:val="00B44A1F"/>
    <w:rsid w:val="00B44B93"/>
    <w:rsid w:val="00B44C3C"/>
    <w:rsid w:val="00B44C55"/>
    <w:rsid w:val="00B44C9D"/>
    <w:rsid w:val="00B44CE8"/>
    <w:rsid w:val="00B44D6F"/>
    <w:rsid w:val="00B44E5C"/>
    <w:rsid w:val="00B44F77"/>
    <w:rsid w:val="00B4500E"/>
    <w:rsid w:val="00B450BE"/>
    <w:rsid w:val="00B451F3"/>
    <w:rsid w:val="00B45228"/>
    <w:rsid w:val="00B45405"/>
    <w:rsid w:val="00B45408"/>
    <w:rsid w:val="00B454BE"/>
    <w:rsid w:val="00B45664"/>
    <w:rsid w:val="00B4569F"/>
    <w:rsid w:val="00B4575B"/>
    <w:rsid w:val="00B45781"/>
    <w:rsid w:val="00B45783"/>
    <w:rsid w:val="00B45790"/>
    <w:rsid w:val="00B45835"/>
    <w:rsid w:val="00B45938"/>
    <w:rsid w:val="00B45941"/>
    <w:rsid w:val="00B45A38"/>
    <w:rsid w:val="00B45C28"/>
    <w:rsid w:val="00B45DB9"/>
    <w:rsid w:val="00B45EAC"/>
    <w:rsid w:val="00B45EDE"/>
    <w:rsid w:val="00B45F1E"/>
    <w:rsid w:val="00B45FF5"/>
    <w:rsid w:val="00B46091"/>
    <w:rsid w:val="00B460B3"/>
    <w:rsid w:val="00B46146"/>
    <w:rsid w:val="00B46153"/>
    <w:rsid w:val="00B46193"/>
    <w:rsid w:val="00B4627E"/>
    <w:rsid w:val="00B4633A"/>
    <w:rsid w:val="00B46387"/>
    <w:rsid w:val="00B463EB"/>
    <w:rsid w:val="00B4641D"/>
    <w:rsid w:val="00B4656F"/>
    <w:rsid w:val="00B46604"/>
    <w:rsid w:val="00B46845"/>
    <w:rsid w:val="00B468FD"/>
    <w:rsid w:val="00B469A8"/>
    <w:rsid w:val="00B46A52"/>
    <w:rsid w:val="00B46B05"/>
    <w:rsid w:val="00B46B07"/>
    <w:rsid w:val="00B46B99"/>
    <w:rsid w:val="00B46BBB"/>
    <w:rsid w:val="00B46BF9"/>
    <w:rsid w:val="00B46C6B"/>
    <w:rsid w:val="00B46CBD"/>
    <w:rsid w:val="00B46CCF"/>
    <w:rsid w:val="00B46CD9"/>
    <w:rsid w:val="00B46D16"/>
    <w:rsid w:val="00B46D33"/>
    <w:rsid w:val="00B46D92"/>
    <w:rsid w:val="00B46E32"/>
    <w:rsid w:val="00B46F80"/>
    <w:rsid w:val="00B46FB9"/>
    <w:rsid w:val="00B46FD3"/>
    <w:rsid w:val="00B4707A"/>
    <w:rsid w:val="00B47194"/>
    <w:rsid w:val="00B4741D"/>
    <w:rsid w:val="00B4741E"/>
    <w:rsid w:val="00B474DA"/>
    <w:rsid w:val="00B476C1"/>
    <w:rsid w:val="00B476E0"/>
    <w:rsid w:val="00B477B3"/>
    <w:rsid w:val="00B47855"/>
    <w:rsid w:val="00B4792E"/>
    <w:rsid w:val="00B47935"/>
    <w:rsid w:val="00B47972"/>
    <w:rsid w:val="00B47AAF"/>
    <w:rsid w:val="00B47B28"/>
    <w:rsid w:val="00B47C1B"/>
    <w:rsid w:val="00B47C4C"/>
    <w:rsid w:val="00B47C62"/>
    <w:rsid w:val="00B47D61"/>
    <w:rsid w:val="00B47EBD"/>
    <w:rsid w:val="00B47FDA"/>
    <w:rsid w:val="00B5013F"/>
    <w:rsid w:val="00B5014F"/>
    <w:rsid w:val="00B501E5"/>
    <w:rsid w:val="00B50239"/>
    <w:rsid w:val="00B50262"/>
    <w:rsid w:val="00B5045F"/>
    <w:rsid w:val="00B50491"/>
    <w:rsid w:val="00B504D5"/>
    <w:rsid w:val="00B5050A"/>
    <w:rsid w:val="00B50566"/>
    <w:rsid w:val="00B505E7"/>
    <w:rsid w:val="00B5071C"/>
    <w:rsid w:val="00B507C4"/>
    <w:rsid w:val="00B507D9"/>
    <w:rsid w:val="00B50857"/>
    <w:rsid w:val="00B508F3"/>
    <w:rsid w:val="00B50908"/>
    <w:rsid w:val="00B509A7"/>
    <w:rsid w:val="00B50B1F"/>
    <w:rsid w:val="00B50BCD"/>
    <w:rsid w:val="00B50DA6"/>
    <w:rsid w:val="00B50DBD"/>
    <w:rsid w:val="00B50E2F"/>
    <w:rsid w:val="00B50E5F"/>
    <w:rsid w:val="00B50E72"/>
    <w:rsid w:val="00B50EEC"/>
    <w:rsid w:val="00B50F1A"/>
    <w:rsid w:val="00B5103A"/>
    <w:rsid w:val="00B51068"/>
    <w:rsid w:val="00B51099"/>
    <w:rsid w:val="00B511CF"/>
    <w:rsid w:val="00B51304"/>
    <w:rsid w:val="00B5132F"/>
    <w:rsid w:val="00B513C6"/>
    <w:rsid w:val="00B514D4"/>
    <w:rsid w:val="00B515F6"/>
    <w:rsid w:val="00B51651"/>
    <w:rsid w:val="00B516D9"/>
    <w:rsid w:val="00B516F5"/>
    <w:rsid w:val="00B51812"/>
    <w:rsid w:val="00B51830"/>
    <w:rsid w:val="00B51918"/>
    <w:rsid w:val="00B5192C"/>
    <w:rsid w:val="00B51966"/>
    <w:rsid w:val="00B5197E"/>
    <w:rsid w:val="00B51A06"/>
    <w:rsid w:val="00B51A47"/>
    <w:rsid w:val="00B51ADD"/>
    <w:rsid w:val="00B51B46"/>
    <w:rsid w:val="00B51BA5"/>
    <w:rsid w:val="00B51CBA"/>
    <w:rsid w:val="00B51CD3"/>
    <w:rsid w:val="00B51D0C"/>
    <w:rsid w:val="00B51E46"/>
    <w:rsid w:val="00B52009"/>
    <w:rsid w:val="00B52061"/>
    <w:rsid w:val="00B52114"/>
    <w:rsid w:val="00B522B2"/>
    <w:rsid w:val="00B52360"/>
    <w:rsid w:val="00B523F7"/>
    <w:rsid w:val="00B52424"/>
    <w:rsid w:val="00B52445"/>
    <w:rsid w:val="00B52449"/>
    <w:rsid w:val="00B52452"/>
    <w:rsid w:val="00B5247B"/>
    <w:rsid w:val="00B524A0"/>
    <w:rsid w:val="00B525C9"/>
    <w:rsid w:val="00B526AB"/>
    <w:rsid w:val="00B526EA"/>
    <w:rsid w:val="00B52725"/>
    <w:rsid w:val="00B52744"/>
    <w:rsid w:val="00B52959"/>
    <w:rsid w:val="00B52AF8"/>
    <w:rsid w:val="00B52B11"/>
    <w:rsid w:val="00B52BCD"/>
    <w:rsid w:val="00B52FAB"/>
    <w:rsid w:val="00B530CC"/>
    <w:rsid w:val="00B5313C"/>
    <w:rsid w:val="00B531C2"/>
    <w:rsid w:val="00B531E8"/>
    <w:rsid w:val="00B532A1"/>
    <w:rsid w:val="00B532A4"/>
    <w:rsid w:val="00B532B8"/>
    <w:rsid w:val="00B5330F"/>
    <w:rsid w:val="00B5345C"/>
    <w:rsid w:val="00B5346D"/>
    <w:rsid w:val="00B5346F"/>
    <w:rsid w:val="00B534C9"/>
    <w:rsid w:val="00B5356D"/>
    <w:rsid w:val="00B53583"/>
    <w:rsid w:val="00B5359D"/>
    <w:rsid w:val="00B535CE"/>
    <w:rsid w:val="00B535FC"/>
    <w:rsid w:val="00B53637"/>
    <w:rsid w:val="00B53667"/>
    <w:rsid w:val="00B53670"/>
    <w:rsid w:val="00B53675"/>
    <w:rsid w:val="00B5373D"/>
    <w:rsid w:val="00B537E5"/>
    <w:rsid w:val="00B5381A"/>
    <w:rsid w:val="00B53876"/>
    <w:rsid w:val="00B539C9"/>
    <w:rsid w:val="00B539DA"/>
    <w:rsid w:val="00B53C42"/>
    <w:rsid w:val="00B53C68"/>
    <w:rsid w:val="00B53CDF"/>
    <w:rsid w:val="00B53D50"/>
    <w:rsid w:val="00B53D6C"/>
    <w:rsid w:val="00B53E5C"/>
    <w:rsid w:val="00B53F07"/>
    <w:rsid w:val="00B53F12"/>
    <w:rsid w:val="00B53F53"/>
    <w:rsid w:val="00B53FA8"/>
    <w:rsid w:val="00B53FC5"/>
    <w:rsid w:val="00B5400C"/>
    <w:rsid w:val="00B54064"/>
    <w:rsid w:val="00B5410B"/>
    <w:rsid w:val="00B5421A"/>
    <w:rsid w:val="00B54259"/>
    <w:rsid w:val="00B542EB"/>
    <w:rsid w:val="00B543DD"/>
    <w:rsid w:val="00B5441B"/>
    <w:rsid w:val="00B5450F"/>
    <w:rsid w:val="00B546A4"/>
    <w:rsid w:val="00B54755"/>
    <w:rsid w:val="00B5479E"/>
    <w:rsid w:val="00B547E5"/>
    <w:rsid w:val="00B54879"/>
    <w:rsid w:val="00B5488C"/>
    <w:rsid w:val="00B5497F"/>
    <w:rsid w:val="00B54B71"/>
    <w:rsid w:val="00B54C82"/>
    <w:rsid w:val="00B54CB6"/>
    <w:rsid w:val="00B54D1D"/>
    <w:rsid w:val="00B54F32"/>
    <w:rsid w:val="00B54F3E"/>
    <w:rsid w:val="00B54F4D"/>
    <w:rsid w:val="00B54FB0"/>
    <w:rsid w:val="00B54FE0"/>
    <w:rsid w:val="00B5503C"/>
    <w:rsid w:val="00B55090"/>
    <w:rsid w:val="00B5509F"/>
    <w:rsid w:val="00B550A3"/>
    <w:rsid w:val="00B5517E"/>
    <w:rsid w:val="00B552AF"/>
    <w:rsid w:val="00B55338"/>
    <w:rsid w:val="00B5562F"/>
    <w:rsid w:val="00B556EB"/>
    <w:rsid w:val="00B556ED"/>
    <w:rsid w:val="00B556FC"/>
    <w:rsid w:val="00B558FB"/>
    <w:rsid w:val="00B55920"/>
    <w:rsid w:val="00B55966"/>
    <w:rsid w:val="00B559A7"/>
    <w:rsid w:val="00B559CB"/>
    <w:rsid w:val="00B55A26"/>
    <w:rsid w:val="00B55AC9"/>
    <w:rsid w:val="00B55AE1"/>
    <w:rsid w:val="00B55AF4"/>
    <w:rsid w:val="00B55D17"/>
    <w:rsid w:val="00B55DA3"/>
    <w:rsid w:val="00B55DCE"/>
    <w:rsid w:val="00B55E35"/>
    <w:rsid w:val="00B55E42"/>
    <w:rsid w:val="00B55EAC"/>
    <w:rsid w:val="00B55EC9"/>
    <w:rsid w:val="00B55F48"/>
    <w:rsid w:val="00B55FA4"/>
    <w:rsid w:val="00B55FC5"/>
    <w:rsid w:val="00B56025"/>
    <w:rsid w:val="00B5602C"/>
    <w:rsid w:val="00B56123"/>
    <w:rsid w:val="00B56128"/>
    <w:rsid w:val="00B561E8"/>
    <w:rsid w:val="00B562AD"/>
    <w:rsid w:val="00B562C6"/>
    <w:rsid w:val="00B562D3"/>
    <w:rsid w:val="00B56351"/>
    <w:rsid w:val="00B56382"/>
    <w:rsid w:val="00B563AA"/>
    <w:rsid w:val="00B563D0"/>
    <w:rsid w:val="00B5647C"/>
    <w:rsid w:val="00B565C1"/>
    <w:rsid w:val="00B568E9"/>
    <w:rsid w:val="00B5698D"/>
    <w:rsid w:val="00B56A0C"/>
    <w:rsid w:val="00B56A89"/>
    <w:rsid w:val="00B56AE5"/>
    <w:rsid w:val="00B56C55"/>
    <w:rsid w:val="00B56C94"/>
    <w:rsid w:val="00B56DF9"/>
    <w:rsid w:val="00B56EAA"/>
    <w:rsid w:val="00B5708E"/>
    <w:rsid w:val="00B57148"/>
    <w:rsid w:val="00B57237"/>
    <w:rsid w:val="00B57321"/>
    <w:rsid w:val="00B57376"/>
    <w:rsid w:val="00B57381"/>
    <w:rsid w:val="00B5740E"/>
    <w:rsid w:val="00B574EF"/>
    <w:rsid w:val="00B576B6"/>
    <w:rsid w:val="00B57848"/>
    <w:rsid w:val="00B578BA"/>
    <w:rsid w:val="00B57967"/>
    <w:rsid w:val="00B57BD9"/>
    <w:rsid w:val="00B57C24"/>
    <w:rsid w:val="00B57C9C"/>
    <w:rsid w:val="00B57D0D"/>
    <w:rsid w:val="00B57D47"/>
    <w:rsid w:val="00B57DB9"/>
    <w:rsid w:val="00B57E95"/>
    <w:rsid w:val="00B57ED1"/>
    <w:rsid w:val="00B57EDB"/>
    <w:rsid w:val="00B57F5C"/>
    <w:rsid w:val="00B60055"/>
    <w:rsid w:val="00B60139"/>
    <w:rsid w:val="00B60149"/>
    <w:rsid w:val="00B60186"/>
    <w:rsid w:val="00B601A5"/>
    <w:rsid w:val="00B601EC"/>
    <w:rsid w:val="00B60212"/>
    <w:rsid w:val="00B60277"/>
    <w:rsid w:val="00B602D5"/>
    <w:rsid w:val="00B602EB"/>
    <w:rsid w:val="00B602F1"/>
    <w:rsid w:val="00B6036D"/>
    <w:rsid w:val="00B60402"/>
    <w:rsid w:val="00B6069E"/>
    <w:rsid w:val="00B60711"/>
    <w:rsid w:val="00B6078E"/>
    <w:rsid w:val="00B60816"/>
    <w:rsid w:val="00B6086C"/>
    <w:rsid w:val="00B6088B"/>
    <w:rsid w:val="00B609AC"/>
    <w:rsid w:val="00B609C7"/>
    <w:rsid w:val="00B60A48"/>
    <w:rsid w:val="00B60B83"/>
    <w:rsid w:val="00B60B97"/>
    <w:rsid w:val="00B60BB2"/>
    <w:rsid w:val="00B60C62"/>
    <w:rsid w:val="00B60DAF"/>
    <w:rsid w:val="00B60E35"/>
    <w:rsid w:val="00B610DA"/>
    <w:rsid w:val="00B6113B"/>
    <w:rsid w:val="00B61143"/>
    <w:rsid w:val="00B611E7"/>
    <w:rsid w:val="00B61258"/>
    <w:rsid w:val="00B612EF"/>
    <w:rsid w:val="00B6136B"/>
    <w:rsid w:val="00B6140E"/>
    <w:rsid w:val="00B615D4"/>
    <w:rsid w:val="00B615FD"/>
    <w:rsid w:val="00B61773"/>
    <w:rsid w:val="00B6179C"/>
    <w:rsid w:val="00B617D9"/>
    <w:rsid w:val="00B617F0"/>
    <w:rsid w:val="00B6180E"/>
    <w:rsid w:val="00B61816"/>
    <w:rsid w:val="00B619D4"/>
    <w:rsid w:val="00B61A00"/>
    <w:rsid w:val="00B61A89"/>
    <w:rsid w:val="00B61AE6"/>
    <w:rsid w:val="00B61B40"/>
    <w:rsid w:val="00B61B70"/>
    <w:rsid w:val="00B61B93"/>
    <w:rsid w:val="00B61C11"/>
    <w:rsid w:val="00B61C4F"/>
    <w:rsid w:val="00B61C79"/>
    <w:rsid w:val="00B61C99"/>
    <w:rsid w:val="00B61CC4"/>
    <w:rsid w:val="00B61D75"/>
    <w:rsid w:val="00B61D76"/>
    <w:rsid w:val="00B61F21"/>
    <w:rsid w:val="00B61F95"/>
    <w:rsid w:val="00B61FA5"/>
    <w:rsid w:val="00B6201E"/>
    <w:rsid w:val="00B6204F"/>
    <w:rsid w:val="00B6209C"/>
    <w:rsid w:val="00B6228E"/>
    <w:rsid w:val="00B623F8"/>
    <w:rsid w:val="00B62423"/>
    <w:rsid w:val="00B62642"/>
    <w:rsid w:val="00B62758"/>
    <w:rsid w:val="00B62799"/>
    <w:rsid w:val="00B62847"/>
    <w:rsid w:val="00B628D4"/>
    <w:rsid w:val="00B628E0"/>
    <w:rsid w:val="00B629F0"/>
    <w:rsid w:val="00B62AEE"/>
    <w:rsid w:val="00B62B54"/>
    <w:rsid w:val="00B62BC1"/>
    <w:rsid w:val="00B62BE3"/>
    <w:rsid w:val="00B62BF0"/>
    <w:rsid w:val="00B62C69"/>
    <w:rsid w:val="00B62CA5"/>
    <w:rsid w:val="00B62CC9"/>
    <w:rsid w:val="00B62D0A"/>
    <w:rsid w:val="00B62D57"/>
    <w:rsid w:val="00B62E51"/>
    <w:rsid w:val="00B62F02"/>
    <w:rsid w:val="00B62F21"/>
    <w:rsid w:val="00B62F2A"/>
    <w:rsid w:val="00B62F7F"/>
    <w:rsid w:val="00B62FC1"/>
    <w:rsid w:val="00B62FDD"/>
    <w:rsid w:val="00B62FE2"/>
    <w:rsid w:val="00B630CD"/>
    <w:rsid w:val="00B630F5"/>
    <w:rsid w:val="00B631DC"/>
    <w:rsid w:val="00B632DB"/>
    <w:rsid w:val="00B632FE"/>
    <w:rsid w:val="00B6338C"/>
    <w:rsid w:val="00B63396"/>
    <w:rsid w:val="00B633FF"/>
    <w:rsid w:val="00B63457"/>
    <w:rsid w:val="00B6345C"/>
    <w:rsid w:val="00B63499"/>
    <w:rsid w:val="00B634F6"/>
    <w:rsid w:val="00B635C1"/>
    <w:rsid w:val="00B635D6"/>
    <w:rsid w:val="00B635F8"/>
    <w:rsid w:val="00B6364C"/>
    <w:rsid w:val="00B6368D"/>
    <w:rsid w:val="00B636F7"/>
    <w:rsid w:val="00B63747"/>
    <w:rsid w:val="00B637A6"/>
    <w:rsid w:val="00B63839"/>
    <w:rsid w:val="00B63863"/>
    <w:rsid w:val="00B6389E"/>
    <w:rsid w:val="00B6391F"/>
    <w:rsid w:val="00B63980"/>
    <w:rsid w:val="00B639C8"/>
    <w:rsid w:val="00B63A1D"/>
    <w:rsid w:val="00B63A5A"/>
    <w:rsid w:val="00B63C15"/>
    <w:rsid w:val="00B63C25"/>
    <w:rsid w:val="00B63CA5"/>
    <w:rsid w:val="00B63CCD"/>
    <w:rsid w:val="00B63F5A"/>
    <w:rsid w:val="00B64173"/>
    <w:rsid w:val="00B64175"/>
    <w:rsid w:val="00B6429D"/>
    <w:rsid w:val="00B642A4"/>
    <w:rsid w:val="00B642D7"/>
    <w:rsid w:val="00B642FD"/>
    <w:rsid w:val="00B643AC"/>
    <w:rsid w:val="00B64446"/>
    <w:rsid w:val="00B644B2"/>
    <w:rsid w:val="00B6456A"/>
    <w:rsid w:val="00B645DF"/>
    <w:rsid w:val="00B64743"/>
    <w:rsid w:val="00B647B3"/>
    <w:rsid w:val="00B647D1"/>
    <w:rsid w:val="00B64876"/>
    <w:rsid w:val="00B648E6"/>
    <w:rsid w:val="00B64943"/>
    <w:rsid w:val="00B64A2B"/>
    <w:rsid w:val="00B64B2D"/>
    <w:rsid w:val="00B64C0E"/>
    <w:rsid w:val="00B64D80"/>
    <w:rsid w:val="00B64E4D"/>
    <w:rsid w:val="00B64E84"/>
    <w:rsid w:val="00B64ECF"/>
    <w:rsid w:val="00B64FE5"/>
    <w:rsid w:val="00B64FF1"/>
    <w:rsid w:val="00B6504D"/>
    <w:rsid w:val="00B650B6"/>
    <w:rsid w:val="00B65208"/>
    <w:rsid w:val="00B6529B"/>
    <w:rsid w:val="00B65318"/>
    <w:rsid w:val="00B65357"/>
    <w:rsid w:val="00B653E2"/>
    <w:rsid w:val="00B653F8"/>
    <w:rsid w:val="00B654A0"/>
    <w:rsid w:val="00B654E3"/>
    <w:rsid w:val="00B65525"/>
    <w:rsid w:val="00B6559D"/>
    <w:rsid w:val="00B655F3"/>
    <w:rsid w:val="00B65612"/>
    <w:rsid w:val="00B656BB"/>
    <w:rsid w:val="00B656D0"/>
    <w:rsid w:val="00B6578A"/>
    <w:rsid w:val="00B6587D"/>
    <w:rsid w:val="00B659D4"/>
    <w:rsid w:val="00B65A7D"/>
    <w:rsid w:val="00B65A92"/>
    <w:rsid w:val="00B65AF4"/>
    <w:rsid w:val="00B65B0A"/>
    <w:rsid w:val="00B65B40"/>
    <w:rsid w:val="00B65BA1"/>
    <w:rsid w:val="00B65BD3"/>
    <w:rsid w:val="00B65BE7"/>
    <w:rsid w:val="00B65C1B"/>
    <w:rsid w:val="00B65C9C"/>
    <w:rsid w:val="00B65D20"/>
    <w:rsid w:val="00B65D6B"/>
    <w:rsid w:val="00B65E1A"/>
    <w:rsid w:val="00B65E2B"/>
    <w:rsid w:val="00B65ED4"/>
    <w:rsid w:val="00B65F0F"/>
    <w:rsid w:val="00B65F35"/>
    <w:rsid w:val="00B65F36"/>
    <w:rsid w:val="00B65F6A"/>
    <w:rsid w:val="00B65FCA"/>
    <w:rsid w:val="00B660B9"/>
    <w:rsid w:val="00B6612B"/>
    <w:rsid w:val="00B66159"/>
    <w:rsid w:val="00B66214"/>
    <w:rsid w:val="00B66243"/>
    <w:rsid w:val="00B662B6"/>
    <w:rsid w:val="00B662CD"/>
    <w:rsid w:val="00B662F0"/>
    <w:rsid w:val="00B663B4"/>
    <w:rsid w:val="00B66437"/>
    <w:rsid w:val="00B6648C"/>
    <w:rsid w:val="00B664BA"/>
    <w:rsid w:val="00B6651B"/>
    <w:rsid w:val="00B6651D"/>
    <w:rsid w:val="00B6652F"/>
    <w:rsid w:val="00B66539"/>
    <w:rsid w:val="00B66556"/>
    <w:rsid w:val="00B666E7"/>
    <w:rsid w:val="00B667BD"/>
    <w:rsid w:val="00B667C2"/>
    <w:rsid w:val="00B667CB"/>
    <w:rsid w:val="00B66849"/>
    <w:rsid w:val="00B668AD"/>
    <w:rsid w:val="00B668B5"/>
    <w:rsid w:val="00B668BE"/>
    <w:rsid w:val="00B66919"/>
    <w:rsid w:val="00B66BB7"/>
    <w:rsid w:val="00B66C03"/>
    <w:rsid w:val="00B66C7B"/>
    <w:rsid w:val="00B66E04"/>
    <w:rsid w:val="00B66E21"/>
    <w:rsid w:val="00B66F38"/>
    <w:rsid w:val="00B66FE4"/>
    <w:rsid w:val="00B670AD"/>
    <w:rsid w:val="00B671A8"/>
    <w:rsid w:val="00B67283"/>
    <w:rsid w:val="00B672BF"/>
    <w:rsid w:val="00B67427"/>
    <w:rsid w:val="00B676A6"/>
    <w:rsid w:val="00B676E7"/>
    <w:rsid w:val="00B67792"/>
    <w:rsid w:val="00B677E8"/>
    <w:rsid w:val="00B67856"/>
    <w:rsid w:val="00B67938"/>
    <w:rsid w:val="00B679FE"/>
    <w:rsid w:val="00B67ADE"/>
    <w:rsid w:val="00B67B30"/>
    <w:rsid w:val="00B67BE8"/>
    <w:rsid w:val="00B67C81"/>
    <w:rsid w:val="00B67D4C"/>
    <w:rsid w:val="00B67D61"/>
    <w:rsid w:val="00B67D63"/>
    <w:rsid w:val="00B67D9E"/>
    <w:rsid w:val="00B67DD9"/>
    <w:rsid w:val="00B67E38"/>
    <w:rsid w:val="00B67FD8"/>
    <w:rsid w:val="00B67FF7"/>
    <w:rsid w:val="00B7001F"/>
    <w:rsid w:val="00B700A5"/>
    <w:rsid w:val="00B700C5"/>
    <w:rsid w:val="00B7010A"/>
    <w:rsid w:val="00B70157"/>
    <w:rsid w:val="00B7018C"/>
    <w:rsid w:val="00B7066E"/>
    <w:rsid w:val="00B70710"/>
    <w:rsid w:val="00B70715"/>
    <w:rsid w:val="00B70776"/>
    <w:rsid w:val="00B70806"/>
    <w:rsid w:val="00B7083B"/>
    <w:rsid w:val="00B70A8F"/>
    <w:rsid w:val="00B70AE4"/>
    <w:rsid w:val="00B70C62"/>
    <w:rsid w:val="00B70CF5"/>
    <w:rsid w:val="00B70D47"/>
    <w:rsid w:val="00B70D58"/>
    <w:rsid w:val="00B70F47"/>
    <w:rsid w:val="00B70F78"/>
    <w:rsid w:val="00B71087"/>
    <w:rsid w:val="00B710B2"/>
    <w:rsid w:val="00B7116D"/>
    <w:rsid w:val="00B71176"/>
    <w:rsid w:val="00B712B5"/>
    <w:rsid w:val="00B712C7"/>
    <w:rsid w:val="00B7140D"/>
    <w:rsid w:val="00B71462"/>
    <w:rsid w:val="00B714FF"/>
    <w:rsid w:val="00B715FF"/>
    <w:rsid w:val="00B71641"/>
    <w:rsid w:val="00B7167E"/>
    <w:rsid w:val="00B716B8"/>
    <w:rsid w:val="00B7182C"/>
    <w:rsid w:val="00B7190A"/>
    <w:rsid w:val="00B719C5"/>
    <w:rsid w:val="00B719FB"/>
    <w:rsid w:val="00B71A83"/>
    <w:rsid w:val="00B71AE4"/>
    <w:rsid w:val="00B71AE6"/>
    <w:rsid w:val="00B71AEE"/>
    <w:rsid w:val="00B71C4C"/>
    <w:rsid w:val="00B71D04"/>
    <w:rsid w:val="00B71D8B"/>
    <w:rsid w:val="00B71EA7"/>
    <w:rsid w:val="00B71EEC"/>
    <w:rsid w:val="00B71F08"/>
    <w:rsid w:val="00B71F6D"/>
    <w:rsid w:val="00B72004"/>
    <w:rsid w:val="00B7214D"/>
    <w:rsid w:val="00B721A8"/>
    <w:rsid w:val="00B721C7"/>
    <w:rsid w:val="00B7225E"/>
    <w:rsid w:val="00B7229F"/>
    <w:rsid w:val="00B722D5"/>
    <w:rsid w:val="00B722EF"/>
    <w:rsid w:val="00B722FF"/>
    <w:rsid w:val="00B7232F"/>
    <w:rsid w:val="00B7244D"/>
    <w:rsid w:val="00B7247B"/>
    <w:rsid w:val="00B724B4"/>
    <w:rsid w:val="00B72593"/>
    <w:rsid w:val="00B725D4"/>
    <w:rsid w:val="00B72653"/>
    <w:rsid w:val="00B72738"/>
    <w:rsid w:val="00B727B3"/>
    <w:rsid w:val="00B72805"/>
    <w:rsid w:val="00B72838"/>
    <w:rsid w:val="00B72A2C"/>
    <w:rsid w:val="00B72AF2"/>
    <w:rsid w:val="00B72C1E"/>
    <w:rsid w:val="00B72C65"/>
    <w:rsid w:val="00B72CDC"/>
    <w:rsid w:val="00B72D08"/>
    <w:rsid w:val="00B72DDE"/>
    <w:rsid w:val="00B72E27"/>
    <w:rsid w:val="00B72E7F"/>
    <w:rsid w:val="00B72FED"/>
    <w:rsid w:val="00B731D8"/>
    <w:rsid w:val="00B73268"/>
    <w:rsid w:val="00B7328F"/>
    <w:rsid w:val="00B73372"/>
    <w:rsid w:val="00B7341B"/>
    <w:rsid w:val="00B734C0"/>
    <w:rsid w:val="00B7359D"/>
    <w:rsid w:val="00B735B8"/>
    <w:rsid w:val="00B735CE"/>
    <w:rsid w:val="00B7360B"/>
    <w:rsid w:val="00B7360E"/>
    <w:rsid w:val="00B73805"/>
    <w:rsid w:val="00B73935"/>
    <w:rsid w:val="00B73965"/>
    <w:rsid w:val="00B739EE"/>
    <w:rsid w:val="00B73AC6"/>
    <w:rsid w:val="00B73B0B"/>
    <w:rsid w:val="00B73B44"/>
    <w:rsid w:val="00B73BC0"/>
    <w:rsid w:val="00B73BFA"/>
    <w:rsid w:val="00B73CF2"/>
    <w:rsid w:val="00B73FCF"/>
    <w:rsid w:val="00B74169"/>
    <w:rsid w:val="00B7418E"/>
    <w:rsid w:val="00B741BC"/>
    <w:rsid w:val="00B7420B"/>
    <w:rsid w:val="00B742D4"/>
    <w:rsid w:val="00B7438C"/>
    <w:rsid w:val="00B74475"/>
    <w:rsid w:val="00B7472C"/>
    <w:rsid w:val="00B74916"/>
    <w:rsid w:val="00B749E4"/>
    <w:rsid w:val="00B74A4E"/>
    <w:rsid w:val="00B74B88"/>
    <w:rsid w:val="00B74BC5"/>
    <w:rsid w:val="00B74C8E"/>
    <w:rsid w:val="00B74D32"/>
    <w:rsid w:val="00B74DAA"/>
    <w:rsid w:val="00B74DC7"/>
    <w:rsid w:val="00B74E77"/>
    <w:rsid w:val="00B74EEE"/>
    <w:rsid w:val="00B74F16"/>
    <w:rsid w:val="00B74F75"/>
    <w:rsid w:val="00B74F7F"/>
    <w:rsid w:val="00B74FA6"/>
    <w:rsid w:val="00B750A0"/>
    <w:rsid w:val="00B75215"/>
    <w:rsid w:val="00B75529"/>
    <w:rsid w:val="00B75586"/>
    <w:rsid w:val="00B755F5"/>
    <w:rsid w:val="00B7563B"/>
    <w:rsid w:val="00B75758"/>
    <w:rsid w:val="00B75790"/>
    <w:rsid w:val="00B757AC"/>
    <w:rsid w:val="00B757C6"/>
    <w:rsid w:val="00B757F5"/>
    <w:rsid w:val="00B7585C"/>
    <w:rsid w:val="00B75870"/>
    <w:rsid w:val="00B75904"/>
    <w:rsid w:val="00B75969"/>
    <w:rsid w:val="00B759B4"/>
    <w:rsid w:val="00B759C4"/>
    <w:rsid w:val="00B75A08"/>
    <w:rsid w:val="00B75A4B"/>
    <w:rsid w:val="00B75AAB"/>
    <w:rsid w:val="00B75AAD"/>
    <w:rsid w:val="00B75AD6"/>
    <w:rsid w:val="00B75B63"/>
    <w:rsid w:val="00B75B7D"/>
    <w:rsid w:val="00B75BA0"/>
    <w:rsid w:val="00B75C1B"/>
    <w:rsid w:val="00B75C45"/>
    <w:rsid w:val="00B75EFC"/>
    <w:rsid w:val="00B75F6E"/>
    <w:rsid w:val="00B75F70"/>
    <w:rsid w:val="00B75F79"/>
    <w:rsid w:val="00B75FA0"/>
    <w:rsid w:val="00B76088"/>
    <w:rsid w:val="00B760F0"/>
    <w:rsid w:val="00B76120"/>
    <w:rsid w:val="00B761FB"/>
    <w:rsid w:val="00B7625E"/>
    <w:rsid w:val="00B762EE"/>
    <w:rsid w:val="00B762F4"/>
    <w:rsid w:val="00B763F3"/>
    <w:rsid w:val="00B76408"/>
    <w:rsid w:val="00B764C3"/>
    <w:rsid w:val="00B76558"/>
    <w:rsid w:val="00B76567"/>
    <w:rsid w:val="00B765C1"/>
    <w:rsid w:val="00B7675E"/>
    <w:rsid w:val="00B76794"/>
    <w:rsid w:val="00B768AE"/>
    <w:rsid w:val="00B769BD"/>
    <w:rsid w:val="00B76A56"/>
    <w:rsid w:val="00B76A76"/>
    <w:rsid w:val="00B76BB8"/>
    <w:rsid w:val="00B76C1E"/>
    <w:rsid w:val="00B76C60"/>
    <w:rsid w:val="00B76C61"/>
    <w:rsid w:val="00B76C96"/>
    <w:rsid w:val="00B76CB5"/>
    <w:rsid w:val="00B76CFC"/>
    <w:rsid w:val="00B76D72"/>
    <w:rsid w:val="00B76E42"/>
    <w:rsid w:val="00B76E93"/>
    <w:rsid w:val="00B76F7A"/>
    <w:rsid w:val="00B76F84"/>
    <w:rsid w:val="00B76FA0"/>
    <w:rsid w:val="00B77035"/>
    <w:rsid w:val="00B7708E"/>
    <w:rsid w:val="00B771CC"/>
    <w:rsid w:val="00B771D0"/>
    <w:rsid w:val="00B77336"/>
    <w:rsid w:val="00B77439"/>
    <w:rsid w:val="00B77456"/>
    <w:rsid w:val="00B7778E"/>
    <w:rsid w:val="00B77790"/>
    <w:rsid w:val="00B777C5"/>
    <w:rsid w:val="00B777FD"/>
    <w:rsid w:val="00B7783A"/>
    <w:rsid w:val="00B778C4"/>
    <w:rsid w:val="00B779A5"/>
    <w:rsid w:val="00B779C6"/>
    <w:rsid w:val="00B779D9"/>
    <w:rsid w:val="00B77A83"/>
    <w:rsid w:val="00B77B05"/>
    <w:rsid w:val="00B77B29"/>
    <w:rsid w:val="00B77B80"/>
    <w:rsid w:val="00B77D0F"/>
    <w:rsid w:val="00B77DD6"/>
    <w:rsid w:val="00B77E1C"/>
    <w:rsid w:val="00B77E2B"/>
    <w:rsid w:val="00B77E34"/>
    <w:rsid w:val="00B77E5D"/>
    <w:rsid w:val="00B79650"/>
    <w:rsid w:val="00B80058"/>
    <w:rsid w:val="00B80199"/>
    <w:rsid w:val="00B801C2"/>
    <w:rsid w:val="00B80291"/>
    <w:rsid w:val="00B80389"/>
    <w:rsid w:val="00B80681"/>
    <w:rsid w:val="00B80711"/>
    <w:rsid w:val="00B8074A"/>
    <w:rsid w:val="00B807CC"/>
    <w:rsid w:val="00B808AE"/>
    <w:rsid w:val="00B808D5"/>
    <w:rsid w:val="00B8094F"/>
    <w:rsid w:val="00B80971"/>
    <w:rsid w:val="00B80BBE"/>
    <w:rsid w:val="00B80CD5"/>
    <w:rsid w:val="00B80DAF"/>
    <w:rsid w:val="00B80E68"/>
    <w:rsid w:val="00B80EB7"/>
    <w:rsid w:val="00B80ED3"/>
    <w:rsid w:val="00B80EE6"/>
    <w:rsid w:val="00B80FA6"/>
    <w:rsid w:val="00B810EC"/>
    <w:rsid w:val="00B81265"/>
    <w:rsid w:val="00B8137B"/>
    <w:rsid w:val="00B813D4"/>
    <w:rsid w:val="00B8164C"/>
    <w:rsid w:val="00B816E9"/>
    <w:rsid w:val="00B817E0"/>
    <w:rsid w:val="00B81903"/>
    <w:rsid w:val="00B81938"/>
    <w:rsid w:val="00B81A22"/>
    <w:rsid w:val="00B81B84"/>
    <w:rsid w:val="00B81C24"/>
    <w:rsid w:val="00B81C98"/>
    <w:rsid w:val="00B81D61"/>
    <w:rsid w:val="00B81EAB"/>
    <w:rsid w:val="00B81F6D"/>
    <w:rsid w:val="00B82014"/>
    <w:rsid w:val="00B820B2"/>
    <w:rsid w:val="00B821C1"/>
    <w:rsid w:val="00B8224C"/>
    <w:rsid w:val="00B82454"/>
    <w:rsid w:val="00B824B6"/>
    <w:rsid w:val="00B824E3"/>
    <w:rsid w:val="00B8252D"/>
    <w:rsid w:val="00B8264F"/>
    <w:rsid w:val="00B8268D"/>
    <w:rsid w:val="00B82795"/>
    <w:rsid w:val="00B82873"/>
    <w:rsid w:val="00B828D8"/>
    <w:rsid w:val="00B8291C"/>
    <w:rsid w:val="00B82982"/>
    <w:rsid w:val="00B829CE"/>
    <w:rsid w:val="00B82CAE"/>
    <w:rsid w:val="00B82CBA"/>
    <w:rsid w:val="00B82CF8"/>
    <w:rsid w:val="00B82DC8"/>
    <w:rsid w:val="00B82F41"/>
    <w:rsid w:val="00B82FFC"/>
    <w:rsid w:val="00B83019"/>
    <w:rsid w:val="00B8309F"/>
    <w:rsid w:val="00B8310A"/>
    <w:rsid w:val="00B832DA"/>
    <w:rsid w:val="00B83337"/>
    <w:rsid w:val="00B83345"/>
    <w:rsid w:val="00B8336D"/>
    <w:rsid w:val="00B83499"/>
    <w:rsid w:val="00B835E0"/>
    <w:rsid w:val="00B835F0"/>
    <w:rsid w:val="00B83614"/>
    <w:rsid w:val="00B83679"/>
    <w:rsid w:val="00B8375B"/>
    <w:rsid w:val="00B837B7"/>
    <w:rsid w:val="00B837DA"/>
    <w:rsid w:val="00B83922"/>
    <w:rsid w:val="00B83940"/>
    <w:rsid w:val="00B8399E"/>
    <w:rsid w:val="00B839AF"/>
    <w:rsid w:val="00B83B38"/>
    <w:rsid w:val="00B83C4A"/>
    <w:rsid w:val="00B83C92"/>
    <w:rsid w:val="00B83D02"/>
    <w:rsid w:val="00B83E6C"/>
    <w:rsid w:val="00B83E91"/>
    <w:rsid w:val="00B83FAE"/>
    <w:rsid w:val="00B84008"/>
    <w:rsid w:val="00B84022"/>
    <w:rsid w:val="00B8404D"/>
    <w:rsid w:val="00B8406F"/>
    <w:rsid w:val="00B84096"/>
    <w:rsid w:val="00B840C1"/>
    <w:rsid w:val="00B84111"/>
    <w:rsid w:val="00B84128"/>
    <w:rsid w:val="00B84224"/>
    <w:rsid w:val="00B84266"/>
    <w:rsid w:val="00B842AA"/>
    <w:rsid w:val="00B842B2"/>
    <w:rsid w:val="00B842F8"/>
    <w:rsid w:val="00B84363"/>
    <w:rsid w:val="00B84372"/>
    <w:rsid w:val="00B84485"/>
    <w:rsid w:val="00B844A2"/>
    <w:rsid w:val="00B844E3"/>
    <w:rsid w:val="00B845AC"/>
    <w:rsid w:val="00B84668"/>
    <w:rsid w:val="00B846C8"/>
    <w:rsid w:val="00B846D9"/>
    <w:rsid w:val="00B84723"/>
    <w:rsid w:val="00B84747"/>
    <w:rsid w:val="00B847A5"/>
    <w:rsid w:val="00B84AF3"/>
    <w:rsid w:val="00B84C3D"/>
    <w:rsid w:val="00B84D36"/>
    <w:rsid w:val="00B84EA1"/>
    <w:rsid w:val="00B84F14"/>
    <w:rsid w:val="00B84F39"/>
    <w:rsid w:val="00B84F59"/>
    <w:rsid w:val="00B84FCE"/>
    <w:rsid w:val="00B8506B"/>
    <w:rsid w:val="00B85114"/>
    <w:rsid w:val="00B8538E"/>
    <w:rsid w:val="00B85412"/>
    <w:rsid w:val="00B85523"/>
    <w:rsid w:val="00B855D6"/>
    <w:rsid w:val="00B8576E"/>
    <w:rsid w:val="00B8577A"/>
    <w:rsid w:val="00B857B3"/>
    <w:rsid w:val="00B857B8"/>
    <w:rsid w:val="00B857E3"/>
    <w:rsid w:val="00B857EF"/>
    <w:rsid w:val="00B85856"/>
    <w:rsid w:val="00B85ABF"/>
    <w:rsid w:val="00B85B50"/>
    <w:rsid w:val="00B85B52"/>
    <w:rsid w:val="00B85BDF"/>
    <w:rsid w:val="00B85CE2"/>
    <w:rsid w:val="00B85D04"/>
    <w:rsid w:val="00B85E10"/>
    <w:rsid w:val="00B85E5D"/>
    <w:rsid w:val="00B85E92"/>
    <w:rsid w:val="00B85FE2"/>
    <w:rsid w:val="00B8607A"/>
    <w:rsid w:val="00B860BC"/>
    <w:rsid w:val="00B860D7"/>
    <w:rsid w:val="00B8610D"/>
    <w:rsid w:val="00B86161"/>
    <w:rsid w:val="00B861B4"/>
    <w:rsid w:val="00B86239"/>
    <w:rsid w:val="00B863A3"/>
    <w:rsid w:val="00B86490"/>
    <w:rsid w:val="00B864C4"/>
    <w:rsid w:val="00B86535"/>
    <w:rsid w:val="00B86635"/>
    <w:rsid w:val="00B86695"/>
    <w:rsid w:val="00B867D2"/>
    <w:rsid w:val="00B8690E"/>
    <w:rsid w:val="00B8691C"/>
    <w:rsid w:val="00B86967"/>
    <w:rsid w:val="00B86AFB"/>
    <w:rsid w:val="00B86EC1"/>
    <w:rsid w:val="00B86ED3"/>
    <w:rsid w:val="00B86F09"/>
    <w:rsid w:val="00B86FA8"/>
    <w:rsid w:val="00B86FC6"/>
    <w:rsid w:val="00B87025"/>
    <w:rsid w:val="00B8706C"/>
    <w:rsid w:val="00B8717A"/>
    <w:rsid w:val="00B8727D"/>
    <w:rsid w:val="00B872EE"/>
    <w:rsid w:val="00B87348"/>
    <w:rsid w:val="00B87351"/>
    <w:rsid w:val="00B873C2"/>
    <w:rsid w:val="00B8745C"/>
    <w:rsid w:val="00B8749D"/>
    <w:rsid w:val="00B877CF"/>
    <w:rsid w:val="00B87831"/>
    <w:rsid w:val="00B87878"/>
    <w:rsid w:val="00B878B5"/>
    <w:rsid w:val="00B8792F"/>
    <w:rsid w:val="00B8795C"/>
    <w:rsid w:val="00B87975"/>
    <w:rsid w:val="00B87AB2"/>
    <w:rsid w:val="00B87B6A"/>
    <w:rsid w:val="00B87BB7"/>
    <w:rsid w:val="00B87BCC"/>
    <w:rsid w:val="00B87C72"/>
    <w:rsid w:val="00B87C83"/>
    <w:rsid w:val="00B87D3E"/>
    <w:rsid w:val="00B87DA6"/>
    <w:rsid w:val="00B87EDE"/>
    <w:rsid w:val="00B87F89"/>
    <w:rsid w:val="00B87FB6"/>
    <w:rsid w:val="00B87FC2"/>
    <w:rsid w:val="00B87FEA"/>
    <w:rsid w:val="00B9000F"/>
    <w:rsid w:val="00B90060"/>
    <w:rsid w:val="00B900AF"/>
    <w:rsid w:val="00B90151"/>
    <w:rsid w:val="00B90294"/>
    <w:rsid w:val="00B90379"/>
    <w:rsid w:val="00B904E6"/>
    <w:rsid w:val="00B90540"/>
    <w:rsid w:val="00B90551"/>
    <w:rsid w:val="00B905FF"/>
    <w:rsid w:val="00B90687"/>
    <w:rsid w:val="00B906A1"/>
    <w:rsid w:val="00B906BE"/>
    <w:rsid w:val="00B906D6"/>
    <w:rsid w:val="00B90718"/>
    <w:rsid w:val="00B9072A"/>
    <w:rsid w:val="00B90740"/>
    <w:rsid w:val="00B90800"/>
    <w:rsid w:val="00B9083C"/>
    <w:rsid w:val="00B908F7"/>
    <w:rsid w:val="00B90976"/>
    <w:rsid w:val="00B9099D"/>
    <w:rsid w:val="00B90A5D"/>
    <w:rsid w:val="00B90ABF"/>
    <w:rsid w:val="00B90BDE"/>
    <w:rsid w:val="00B90BF0"/>
    <w:rsid w:val="00B90CB1"/>
    <w:rsid w:val="00B90D8E"/>
    <w:rsid w:val="00B90DC7"/>
    <w:rsid w:val="00B90DD6"/>
    <w:rsid w:val="00B90E60"/>
    <w:rsid w:val="00B90E7C"/>
    <w:rsid w:val="00B90E8E"/>
    <w:rsid w:val="00B90F62"/>
    <w:rsid w:val="00B90F67"/>
    <w:rsid w:val="00B90FD3"/>
    <w:rsid w:val="00B91098"/>
    <w:rsid w:val="00B910A3"/>
    <w:rsid w:val="00B9117C"/>
    <w:rsid w:val="00B91257"/>
    <w:rsid w:val="00B9125F"/>
    <w:rsid w:val="00B916AC"/>
    <w:rsid w:val="00B9182F"/>
    <w:rsid w:val="00B91B63"/>
    <w:rsid w:val="00B91C90"/>
    <w:rsid w:val="00B91CCB"/>
    <w:rsid w:val="00B91CD8"/>
    <w:rsid w:val="00B91E6D"/>
    <w:rsid w:val="00B92001"/>
    <w:rsid w:val="00B920D3"/>
    <w:rsid w:val="00B921C1"/>
    <w:rsid w:val="00B92402"/>
    <w:rsid w:val="00B9249A"/>
    <w:rsid w:val="00B924F8"/>
    <w:rsid w:val="00B9252A"/>
    <w:rsid w:val="00B9259A"/>
    <w:rsid w:val="00B925CB"/>
    <w:rsid w:val="00B925E5"/>
    <w:rsid w:val="00B9263F"/>
    <w:rsid w:val="00B92691"/>
    <w:rsid w:val="00B92727"/>
    <w:rsid w:val="00B92A27"/>
    <w:rsid w:val="00B92A4E"/>
    <w:rsid w:val="00B92B58"/>
    <w:rsid w:val="00B92CEB"/>
    <w:rsid w:val="00B92D19"/>
    <w:rsid w:val="00B92D56"/>
    <w:rsid w:val="00B92DB7"/>
    <w:rsid w:val="00B92E10"/>
    <w:rsid w:val="00B92F23"/>
    <w:rsid w:val="00B93035"/>
    <w:rsid w:val="00B93066"/>
    <w:rsid w:val="00B93110"/>
    <w:rsid w:val="00B93156"/>
    <w:rsid w:val="00B93174"/>
    <w:rsid w:val="00B93205"/>
    <w:rsid w:val="00B9320C"/>
    <w:rsid w:val="00B93252"/>
    <w:rsid w:val="00B93296"/>
    <w:rsid w:val="00B9337F"/>
    <w:rsid w:val="00B93392"/>
    <w:rsid w:val="00B93438"/>
    <w:rsid w:val="00B9344A"/>
    <w:rsid w:val="00B9356C"/>
    <w:rsid w:val="00B9356D"/>
    <w:rsid w:val="00B935C9"/>
    <w:rsid w:val="00B93667"/>
    <w:rsid w:val="00B936A2"/>
    <w:rsid w:val="00B936CA"/>
    <w:rsid w:val="00B9379D"/>
    <w:rsid w:val="00B937A0"/>
    <w:rsid w:val="00B937B7"/>
    <w:rsid w:val="00B93804"/>
    <w:rsid w:val="00B93944"/>
    <w:rsid w:val="00B93A43"/>
    <w:rsid w:val="00B93A44"/>
    <w:rsid w:val="00B93AB5"/>
    <w:rsid w:val="00B93B11"/>
    <w:rsid w:val="00B93BD5"/>
    <w:rsid w:val="00B93C0C"/>
    <w:rsid w:val="00B93DE3"/>
    <w:rsid w:val="00B93DE4"/>
    <w:rsid w:val="00B93EF7"/>
    <w:rsid w:val="00B93F63"/>
    <w:rsid w:val="00B93F7E"/>
    <w:rsid w:val="00B93FFE"/>
    <w:rsid w:val="00B94029"/>
    <w:rsid w:val="00B94051"/>
    <w:rsid w:val="00B9408F"/>
    <w:rsid w:val="00B940A0"/>
    <w:rsid w:val="00B94156"/>
    <w:rsid w:val="00B94177"/>
    <w:rsid w:val="00B941AD"/>
    <w:rsid w:val="00B94353"/>
    <w:rsid w:val="00B9437C"/>
    <w:rsid w:val="00B943A9"/>
    <w:rsid w:val="00B94424"/>
    <w:rsid w:val="00B9447F"/>
    <w:rsid w:val="00B94512"/>
    <w:rsid w:val="00B94601"/>
    <w:rsid w:val="00B946A1"/>
    <w:rsid w:val="00B9472A"/>
    <w:rsid w:val="00B947C4"/>
    <w:rsid w:val="00B9485E"/>
    <w:rsid w:val="00B948CA"/>
    <w:rsid w:val="00B9494A"/>
    <w:rsid w:val="00B949AD"/>
    <w:rsid w:val="00B94CEE"/>
    <w:rsid w:val="00B94D02"/>
    <w:rsid w:val="00B94D0E"/>
    <w:rsid w:val="00B94D58"/>
    <w:rsid w:val="00B94E7E"/>
    <w:rsid w:val="00B94E7F"/>
    <w:rsid w:val="00B94F45"/>
    <w:rsid w:val="00B9505C"/>
    <w:rsid w:val="00B9510E"/>
    <w:rsid w:val="00B95197"/>
    <w:rsid w:val="00B951A2"/>
    <w:rsid w:val="00B952BA"/>
    <w:rsid w:val="00B9537C"/>
    <w:rsid w:val="00B9537D"/>
    <w:rsid w:val="00B953DF"/>
    <w:rsid w:val="00B95478"/>
    <w:rsid w:val="00B95536"/>
    <w:rsid w:val="00B9554D"/>
    <w:rsid w:val="00B9563B"/>
    <w:rsid w:val="00B956F5"/>
    <w:rsid w:val="00B95844"/>
    <w:rsid w:val="00B95865"/>
    <w:rsid w:val="00B9588C"/>
    <w:rsid w:val="00B958E2"/>
    <w:rsid w:val="00B9595C"/>
    <w:rsid w:val="00B959E4"/>
    <w:rsid w:val="00B95A4B"/>
    <w:rsid w:val="00B95A9F"/>
    <w:rsid w:val="00B95B7D"/>
    <w:rsid w:val="00B95C9A"/>
    <w:rsid w:val="00B95D35"/>
    <w:rsid w:val="00B95D5C"/>
    <w:rsid w:val="00B95DD1"/>
    <w:rsid w:val="00B95EE3"/>
    <w:rsid w:val="00B95F16"/>
    <w:rsid w:val="00B95FF1"/>
    <w:rsid w:val="00B960BE"/>
    <w:rsid w:val="00B96141"/>
    <w:rsid w:val="00B9617D"/>
    <w:rsid w:val="00B96192"/>
    <w:rsid w:val="00B96226"/>
    <w:rsid w:val="00B96279"/>
    <w:rsid w:val="00B96349"/>
    <w:rsid w:val="00B96370"/>
    <w:rsid w:val="00B9639A"/>
    <w:rsid w:val="00B96406"/>
    <w:rsid w:val="00B96445"/>
    <w:rsid w:val="00B9659A"/>
    <w:rsid w:val="00B965EF"/>
    <w:rsid w:val="00B967B6"/>
    <w:rsid w:val="00B9681C"/>
    <w:rsid w:val="00B96884"/>
    <w:rsid w:val="00B968AC"/>
    <w:rsid w:val="00B968C9"/>
    <w:rsid w:val="00B96904"/>
    <w:rsid w:val="00B969CC"/>
    <w:rsid w:val="00B969EA"/>
    <w:rsid w:val="00B96A94"/>
    <w:rsid w:val="00B96AE2"/>
    <w:rsid w:val="00B96AEF"/>
    <w:rsid w:val="00B96B91"/>
    <w:rsid w:val="00B96BFF"/>
    <w:rsid w:val="00B96C4D"/>
    <w:rsid w:val="00B96CE0"/>
    <w:rsid w:val="00B96D93"/>
    <w:rsid w:val="00B96E25"/>
    <w:rsid w:val="00B96E26"/>
    <w:rsid w:val="00B96F32"/>
    <w:rsid w:val="00B9708F"/>
    <w:rsid w:val="00B9709A"/>
    <w:rsid w:val="00B970C5"/>
    <w:rsid w:val="00B972F0"/>
    <w:rsid w:val="00B9733F"/>
    <w:rsid w:val="00B97343"/>
    <w:rsid w:val="00B9735D"/>
    <w:rsid w:val="00B97386"/>
    <w:rsid w:val="00B97451"/>
    <w:rsid w:val="00B97494"/>
    <w:rsid w:val="00B9749E"/>
    <w:rsid w:val="00B97515"/>
    <w:rsid w:val="00B9752E"/>
    <w:rsid w:val="00B9754D"/>
    <w:rsid w:val="00B9755B"/>
    <w:rsid w:val="00B9759F"/>
    <w:rsid w:val="00B976B0"/>
    <w:rsid w:val="00B976C5"/>
    <w:rsid w:val="00B976CA"/>
    <w:rsid w:val="00B9771D"/>
    <w:rsid w:val="00B97764"/>
    <w:rsid w:val="00B97769"/>
    <w:rsid w:val="00B977BF"/>
    <w:rsid w:val="00B97859"/>
    <w:rsid w:val="00B97872"/>
    <w:rsid w:val="00B97B0A"/>
    <w:rsid w:val="00B97B8F"/>
    <w:rsid w:val="00B97C85"/>
    <w:rsid w:val="00B97CF2"/>
    <w:rsid w:val="00B97E61"/>
    <w:rsid w:val="00B97EAE"/>
    <w:rsid w:val="00B97F2F"/>
    <w:rsid w:val="00B97F35"/>
    <w:rsid w:val="00B97F36"/>
    <w:rsid w:val="00B97FDC"/>
    <w:rsid w:val="00B97FFC"/>
    <w:rsid w:val="00BA003F"/>
    <w:rsid w:val="00BA00C9"/>
    <w:rsid w:val="00BA0141"/>
    <w:rsid w:val="00BA01C6"/>
    <w:rsid w:val="00BA02D7"/>
    <w:rsid w:val="00BA0364"/>
    <w:rsid w:val="00BA03D5"/>
    <w:rsid w:val="00BA0538"/>
    <w:rsid w:val="00BA0551"/>
    <w:rsid w:val="00BA059E"/>
    <w:rsid w:val="00BA06A6"/>
    <w:rsid w:val="00BA07C1"/>
    <w:rsid w:val="00BA07D3"/>
    <w:rsid w:val="00BA0AB4"/>
    <w:rsid w:val="00BA0ABC"/>
    <w:rsid w:val="00BA0AC5"/>
    <w:rsid w:val="00BA0B07"/>
    <w:rsid w:val="00BA0B1A"/>
    <w:rsid w:val="00BA0BE0"/>
    <w:rsid w:val="00BA0F4D"/>
    <w:rsid w:val="00BA1026"/>
    <w:rsid w:val="00BA10FA"/>
    <w:rsid w:val="00BA1123"/>
    <w:rsid w:val="00BA11A3"/>
    <w:rsid w:val="00BA11A7"/>
    <w:rsid w:val="00BA11C2"/>
    <w:rsid w:val="00BA11D8"/>
    <w:rsid w:val="00BA1226"/>
    <w:rsid w:val="00BA122D"/>
    <w:rsid w:val="00BA1259"/>
    <w:rsid w:val="00BA1331"/>
    <w:rsid w:val="00BA14BC"/>
    <w:rsid w:val="00BA1542"/>
    <w:rsid w:val="00BA1579"/>
    <w:rsid w:val="00BA15D2"/>
    <w:rsid w:val="00BA16EF"/>
    <w:rsid w:val="00BA17B0"/>
    <w:rsid w:val="00BA184B"/>
    <w:rsid w:val="00BA1921"/>
    <w:rsid w:val="00BA199A"/>
    <w:rsid w:val="00BA19D8"/>
    <w:rsid w:val="00BA1BE2"/>
    <w:rsid w:val="00BA1C0F"/>
    <w:rsid w:val="00BA1DA2"/>
    <w:rsid w:val="00BA1ED7"/>
    <w:rsid w:val="00BA1EDF"/>
    <w:rsid w:val="00BA1F2B"/>
    <w:rsid w:val="00BA1FF9"/>
    <w:rsid w:val="00BA2006"/>
    <w:rsid w:val="00BA2009"/>
    <w:rsid w:val="00BA200A"/>
    <w:rsid w:val="00BA2022"/>
    <w:rsid w:val="00BA2075"/>
    <w:rsid w:val="00BA20EF"/>
    <w:rsid w:val="00BA2120"/>
    <w:rsid w:val="00BA2313"/>
    <w:rsid w:val="00BA231D"/>
    <w:rsid w:val="00BA23DC"/>
    <w:rsid w:val="00BA247E"/>
    <w:rsid w:val="00BA253F"/>
    <w:rsid w:val="00BA26DF"/>
    <w:rsid w:val="00BA2726"/>
    <w:rsid w:val="00BA2799"/>
    <w:rsid w:val="00BA27E3"/>
    <w:rsid w:val="00BA27F7"/>
    <w:rsid w:val="00BA28E8"/>
    <w:rsid w:val="00BA291E"/>
    <w:rsid w:val="00BA29AC"/>
    <w:rsid w:val="00BA2AC8"/>
    <w:rsid w:val="00BA2B29"/>
    <w:rsid w:val="00BA2B96"/>
    <w:rsid w:val="00BA2BA5"/>
    <w:rsid w:val="00BA2C21"/>
    <w:rsid w:val="00BA2C58"/>
    <w:rsid w:val="00BA2C91"/>
    <w:rsid w:val="00BA2D65"/>
    <w:rsid w:val="00BA2E18"/>
    <w:rsid w:val="00BA2E70"/>
    <w:rsid w:val="00BA2F33"/>
    <w:rsid w:val="00BA3005"/>
    <w:rsid w:val="00BA3260"/>
    <w:rsid w:val="00BA3296"/>
    <w:rsid w:val="00BA32FC"/>
    <w:rsid w:val="00BA335B"/>
    <w:rsid w:val="00BA340E"/>
    <w:rsid w:val="00BA344F"/>
    <w:rsid w:val="00BA3564"/>
    <w:rsid w:val="00BA3622"/>
    <w:rsid w:val="00BA3703"/>
    <w:rsid w:val="00BA373E"/>
    <w:rsid w:val="00BA3778"/>
    <w:rsid w:val="00BA38FF"/>
    <w:rsid w:val="00BA3A81"/>
    <w:rsid w:val="00BA3A92"/>
    <w:rsid w:val="00BA3B1C"/>
    <w:rsid w:val="00BA3BC8"/>
    <w:rsid w:val="00BA3C68"/>
    <w:rsid w:val="00BA3DB5"/>
    <w:rsid w:val="00BA3E12"/>
    <w:rsid w:val="00BA3E77"/>
    <w:rsid w:val="00BA3F02"/>
    <w:rsid w:val="00BA3F7D"/>
    <w:rsid w:val="00BA4140"/>
    <w:rsid w:val="00BA4168"/>
    <w:rsid w:val="00BA41DC"/>
    <w:rsid w:val="00BA41E0"/>
    <w:rsid w:val="00BA422A"/>
    <w:rsid w:val="00BA4250"/>
    <w:rsid w:val="00BA42A2"/>
    <w:rsid w:val="00BA42FB"/>
    <w:rsid w:val="00BA43EE"/>
    <w:rsid w:val="00BA445B"/>
    <w:rsid w:val="00BA44FC"/>
    <w:rsid w:val="00BA4537"/>
    <w:rsid w:val="00BA456D"/>
    <w:rsid w:val="00BA456F"/>
    <w:rsid w:val="00BA457E"/>
    <w:rsid w:val="00BA45C5"/>
    <w:rsid w:val="00BA4713"/>
    <w:rsid w:val="00BA477E"/>
    <w:rsid w:val="00BA479F"/>
    <w:rsid w:val="00BA48F7"/>
    <w:rsid w:val="00BA493D"/>
    <w:rsid w:val="00BA4A1F"/>
    <w:rsid w:val="00BA4A23"/>
    <w:rsid w:val="00BA4A96"/>
    <w:rsid w:val="00BA4A9C"/>
    <w:rsid w:val="00BA4B43"/>
    <w:rsid w:val="00BA4BD8"/>
    <w:rsid w:val="00BA4BE1"/>
    <w:rsid w:val="00BA4C29"/>
    <w:rsid w:val="00BA4C35"/>
    <w:rsid w:val="00BA4C43"/>
    <w:rsid w:val="00BA4C65"/>
    <w:rsid w:val="00BA4CBA"/>
    <w:rsid w:val="00BA4CDC"/>
    <w:rsid w:val="00BA4D0B"/>
    <w:rsid w:val="00BA4E42"/>
    <w:rsid w:val="00BA4EEE"/>
    <w:rsid w:val="00BA4EFC"/>
    <w:rsid w:val="00BA4FB4"/>
    <w:rsid w:val="00BA5044"/>
    <w:rsid w:val="00BA50AA"/>
    <w:rsid w:val="00BA50EE"/>
    <w:rsid w:val="00BA517E"/>
    <w:rsid w:val="00BA523C"/>
    <w:rsid w:val="00BA52BA"/>
    <w:rsid w:val="00BA53E6"/>
    <w:rsid w:val="00BA54A6"/>
    <w:rsid w:val="00BA56E1"/>
    <w:rsid w:val="00BA5890"/>
    <w:rsid w:val="00BA58AC"/>
    <w:rsid w:val="00BA59CE"/>
    <w:rsid w:val="00BA5A6E"/>
    <w:rsid w:val="00BA5AF4"/>
    <w:rsid w:val="00BA5AF9"/>
    <w:rsid w:val="00BA5C6A"/>
    <w:rsid w:val="00BA5CDB"/>
    <w:rsid w:val="00BA5DDE"/>
    <w:rsid w:val="00BA5E1C"/>
    <w:rsid w:val="00BA6145"/>
    <w:rsid w:val="00BA6160"/>
    <w:rsid w:val="00BA61BC"/>
    <w:rsid w:val="00BA626C"/>
    <w:rsid w:val="00BA649B"/>
    <w:rsid w:val="00BA64C4"/>
    <w:rsid w:val="00BA6503"/>
    <w:rsid w:val="00BA65A2"/>
    <w:rsid w:val="00BA65E8"/>
    <w:rsid w:val="00BA676F"/>
    <w:rsid w:val="00BA6799"/>
    <w:rsid w:val="00BA684B"/>
    <w:rsid w:val="00BA68EA"/>
    <w:rsid w:val="00BA693A"/>
    <w:rsid w:val="00BA697D"/>
    <w:rsid w:val="00BA69E5"/>
    <w:rsid w:val="00BA6A46"/>
    <w:rsid w:val="00BA6A80"/>
    <w:rsid w:val="00BA6B54"/>
    <w:rsid w:val="00BA6C35"/>
    <w:rsid w:val="00BA6DA9"/>
    <w:rsid w:val="00BA6F67"/>
    <w:rsid w:val="00BA6FE9"/>
    <w:rsid w:val="00BA7010"/>
    <w:rsid w:val="00BA7166"/>
    <w:rsid w:val="00BA7352"/>
    <w:rsid w:val="00BA73B7"/>
    <w:rsid w:val="00BA73C5"/>
    <w:rsid w:val="00BA74B7"/>
    <w:rsid w:val="00BA74CD"/>
    <w:rsid w:val="00BA74F7"/>
    <w:rsid w:val="00BA7512"/>
    <w:rsid w:val="00BA7649"/>
    <w:rsid w:val="00BA7703"/>
    <w:rsid w:val="00BA77BE"/>
    <w:rsid w:val="00BA78B7"/>
    <w:rsid w:val="00BA7921"/>
    <w:rsid w:val="00BA79B8"/>
    <w:rsid w:val="00BA79BC"/>
    <w:rsid w:val="00BA7A3C"/>
    <w:rsid w:val="00BA7C0A"/>
    <w:rsid w:val="00BA7C82"/>
    <w:rsid w:val="00BA7D3C"/>
    <w:rsid w:val="00BA7E8D"/>
    <w:rsid w:val="00BA7EA1"/>
    <w:rsid w:val="00BA7FC7"/>
    <w:rsid w:val="00BA7FFA"/>
    <w:rsid w:val="00BB0007"/>
    <w:rsid w:val="00BB007D"/>
    <w:rsid w:val="00BB013E"/>
    <w:rsid w:val="00BB0163"/>
    <w:rsid w:val="00BB01AA"/>
    <w:rsid w:val="00BB01CD"/>
    <w:rsid w:val="00BB0233"/>
    <w:rsid w:val="00BB0298"/>
    <w:rsid w:val="00BB02A4"/>
    <w:rsid w:val="00BB02B8"/>
    <w:rsid w:val="00BB02BB"/>
    <w:rsid w:val="00BB02EB"/>
    <w:rsid w:val="00BB0342"/>
    <w:rsid w:val="00BB0343"/>
    <w:rsid w:val="00BB0401"/>
    <w:rsid w:val="00BB0464"/>
    <w:rsid w:val="00BB04E1"/>
    <w:rsid w:val="00BB0508"/>
    <w:rsid w:val="00BB051F"/>
    <w:rsid w:val="00BB062D"/>
    <w:rsid w:val="00BB0633"/>
    <w:rsid w:val="00BB0848"/>
    <w:rsid w:val="00BB08AB"/>
    <w:rsid w:val="00BB08B6"/>
    <w:rsid w:val="00BB08D7"/>
    <w:rsid w:val="00BB0936"/>
    <w:rsid w:val="00BB0A42"/>
    <w:rsid w:val="00BB0A4D"/>
    <w:rsid w:val="00BB0B98"/>
    <w:rsid w:val="00BB0C0B"/>
    <w:rsid w:val="00BB0C6B"/>
    <w:rsid w:val="00BB0C87"/>
    <w:rsid w:val="00BB0C96"/>
    <w:rsid w:val="00BB0CA8"/>
    <w:rsid w:val="00BB0CDF"/>
    <w:rsid w:val="00BB0E50"/>
    <w:rsid w:val="00BB0E92"/>
    <w:rsid w:val="00BB0E95"/>
    <w:rsid w:val="00BB0E9A"/>
    <w:rsid w:val="00BB0EA4"/>
    <w:rsid w:val="00BB0EAF"/>
    <w:rsid w:val="00BB0F3A"/>
    <w:rsid w:val="00BB1147"/>
    <w:rsid w:val="00BB1185"/>
    <w:rsid w:val="00BB123B"/>
    <w:rsid w:val="00BB1273"/>
    <w:rsid w:val="00BB12F2"/>
    <w:rsid w:val="00BB136D"/>
    <w:rsid w:val="00BB1399"/>
    <w:rsid w:val="00BB141D"/>
    <w:rsid w:val="00BB1426"/>
    <w:rsid w:val="00BB153C"/>
    <w:rsid w:val="00BB15B4"/>
    <w:rsid w:val="00BB15B5"/>
    <w:rsid w:val="00BB15E4"/>
    <w:rsid w:val="00BB1604"/>
    <w:rsid w:val="00BB1605"/>
    <w:rsid w:val="00BB16BF"/>
    <w:rsid w:val="00BB180C"/>
    <w:rsid w:val="00BB181A"/>
    <w:rsid w:val="00BB186D"/>
    <w:rsid w:val="00BB18A6"/>
    <w:rsid w:val="00BB1971"/>
    <w:rsid w:val="00BB19B1"/>
    <w:rsid w:val="00BB1A05"/>
    <w:rsid w:val="00BB1A4D"/>
    <w:rsid w:val="00BB1A4E"/>
    <w:rsid w:val="00BB1AF7"/>
    <w:rsid w:val="00BB1B34"/>
    <w:rsid w:val="00BB1B44"/>
    <w:rsid w:val="00BB1C56"/>
    <w:rsid w:val="00BB1DD2"/>
    <w:rsid w:val="00BB1E43"/>
    <w:rsid w:val="00BB1E83"/>
    <w:rsid w:val="00BB1EEA"/>
    <w:rsid w:val="00BB1F34"/>
    <w:rsid w:val="00BB1F77"/>
    <w:rsid w:val="00BB1FB5"/>
    <w:rsid w:val="00BB1FB8"/>
    <w:rsid w:val="00BB212A"/>
    <w:rsid w:val="00BB21B6"/>
    <w:rsid w:val="00BB21E1"/>
    <w:rsid w:val="00BB2280"/>
    <w:rsid w:val="00BB22F0"/>
    <w:rsid w:val="00BB236D"/>
    <w:rsid w:val="00BB2371"/>
    <w:rsid w:val="00BB23FD"/>
    <w:rsid w:val="00BB2404"/>
    <w:rsid w:val="00BB2501"/>
    <w:rsid w:val="00BB25DA"/>
    <w:rsid w:val="00BB26F7"/>
    <w:rsid w:val="00BB27A0"/>
    <w:rsid w:val="00BB28AF"/>
    <w:rsid w:val="00BB28D5"/>
    <w:rsid w:val="00BB2980"/>
    <w:rsid w:val="00BB2991"/>
    <w:rsid w:val="00BB2B00"/>
    <w:rsid w:val="00BB2D62"/>
    <w:rsid w:val="00BB2D8C"/>
    <w:rsid w:val="00BB2E20"/>
    <w:rsid w:val="00BB2E8E"/>
    <w:rsid w:val="00BB323B"/>
    <w:rsid w:val="00BB325C"/>
    <w:rsid w:val="00BB328E"/>
    <w:rsid w:val="00BB32F4"/>
    <w:rsid w:val="00BB3318"/>
    <w:rsid w:val="00BB3396"/>
    <w:rsid w:val="00BB34EE"/>
    <w:rsid w:val="00BB3594"/>
    <w:rsid w:val="00BB361E"/>
    <w:rsid w:val="00BB36D1"/>
    <w:rsid w:val="00BB378C"/>
    <w:rsid w:val="00BB37EB"/>
    <w:rsid w:val="00BB37F0"/>
    <w:rsid w:val="00BB381E"/>
    <w:rsid w:val="00BB383A"/>
    <w:rsid w:val="00BB3A1C"/>
    <w:rsid w:val="00BB3A47"/>
    <w:rsid w:val="00BB3A93"/>
    <w:rsid w:val="00BB3AB6"/>
    <w:rsid w:val="00BB3B2A"/>
    <w:rsid w:val="00BB3B2F"/>
    <w:rsid w:val="00BB3D05"/>
    <w:rsid w:val="00BB3D6E"/>
    <w:rsid w:val="00BB3DC4"/>
    <w:rsid w:val="00BB3E7B"/>
    <w:rsid w:val="00BB3EE6"/>
    <w:rsid w:val="00BB4133"/>
    <w:rsid w:val="00BB41D2"/>
    <w:rsid w:val="00BB420A"/>
    <w:rsid w:val="00BB4287"/>
    <w:rsid w:val="00BB428B"/>
    <w:rsid w:val="00BB4325"/>
    <w:rsid w:val="00BB4370"/>
    <w:rsid w:val="00BB43CE"/>
    <w:rsid w:val="00BB446A"/>
    <w:rsid w:val="00BB44A2"/>
    <w:rsid w:val="00BB4789"/>
    <w:rsid w:val="00BB4798"/>
    <w:rsid w:val="00BB483C"/>
    <w:rsid w:val="00BB4882"/>
    <w:rsid w:val="00BB4931"/>
    <w:rsid w:val="00BB493F"/>
    <w:rsid w:val="00BB4943"/>
    <w:rsid w:val="00BB4953"/>
    <w:rsid w:val="00BB4988"/>
    <w:rsid w:val="00BB4ACE"/>
    <w:rsid w:val="00BB4AE2"/>
    <w:rsid w:val="00BB4BB3"/>
    <w:rsid w:val="00BB4D13"/>
    <w:rsid w:val="00BB4D18"/>
    <w:rsid w:val="00BB4DB0"/>
    <w:rsid w:val="00BB4E51"/>
    <w:rsid w:val="00BB4ECF"/>
    <w:rsid w:val="00BB5040"/>
    <w:rsid w:val="00BB5165"/>
    <w:rsid w:val="00BB5246"/>
    <w:rsid w:val="00BB5272"/>
    <w:rsid w:val="00BB5292"/>
    <w:rsid w:val="00BB53C1"/>
    <w:rsid w:val="00BB5440"/>
    <w:rsid w:val="00BB545F"/>
    <w:rsid w:val="00BB546D"/>
    <w:rsid w:val="00BB57C7"/>
    <w:rsid w:val="00BB57EF"/>
    <w:rsid w:val="00BB581B"/>
    <w:rsid w:val="00BB5877"/>
    <w:rsid w:val="00BB5939"/>
    <w:rsid w:val="00BB5A05"/>
    <w:rsid w:val="00BB5A15"/>
    <w:rsid w:val="00BB5A4F"/>
    <w:rsid w:val="00BB5AE6"/>
    <w:rsid w:val="00BB5B04"/>
    <w:rsid w:val="00BB5B40"/>
    <w:rsid w:val="00BB5C0B"/>
    <w:rsid w:val="00BB5C1D"/>
    <w:rsid w:val="00BB5D71"/>
    <w:rsid w:val="00BB5D93"/>
    <w:rsid w:val="00BB5E52"/>
    <w:rsid w:val="00BB5E9B"/>
    <w:rsid w:val="00BB5EBA"/>
    <w:rsid w:val="00BB5F39"/>
    <w:rsid w:val="00BB5F58"/>
    <w:rsid w:val="00BB6015"/>
    <w:rsid w:val="00BB6021"/>
    <w:rsid w:val="00BB6040"/>
    <w:rsid w:val="00BB6092"/>
    <w:rsid w:val="00BB60F2"/>
    <w:rsid w:val="00BB627B"/>
    <w:rsid w:val="00BB62D4"/>
    <w:rsid w:val="00BB62DC"/>
    <w:rsid w:val="00BB636F"/>
    <w:rsid w:val="00BB641A"/>
    <w:rsid w:val="00BB6422"/>
    <w:rsid w:val="00BB6671"/>
    <w:rsid w:val="00BB66AD"/>
    <w:rsid w:val="00BB66FE"/>
    <w:rsid w:val="00BB682C"/>
    <w:rsid w:val="00BB687D"/>
    <w:rsid w:val="00BB6893"/>
    <w:rsid w:val="00BB69EE"/>
    <w:rsid w:val="00BB6C6F"/>
    <w:rsid w:val="00BB6CEF"/>
    <w:rsid w:val="00BB6D1B"/>
    <w:rsid w:val="00BB6F20"/>
    <w:rsid w:val="00BB6F47"/>
    <w:rsid w:val="00BB70C5"/>
    <w:rsid w:val="00BB70EB"/>
    <w:rsid w:val="00BB7142"/>
    <w:rsid w:val="00BB7187"/>
    <w:rsid w:val="00BB72DE"/>
    <w:rsid w:val="00BB7348"/>
    <w:rsid w:val="00BB73B2"/>
    <w:rsid w:val="00BB73CB"/>
    <w:rsid w:val="00BB7408"/>
    <w:rsid w:val="00BB7572"/>
    <w:rsid w:val="00BB7585"/>
    <w:rsid w:val="00BB761C"/>
    <w:rsid w:val="00BB7627"/>
    <w:rsid w:val="00BB767E"/>
    <w:rsid w:val="00BB76FE"/>
    <w:rsid w:val="00BB780B"/>
    <w:rsid w:val="00BB782A"/>
    <w:rsid w:val="00BB7850"/>
    <w:rsid w:val="00BB7856"/>
    <w:rsid w:val="00BB78A2"/>
    <w:rsid w:val="00BB78D6"/>
    <w:rsid w:val="00BB7AF7"/>
    <w:rsid w:val="00BB7B46"/>
    <w:rsid w:val="00BB7B86"/>
    <w:rsid w:val="00BB7B90"/>
    <w:rsid w:val="00BB7C23"/>
    <w:rsid w:val="00BB7CA1"/>
    <w:rsid w:val="00BB7E96"/>
    <w:rsid w:val="00BB7FF3"/>
    <w:rsid w:val="00BC0044"/>
    <w:rsid w:val="00BC02D5"/>
    <w:rsid w:val="00BC0353"/>
    <w:rsid w:val="00BC03D8"/>
    <w:rsid w:val="00BC03E6"/>
    <w:rsid w:val="00BC046C"/>
    <w:rsid w:val="00BC0495"/>
    <w:rsid w:val="00BC0580"/>
    <w:rsid w:val="00BC05EB"/>
    <w:rsid w:val="00BC078C"/>
    <w:rsid w:val="00BC0805"/>
    <w:rsid w:val="00BC089E"/>
    <w:rsid w:val="00BC08E3"/>
    <w:rsid w:val="00BC0935"/>
    <w:rsid w:val="00BC0A8C"/>
    <w:rsid w:val="00BC0BCA"/>
    <w:rsid w:val="00BC0BCC"/>
    <w:rsid w:val="00BC0C1A"/>
    <w:rsid w:val="00BC0C4E"/>
    <w:rsid w:val="00BC0D2A"/>
    <w:rsid w:val="00BC0DA3"/>
    <w:rsid w:val="00BC0DAB"/>
    <w:rsid w:val="00BC0DBE"/>
    <w:rsid w:val="00BC0E76"/>
    <w:rsid w:val="00BC0EF1"/>
    <w:rsid w:val="00BC0F8F"/>
    <w:rsid w:val="00BC114A"/>
    <w:rsid w:val="00BC115C"/>
    <w:rsid w:val="00BC1212"/>
    <w:rsid w:val="00BC1266"/>
    <w:rsid w:val="00BC1298"/>
    <w:rsid w:val="00BC13B9"/>
    <w:rsid w:val="00BC13CD"/>
    <w:rsid w:val="00BC1507"/>
    <w:rsid w:val="00BC154A"/>
    <w:rsid w:val="00BC1577"/>
    <w:rsid w:val="00BC15B8"/>
    <w:rsid w:val="00BC15E7"/>
    <w:rsid w:val="00BC1602"/>
    <w:rsid w:val="00BC1616"/>
    <w:rsid w:val="00BC1692"/>
    <w:rsid w:val="00BC188F"/>
    <w:rsid w:val="00BC18F2"/>
    <w:rsid w:val="00BC1975"/>
    <w:rsid w:val="00BC1A2D"/>
    <w:rsid w:val="00BC1A32"/>
    <w:rsid w:val="00BC1B4E"/>
    <w:rsid w:val="00BC1C14"/>
    <w:rsid w:val="00BC1C5A"/>
    <w:rsid w:val="00BC1CBE"/>
    <w:rsid w:val="00BC1D80"/>
    <w:rsid w:val="00BC1E65"/>
    <w:rsid w:val="00BC1F66"/>
    <w:rsid w:val="00BC20EF"/>
    <w:rsid w:val="00BC22E3"/>
    <w:rsid w:val="00BC2590"/>
    <w:rsid w:val="00BC2663"/>
    <w:rsid w:val="00BC26C0"/>
    <w:rsid w:val="00BC273B"/>
    <w:rsid w:val="00BC273E"/>
    <w:rsid w:val="00BC27CE"/>
    <w:rsid w:val="00BC28B6"/>
    <w:rsid w:val="00BC2A1C"/>
    <w:rsid w:val="00BC2A21"/>
    <w:rsid w:val="00BC2A4B"/>
    <w:rsid w:val="00BC2AC4"/>
    <w:rsid w:val="00BC2B1D"/>
    <w:rsid w:val="00BC2B1F"/>
    <w:rsid w:val="00BC2C65"/>
    <w:rsid w:val="00BC2C6E"/>
    <w:rsid w:val="00BC2D31"/>
    <w:rsid w:val="00BC2DA9"/>
    <w:rsid w:val="00BC2DDB"/>
    <w:rsid w:val="00BC2DF0"/>
    <w:rsid w:val="00BC2E0B"/>
    <w:rsid w:val="00BC2E76"/>
    <w:rsid w:val="00BC2EC5"/>
    <w:rsid w:val="00BC2EE8"/>
    <w:rsid w:val="00BC302B"/>
    <w:rsid w:val="00BC31B4"/>
    <w:rsid w:val="00BC3344"/>
    <w:rsid w:val="00BC33F2"/>
    <w:rsid w:val="00BC3452"/>
    <w:rsid w:val="00BC3477"/>
    <w:rsid w:val="00BC352A"/>
    <w:rsid w:val="00BC35FF"/>
    <w:rsid w:val="00BC3603"/>
    <w:rsid w:val="00BC36CE"/>
    <w:rsid w:val="00BC36F1"/>
    <w:rsid w:val="00BC3850"/>
    <w:rsid w:val="00BC38A0"/>
    <w:rsid w:val="00BC38BD"/>
    <w:rsid w:val="00BC39F2"/>
    <w:rsid w:val="00BC3A14"/>
    <w:rsid w:val="00BC3B0C"/>
    <w:rsid w:val="00BC3B64"/>
    <w:rsid w:val="00BC3E13"/>
    <w:rsid w:val="00BC3EA7"/>
    <w:rsid w:val="00BC3F24"/>
    <w:rsid w:val="00BC3F4F"/>
    <w:rsid w:val="00BC40C2"/>
    <w:rsid w:val="00BC41FF"/>
    <w:rsid w:val="00BC424F"/>
    <w:rsid w:val="00BC4361"/>
    <w:rsid w:val="00BC43DF"/>
    <w:rsid w:val="00BC445E"/>
    <w:rsid w:val="00BC4487"/>
    <w:rsid w:val="00BC44DF"/>
    <w:rsid w:val="00BC44E2"/>
    <w:rsid w:val="00BC45B3"/>
    <w:rsid w:val="00BC462F"/>
    <w:rsid w:val="00BC4642"/>
    <w:rsid w:val="00BC464D"/>
    <w:rsid w:val="00BC4669"/>
    <w:rsid w:val="00BC46BB"/>
    <w:rsid w:val="00BC4705"/>
    <w:rsid w:val="00BC470C"/>
    <w:rsid w:val="00BC47F1"/>
    <w:rsid w:val="00BC4859"/>
    <w:rsid w:val="00BC4924"/>
    <w:rsid w:val="00BC4926"/>
    <w:rsid w:val="00BC4931"/>
    <w:rsid w:val="00BC4947"/>
    <w:rsid w:val="00BC49EF"/>
    <w:rsid w:val="00BC4A43"/>
    <w:rsid w:val="00BC4A7F"/>
    <w:rsid w:val="00BC4A8F"/>
    <w:rsid w:val="00BC4ABF"/>
    <w:rsid w:val="00BC4AC5"/>
    <w:rsid w:val="00BC4CB2"/>
    <w:rsid w:val="00BC4D41"/>
    <w:rsid w:val="00BC4D58"/>
    <w:rsid w:val="00BC4D89"/>
    <w:rsid w:val="00BC4E98"/>
    <w:rsid w:val="00BC4EF9"/>
    <w:rsid w:val="00BC4FE9"/>
    <w:rsid w:val="00BC5023"/>
    <w:rsid w:val="00BC50D0"/>
    <w:rsid w:val="00BC50F1"/>
    <w:rsid w:val="00BC512C"/>
    <w:rsid w:val="00BC512F"/>
    <w:rsid w:val="00BC51BF"/>
    <w:rsid w:val="00BC51FD"/>
    <w:rsid w:val="00BC531C"/>
    <w:rsid w:val="00BC53F5"/>
    <w:rsid w:val="00BC544B"/>
    <w:rsid w:val="00BC55AA"/>
    <w:rsid w:val="00BC58A4"/>
    <w:rsid w:val="00BC58E2"/>
    <w:rsid w:val="00BC5967"/>
    <w:rsid w:val="00BC59AD"/>
    <w:rsid w:val="00BC5B64"/>
    <w:rsid w:val="00BC5B73"/>
    <w:rsid w:val="00BC5BB3"/>
    <w:rsid w:val="00BC5BB6"/>
    <w:rsid w:val="00BC5BFF"/>
    <w:rsid w:val="00BC5C0C"/>
    <w:rsid w:val="00BC5DEA"/>
    <w:rsid w:val="00BC5EF5"/>
    <w:rsid w:val="00BC6056"/>
    <w:rsid w:val="00BC60ED"/>
    <w:rsid w:val="00BC622B"/>
    <w:rsid w:val="00BC631B"/>
    <w:rsid w:val="00BC63A1"/>
    <w:rsid w:val="00BC64B7"/>
    <w:rsid w:val="00BC6504"/>
    <w:rsid w:val="00BC6516"/>
    <w:rsid w:val="00BC6543"/>
    <w:rsid w:val="00BC6555"/>
    <w:rsid w:val="00BC6585"/>
    <w:rsid w:val="00BC65A5"/>
    <w:rsid w:val="00BC6613"/>
    <w:rsid w:val="00BC668A"/>
    <w:rsid w:val="00BC66B1"/>
    <w:rsid w:val="00BC66B3"/>
    <w:rsid w:val="00BC66C5"/>
    <w:rsid w:val="00BC6708"/>
    <w:rsid w:val="00BC689F"/>
    <w:rsid w:val="00BC68FF"/>
    <w:rsid w:val="00BC6B1C"/>
    <w:rsid w:val="00BC6C54"/>
    <w:rsid w:val="00BC6C73"/>
    <w:rsid w:val="00BC6E95"/>
    <w:rsid w:val="00BC6F99"/>
    <w:rsid w:val="00BC7235"/>
    <w:rsid w:val="00BC7255"/>
    <w:rsid w:val="00BC729C"/>
    <w:rsid w:val="00BC72A4"/>
    <w:rsid w:val="00BC72EB"/>
    <w:rsid w:val="00BC746F"/>
    <w:rsid w:val="00BC76D7"/>
    <w:rsid w:val="00BC77F7"/>
    <w:rsid w:val="00BC7873"/>
    <w:rsid w:val="00BC78E4"/>
    <w:rsid w:val="00BC78E8"/>
    <w:rsid w:val="00BC7949"/>
    <w:rsid w:val="00BC79B8"/>
    <w:rsid w:val="00BC7B92"/>
    <w:rsid w:val="00BC7BE8"/>
    <w:rsid w:val="00BC7CA1"/>
    <w:rsid w:val="00BC7CE8"/>
    <w:rsid w:val="00BC7D2D"/>
    <w:rsid w:val="00BC7D59"/>
    <w:rsid w:val="00BC7D98"/>
    <w:rsid w:val="00BC7E84"/>
    <w:rsid w:val="00BC7EBF"/>
    <w:rsid w:val="00BC7F42"/>
    <w:rsid w:val="00BD0012"/>
    <w:rsid w:val="00BD02B4"/>
    <w:rsid w:val="00BD0380"/>
    <w:rsid w:val="00BD03C7"/>
    <w:rsid w:val="00BD0465"/>
    <w:rsid w:val="00BD0547"/>
    <w:rsid w:val="00BD0640"/>
    <w:rsid w:val="00BD06D1"/>
    <w:rsid w:val="00BD06D8"/>
    <w:rsid w:val="00BD06EC"/>
    <w:rsid w:val="00BD0A09"/>
    <w:rsid w:val="00BD0AB6"/>
    <w:rsid w:val="00BD0B44"/>
    <w:rsid w:val="00BD0B5C"/>
    <w:rsid w:val="00BD0BA4"/>
    <w:rsid w:val="00BD0C04"/>
    <w:rsid w:val="00BD0C6D"/>
    <w:rsid w:val="00BD0CF9"/>
    <w:rsid w:val="00BD0DE6"/>
    <w:rsid w:val="00BD0E80"/>
    <w:rsid w:val="00BD0F7F"/>
    <w:rsid w:val="00BD0FBB"/>
    <w:rsid w:val="00BD1004"/>
    <w:rsid w:val="00BD101E"/>
    <w:rsid w:val="00BD10D4"/>
    <w:rsid w:val="00BD10E3"/>
    <w:rsid w:val="00BD11AB"/>
    <w:rsid w:val="00BD11E6"/>
    <w:rsid w:val="00BD1203"/>
    <w:rsid w:val="00BD1275"/>
    <w:rsid w:val="00BD12BF"/>
    <w:rsid w:val="00BD1309"/>
    <w:rsid w:val="00BD137F"/>
    <w:rsid w:val="00BD1448"/>
    <w:rsid w:val="00BD1552"/>
    <w:rsid w:val="00BD163D"/>
    <w:rsid w:val="00BD1713"/>
    <w:rsid w:val="00BD1728"/>
    <w:rsid w:val="00BD19A0"/>
    <w:rsid w:val="00BD1A0E"/>
    <w:rsid w:val="00BD1AB4"/>
    <w:rsid w:val="00BD1AF0"/>
    <w:rsid w:val="00BD1AFC"/>
    <w:rsid w:val="00BD1BE0"/>
    <w:rsid w:val="00BD1C18"/>
    <w:rsid w:val="00BD1C5F"/>
    <w:rsid w:val="00BD1C99"/>
    <w:rsid w:val="00BD1D89"/>
    <w:rsid w:val="00BD1E4F"/>
    <w:rsid w:val="00BD1EC5"/>
    <w:rsid w:val="00BD1F58"/>
    <w:rsid w:val="00BD2016"/>
    <w:rsid w:val="00BD2072"/>
    <w:rsid w:val="00BD20B5"/>
    <w:rsid w:val="00BD20DA"/>
    <w:rsid w:val="00BD20ED"/>
    <w:rsid w:val="00BD2165"/>
    <w:rsid w:val="00BD2223"/>
    <w:rsid w:val="00BD2384"/>
    <w:rsid w:val="00BD2573"/>
    <w:rsid w:val="00BD2793"/>
    <w:rsid w:val="00BD27B7"/>
    <w:rsid w:val="00BD2871"/>
    <w:rsid w:val="00BD29F1"/>
    <w:rsid w:val="00BD2A04"/>
    <w:rsid w:val="00BD2A33"/>
    <w:rsid w:val="00BD2A6A"/>
    <w:rsid w:val="00BD2BF4"/>
    <w:rsid w:val="00BD2C06"/>
    <w:rsid w:val="00BD2CBC"/>
    <w:rsid w:val="00BD2E12"/>
    <w:rsid w:val="00BD2E39"/>
    <w:rsid w:val="00BD2F42"/>
    <w:rsid w:val="00BD2F96"/>
    <w:rsid w:val="00BD2FC8"/>
    <w:rsid w:val="00BD3176"/>
    <w:rsid w:val="00BD31CF"/>
    <w:rsid w:val="00BD32AF"/>
    <w:rsid w:val="00BD3321"/>
    <w:rsid w:val="00BD348D"/>
    <w:rsid w:val="00BD357C"/>
    <w:rsid w:val="00BD35AB"/>
    <w:rsid w:val="00BD367C"/>
    <w:rsid w:val="00BD36DB"/>
    <w:rsid w:val="00BD36DE"/>
    <w:rsid w:val="00BD375A"/>
    <w:rsid w:val="00BD3795"/>
    <w:rsid w:val="00BD37D2"/>
    <w:rsid w:val="00BD3820"/>
    <w:rsid w:val="00BD3822"/>
    <w:rsid w:val="00BD3846"/>
    <w:rsid w:val="00BD387E"/>
    <w:rsid w:val="00BD3A2E"/>
    <w:rsid w:val="00BD3AD1"/>
    <w:rsid w:val="00BD3ADA"/>
    <w:rsid w:val="00BD3B2F"/>
    <w:rsid w:val="00BD3B7A"/>
    <w:rsid w:val="00BD3BC2"/>
    <w:rsid w:val="00BD3D10"/>
    <w:rsid w:val="00BD3DEB"/>
    <w:rsid w:val="00BD3E06"/>
    <w:rsid w:val="00BD3F56"/>
    <w:rsid w:val="00BD404D"/>
    <w:rsid w:val="00BD41AA"/>
    <w:rsid w:val="00BD428E"/>
    <w:rsid w:val="00BD42C5"/>
    <w:rsid w:val="00BD45C1"/>
    <w:rsid w:val="00BD4714"/>
    <w:rsid w:val="00BD4798"/>
    <w:rsid w:val="00BD47EA"/>
    <w:rsid w:val="00BD48CD"/>
    <w:rsid w:val="00BD48F6"/>
    <w:rsid w:val="00BD49AD"/>
    <w:rsid w:val="00BD49DD"/>
    <w:rsid w:val="00BD4A67"/>
    <w:rsid w:val="00BD4AFA"/>
    <w:rsid w:val="00BD4B3C"/>
    <w:rsid w:val="00BD4BE0"/>
    <w:rsid w:val="00BD4BFA"/>
    <w:rsid w:val="00BD4C78"/>
    <w:rsid w:val="00BD4CAD"/>
    <w:rsid w:val="00BD4E9F"/>
    <w:rsid w:val="00BD5005"/>
    <w:rsid w:val="00BD5031"/>
    <w:rsid w:val="00BD504A"/>
    <w:rsid w:val="00BD50B1"/>
    <w:rsid w:val="00BD50FB"/>
    <w:rsid w:val="00BD5190"/>
    <w:rsid w:val="00BD51D4"/>
    <w:rsid w:val="00BD5212"/>
    <w:rsid w:val="00BD5240"/>
    <w:rsid w:val="00BD5278"/>
    <w:rsid w:val="00BD53DB"/>
    <w:rsid w:val="00BD5410"/>
    <w:rsid w:val="00BD5479"/>
    <w:rsid w:val="00BD54B6"/>
    <w:rsid w:val="00BD54D6"/>
    <w:rsid w:val="00BD5554"/>
    <w:rsid w:val="00BD5691"/>
    <w:rsid w:val="00BD5740"/>
    <w:rsid w:val="00BD577F"/>
    <w:rsid w:val="00BD57E5"/>
    <w:rsid w:val="00BD5846"/>
    <w:rsid w:val="00BD5877"/>
    <w:rsid w:val="00BD5AF9"/>
    <w:rsid w:val="00BD5B7F"/>
    <w:rsid w:val="00BD5BEA"/>
    <w:rsid w:val="00BD5C38"/>
    <w:rsid w:val="00BD5C8D"/>
    <w:rsid w:val="00BD5CDD"/>
    <w:rsid w:val="00BD5D02"/>
    <w:rsid w:val="00BD5D92"/>
    <w:rsid w:val="00BD5DA9"/>
    <w:rsid w:val="00BD5E01"/>
    <w:rsid w:val="00BD5E09"/>
    <w:rsid w:val="00BD5FA0"/>
    <w:rsid w:val="00BD5FE0"/>
    <w:rsid w:val="00BD61A6"/>
    <w:rsid w:val="00BD625A"/>
    <w:rsid w:val="00BD630E"/>
    <w:rsid w:val="00BD631A"/>
    <w:rsid w:val="00BD631E"/>
    <w:rsid w:val="00BD6338"/>
    <w:rsid w:val="00BD63AE"/>
    <w:rsid w:val="00BD63CA"/>
    <w:rsid w:val="00BD640F"/>
    <w:rsid w:val="00BD656A"/>
    <w:rsid w:val="00BD656D"/>
    <w:rsid w:val="00BD65C8"/>
    <w:rsid w:val="00BD6605"/>
    <w:rsid w:val="00BD6763"/>
    <w:rsid w:val="00BD678B"/>
    <w:rsid w:val="00BD67C5"/>
    <w:rsid w:val="00BD68C1"/>
    <w:rsid w:val="00BD6928"/>
    <w:rsid w:val="00BD6955"/>
    <w:rsid w:val="00BD6A5E"/>
    <w:rsid w:val="00BD6A7C"/>
    <w:rsid w:val="00BD6C94"/>
    <w:rsid w:val="00BD6CB1"/>
    <w:rsid w:val="00BD6D2D"/>
    <w:rsid w:val="00BD6DB9"/>
    <w:rsid w:val="00BD6DC9"/>
    <w:rsid w:val="00BD6F75"/>
    <w:rsid w:val="00BD6FAC"/>
    <w:rsid w:val="00BD705A"/>
    <w:rsid w:val="00BD70D1"/>
    <w:rsid w:val="00BD716B"/>
    <w:rsid w:val="00BD718B"/>
    <w:rsid w:val="00BD7229"/>
    <w:rsid w:val="00BD735E"/>
    <w:rsid w:val="00BD744F"/>
    <w:rsid w:val="00BD74EE"/>
    <w:rsid w:val="00BD7539"/>
    <w:rsid w:val="00BD7613"/>
    <w:rsid w:val="00BD7650"/>
    <w:rsid w:val="00BD7658"/>
    <w:rsid w:val="00BD76B3"/>
    <w:rsid w:val="00BD77C1"/>
    <w:rsid w:val="00BD7850"/>
    <w:rsid w:val="00BD78A4"/>
    <w:rsid w:val="00BD78F2"/>
    <w:rsid w:val="00BD79F8"/>
    <w:rsid w:val="00BD7ADC"/>
    <w:rsid w:val="00BD7B6F"/>
    <w:rsid w:val="00BD7BE7"/>
    <w:rsid w:val="00BD7BEA"/>
    <w:rsid w:val="00BD7E2A"/>
    <w:rsid w:val="00BD7E58"/>
    <w:rsid w:val="00BD7E6D"/>
    <w:rsid w:val="00BD7EF5"/>
    <w:rsid w:val="00BD7F69"/>
    <w:rsid w:val="00BD7FFE"/>
    <w:rsid w:val="00BE0003"/>
    <w:rsid w:val="00BE000D"/>
    <w:rsid w:val="00BE0052"/>
    <w:rsid w:val="00BE012B"/>
    <w:rsid w:val="00BE018E"/>
    <w:rsid w:val="00BE01A5"/>
    <w:rsid w:val="00BE01AC"/>
    <w:rsid w:val="00BE01B7"/>
    <w:rsid w:val="00BE02B7"/>
    <w:rsid w:val="00BE03DA"/>
    <w:rsid w:val="00BE04D0"/>
    <w:rsid w:val="00BE050F"/>
    <w:rsid w:val="00BE0521"/>
    <w:rsid w:val="00BE0567"/>
    <w:rsid w:val="00BE0611"/>
    <w:rsid w:val="00BE0634"/>
    <w:rsid w:val="00BE063F"/>
    <w:rsid w:val="00BE0670"/>
    <w:rsid w:val="00BE06D6"/>
    <w:rsid w:val="00BE072A"/>
    <w:rsid w:val="00BE07F4"/>
    <w:rsid w:val="00BE08CE"/>
    <w:rsid w:val="00BE0924"/>
    <w:rsid w:val="00BE099F"/>
    <w:rsid w:val="00BE0A56"/>
    <w:rsid w:val="00BE0B03"/>
    <w:rsid w:val="00BE0B2F"/>
    <w:rsid w:val="00BE0BDC"/>
    <w:rsid w:val="00BE0C4C"/>
    <w:rsid w:val="00BE0D4F"/>
    <w:rsid w:val="00BE0D8E"/>
    <w:rsid w:val="00BE0DD0"/>
    <w:rsid w:val="00BE0E3D"/>
    <w:rsid w:val="00BE0E56"/>
    <w:rsid w:val="00BE0F87"/>
    <w:rsid w:val="00BE0F9A"/>
    <w:rsid w:val="00BE0FA7"/>
    <w:rsid w:val="00BE1012"/>
    <w:rsid w:val="00BE123E"/>
    <w:rsid w:val="00BE125E"/>
    <w:rsid w:val="00BE12BF"/>
    <w:rsid w:val="00BE13C3"/>
    <w:rsid w:val="00BE141F"/>
    <w:rsid w:val="00BE1489"/>
    <w:rsid w:val="00BE14FA"/>
    <w:rsid w:val="00BE1642"/>
    <w:rsid w:val="00BE1721"/>
    <w:rsid w:val="00BE173C"/>
    <w:rsid w:val="00BE1776"/>
    <w:rsid w:val="00BE1879"/>
    <w:rsid w:val="00BE1916"/>
    <w:rsid w:val="00BE1A84"/>
    <w:rsid w:val="00BE1B71"/>
    <w:rsid w:val="00BE1BF6"/>
    <w:rsid w:val="00BE1D11"/>
    <w:rsid w:val="00BE1D2D"/>
    <w:rsid w:val="00BE1DE8"/>
    <w:rsid w:val="00BE2168"/>
    <w:rsid w:val="00BE21BF"/>
    <w:rsid w:val="00BE21D4"/>
    <w:rsid w:val="00BE21DA"/>
    <w:rsid w:val="00BE2262"/>
    <w:rsid w:val="00BE2271"/>
    <w:rsid w:val="00BE2303"/>
    <w:rsid w:val="00BE2305"/>
    <w:rsid w:val="00BE23F1"/>
    <w:rsid w:val="00BE2436"/>
    <w:rsid w:val="00BE2483"/>
    <w:rsid w:val="00BE2574"/>
    <w:rsid w:val="00BE25BD"/>
    <w:rsid w:val="00BE25E9"/>
    <w:rsid w:val="00BE2631"/>
    <w:rsid w:val="00BE2651"/>
    <w:rsid w:val="00BE2652"/>
    <w:rsid w:val="00BE269D"/>
    <w:rsid w:val="00BE26D9"/>
    <w:rsid w:val="00BE2754"/>
    <w:rsid w:val="00BE285C"/>
    <w:rsid w:val="00BE28E3"/>
    <w:rsid w:val="00BE28EE"/>
    <w:rsid w:val="00BE290C"/>
    <w:rsid w:val="00BE29A0"/>
    <w:rsid w:val="00BE29C7"/>
    <w:rsid w:val="00BE2C27"/>
    <w:rsid w:val="00BE2D57"/>
    <w:rsid w:val="00BE2DD9"/>
    <w:rsid w:val="00BE2E9C"/>
    <w:rsid w:val="00BE316E"/>
    <w:rsid w:val="00BE32C7"/>
    <w:rsid w:val="00BE333E"/>
    <w:rsid w:val="00BE3467"/>
    <w:rsid w:val="00BE3586"/>
    <w:rsid w:val="00BE358F"/>
    <w:rsid w:val="00BE3613"/>
    <w:rsid w:val="00BE3641"/>
    <w:rsid w:val="00BE37D2"/>
    <w:rsid w:val="00BE37E2"/>
    <w:rsid w:val="00BE3816"/>
    <w:rsid w:val="00BE38CB"/>
    <w:rsid w:val="00BE38EA"/>
    <w:rsid w:val="00BE38ED"/>
    <w:rsid w:val="00BE398B"/>
    <w:rsid w:val="00BE39D0"/>
    <w:rsid w:val="00BE39ED"/>
    <w:rsid w:val="00BE3A61"/>
    <w:rsid w:val="00BE3A69"/>
    <w:rsid w:val="00BE3B44"/>
    <w:rsid w:val="00BE3C48"/>
    <w:rsid w:val="00BE3CA8"/>
    <w:rsid w:val="00BE3CB2"/>
    <w:rsid w:val="00BE3DAA"/>
    <w:rsid w:val="00BE3F19"/>
    <w:rsid w:val="00BE41F7"/>
    <w:rsid w:val="00BE4202"/>
    <w:rsid w:val="00BE4433"/>
    <w:rsid w:val="00BE448C"/>
    <w:rsid w:val="00BE449C"/>
    <w:rsid w:val="00BE4557"/>
    <w:rsid w:val="00BE4592"/>
    <w:rsid w:val="00BE465A"/>
    <w:rsid w:val="00BE470A"/>
    <w:rsid w:val="00BE488B"/>
    <w:rsid w:val="00BE4893"/>
    <w:rsid w:val="00BE48A1"/>
    <w:rsid w:val="00BE49D3"/>
    <w:rsid w:val="00BE49EC"/>
    <w:rsid w:val="00BE4A27"/>
    <w:rsid w:val="00BE4B95"/>
    <w:rsid w:val="00BE4BAE"/>
    <w:rsid w:val="00BE4BDA"/>
    <w:rsid w:val="00BE4C12"/>
    <w:rsid w:val="00BE4C3F"/>
    <w:rsid w:val="00BE4C86"/>
    <w:rsid w:val="00BE4E04"/>
    <w:rsid w:val="00BE4E83"/>
    <w:rsid w:val="00BE4EB9"/>
    <w:rsid w:val="00BE4F12"/>
    <w:rsid w:val="00BE4F1B"/>
    <w:rsid w:val="00BE4F28"/>
    <w:rsid w:val="00BE50F5"/>
    <w:rsid w:val="00BE5374"/>
    <w:rsid w:val="00BE5407"/>
    <w:rsid w:val="00BE554B"/>
    <w:rsid w:val="00BE561A"/>
    <w:rsid w:val="00BE562F"/>
    <w:rsid w:val="00BE56A2"/>
    <w:rsid w:val="00BE5723"/>
    <w:rsid w:val="00BE5749"/>
    <w:rsid w:val="00BE58C9"/>
    <w:rsid w:val="00BE58DC"/>
    <w:rsid w:val="00BE58F2"/>
    <w:rsid w:val="00BE593E"/>
    <w:rsid w:val="00BE59C8"/>
    <w:rsid w:val="00BE5ACC"/>
    <w:rsid w:val="00BE5CF3"/>
    <w:rsid w:val="00BE5D38"/>
    <w:rsid w:val="00BE5D60"/>
    <w:rsid w:val="00BE5D88"/>
    <w:rsid w:val="00BE5D98"/>
    <w:rsid w:val="00BE5DB3"/>
    <w:rsid w:val="00BE5E34"/>
    <w:rsid w:val="00BE5E5C"/>
    <w:rsid w:val="00BE5E8A"/>
    <w:rsid w:val="00BE5EA5"/>
    <w:rsid w:val="00BE5FBE"/>
    <w:rsid w:val="00BE5FEB"/>
    <w:rsid w:val="00BE6001"/>
    <w:rsid w:val="00BE6030"/>
    <w:rsid w:val="00BE6138"/>
    <w:rsid w:val="00BE61D6"/>
    <w:rsid w:val="00BE625E"/>
    <w:rsid w:val="00BE628A"/>
    <w:rsid w:val="00BE6296"/>
    <w:rsid w:val="00BE62EE"/>
    <w:rsid w:val="00BE6401"/>
    <w:rsid w:val="00BE6402"/>
    <w:rsid w:val="00BE6455"/>
    <w:rsid w:val="00BE64CB"/>
    <w:rsid w:val="00BE64EE"/>
    <w:rsid w:val="00BE6541"/>
    <w:rsid w:val="00BE6686"/>
    <w:rsid w:val="00BE66CD"/>
    <w:rsid w:val="00BE66CE"/>
    <w:rsid w:val="00BE6780"/>
    <w:rsid w:val="00BE67F8"/>
    <w:rsid w:val="00BE688D"/>
    <w:rsid w:val="00BE689C"/>
    <w:rsid w:val="00BE68A0"/>
    <w:rsid w:val="00BE6958"/>
    <w:rsid w:val="00BE69A3"/>
    <w:rsid w:val="00BE6A28"/>
    <w:rsid w:val="00BE6B05"/>
    <w:rsid w:val="00BE6C26"/>
    <w:rsid w:val="00BE6D13"/>
    <w:rsid w:val="00BE6DEC"/>
    <w:rsid w:val="00BE6FB3"/>
    <w:rsid w:val="00BE6FE4"/>
    <w:rsid w:val="00BE703B"/>
    <w:rsid w:val="00BE7061"/>
    <w:rsid w:val="00BE7156"/>
    <w:rsid w:val="00BE7199"/>
    <w:rsid w:val="00BE71F4"/>
    <w:rsid w:val="00BE7280"/>
    <w:rsid w:val="00BE72B4"/>
    <w:rsid w:val="00BE731C"/>
    <w:rsid w:val="00BE73F5"/>
    <w:rsid w:val="00BE73FF"/>
    <w:rsid w:val="00BE741F"/>
    <w:rsid w:val="00BE754E"/>
    <w:rsid w:val="00BE75B8"/>
    <w:rsid w:val="00BE75D7"/>
    <w:rsid w:val="00BE7725"/>
    <w:rsid w:val="00BE77CE"/>
    <w:rsid w:val="00BE77DE"/>
    <w:rsid w:val="00BE79A7"/>
    <w:rsid w:val="00BE79AC"/>
    <w:rsid w:val="00BE79E9"/>
    <w:rsid w:val="00BE7A1C"/>
    <w:rsid w:val="00BE7A35"/>
    <w:rsid w:val="00BE7A54"/>
    <w:rsid w:val="00BE7A87"/>
    <w:rsid w:val="00BE7AE9"/>
    <w:rsid w:val="00BE7B45"/>
    <w:rsid w:val="00BE7BF5"/>
    <w:rsid w:val="00BE7D0C"/>
    <w:rsid w:val="00BE7DB8"/>
    <w:rsid w:val="00BE7E09"/>
    <w:rsid w:val="00BE7E5F"/>
    <w:rsid w:val="00BE7E77"/>
    <w:rsid w:val="00BE7EA6"/>
    <w:rsid w:val="00BF0020"/>
    <w:rsid w:val="00BF0076"/>
    <w:rsid w:val="00BF009C"/>
    <w:rsid w:val="00BF00AC"/>
    <w:rsid w:val="00BF00FB"/>
    <w:rsid w:val="00BF01B3"/>
    <w:rsid w:val="00BF01C7"/>
    <w:rsid w:val="00BF02B2"/>
    <w:rsid w:val="00BF0314"/>
    <w:rsid w:val="00BF0365"/>
    <w:rsid w:val="00BF0389"/>
    <w:rsid w:val="00BF0477"/>
    <w:rsid w:val="00BF0494"/>
    <w:rsid w:val="00BF0556"/>
    <w:rsid w:val="00BF05C1"/>
    <w:rsid w:val="00BF05F0"/>
    <w:rsid w:val="00BF062E"/>
    <w:rsid w:val="00BF0645"/>
    <w:rsid w:val="00BF0671"/>
    <w:rsid w:val="00BF0685"/>
    <w:rsid w:val="00BF0879"/>
    <w:rsid w:val="00BF090B"/>
    <w:rsid w:val="00BF093D"/>
    <w:rsid w:val="00BF0968"/>
    <w:rsid w:val="00BF0A29"/>
    <w:rsid w:val="00BF0AAC"/>
    <w:rsid w:val="00BF0B95"/>
    <w:rsid w:val="00BF0D01"/>
    <w:rsid w:val="00BF0D4C"/>
    <w:rsid w:val="00BF0D58"/>
    <w:rsid w:val="00BF0DD8"/>
    <w:rsid w:val="00BF0EEC"/>
    <w:rsid w:val="00BF0FBA"/>
    <w:rsid w:val="00BF1092"/>
    <w:rsid w:val="00BF10D0"/>
    <w:rsid w:val="00BF10D8"/>
    <w:rsid w:val="00BF10E6"/>
    <w:rsid w:val="00BF10F1"/>
    <w:rsid w:val="00BF111D"/>
    <w:rsid w:val="00BF1148"/>
    <w:rsid w:val="00BF13AD"/>
    <w:rsid w:val="00BF13E2"/>
    <w:rsid w:val="00BF15A5"/>
    <w:rsid w:val="00BF15C7"/>
    <w:rsid w:val="00BF1610"/>
    <w:rsid w:val="00BF1682"/>
    <w:rsid w:val="00BF16B9"/>
    <w:rsid w:val="00BF16C6"/>
    <w:rsid w:val="00BF17A7"/>
    <w:rsid w:val="00BF17D0"/>
    <w:rsid w:val="00BF190D"/>
    <w:rsid w:val="00BF1920"/>
    <w:rsid w:val="00BF1A8A"/>
    <w:rsid w:val="00BF1A91"/>
    <w:rsid w:val="00BF1AB2"/>
    <w:rsid w:val="00BF1AE3"/>
    <w:rsid w:val="00BF1B0B"/>
    <w:rsid w:val="00BF1B7A"/>
    <w:rsid w:val="00BF1B92"/>
    <w:rsid w:val="00BF1BF8"/>
    <w:rsid w:val="00BF1C49"/>
    <w:rsid w:val="00BF1CA9"/>
    <w:rsid w:val="00BF1E25"/>
    <w:rsid w:val="00BF1E62"/>
    <w:rsid w:val="00BF1EF6"/>
    <w:rsid w:val="00BF1F00"/>
    <w:rsid w:val="00BF1F49"/>
    <w:rsid w:val="00BF1F54"/>
    <w:rsid w:val="00BF1FDB"/>
    <w:rsid w:val="00BF203C"/>
    <w:rsid w:val="00BF207B"/>
    <w:rsid w:val="00BF208B"/>
    <w:rsid w:val="00BF20E6"/>
    <w:rsid w:val="00BF228F"/>
    <w:rsid w:val="00BF2311"/>
    <w:rsid w:val="00BF236A"/>
    <w:rsid w:val="00BF23E4"/>
    <w:rsid w:val="00BF24E2"/>
    <w:rsid w:val="00BF253A"/>
    <w:rsid w:val="00BF253C"/>
    <w:rsid w:val="00BF25FF"/>
    <w:rsid w:val="00BF2664"/>
    <w:rsid w:val="00BF26BA"/>
    <w:rsid w:val="00BF26F2"/>
    <w:rsid w:val="00BF2764"/>
    <w:rsid w:val="00BF27B5"/>
    <w:rsid w:val="00BF2902"/>
    <w:rsid w:val="00BF2942"/>
    <w:rsid w:val="00BF2A61"/>
    <w:rsid w:val="00BF2BD1"/>
    <w:rsid w:val="00BF2CA4"/>
    <w:rsid w:val="00BF2CC6"/>
    <w:rsid w:val="00BF2D24"/>
    <w:rsid w:val="00BF2DD7"/>
    <w:rsid w:val="00BF2F27"/>
    <w:rsid w:val="00BF2FA2"/>
    <w:rsid w:val="00BF2FEC"/>
    <w:rsid w:val="00BF321C"/>
    <w:rsid w:val="00BF32DA"/>
    <w:rsid w:val="00BF331E"/>
    <w:rsid w:val="00BF335E"/>
    <w:rsid w:val="00BF351A"/>
    <w:rsid w:val="00BF3589"/>
    <w:rsid w:val="00BF3626"/>
    <w:rsid w:val="00BF3684"/>
    <w:rsid w:val="00BF368A"/>
    <w:rsid w:val="00BF378A"/>
    <w:rsid w:val="00BF37DC"/>
    <w:rsid w:val="00BF39E6"/>
    <w:rsid w:val="00BF39F9"/>
    <w:rsid w:val="00BF3A5E"/>
    <w:rsid w:val="00BF3C7B"/>
    <w:rsid w:val="00BF3C9A"/>
    <w:rsid w:val="00BF3D0A"/>
    <w:rsid w:val="00BF3D1A"/>
    <w:rsid w:val="00BF3DFB"/>
    <w:rsid w:val="00BF3E8F"/>
    <w:rsid w:val="00BF3F2B"/>
    <w:rsid w:val="00BF3F80"/>
    <w:rsid w:val="00BF3F8D"/>
    <w:rsid w:val="00BF3FA9"/>
    <w:rsid w:val="00BF4055"/>
    <w:rsid w:val="00BF4100"/>
    <w:rsid w:val="00BF420A"/>
    <w:rsid w:val="00BF434F"/>
    <w:rsid w:val="00BF43B6"/>
    <w:rsid w:val="00BF44D7"/>
    <w:rsid w:val="00BF4569"/>
    <w:rsid w:val="00BF457F"/>
    <w:rsid w:val="00BF46A4"/>
    <w:rsid w:val="00BF47C6"/>
    <w:rsid w:val="00BF4818"/>
    <w:rsid w:val="00BF4879"/>
    <w:rsid w:val="00BF49C0"/>
    <w:rsid w:val="00BF4A6B"/>
    <w:rsid w:val="00BF4AAB"/>
    <w:rsid w:val="00BF4C20"/>
    <w:rsid w:val="00BF4CA5"/>
    <w:rsid w:val="00BF4E27"/>
    <w:rsid w:val="00BF4E28"/>
    <w:rsid w:val="00BF4E55"/>
    <w:rsid w:val="00BF4EB0"/>
    <w:rsid w:val="00BF4EC7"/>
    <w:rsid w:val="00BF4F43"/>
    <w:rsid w:val="00BF4FF8"/>
    <w:rsid w:val="00BF5045"/>
    <w:rsid w:val="00BF505A"/>
    <w:rsid w:val="00BF5422"/>
    <w:rsid w:val="00BF5551"/>
    <w:rsid w:val="00BF556A"/>
    <w:rsid w:val="00BF5632"/>
    <w:rsid w:val="00BF577C"/>
    <w:rsid w:val="00BF59DF"/>
    <w:rsid w:val="00BF5A0C"/>
    <w:rsid w:val="00BF5A9A"/>
    <w:rsid w:val="00BF5AC0"/>
    <w:rsid w:val="00BF5B95"/>
    <w:rsid w:val="00BF5C43"/>
    <w:rsid w:val="00BF5D7E"/>
    <w:rsid w:val="00BF5D8C"/>
    <w:rsid w:val="00BF5DE1"/>
    <w:rsid w:val="00BF5DE8"/>
    <w:rsid w:val="00BF5EE9"/>
    <w:rsid w:val="00BF5F79"/>
    <w:rsid w:val="00BF5F8F"/>
    <w:rsid w:val="00BF5F9D"/>
    <w:rsid w:val="00BF6041"/>
    <w:rsid w:val="00BF60EB"/>
    <w:rsid w:val="00BF6101"/>
    <w:rsid w:val="00BF628A"/>
    <w:rsid w:val="00BF630E"/>
    <w:rsid w:val="00BF6356"/>
    <w:rsid w:val="00BF65C3"/>
    <w:rsid w:val="00BF665C"/>
    <w:rsid w:val="00BF66BF"/>
    <w:rsid w:val="00BF6707"/>
    <w:rsid w:val="00BF67A6"/>
    <w:rsid w:val="00BF67D5"/>
    <w:rsid w:val="00BF6890"/>
    <w:rsid w:val="00BF6A41"/>
    <w:rsid w:val="00BF6A53"/>
    <w:rsid w:val="00BF6B23"/>
    <w:rsid w:val="00BF6B9C"/>
    <w:rsid w:val="00BF6BB9"/>
    <w:rsid w:val="00BF6BCE"/>
    <w:rsid w:val="00BF6CFC"/>
    <w:rsid w:val="00BF6D44"/>
    <w:rsid w:val="00BF6D47"/>
    <w:rsid w:val="00BF6E3D"/>
    <w:rsid w:val="00BF6E50"/>
    <w:rsid w:val="00BF6E71"/>
    <w:rsid w:val="00BF6F64"/>
    <w:rsid w:val="00BF7093"/>
    <w:rsid w:val="00BF70DB"/>
    <w:rsid w:val="00BF7128"/>
    <w:rsid w:val="00BF713C"/>
    <w:rsid w:val="00BF713E"/>
    <w:rsid w:val="00BF7181"/>
    <w:rsid w:val="00BF7211"/>
    <w:rsid w:val="00BF7231"/>
    <w:rsid w:val="00BF7339"/>
    <w:rsid w:val="00BF736C"/>
    <w:rsid w:val="00BF738E"/>
    <w:rsid w:val="00BF742A"/>
    <w:rsid w:val="00BF75E4"/>
    <w:rsid w:val="00BF762D"/>
    <w:rsid w:val="00BF7637"/>
    <w:rsid w:val="00BF7691"/>
    <w:rsid w:val="00BF76CD"/>
    <w:rsid w:val="00BF784E"/>
    <w:rsid w:val="00BF7907"/>
    <w:rsid w:val="00BF7938"/>
    <w:rsid w:val="00BF7971"/>
    <w:rsid w:val="00BF7B49"/>
    <w:rsid w:val="00BF7C21"/>
    <w:rsid w:val="00BF7DA0"/>
    <w:rsid w:val="00BF7DB4"/>
    <w:rsid w:val="00BF7E50"/>
    <w:rsid w:val="00BF7F4E"/>
    <w:rsid w:val="00BF7F57"/>
    <w:rsid w:val="00C0005B"/>
    <w:rsid w:val="00C0006C"/>
    <w:rsid w:val="00C00081"/>
    <w:rsid w:val="00C000BB"/>
    <w:rsid w:val="00C000EA"/>
    <w:rsid w:val="00C00101"/>
    <w:rsid w:val="00C0014E"/>
    <w:rsid w:val="00C001FF"/>
    <w:rsid w:val="00C00274"/>
    <w:rsid w:val="00C00351"/>
    <w:rsid w:val="00C003C5"/>
    <w:rsid w:val="00C00429"/>
    <w:rsid w:val="00C0046E"/>
    <w:rsid w:val="00C004A6"/>
    <w:rsid w:val="00C004CD"/>
    <w:rsid w:val="00C005AC"/>
    <w:rsid w:val="00C005F2"/>
    <w:rsid w:val="00C0060B"/>
    <w:rsid w:val="00C00827"/>
    <w:rsid w:val="00C008B6"/>
    <w:rsid w:val="00C0099A"/>
    <w:rsid w:val="00C00AF2"/>
    <w:rsid w:val="00C00B40"/>
    <w:rsid w:val="00C00B53"/>
    <w:rsid w:val="00C00B54"/>
    <w:rsid w:val="00C00BB3"/>
    <w:rsid w:val="00C00BCA"/>
    <w:rsid w:val="00C00CB5"/>
    <w:rsid w:val="00C00CCF"/>
    <w:rsid w:val="00C00EB9"/>
    <w:rsid w:val="00C01027"/>
    <w:rsid w:val="00C0105D"/>
    <w:rsid w:val="00C01141"/>
    <w:rsid w:val="00C013AE"/>
    <w:rsid w:val="00C01456"/>
    <w:rsid w:val="00C01463"/>
    <w:rsid w:val="00C014D8"/>
    <w:rsid w:val="00C01589"/>
    <w:rsid w:val="00C018F2"/>
    <w:rsid w:val="00C01904"/>
    <w:rsid w:val="00C0192E"/>
    <w:rsid w:val="00C01A7A"/>
    <w:rsid w:val="00C01AC7"/>
    <w:rsid w:val="00C01B7E"/>
    <w:rsid w:val="00C01DC5"/>
    <w:rsid w:val="00C01E23"/>
    <w:rsid w:val="00C01EAB"/>
    <w:rsid w:val="00C01EAF"/>
    <w:rsid w:val="00C01ED5"/>
    <w:rsid w:val="00C01F3C"/>
    <w:rsid w:val="00C01F4F"/>
    <w:rsid w:val="00C01F9A"/>
    <w:rsid w:val="00C01F9E"/>
    <w:rsid w:val="00C01FCB"/>
    <w:rsid w:val="00C0203B"/>
    <w:rsid w:val="00C020C1"/>
    <w:rsid w:val="00C02289"/>
    <w:rsid w:val="00C022A6"/>
    <w:rsid w:val="00C02469"/>
    <w:rsid w:val="00C024B2"/>
    <w:rsid w:val="00C0250D"/>
    <w:rsid w:val="00C02519"/>
    <w:rsid w:val="00C02666"/>
    <w:rsid w:val="00C026B7"/>
    <w:rsid w:val="00C026DC"/>
    <w:rsid w:val="00C02702"/>
    <w:rsid w:val="00C02763"/>
    <w:rsid w:val="00C027AF"/>
    <w:rsid w:val="00C027CE"/>
    <w:rsid w:val="00C027D0"/>
    <w:rsid w:val="00C027EB"/>
    <w:rsid w:val="00C02814"/>
    <w:rsid w:val="00C02856"/>
    <w:rsid w:val="00C02A4A"/>
    <w:rsid w:val="00C02C42"/>
    <w:rsid w:val="00C02C92"/>
    <w:rsid w:val="00C02DE4"/>
    <w:rsid w:val="00C02E02"/>
    <w:rsid w:val="00C02EDC"/>
    <w:rsid w:val="00C02EF5"/>
    <w:rsid w:val="00C03003"/>
    <w:rsid w:val="00C03040"/>
    <w:rsid w:val="00C030A7"/>
    <w:rsid w:val="00C03189"/>
    <w:rsid w:val="00C031E4"/>
    <w:rsid w:val="00C032B1"/>
    <w:rsid w:val="00C032C0"/>
    <w:rsid w:val="00C03346"/>
    <w:rsid w:val="00C033FE"/>
    <w:rsid w:val="00C03434"/>
    <w:rsid w:val="00C034C9"/>
    <w:rsid w:val="00C034CE"/>
    <w:rsid w:val="00C0359D"/>
    <w:rsid w:val="00C03629"/>
    <w:rsid w:val="00C03670"/>
    <w:rsid w:val="00C03716"/>
    <w:rsid w:val="00C037C5"/>
    <w:rsid w:val="00C038EF"/>
    <w:rsid w:val="00C0394E"/>
    <w:rsid w:val="00C03B6A"/>
    <w:rsid w:val="00C03B8B"/>
    <w:rsid w:val="00C03BAE"/>
    <w:rsid w:val="00C03C2D"/>
    <w:rsid w:val="00C03ECB"/>
    <w:rsid w:val="00C03EDA"/>
    <w:rsid w:val="00C03EDB"/>
    <w:rsid w:val="00C03EE7"/>
    <w:rsid w:val="00C03F64"/>
    <w:rsid w:val="00C03FFC"/>
    <w:rsid w:val="00C0402C"/>
    <w:rsid w:val="00C0403B"/>
    <w:rsid w:val="00C0405C"/>
    <w:rsid w:val="00C04060"/>
    <w:rsid w:val="00C040CB"/>
    <w:rsid w:val="00C041C5"/>
    <w:rsid w:val="00C04260"/>
    <w:rsid w:val="00C0428F"/>
    <w:rsid w:val="00C04322"/>
    <w:rsid w:val="00C04337"/>
    <w:rsid w:val="00C0439C"/>
    <w:rsid w:val="00C0442D"/>
    <w:rsid w:val="00C044B5"/>
    <w:rsid w:val="00C044FC"/>
    <w:rsid w:val="00C045DB"/>
    <w:rsid w:val="00C045F2"/>
    <w:rsid w:val="00C0473C"/>
    <w:rsid w:val="00C04769"/>
    <w:rsid w:val="00C047A8"/>
    <w:rsid w:val="00C0482B"/>
    <w:rsid w:val="00C0486F"/>
    <w:rsid w:val="00C0488D"/>
    <w:rsid w:val="00C048E5"/>
    <w:rsid w:val="00C0496F"/>
    <w:rsid w:val="00C049AB"/>
    <w:rsid w:val="00C04A2F"/>
    <w:rsid w:val="00C04AE1"/>
    <w:rsid w:val="00C04B7D"/>
    <w:rsid w:val="00C04B9B"/>
    <w:rsid w:val="00C04C59"/>
    <w:rsid w:val="00C04D47"/>
    <w:rsid w:val="00C04E86"/>
    <w:rsid w:val="00C04E90"/>
    <w:rsid w:val="00C04EC9"/>
    <w:rsid w:val="00C04F4A"/>
    <w:rsid w:val="00C05009"/>
    <w:rsid w:val="00C0504A"/>
    <w:rsid w:val="00C050C4"/>
    <w:rsid w:val="00C05175"/>
    <w:rsid w:val="00C051A1"/>
    <w:rsid w:val="00C051E9"/>
    <w:rsid w:val="00C0526B"/>
    <w:rsid w:val="00C0537D"/>
    <w:rsid w:val="00C054A8"/>
    <w:rsid w:val="00C05602"/>
    <w:rsid w:val="00C05658"/>
    <w:rsid w:val="00C056CD"/>
    <w:rsid w:val="00C056E5"/>
    <w:rsid w:val="00C056F8"/>
    <w:rsid w:val="00C05819"/>
    <w:rsid w:val="00C0582B"/>
    <w:rsid w:val="00C058E7"/>
    <w:rsid w:val="00C05A4D"/>
    <w:rsid w:val="00C05A4F"/>
    <w:rsid w:val="00C05A7D"/>
    <w:rsid w:val="00C05B15"/>
    <w:rsid w:val="00C05B32"/>
    <w:rsid w:val="00C05B3C"/>
    <w:rsid w:val="00C05B9D"/>
    <w:rsid w:val="00C05BC0"/>
    <w:rsid w:val="00C05BC7"/>
    <w:rsid w:val="00C05D4A"/>
    <w:rsid w:val="00C05ECF"/>
    <w:rsid w:val="00C05ED1"/>
    <w:rsid w:val="00C05F38"/>
    <w:rsid w:val="00C05F43"/>
    <w:rsid w:val="00C05FE3"/>
    <w:rsid w:val="00C05FEE"/>
    <w:rsid w:val="00C0602A"/>
    <w:rsid w:val="00C060D4"/>
    <w:rsid w:val="00C060EC"/>
    <w:rsid w:val="00C061FC"/>
    <w:rsid w:val="00C06312"/>
    <w:rsid w:val="00C063D7"/>
    <w:rsid w:val="00C063FB"/>
    <w:rsid w:val="00C06425"/>
    <w:rsid w:val="00C06449"/>
    <w:rsid w:val="00C06463"/>
    <w:rsid w:val="00C064C7"/>
    <w:rsid w:val="00C06639"/>
    <w:rsid w:val="00C066EC"/>
    <w:rsid w:val="00C06759"/>
    <w:rsid w:val="00C06790"/>
    <w:rsid w:val="00C067DD"/>
    <w:rsid w:val="00C0681D"/>
    <w:rsid w:val="00C068D2"/>
    <w:rsid w:val="00C06AF7"/>
    <w:rsid w:val="00C06B87"/>
    <w:rsid w:val="00C06DB0"/>
    <w:rsid w:val="00C06E3A"/>
    <w:rsid w:val="00C06F85"/>
    <w:rsid w:val="00C07088"/>
    <w:rsid w:val="00C070A0"/>
    <w:rsid w:val="00C07308"/>
    <w:rsid w:val="00C074C2"/>
    <w:rsid w:val="00C07551"/>
    <w:rsid w:val="00C076AD"/>
    <w:rsid w:val="00C07744"/>
    <w:rsid w:val="00C077CB"/>
    <w:rsid w:val="00C07804"/>
    <w:rsid w:val="00C0781C"/>
    <w:rsid w:val="00C07821"/>
    <w:rsid w:val="00C07983"/>
    <w:rsid w:val="00C079BC"/>
    <w:rsid w:val="00C07A04"/>
    <w:rsid w:val="00C07B0F"/>
    <w:rsid w:val="00C07B55"/>
    <w:rsid w:val="00C07DAB"/>
    <w:rsid w:val="00C07E3D"/>
    <w:rsid w:val="00C10015"/>
    <w:rsid w:val="00C1004E"/>
    <w:rsid w:val="00C1005E"/>
    <w:rsid w:val="00C10064"/>
    <w:rsid w:val="00C10066"/>
    <w:rsid w:val="00C10074"/>
    <w:rsid w:val="00C10081"/>
    <w:rsid w:val="00C1012F"/>
    <w:rsid w:val="00C10132"/>
    <w:rsid w:val="00C101E3"/>
    <w:rsid w:val="00C102A4"/>
    <w:rsid w:val="00C102D6"/>
    <w:rsid w:val="00C1038B"/>
    <w:rsid w:val="00C1046B"/>
    <w:rsid w:val="00C10482"/>
    <w:rsid w:val="00C10498"/>
    <w:rsid w:val="00C105D7"/>
    <w:rsid w:val="00C10649"/>
    <w:rsid w:val="00C10692"/>
    <w:rsid w:val="00C10693"/>
    <w:rsid w:val="00C1069A"/>
    <w:rsid w:val="00C10792"/>
    <w:rsid w:val="00C107FC"/>
    <w:rsid w:val="00C1085C"/>
    <w:rsid w:val="00C1087C"/>
    <w:rsid w:val="00C10884"/>
    <w:rsid w:val="00C108B5"/>
    <w:rsid w:val="00C108B6"/>
    <w:rsid w:val="00C108CE"/>
    <w:rsid w:val="00C108E3"/>
    <w:rsid w:val="00C109DC"/>
    <w:rsid w:val="00C10A63"/>
    <w:rsid w:val="00C10AAE"/>
    <w:rsid w:val="00C10AE8"/>
    <w:rsid w:val="00C10B42"/>
    <w:rsid w:val="00C10B4E"/>
    <w:rsid w:val="00C10BEA"/>
    <w:rsid w:val="00C10CA2"/>
    <w:rsid w:val="00C10CB2"/>
    <w:rsid w:val="00C10CD9"/>
    <w:rsid w:val="00C10DF0"/>
    <w:rsid w:val="00C10E40"/>
    <w:rsid w:val="00C10E4E"/>
    <w:rsid w:val="00C10F88"/>
    <w:rsid w:val="00C10FA4"/>
    <w:rsid w:val="00C10FFD"/>
    <w:rsid w:val="00C1102A"/>
    <w:rsid w:val="00C11060"/>
    <w:rsid w:val="00C11142"/>
    <w:rsid w:val="00C1114E"/>
    <w:rsid w:val="00C111D8"/>
    <w:rsid w:val="00C11305"/>
    <w:rsid w:val="00C1131C"/>
    <w:rsid w:val="00C1139D"/>
    <w:rsid w:val="00C113AB"/>
    <w:rsid w:val="00C11411"/>
    <w:rsid w:val="00C11662"/>
    <w:rsid w:val="00C11665"/>
    <w:rsid w:val="00C1168D"/>
    <w:rsid w:val="00C11716"/>
    <w:rsid w:val="00C11913"/>
    <w:rsid w:val="00C1196C"/>
    <w:rsid w:val="00C119CB"/>
    <w:rsid w:val="00C11A5C"/>
    <w:rsid w:val="00C11BB1"/>
    <w:rsid w:val="00C11C4B"/>
    <w:rsid w:val="00C11C4C"/>
    <w:rsid w:val="00C11D21"/>
    <w:rsid w:val="00C11D53"/>
    <w:rsid w:val="00C11DBE"/>
    <w:rsid w:val="00C11E5F"/>
    <w:rsid w:val="00C11E70"/>
    <w:rsid w:val="00C1202F"/>
    <w:rsid w:val="00C12064"/>
    <w:rsid w:val="00C1218B"/>
    <w:rsid w:val="00C1225A"/>
    <w:rsid w:val="00C12308"/>
    <w:rsid w:val="00C1230C"/>
    <w:rsid w:val="00C1238C"/>
    <w:rsid w:val="00C123BC"/>
    <w:rsid w:val="00C1245D"/>
    <w:rsid w:val="00C124AD"/>
    <w:rsid w:val="00C124B1"/>
    <w:rsid w:val="00C12534"/>
    <w:rsid w:val="00C1257A"/>
    <w:rsid w:val="00C1262D"/>
    <w:rsid w:val="00C126DF"/>
    <w:rsid w:val="00C128FE"/>
    <w:rsid w:val="00C129C0"/>
    <w:rsid w:val="00C129D9"/>
    <w:rsid w:val="00C12A54"/>
    <w:rsid w:val="00C12ACE"/>
    <w:rsid w:val="00C12B3D"/>
    <w:rsid w:val="00C12B3F"/>
    <w:rsid w:val="00C12CDC"/>
    <w:rsid w:val="00C12CE9"/>
    <w:rsid w:val="00C12D51"/>
    <w:rsid w:val="00C12D80"/>
    <w:rsid w:val="00C12E3D"/>
    <w:rsid w:val="00C12E40"/>
    <w:rsid w:val="00C12E64"/>
    <w:rsid w:val="00C12E85"/>
    <w:rsid w:val="00C12EA2"/>
    <w:rsid w:val="00C12EBC"/>
    <w:rsid w:val="00C12EEF"/>
    <w:rsid w:val="00C12FE3"/>
    <w:rsid w:val="00C13112"/>
    <w:rsid w:val="00C13126"/>
    <w:rsid w:val="00C132EA"/>
    <w:rsid w:val="00C13319"/>
    <w:rsid w:val="00C13333"/>
    <w:rsid w:val="00C13396"/>
    <w:rsid w:val="00C13495"/>
    <w:rsid w:val="00C13501"/>
    <w:rsid w:val="00C1356C"/>
    <w:rsid w:val="00C1375F"/>
    <w:rsid w:val="00C1376F"/>
    <w:rsid w:val="00C137C8"/>
    <w:rsid w:val="00C13888"/>
    <w:rsid w:val="00C13950"/>
    <w:rsid w:val="00C13959"/>
    <w:rsid w:val="00C13A49"/>
    <w:rsid w:val="00C13ACD"/>
    <w:rsid w:val="00C13B70"/>
    <w:rsid w:val="00C13BDC"/>
    <w:rsid w:val="00C13BE4"/>
    <w:rsid w:val="00C13C10"/>
    <w:rsid w:val="00C13C4F"/>
    <w:rsid w:val="00C13C64"/>
    <w:rsid w:val="00C13C74"/>
    <w:rsid w:val="00C13CF7"/>
    <w:rsid w:val="00C13CFA"/>
    <w:rsid w:val="00C13D8B"/>
    <w:rsid w:val="00C13E4B"/>
    <w:rsid w:val="00C13E87"/>
    <w:rsid w:val="00C13F40"/>
    <w:rsid w:val="00C14096"/>
    <w:rsid w:val="00C14118"/>
    <w:rsid w:val="00C14133"/>
    <w:rsid w:val="00C14180"/>
    <w:rsid w:val="00C1420E"/>
    <w:rsid w:val="00C14215"/>
    <w:rsid w:val="00C14237"/>
    <w:rsid w:val="00C14438"/>
    <w:rsid w:val="00C1444A"/>
    <w:rsid w:val="00C144AB"/>
    <w:rsid w:val="00C144B0"/>
    <w:rsid w:val="00C147AD"/>
    <w:rsid w:val="00C14812"/>
    <w:rsid w:val="00C14815"/>
    <w:rsid w:val="00C14831"/>
    <w:rsid w:val="00C1487F"/>
    <w:rsid w:val="00C148EA"/>
    <w:rsid w:val="00C148F5"/>
    <w:rsid w:val="00C14B6F"/>
    <w:rsid w:val="00C14D66"/>
    <w:rsid w:val="00C14F97"/>
    <w:rsid w:val="00C1516D"/>
    <w:rsid w:val="00C15305"/>
    <w:rsid w:val="00C1542C"/>
    <w:rsid w:val="00C155FD"/>
    <w:rsid w:val="00C1562E"/>
    <w:rsid w:val="00C15723"/>
    <w:rsid w:val="00C1577F"/>
    <w:rsid w:val="00C1590B"/>
    <w:rsid w:val="00C1592D"/>
    <w:rsid w:val="00C15959"/>
    <w:rsid w:val="00C15AD4"/>
    <w:rsid w:val="00C15B9E"/>
    <w:rsid w:val="00C15BD7"/>
    <w:rsid w:val="00C15C9F"/>
    <w:rsid w:val="00C15DB1"/>
    <w:rsid w:val="00C15E4D"/>
    <w:rsid w:val="00C15E69"/>
    <w:rsid w:val="00C15FCA"/>
    <w:rsid w:val="00C15FDB"/>
    <w:rsid w:val="00C16012"/>
    <w:rsid w:val="00C160B9"/>
    <w:rsid w:val="00C16104"/>
    <w:rsid w:val="00C16145"/>
    <w:rsid w:val="00C1622A"/>
    <w:rsid w:val="00C162CB"/>
    <w:rsid w:val="00C16375"/>
    <w:rsid w:val="00C163BA"/>
    <w:rsid w:val="00C163BC"/>
    <w:rsid w:val="00C16434"/>
    <w:rsid w:val="00C1660D"/>
    <w:rsid w:val="00C1661B"/>
    <w:rsid w:val="00C16751"/>
    <w:rsid w:val="00C1677B"/>
    <w:rsid w:val="00C16780"/>
    <w:rsid w:val="00C167BF"/>
    <w:rsid w:val="00C167F9"/>
    <w:rsid w:val="00C167FA"/>
    <w:rsid w:val="00C16A40"/>
    <w:rsid w:val="00C16AD6"/>
    <w:rsid w:val="00C16BD5"/>
    <w:rsid w:val="00C16BEB"/>
    <w:rsid w:val="00C16C58"/>
    <w:rsid w:val="00C16DE3"/>
    <w:rsid w:val="00C16EA9"/>
    <w:rsid w:val="00C16EB1"/>
    <w:rsid w:val="00C16EF1"/>
    <w:rsid w:val="00C16F41"/>
    <w:rsid w:val="00C16F4F"/>
    <w:rsid w:val="00C16FC5"/>
    <w:rsid w:val="00C16FF5"/>
    <w:rsid w:val="00C17040"/>
    <w:rsid w:val="00C1704B"/>
    <w:rsid w:val="00C170A6"/>
    <w:rsid w:val="00C170C1"/>
    <w:rsid w:val="00C170D6"/>
    <w:rsid w:val="00C171C0"/>
    <w:rsid w:val="00C17230"/>
    <w:rsid w:val="00C17290"/>
    <w:rsid w:val="00C17551"/>
    <w:rsid w:val="00C176B7"/>
    <w:rsid w:val="00C17836"/>
    <w:rsid w:val="00C17849"/>
    <w:rsid w:val="00C1786F"/>
    <w:rsid w:val="00C178C1"/>
    <w:rsid w:val="00C17A94"/>
    <w:rsid w:val="00C17C4B"/>
    <w:rsid w:val="00C17C96"/>
    <w:rsid w:val="00C17CF1"/>
    <w:rsid w:val="00C17D13"/>
    <w:rsid w:val="00C17D3D"/>
    <w:rsid w:val="00C17D4E"/>
    <w:rsid w:val="00C17DC7"/>
    <w:rsid w:val="00C17DE3"/>
    <w:rsid w:val="00C17E87"/>
    <w:rsid w:val="00C17EA8"/>
    <w:rsid w:val="00C17EBC"/>
    <w:rsid w:val="00C17F09"/>
    <w:rsid w:val="00C17FB7"/>
    <w:rsid w:val="00C1AAD0"/>
    <w:rsid w:val="00C20014"/>
    <w:rsid w:val="00C200EB"/>
    <w:rsid w:val="00C20109"/>
    <w:rsid w:val="00C2012B"/>
    <w:rsid w:val="00C20306"/>
    <w:rsid w:val="00C203F3"/>
    <w:rsid w:val="00C20425"/>
    <w:rsid w:val="00C204CA"/>
    <w:rsid w:val="00C204E2"/>
    <w:rsid w:val="00C20691"/>
    <w:rsid w:val="00C2077E"/>
    <w:rsid w:val="00C20883"/>
    <w:rsid w:val="00C208E7"/>
    <w:rsid w:val="00C20998"/>
    <w:rsid w:val="00C20A60"/>
    <w:rsid w:val="00C20A74"/>
    <w:rsid w:val="00C20A86"/>
    <w:rsid w:val="00C20B56"/>
    <w:rsid w:val="00C20B8E"/>
    <w:rsid w:val="00C20BFF"/>
    <w:rsid w:val="00C20C2C"/>
    <w:rsid w:val="00C20C79"/>
    <w:rsid w:val="00C20D29"/>
    <w:rsid w:val="00C20DB2"/>
    <w:rsid w:val="00C20E12"/>
    <w:rsid w:val="00C20E82"/>
    <w:rsid w:val="00C20EB2"/>
    <w:rsid w:val="00C20EEA"/>
    <w:rsid w:val="00C20F15"/>
    <w:rsid w:val="00C20F4E"/>
    <w:rsid w:val="00C20F8F"/>
    <w:rsid w:val="00C2116C"/>
    <w:rsid w:val="00C2135B"/>
    <w:rsid w:val="00C213F0"/>
    <w:rsid w:val="00C21400"/>
    <w:rsid w:val="00C2147F"/>
    <w:rsid w:val="00C2152B"/>
    <w:rsid w:val="00C21542"/>
    <w:rsid w:val="00C21547"/>
    <w:rsid w:val="00C2154A"/>
    <w:rsid w:val="00C2154E"/>
    <w:rsid w:val="00C21579"/>
    <w:rsid w:val="00C21659"/>
    <w:rsid w:val="00C21686"/>
    <w:rsid w:val="00C21736"/>
    <w:rsid w:val="00C21764"/>
    <w:rsid w:val="00C2177F"/>
    <w:rsid w:val="00C217A0"/>
    <w:rsid w:val="00C218ED"/>
    <w:rsid w:val="00C219FA"/>
    <w:rsid w:val="00C21A42"/>
    <w:rsid w:val="00C21AD3"/>
    <w:rsid w:val="00C21B89"/>
    <w:rsid w:val="00C21E62"/>
    <w:rsid w:val="00C21E74"/>
    <w:rsid w:val="00C21EEF"/>
    <w:rsid w:val="00C220CB"/>
    <w:rsid w:val="00C22176"/>
    <w:rsid w:val="00C22241"/>
    <w:rsid w:val="00C2232E"/>
    <w:rsid w:val="00C22442"/>
    <w:rsid w:val="00C224BE"/>
    <w:rsid w:val="00C2258C"/>
    <w:rsid w:val="00C225AC"/>
    <w:rsid w:val="00C22630"/>
    <w:rsid w:val="00C226F0"/>
    <w:rsid w:val="00C22865"/>
    <w:rsid w:val="00C229EB"/>
    <w:rsid w:val="00C22A57"/>
    <w:rsid w:val="00C22A74"/>
    <w:rsid w:val="00C22A93"/>
    <w:rsid w:val="00C22B84"/>
    <w:rsid w:val="00C22BF8"/>
    <w:rsid w:val="00C22C4B"/>
    <w:rsid w:val="00C22C4C"/>
    <w:rsid w:val="00C22CCA"/>
    <w:rsid w:val="00C22D53"/>
    <w:rsid w:val="00C22D7C"/>
    <w:rsid w:val="00C22E18"/>
    <w:rsid w:val="00C22EE3"/>
    <w:rsid w:val="00C22EEA"/>
    <w:rsid w:val="00C22F98"/>
    <w:rsid w:val="00C22FD2"/>
    <w:rsid w:val="00C22FFE"/>
    <w:rsid w:val="00C23001"/>
    <w:rsid w:val="00C2305E"/>
    <w:rsid w:val="00C2305F"/>
    <w:rsid w:val="00C23188"/>
    <w:rsid w:val="00C2324B"/>
    <w:rsid w:val="00C2324D"/>
    <w:rsid w:val="00C23283"/>
    <w:rsid w:val="00C2331C"/>
    <w:rsid w:val="00C233A9"/>
    <w:rsid w:val="00C23485"/>
    <w:rsid w:val="00C234EC"/>
    <w:rsid w:val="00C23563"/>
    <w:rsid w:val="00C23577"/>
    <w:rsid w:val="00C2366F"/>
    <w:rsid w:val="00C23691"/>
    <w:rsid w:val="00C236A0"/>
    <w:rsid w:val="00C236FD"/>
    <w:rsid w:val="00C2372F"/>
    <w:rsid w:val="00C237D5"/>
    <w:rsid w:val="00C23886"/>
    <w:rsid w:val="00C2392C"/>
    <w:rsid w:val="00C23A9C"/>
    <w:rsid w:val="00C23AD3"/>
    <w:rsid w:val="00C23BB9"/>
    <w:rsid w:val="00C23BBD"/>
    <w:rsid w:val="00C23BF8"/>
    <w:rsid w:val="00C23F61"/>
    <w:rsid w:val="00C23F85"/>
    <w:rsid w:val="00C23FD3"/>
    <w:rsid w:val="00C24152"/>
    <w:rsid w:val="00C24179"/>
    <w:rsid w:val="00C241D0"/>
    <w:rsid w:val="00C24328"/>
    <w:rsid w:val="00C24708"/>
    <w:rsid w:val="00C247F8"/>
    <w:rsid w:val="00C24848"/>
    <w:rsid w:val="00C248D9"/>
    <w:rsid w:val="00C24917"/>
    <w:rsid w:val="00C249D5"/>
    <w:rsid w:val="00C24A9C"/>
    <w:rsid w:val="00C24B7D"/>
    <w:rsid w:val="00C24B98"/>
    <w:rsid w:val="00C24BA6"/>
    <w:rsid w:val="00C24C58"/>
    <w:rsid w:val="00C24D0C"/>
    <w:rsid w:val="00C24DD0"/>
    <w:rsid w:val="00C24ED7"/>
    <w:rsid w:val="00C24F1F"/>
    <w:rsid w:val="00C25032"/>
    <w:rsid w:val="00C25203"/>
    <w:rsid w:val="00C252BE"/>
    <w:rsid w:val="00C25377"/>
    <w:rsid w:val="00C2549A"/>
    <w:rsid w:val="00C254A7"/>
    <w:rsid w:val="00C254DA"/>
    <w:rsid w:val="00C25597"/>
    <w:rsid w:val="00C2562C"/>
    <w:rsid w:val="00C2562E"/>
    <w:rsid w:val="00C2566D"/>
    <w:rsid w:val="00C25699"/>
    <w:rsid w:val="00C256C8"/>
    <w:rsid w:val="00C256D7"/>
    <w:rsid w:val="00C256E9"/>
    <w:rsid w:val="00C2571B"/>
    <w:rsid w:val="00C257C5"/>
    <w:rsid w:val="00C25B14"/>
    <w:rsid w:val="00C25DD1"/>
    <w:rsid w:val="00C25DFB"/>
    <w:rsid w:val="00C260E0"/>
    <w:rsid w:val="00C26146"/>
    <w:rsid w:val="00C26178"/>
    <w:rsid w:val="00C2618F"/>
    <w:rsid w:val="00C261C7"/>
    <w:rsid w:val="00C261EB"/>
    <w:rsid w:val="00C261FD"/>
    <w:rsid w:val="00C2621B"/>
    <w:rsid w:val="00C26264"/>
    <w:rsid w:val="00C26310"/>
    <w:rsid w:val="00C26355"/>
    <w:rsid w:val="00C26419"/>
    <w:rsid w:val="00C264C9"/>
    <w:rsid w:val="00C26585"/>
    <w:rsid w:val="00C265A3"/>
    <w:rsid w:val="00C265D0"/>
    <w:rsid w:val="00C265FD"/>
    <w:rsid w:val="00C2669E"/>
    <w:rsid w:val="00C266A7"/>
    <w:rsid w:val="00C267CA"/>
    <w:rsid w:val="00C26849"/>
    <w:rsid w:val="00C268BE"/>
    <w:rsid w:val="00C269EB"/>
    <w:rsid w:val="00C269F2"/>
    <w:rsid w:val="00C26A02"/>
    <w:rsid w:val="00C26B24"/>
    <w:rsid w:val="00C26DE9"/>
    <w:rsid w:val="00C26E3A"/>
    <w:rsid w:val="00C26EF5"/>
    <w:rsid w:val="00C27155"/>
    <w:rsid w:val="00C27200"/>
    <w:rsid w:val="00C27289"/>
    <w:rsid w:val="00C2728E"/>
    <w:rsid w:val="00C2732A"/>
    <w:rsid w:val="00C273FA"/>
    <w:rsid w:val="00C2741A"/>
    <w:rsid w:val="00C2745C"/>
    <w:rsid w:val="00C274E1"/>
    <w:rsid w:val="00C27574"/>
    <w:rsid w:val="00C275EB"/>
    <w:rsid w:val="00C2764B"/>
    <w:rsid w:val="00C278D8"/>
    <w:rsid w:val="00C279B7"/>
    <w:rsid w:val="00C27A23"/>
    <w:rsid w:val="00C27C46"/>
    <w:rsid w:val="00C27C7C"/>
    <w:rsid w:val="00C27CC9"/>
    <w:rsid w:val="00C27DFE"/>
    <w:rsid w:val="00C27E49"/>
    <w:rsid w:val="00C27F76"/>
    <w:rsid w:val="00C300B5"/>
    <w:rsid w:val="00C300CC"/>
    <w:rsid w:val="00C3014E"/>
    <w:rsid w:val="00C30161"/>
    <w:rsid w:val="00C3021C"/>
    <w:rsid w:val="00C30241"/>
    <w:rsid w:val="00C30295"/>
    <w:rsid w:val="00C302CA"/>
    <w:rsid w:val="00C30341"/>
    <w:rsid w:val="00C303B8"/>
    <w:rsid w:val="00C30533"/>
    <w:rsid w:val="00C305EB"/>
    <w:rsid w:val="00C306B4"/>
    <w:rsid w:val="00C30739"/>
    <w:rsid w:val="00C307A4"/>
    <w:rsid w:val="00C30851"/>
    <w:rsid w:val="00C30862"/>
    <w:rsid w:val="00C30883"/>
    <w:rsid w:val="00C30940"/>
    <w:rsid w:val="00C30993"/>
    <w:rsid w:val="00C309EF"/>
    <w:rsid w:val="00C30A1A"/>
    <w:rsid w:val="00C30A92"/>
    <w:rsid w:val="00C30AF2"/>
    <w:rsid w:val="00C30B28"/>
    <w:rsid w:val="00C30BDD"/>
    <w:rsid w:val="00C30C1A"/>
    <w:rsid w:val="00C30CAB"/>
    <w:rsid w:val="00C30CE5"/>
    <w:rsid w:val="00C30DB1"/>
    <w:rsid w:val="00C30F88"/>
    <w:rsid w:val="00C31042"/>
    <w:rsid w:val="00C3110B"/>
    <w:rsid w:val="00C311B3"/>
    <w:rsid w:val="00C312DC"/>
    <w:rsid w:val="00C31398"/>
    <w:rsid w:val="00C313CE"/>
    <w:rsid w:val="00C314C9"/>
    <w:rsid w:val="00C316C0"/>
    <w:rsid w:val="00C316C8"/>
    <w:rsid w:val="00C31801"/>
    <w:rsid w:val="00C31820"/>
    <w:rsid w:val="00C3184C"/>
    <w:rsid w:val="00C3192D"/>
    <w:rsid w:val="00C31954"/>
    <w:rsid w:val="00C319C0"/>
    <w:rsid w:val="00C31B11"/>
    <w:rsid w:val="00C31B9C"/>
    <w:rsid w:val="00C31C15"/>
    <w:rsid w:val="00C31C19"/>
    <w:rsid w:val="00C31C91"/>
    <w:rsid w:val="00C31CA6"/>
    <w:rsid w:val="00C31D4C"/>
    <w:rsid w:val="00C31D67"/>
    <w:rsid w:val="00C31E37"/>
    <w:rsid w:val="00C31E42"/>
    <w:rsid w:val="00C31EAD"/>
    <w:rsid w:val="00C31ECE"/>
    <w:rsid w:val="00C31FE7"/>
    <w:rsid w:val="00C3201C"/>
    <w:rsid w:val="00C32020"/>
    <w:rsid w:val="00C32032"/>
    <w:rsid w:val="00C320B7"/>
    <w:rsid w:val="00C320F3"/>
    <w:rsid w:val="00C321DC"/>
    <w:rsid w:val="00C321E1"/>
    <w:rsid w:val="00C322D7"/>
    <w:rsid w:val="00C32517"/>
    <w:rsid w:val="00C3260E"/>
    <w:rsid w:val="00C326F7"/>
    <w:rsid w:val="00C32726"/>
    <w:rsid w:val="00C32822"/>
    <w:rsid w:val="00C32881"/>
    <w:rsid w:val="00C328BB"/>
    <w:rsid w:val="00C328EF"/>
    <w:rsid w:val="00C32967"/>
    <w:rsid w:val="00C32AA5"/>
    <w:rsid w:val="00C32B45"/>
    <w:rsid w:val="00C32D84"/>
    <w:rsid w:val="00C32DAA"/>
    <w:rsid w:val="00C32DEC"/>
    <w:rsid w:val="00C32EA8"/>
    <w:rsid w:val="00C32ED6"/>
    <w:rsid w:val="00C32EFC"/>
    <w:rsid w:val="00C32F0B"/>
    <w:rsid w:val="00C33036"/>
    <w:rsid w:val="00C33093"/>
    <w:rsid w:val="00C3310E"/>
    <w:rsid w:val="00C33123"/>
    <w:rsid w:val="00C33134"/>
    <w:rsid w:val="00C331C3"/>
    <w:rsid w:val="00C33286"/>
    <w:rsid w:val="00C33358"/>
    <w:rsid w:val="00C333B5"/>
    <w:rsid w:val="00C33414"/>
    <w:rsid w:val="00C3341B"/>
    <w:rsid w:val="00C33538"/>
    <w:rsid w:val="00C33555"/>
    <w:rsid w:val="00C33595"/>
    <w:rsid w:val="00C3375C"/>
    <w:rsid w:val="00C337B1"/>
    <w:rsid w:val="00C337E6"/>
    <w:rsid w:val="00C3380D"/>
    <w:rsid w:val="00C33854"/>
    <w:rsid w:val="00C33B1A"/>
    <w:rsid w:val="00C33DEE"/>
    <w:rsid w:val="00C33F6A"/>
    <w:rsid w:val="00C33F96"/>
    <w:rsid w:val="00C3404A"/>
    <w:rsid w:val="00C34076"/>
    <w:rsid w:val="00C341BC"/>
    <w:rsid w:val="00C34242"/>
    <w:rsid w:val="00C342E8"/>
    <w:rsid w:val="00C342E9"/>
    <w:rsid w:val="00C34353"/>
    <w:rsid w:val="00C34474"/>
    <w:rsid w:val="00C344CD"/>
    <w:rsid w:val="00C34515"/>
    <w:rsid w:val="00C34609"/>
    <w:rsid w:val="00C34619"/>
    <w:rsid w:val="00C3468A"/>
    <w:rsid w:val="00C34695"/>
    <w:rsid w:val="00C34791"/>
    <w:rsid w:val="00C347EE"/>
    <w:rsid w:val="00C34823"/>
    <w:rsid w:val="00C3487D"/>
    <w:rsid w:val="00C34982"/>
    <w:rsid w:val="00C349A6"/>
    <w:rsid w:val="00C349C8"/>
    <w:rsid w:val="00C349F4"/>
    <w:rsid w:val="00C349F7"/>
    <w:rsid w:val="00C34A2A"/>
    <w:rsid w:val="00C34A32"/>
    <w:rsid w:val="00C34AB5"/>
    <w:rsid w:val="00C34B42"/>
    <w:rsid w:val="00C34B5D"/>
    <w:rsid w:val="00C34B9F"/>
    <w:rsid w:val="00C34C27"/>
    <w:rsid w:val="00C34D15"/>
    <w:rsid w:val="00C34D8B"/>
    <w:rsid w:val="00C34E2C"/>
    <w:rsid w:val="00C34E33"/>
    <w:rsid w:val="00C34E56"/>
    <w:rsid w:val="00C34F60"/>
    <w:rsid w:val="00C35009"/>
    <w:rsid w:val="00C35025"/>
    <w:rsid w:val="00C35078"/>
    <w:rsid w:val="00C3526A"/>
    <w:rsid w:val="00C352E0"/>
    <w:rsid w:val="00C352F3"/>
    <w:rsid w:val="00C3536C"/>
    <w:rsid w:val="00C353C7"/>
    <w:rsid w:val="00C354D2"/>
    <w:rsid w:val="00C3551C"/>
    <w:rsid w:val="00C35576"/>
    <w:rsid w:val="00C356B7"/>
    <w:rsid w:val="00C356B8"/>
    <w:rsid w:val="00C356E2"/>
    <w:rsid w:val="00C35753"/>
    <w:rsid w:val="00C35892"/>
    <w:rsid w:val="00C358C6"/>
    <w:rsid w:val="00C358ED"/>
    <w:rsid w:val="00C359F1"/>
    <w:rsid w:val="00C359FB"/>
    <w:rsid w:val="00C35A7B"/>
    <w:rsid w:val="00C35AC6"/>
    <w:rsid w:val="00C35AD5"/>
    <w:rsid w:val="00C35AE7"/>
    <w:rsid w:val="00C35B7B"/>
    <w:rsid w:val="00C35B82"/>
    <w:rsid w:val="00C35BA3"/>
    <w:rsid w:val="00C35CD0"/>
    <w:rsid w:val="00C35D12"/>
    <w:rsid w:val="00C35D9D"/>
    <w:rsid w:val="00C35DA3"/>
    <w:rsid w:val="00C35DD4"/>
    <w:rsid w:val="00C35DEF"/>
    <w:rsid w:val="00C35E4A"/>
    <w:rsid w:val="00C35EA2"/>
    <w:rsid w:val="00C35F0B"/>
    <w:rsid w:val="00C35F39"/>
    <w:rsid w:val="00C35FEE"/>
    <w:rsid w:val="00C3600C"/>
    <w:rsid w:val="00C3606D"/>
    <w:rsid w:val="00C360BF"/>
    <w:rsid w:val="00C360D9"/>
    <w:rsid w:val="00C3614A"/>
    <w:rsid w:val="00C3617C"/>
    <w:rsid w:val="00C361A6"/>
    <w:rsid w:val="00C3622D"/>
    <w:rsid w:val="00C36438"/>
    <w:rsid w:val="00C364D3"/>
    <w:rsid w:val="00C36542"/>
    <w:rsid w:val="00C36552"/>
    <w:rsid w:val="00C36598"/>
    <w:rsid w:val="00C365E0"/>
    <w:rsid w:val="00C36704"/>
    <w:rsid w:val="00C3671C"/>
    <w:rsid w:val="00C36729"/>
    <w:rsid w:val="00C367FC"/>
    <w:rsid w:val="00C3684F"/>
    <w:rsid w:val="00C36913"/>
    <w:rsid w:val="00C3694B"/>
    <w:rsid w:val="00C369C7"/>
    <w:rsid w:val="00C36A3F"/>
    <w:rsid w:val="00C36B41"/>
    <w:rsid w:val="00C36B90"/>
    <w:rsid w:val="00C36BD4"/>
    <w:rsid w:val="00C36C05"/>
    <w:rsid w:val="00C36C61"/>
    <w:rsid w:val="00C36D16"/>
    <w:rsid w:val="00C36D84"/>
    <w:rsid w:val="00C36F05"/>
    <w:rsid w:val="00C36F27"/>
    <w:rsid w:val="00C36F6A"/>
    <w:rsid w:val="00C3709C"/>
    <w:rsid w:val="00C371B6"/>
    <w:rsid w:val="00C371BF"/>
    <w:rsid w:val="00C37205"/>
    <w:rsid w:val="00C37219"/>
    <w:rsid w:val="00C3732D"/>
    <w:rsid w:val="00C37351"/>
    <w:rsid w:val="00C37355"/>
    <w:rsid w:val="00C373A0"/>
    <w:rsid w:val="00C374DC"/>
    <w:rsid w:val="00C37605"/>
    <w:rsid w:val="00C376AA"/>
    <w:rsid w:val="00C37721"/>
    <w:rsid w:val="00C37877"/>
    <w:rsid w:val="00C37AE0"/>
    <w:rsid w:val="00C37AF7"/>
    <w:rsid w:val="00C37AFD"/>
    <w:rsid w:val="00C37CED"/>
    <w:rsid w:val="00C37DE0"/>
    <w:rsid w:val="00C37DF0"/>
    <w:rsid w:val="00C37E71"/>
    <w:rsid w:val="00C37ECA"/>
    <w:rsid w:val="00C37FD3"/>
    <w:rsid w:val="00C3AE28"/>
    <w:rsid w:val="00C40027"/>
    <w:rsid w:val="00C4005D"/>
    <w:rsid w:val="00C400BE"/>
    <w:rsid w:val="00C40126"/>
    <w:rsid w:val="00C401E9"/>
    <w:rsid w:val="00C4023C"/>
    <w:rsid w:val="00C402D6"/>
    <w:rsid w:val="00C4037B"/>
    <w:rsid w:val="00C403B6"/>
    <w:rsid w:val="00C403C5"/>
    <w:rsid w:val="00C403F2"/>
    <w:rsid w:val="00C404F5"/>
    <w:rsid w:val="00C406EE"/>
    <w:rsid w:val="00C40741"/>
    <w:rsid w:val="00C40749"/>
    <w:rsid w:val="00C407D1"/>
    <w:rsid w:val="00C40815"/>
    <w:rsid w:val="00C408AB"/>
    <w:rsid w:val="00C408D8"/>
    <w:rsid w:val="00C40912"/>
    <w:rsid w:val="00C4099E"/>
    <w:rsid w:val="00C40BFE"/>
    <w:rsid w:val="00C40C1E"/>
    <w:rsid w:val="00C40C3F"/>
    <w:rsid w:val="00C40CAB"/>
    <w:rsid w:val="00C40CAD"/>
    <w:rsid w:val="00C40E2C"/>
    <w:rsid w:val="00C40F9A"/>
    <w:rsid w:val="00C40F9F"/>
    <w:rsid w:val="00C41045"/>
    <w:rsid w:val="00C4105A"/>
    <w:rsid w:val="00C41139"/>
    <w:rsid w:val="00C41205"/>
    <w:rsid w:val="00C41262"/>
    <w:rsid w:val="00C412B2"/>
    <w:rsid w:val="00C41341"/>
    <w:rsid w:val="00C4136B"/>
    <w:rsid w:val="00C41386"/>
    <w:rsid w:val="00C41518"/>
    <w:rsid w:val="00C41544"/>
    <w:rsid w:val="00C415F9"/>
    <w:rsid w:val="00C4167D"/>
    <w:rsid w:val="00C41697"/>
    <w:rsid w:val="00C416EC"/>
    <w:rsid w:val="00C41707"/>
    <w:rsid w:val="00C41772"/>
    <w:rsid w:val="00C41832"/>
    <w:rsid w:val="00C4184C"/>
    <w:rsid w:val="00C41889"/>
    <w:rsid w:val="00C41A41"/>
    <w:rsid w:val="00C41C1C"/>
    <w:rsid w:val="00C41CB1"/>
    <w:rsid w:val="00C41E04"/>
    <w:rsid w:val="00C41F1B"/>
    <w:rsid w:val="00C420D3"/>
    <w:rsid w:val="00C420FA"/>
    <w:rsid w:val="00C42161"/>
    <w:rsid w:val="00C421E0"/>
    <w:rsid w:val="00C4245C"/>
    <w:rsid w:val="00C4245E"/>
    <w:rsid w:val="00C42481"/>
    <w:rsid w:val="00C42595"/>
    <w:rsid w:val="00C425E0"/>
    <w:rsid w:val="00C4279E"/>
    <w:rsid w:val="00C42879"/>
    <w:rsid w:val="00C42980"/>
    <w:rsid w:val="00C42985"/>
    <w:rsid w:val="00C4298B"/>
    <w:rsid w:val="00C42A43"/>
    <w:rsid w:val="00C42AFF"/>
    <w:rsid w:val="00C42BE7"/>
    <w:rsid w:val="00C42D60"/>
    <w:rsid w:val="00C42DB7"/>
    <w:rsid w:val="00C42DF5"/>
    <w:rsid w:val="00C42E11"/>
    <w:rsid w:val="00C42E9F"/>
    <w:rsid w:val="00C42FCB"/>
    <w:rsid w:val="00C430D5"/>
    <w:rsid w:val="00C431AE"/>
    <w:rsid w:val="00C431CD"/>
    <w:rsid w:val="00C432AE"/>
    <w:rsid w:val="00C432B0"/>
    <w:rsid w:val="00C4338B"/>
    <w:rsid w:val="00C43399"/>
    <w:rsid w:val="00C4341C"/>
    <w:rsid w:val="00C434F4"/>
    <w:rsid w:val="00C43508"/>
    <w:rsid w:val="00C43569"/>
    <w:rsid w:val="00C435C2"/>
    <w:rsid w:val="00C435EE"/>
    <w:rsid w:val="00C43666"/>
    <w:rsid w:val="00C4374F"/>
    <w:rsid w:val="00C437AE"/>
    <w:rsid w:val="00C43A51"/>
    <w:rsid w:val="00C43AA0"/>
    <w:rsid w:val="00C43BEE"/>
    <w:rsid w:val="00C43BF3"/>
    <w:rsid w:val="00C43BFD"/>
    <w:rsid w:val="00C43E31"/>
    <w:rsid w:val="00C43E69"/>
    <w:rsid w:val="00C44025"/>
    <w:rsid w:val="00C4411A"/>
    <w:rsid w:val="00C44124"/>
    <w:rsid w:val="00C44197"/>
    <w:rsid w:val="00C4426A"/>
    <w:rsid w:val="00C442F4"/>
    <w:rsid w:val="00C443DF"/>
    <w:rsid w:val="00C444CB"/>
    <w:rsid w:val="00C444DA"/>
    <w:rsid w:val="00C44518"/>
    <w:rsid w:val="00C44711"/>
    <w:rsid w:val="00C4477D"/>
    <w:rsid w:val="00C447B1"/>
    <w:rsid w:val="00C447B8"/>
    <w:rsid w:val="00C44867"/>
    <w:rsid w:val="00C448A3"/>
    <w:rsid w:val="00C44956"/>
    <w:rsid w:val="00C44977"/>
    <w:rsid w:val="00C44A43"/>
    <w:rsid w:val="00C44A68"/>
    <w:rsid w:val="00C44AA8"/>
    <w:rsid w:val="00C44AE9"/>
    <w:rsid w:val="00C44B29"/>
    <w:rsid w:val="00C44B4B"/>
    <w:rsid w:val="00C44B86"/>
    <w:rsid w:val="00C44BF8"/>
    <w:rsid w:val="00C44C14"/>
    <w:rsid w:val="00C44D2A"/>
    <w:rsid w:val="00C44DCA"/>
    <w:rsid w:val="00C44E4B"/>
    <w:rsid w:val="00C44E52"/>
    <w:rsid w:val="00C44E61"/>
    <w:rsid w:val="00C44F11"/>
    <w:rsid w:val="00C44F5E"/>
    <w:rsid w:val="00C45076"/>
    <w:rsid w:val="00C451C0"/>
    <w:rsid w:val="00C451DF"/>
    <w:rsid w:val="00C4530D"/>
    <w:rsid w:val="00C45317"/>
    <w:rsid w:val="00C4535E"/>
    <w:rsid w:val="00C45360"/>
    <w:rsid w:val="00C453D4"/>
    <w:rsid w:val="00C454C7"/>
    <w:rsid w:val="00C45522"/>
    <w:rsid w:val="00C4552D"/>
    <w:rsid w:val="00C45554"/>
    <w:rsid w:val="00C45555"/>
    <w:rsid w:val="00C45564"/>
    <w:rsid w:val="00C455FA"/>
    <w:rsid w:val="00C45608"/>
    <w:rsid w:val="00C456AE"/>
    <w:rsid w:val="00C456DE"/>
    <w:rsid w:val="00C45877"/>
    <w:rsid w:val="00C459B5"/>
    <w:rsid w:val="00C459C6"/>
    <w:rsid w:val="00C45A25"/>
    <w:rsid w:val="00C45A4B"/>
    <w:rsid w:val="00C45ABF"/>
    <w:rsid w:val="00C45B47"/>
    <w:rsid w:val="00C45B59"/>
    <w:rsid w:val="00C45B73"/>
    <w:rsid w:val="00C45D5B"/>
    <w:rsid w:val="00C45E2A"/>
    <w:rsid w:val="00C45E41"/>
    <w:rsid w:val="00C45E46"/>
    <w:rsid w:val="00C45ED6"/>
    <w:rsid w:val="00C45F70"/>
    <w:rsid w:val="00C45F95"/>
    <w:rsid w:val="00C46017"/>
    <w:rsid w:val="00C4601D"/>
    <w:rsid w:val="00C460C5"/>
    <w:rsid w:val="00C460DE"/>
    <w:rsid w:val="00C4613A"/>
    <w:rsid w:val="00C4614D"/>
    <w:rsid w:val="00C4617B"/>
    <w:rsid w:val="00C4628D"/>
    <w:rsid w:val="00C46329"/>
    <w:rsid w:val="00C46361"/>
    <w:rsid w:val="00C46472"/>
    <w:rsid w:val="00C46495"/>
    <w:rsid w:val="00C464C9"/>
    <w:rsid w:val="00C4650C"/>
    <w:rsid w:val="00C465A2"/>
    <w:rsid w:val="00C4674D"/>
    <w:rsid w:val="00C467AD"/>
    <w:rsid w:val="00C46A21"/>
    <w:rsid w:val="00C46A5D"/>
    <w:rsid w:val="00C46B44"/>
    <w:rsid w:val="00C46B50"/>
    <w:rsid w:val="00C46B7A"/>
    <w:rsid w:val="00C46BDC"/>
    <w:rsid w:val="00C46C54"/>
    <w:rsid w:val="00C46C73"/>
    <w:rsid w:val="00C46D80"/>
    <w:rsid w:val="00C46DEA"/>
    <w:rsid w:val="00C46E76"/>
    <w:rsid w:val="00C46EA3"/>
    <w:rsid w:val="00C46F45"/>
    <w:rsid w:val="00C46F71"/>
    <w:rsid w:val="00C46F78"/>
    <w:rsid w:val="00C46FA0"/>
    <w:rsid w:val="00C46FCA"/>
    <w:rsid w:val="00C46FEA"/>
    <w:rsid w:val="00C47000"/>
    <w:rsid w:val="00C47074"/>
    <w:rsid w:val="00C47197"/>
    <w:rsid w:val="00C471A8"/>
    <w:rsid w:val="00C47213"/>
    <w:rsid w:val="00C472D2"/>
    <w:rsid w:val="00C473A2"/>
    <w:rsid w:val="00C473C6"/>
    <w:rsid w:val="00C47448"/>
    <w:rsid w:val="00C4756E"/>
    <w:rsid w:val="00C47579"/>
    <w:rsid w:val="00C47582"/>
    <w:rsid w:val="00C475EA"/>
    <w:rsid w:val="00C47626"/>
    <w:rsid w:val="00C476D1"/>
    <w:rsid w:val="00C47743"/>
    <w:rsid w:val="00C47747"/>
    <w:rsid w:val="00C477B3"/>
    <w:rsid w:val="00C4785E"/>
    <w:rsid w:val="00C47899"/>
    <w:rsid w:val="00C479DA"/>
    <w:rsid w:val="00C47A1D"/>
    <w:rsid w:val="00C47B11"/>
    <w:rsid w:val="00C47B4A"/>
    <w:rsid w:val="00C47BE4"/>
    <w:rsid w:val="00C47CB4"/>
    <w:rsid w:val="00C47DE4"/>
    <w:rsid w:val="00C47E54"/>
    <w:rsid w:val="00C47EC4"/>
    <w:rsid w:val="00C47EDC"/>
    <w:rsid w:val="00C47F60"/>
    <w:rsid w:val="00C5017F"/>
    <w:rsid w:val="00C501A4"/>
    <w:rsid w:val="00C501CA"/>
    <w:rsid w:val="00C50321"/>
    <w:rsid w:val="00C50395"/>
    <w:rsid w:val="00C503AE"/>
    <w:rsid w:val="00C503E4"/>
    <w:rsid w:val="00C503FD"/>
    <w:rsid w:val="00C50419"/>
    <w:rsid w:val="00C50421"/>
    <w:rsid w:val="00C5048C"/>
    <w:rsid w:val="00C50496"/>
    <w:rsid w:val="00C504A5"/>
    <w:rsid w:val="00C505B3"/>
    <w:rsid w:val="00C506B1"/>
    <w:rsid w:val="00C50735"/>
    <w:rsid w:val="00C5073F"/>
    <w:rsid w:val="00C50817"/>
    <w:rsid w:val="00C5088D"/>
    <w:rsid w:val="00C509A9"/>
    <w:rsid w:val="00C509E2"/>
    <w:rsid w:val="00C50ACB"/>
    <w:rsid w:val="00C50B28"/>
    <w:rsid w:val="00C50C09"/>
    <w:rsid w:val="00C50D89"/>
    <w:rsid w:val="00C50DB8"/>
    <w:rsid w:val="00C50DFB"/>
    <w:rsid w:val="00C50E10"/>
    <w:rsid w:val="00C50E82"/>
    <w:rsid w:val="00C5102D"/>
    <w:rsid w:val="00C51089"/>
    <w:rsid w:val="00C5117A"/>
    <w:rsid w:val="00C511A9"/>
    <w:rsid w:val="00C511AB"/>
    <w:rsid w:val="00C51416"/>
    <w:rsid w:val="00C51431"/>
    <w:rsid w:val="00C51442"/>
    <w:rsid w:val="00C514CF"/>
    <w:rsid w:val="00C514DB"/>
    <w:rsid w:val="00C515B3"/>
    <w:rsid w:val="00C51754"/>
    <w:rsid w:val="00C51797"/>
    <w:rsid w:val="00C517A5"/>
    <w:rsid w:val="00C519C6"/>
    <w:rsid w:val="00C51A10"/>
    <w:rsid w:val="00C51A66"/>
    <w:rsid w:val="00C51AA4"/>
    <w:rsid w:val="00C51AC0"/>
    <w:rsid w:val="00C51C4F"/>
    <w:rsid w:val="00C51CD0"/>
    <w:rsid w:val="00C51CFE"/>
    <w:rsid w:val="00C51D82"/>
    <w:rsid w:val="00C51F0E"/>
    <w:rsid w:val="00C52019"/>
    <w:rsid w:val="00C520B9"/>
    <w:rsid w:val="00C52157"/>
    <w:rsid w:val="00C52221"/>
    <w:rsid w:val="00C52228"/>
    <w:rsid w:val="00C5231F"/>
    <w:rsid w:val="00C5239B"/>
    <w:rsid w:val="00C523D9"/>
    <w:rsid w:val="00C52534"/>
    <w:rsid w:val="00C52654"/>
    <w:rsid w:val="00C52795"/>
    <w:rsid w:val="00C5279D"/>
    <w:rsid w:val="00C52870"/>
    <w:rsid w:val="00C52AED"/>
    <w:rsid w:val="00C52B60"/>
    <w:rsid w:val="00C52C6B"/>
    <w:rsid w:val="00C52C72"/>
    <w:rsid w:val="00C52C97"/>
    <w:rsid w:val="00C52CD8"/>
    <w:rsid w:val="00C52DB5"/>
    <w:rsid w:val="00C52EC9"/>
    <w:rsid w:val="00C52F2B"/>
    <w:rsid w:val="00C52F30"/>
    <w:rsid w:val="00C52F87"/>
    <w:rsid w:val="00C52F96"/>
    <w:rsid w:val="00C52FFF"/>
    <w:rsid w:val="00C53222"/>
    <w:rsid w:val="00C53285"/>
    <w:rsid w:val="00C53386"/>
    <w:rsid w:val="00C533B9"/>
    <w:rsid w:val="00C533C9"/>
    <w:rsid w:val="00C53465"/>
    <w:rsid w:val="00C5356A"/>
    <w:rsid w:val="00C535CE"/>
    <w:rsid w:val="00C53600"/>
    <w:rsid w:val="00C5374B"/>
    <w:rsid w:val="00C53754"/>
    <w:rsid w:val="00C5378D"/>
    <w:rsid w:val="00C537BB"/>
    <w:rsid w:val="00C5382A"/>
    <w:rsid w:val="00C53836"/>
    <w:rsid w:val="00C5388E"/>
    <w:rsid w:val="00C53954"/>
    <w:rsid w:val="00C53A93"/>
    <w:rsid w:val="00C53B0B"/>
    <w:rsid w:val="00C53B0E"/>
    <w:rsid w:val="00C53B7C"/>
    <w:rsid w:val="00C53BB7"/>
    <w:rsid w:val="00C53C26"/>
    <w:rsid w:val="00C53C79"/>
    <w:rsid w:val="00C53CF4"/>
    <w:rsid w:val="00C53DAE"/>
    <w:rsid w:val="00C53DB2"/>
    <w:rsid w:val="00C53E5E"/>
    <w:rsid w:val="00C53F45"/>
    <w:rsid w:val="00C53F59"/>
    <w:rsid w:val="00C53F6C"/>
    <w:rsid w:val="00C54064"/>
    <w:rsid w:val="00C540BD"/>
    <w:rsid w:val="00C54100"/>
    <w:rsid w:val="00C54121"/>
    <w:rsid w:val="00C54122"/>
    <w:rsid w:val="00C54156"/>
    <w:rsid w:val="00C542DB"/>
    <w:rsid w:val="00C54406"/>
    <w:rsid w:val="00C5442E"/>
    <w:rsid w:val="00C54513"/>
    <w:rsid w:val="00C54686"/>
    <w:rsid w:val="00C547D0"/>
    <w:rsid w:val="00C547EB"/>
    <w:rsid w:val="00C5480A"/>
    <w:rsid w:val="00C548CF"/>
    <w:rsid w:val="00C548F3"/>
    <w:rsid w:val="00C54A02"/>
    <w:rsid w:val="00C54B31"/>
    <w:rsid w:val="00C54BF8"/>
    <w:rsid w:val="00C54C36"/>
    <w:rsid w:val="00C54E5E"/>
    <w:rsid w:val="00C54F02"/>
    <w:rsid w:val="00C54F28"/>
    <w:rsid w:val="00C54F4E"/>
    <w:rsid w:val="00C54F97"/>
    <w:rsid w:val="00C5505A"/>
    <w:rsid w:val="00C552B4"/>
    <w:rsid w:val="00C552FB"/>
    <w:rsid w:val="00C553AA"/>
    <w:rsid w:val="00C553CD"/>
    <w:rsid w:val="00C55445"/>
    <w:rsid w:val="00C5544F"/>
    <w:rsid w:val="00C5545D"/>
    <w:rsid w:val="00C556DD"/>
    <w:rsid w:val="00C556FD"/>
    <w:rsid w:val="00C5574C"/>
    <w:rsid w:val="00C55856"/>
    <w:rsid w:val="00C55AB6"/>
    <w:rsid w:val="00C55AD1"/>
    <w:rsid w:val="00C55AFE"/>
    <w:rsid w:val="00C55BB8"/>
    <w:rsid w:val="00C55C04"/>
    <w:rsid w:val="00C55D5D"/>
    <w:rsid w:val="00C55ECC"/>
    <w:rsid w:val="00C55F44"/>
    <w:rsid w:val="00C55FE9"/>
    <w:rsid w:val="00C56076"/>
    <w:rsid w:val="00C560AC"/>
    <w:rsid w:val="00C560FF"/>
    <w:rsid w:val="00C5611C"/>
    <w:rsid w:val="00C56132"/>
    <w:rsid w:val="00C5623E"/>
    <w:rsid w:val="00C5624B"/>
    <w:rsid w:val="00C562C1"/>
    <w:rsid w:val="00C56386"/>
    <w:rsid w:val="00C563D1"/>
    <w:rsid w:val="00C564D4"/>
    <w:rsid w:val="00C564DD"/>
    <w:rsid w:val="00C56611"/>
    <w:rsid w:val="00C5662A"/>
    <w:rsid w:val="00C566E8"/>
    <w:rsid w:val="00C56878"/>
    <w:rsid w:val="00C56890"/>
    <w:rsid w:val="00C568F2"/>
    <w:rsid w:val="00C5694F"/>
    <w:rsid w:val="00C56976"/>
    <w:rsid w:val="00C56AFA"/>
    <w:rsid w:val="00C56B0C"/>
    <w:rsid w:val="00C56BB8"/>
    <w:rsid w:val="00C56C91"/>
    <w:rsid w:val="00C56DB1"/>
    <w:rsid w:val="00C56EA9"/>
    <w:rsid w:val="00C56ECC"/>
    <w:rsid w:val="00C56EE3"/>
    <w:rsid w:val="00C57016"/>
    <w:rsid w:val="00C57166"/>
    <w:rsid w:val="00C572B8"/>
    <w:rsid w:val="00C572BA"/>
    <w:rsid w:val="00C57370"/>
    <w:rsid w:val="00C5740C"/>
    <w:rsid w:val="00C57449"/>
    <w:rsid w:val="00C5748E"/>
    <w:rsid w:val="00C5754D"/>
    <w:rsid w:val="00C5760C"/>
    <w:rsid w:val="00C576C7"/>
    <w:rsid w:val="00C57772"/>
    <w:rsid w:val="00C57787"/>
    <w:rsid w:val="00C577ED"/>
    <w:rsid w:val="00C5782C"/>
    <w:rsid w:val="00C57832"/>
    <w:rsid w:val="00C5784B"/>
    <w:rsid w:val="00C57865"/>
    <w:rsid w:val="00C5788B"/>
    <w:rsid w:val="00C578BF"/>
    <w:rsid w:val="00C57904"/>
    <w:rsid w:val="00C579B1"/>
    <w:rsid w:val="00C579DB"/>
    <w:rsid w:val="00C57A30"/>
    <w:rsid w:val="00C57A80"/>
    <w:rsid w:val="00C57A93"/>
    <w:rsid w:val="00C57BAD"/>
    <w:rsid w:val="00C57BDF"/>
    <w:rsid w:val="00C57D4E"/>
    <w:rsid w:val="00C57FA0"/>
    <w:rsid w:val="00C600B6"/>
    <w:rsid w:val="00C60249"/>
    <w:rsid w:val="00C60271"/>
    <w:rsid w:val="00C60329"/>
    <w:rsid w:val="00C60367"/>
    <w:rsid w:val="00C604FA"/>
    <w:rsid w:val="00C605C8"/>
    <w:rsid w:val="00C605D0"/>
    <w:rsid w:val="00C605EE"/>
    <w:rsid w:val="00C6071A"/>
    <w:rsid w:val="00C60773"/>
    <w:rsid w:val="00C60801"/>
    <w:rsid w:val="00C60888"/>
    <w:rsid w:val="00C60903"/>
    <w:rsid w:val="00C609F6"/>
    <w:rsid w:val="00C60B17"/>
    <w:rsid w:val="00C60B5C"/>
    <w:rsid w:val="00C60CAA"/>
    <w:rsid w:val="00C60D22"/>
    <w:rsid w:val="00C60D9A"/>
    <w:rsid w:val="00C60DB5"/>
    <w:rsid w:val="00C60ECA"/>
    <w:rsid w:val="00C60F6D"/>
    <w:rsid w:val="00C61020"/>
    <w:rsid w:val="00C6109F"/>
    <w:rsid w:val="00C610B0"/>
    <w:rsid w:val="00C6121F"/>
    <w:rsid w:val="00C612CC"/>
    <w:rsid w:val="00C61394"/>
    <w:rsid w:val="00C613CC"/>
    <w:rsid w:val="00C613F3"/>
    <w:rsid w:val="00C61401"/>
    <w:rsid w:val="00C6146A"/>
    <w:rsid w:val="00C61507"/>
    <w:rsid w:val="00C6175C"/>
    <w:rsid w:val="00C61773"/>
    <w:rsid w:val="00C6178C"/>
    <w:rsid w:val="00C6180C"/>
    <w:rsid w:val="00C618AA"/>
    <w:rsid w:val="00C618EA"/>
    <w:rsid w:val="00C6199A"/>
    <w:rsid w:val="00C61A35"/>
    <w:rsid w:val="00C61B8C"/>
    <w:rsid w:val="00C61BDC"/>
    <w:rsid w:val="00C61CA2"/>
    <w:rsid w:val="00C61CEA"/>
    <w:rsid w:val="00C61D5F"/>
    <w:rsid w:val="00C61E58"/>
    <w:rsid w:val="00C61EA7"/>
    <w:rsid w:val="00C61F2B"/>
    <w:rsid w:val="00C620FF"/>
    <w:rsid w:val="00C62226"/>
    <w:rsid w:val="00C6227A"/>
    <w:rsid w:val="00C622D1"/>
    <w:rsid w:val="00C622D3"/>
    <w:rsid w:val="00C6245B"/>
    <w:rsid w:val="00C62579"/>
    <w:rsid w:val="00C625A6"/>
    <w:rsid w:val="00C625FE"/>
    <w:rsid w:val="00C62626"/>
    <w:rsid w:val="00C627A9"/>
    <w:rsid w:val="00C6283C"/>
    <w:rsid w:val="00C62862"/>
    <w:rsid w:val="00C62916"/>
    <w:rsid w:val="00C629D7"/>
    <w:rsid w:val="00C629F2"/>
    <w:rsid w:val="00C62A5A"/>
    <w:rsid w:val="00C62BCC"/>
    <w:rsid w:val="00C62C03"/>
    <w:rsid w:val="00C62C2D"/>
    <w:rsid w:val="00C62C2F"/>
    <w:rsid w:val="00C62C6D"/>
    <w:rsid w:val="00C62C6F"/>
    <w:rsid w:val="00C62D2A"/>
    <w:rsid w:val="00C62D47"/>
    <w:rsid w:val="00C62D91"/>
    <w:rsid w:val="00C62D96"/>
    <w:rsid w:val="00C62E1A"/>
    <w:rsid w:val="00C62EB5"/>
    <w:rsid w:val="00C62ED1"/>
    <w:rsid w:val="00C62F46"/>
    <w:rsid w:val="00C62F51"/>
    <w:rsid w:val="00C62F6E"/>
    <w:rsid w:val="00C62FA5"/>
    <w:rsid w:val="00C62FB6"/>
    <w:rsid w:val="00C63061"/>
    <w:rsid w:val="00C63203"/>
    <w:rsid w:val="00C63264"/>
    <w:rsid w:val="00C632BB"/>
    <w:rsid w:val="00C6333E"/>
    <w:rsid w:val="00C63368"/>
    <w:rsid w:val="00C6341E"/>
    <w:rsid w:val="00C63435"/>
    <w:rsid w:val="00C6347D"/>
    <w:rsid w:val="00C634A8"/>
    <w:rsid w:val="00C634CC"/>
    <w:rsid w:val="00C634F3"/>
    <w:rsid w:val="00C6359D"/>
    <w:rsid w:val="00C635A3"/>
    <w:rsid w:val="00C635E6"/>
    <w:rsid w:val="00C6363A"/>
    <w:rsid w:val="00C6369E"/>
    <w:rsid w:val="00C636F8"/>
    <w:rsid w:val="00C63743"/>
    <w:rsid w:val="00C6375E"/>
    <w:rsid w:val="00C6383B"/>
    <w:rsid w:val="00C6388A"/>
    <w:rsid w:val="00C63939"/>
    <w:rsid w:val="00C63992"/>
    <w:rsid w:val="00C639B5"/>
    <w:rsid w:val="00C639CF"/>
    <w:rsid w:val="00C63C52"/>
    <w:rsid w:val="00C63CE0"/>
    <w:rsid w:val="00C63D05"/>
    <w:rsid w:val="00C63E9B"/>
    <w:rsid w:val="00C63F62"/>
    <w:rsid w:val="00C63FE3"/>
    <w:rsid w:val="00C6412A"/>
    <w:rsid w:val="00C6415F"/>
    <w:rsid w:val="00C64212"/>
    <w:rsid w:val="00C64254"/>
    <w:rsid w:val="00C644C7"/>
    <w:rsid w:val="00C644CB"/>
    <w:rsid w:val="00C644D3"/>
    <w:rsid w:val="00C645C9"/>
    <w:rsid w:val="00C64673"/>
    <w:rsid w:val="00C646DB"/>
    <w:rsid w:val="00C64768"/>
    <w:rsid w:val="00C6482F"/>
    <w:rsid w:val="00C648AC"/>
    <w:rsid w:val="00C6497E"/>
    <w:rsid w:val="00C64A18"/>
    <w:rsid w:val="00C64A9F"/>
    <w:rsid w:val="00C64B35"/>
    <w:rsid w:val="00C64B4F"/>
    <w:rsid w:val="00C64B9B"/>
    <w:rsid w:val="00C64BB3"/>
    <w:rsid w:val="00C64C2F"/>
    <w:rsid w:val="00C64D41"/>
    <w:rsid w:val="00C64DC3"/>
    <w:rsid w:val="00C64DD4"/>
    <w:rsid w:val="00C64E10"/>
    <w:rsid w:val="00C64E57"/>
    <w:rsid w:val="00C64E83"/>
    <w:rsid w:val="00C64F06"/>
    <w:rsid w:val="00C64F60"/>
    <w:rsid w:val="00C64FE9"/>
    <w:rsid w:val="00C6504D"/>
    <w:rsid w:val="00C650AF"/>
    <w:rsid w:val="00C651A4"/>
    <w:rsid w:val="00C651B0"/>
    <w:rsid w:val="00C651ED"/>
    <w:rsid w:val="00C65287"/>
    <w:rsid w:val="00C652F8"/>
    <w:rsid w:val="00C6536A"/>
    <w:rsid w:val="00C6538C"/>
    <w:rsid w:val="00C653DA"/>
    <w:rsid w:val="00C654A9"/>
    <w:rsid w:val="00C65533"/>
    <w:rsid w:val="00C6567E"/>
    <w:rsid w:val="00C656A4"/>
    <w:rsid w:val="00C65708"/>
    <w:rsid w:val="00C65758"/>
    <w:rsid w:val="00C657A1"/>
    <w:rsid w:val="00C657A6"/>
    <w:rsid w:val="00C65875"/>
    <w:rsid w:val="00C65950"/>
    <w:rsid w:val="00C659FC"/>
    <w:rsid w:val="00C65A25"/>
    <w:rsid w:val="00C65B5A"/>
    <w:rsid w:val="00C65BB5"/>
    <w:rsid w:val="00C65DE9"/>
    <w:rsid w:val="00C65E91"/>
    <w:rsid w:val="00C65E94"/>
    <w:rsid w:val="00C65EB7"/>
    <w:rsid w:val="00C66208"/>
    <w:rsid w:val="00C6625A"/>
    <w:rsid w:val="00C66315"/>
    <w:rsid w:val="00C66492"/>
    <w:rsid w:val="00C66561"/>
    <w:rsid w:val="00C66585"/>
    <w:rsid w:val="00C666AD"/>
    <w:rsid w:val="00C667CB"/>
    <w:rsid w:val="00C6680C"/>
    <w:rsid w:val="00C66810"/>
    <w:rsid w:val="00C66897"/>
    <w:rsid w:val="00C66898"/>
    <w:rsid w:val="00C668F8"/>
    <w:rsid w:val="00C66ABE"/>
    <w:rsid w:val="00C66AC2"/>
    <w:rsid w:val="00C66AEF"/>
    <w:rsid w:val="00C66B5C"/>
    <w:rsid w:val="00C66BB9"/>
    <w:rsid w:val="00C66BE6"/>
    <w:rsid w:val="00C66C4F"/>
    <w:rsid w:val="00C66CF7"/>
    <w:rsid w:val="00C66CFA"/>
    <w:rsid w:val="00C66D6E"/>
    <w:rsid w:val="00C66DD1"/>
    <w:rsid w:val="00C66EB2"/>
    <w:rsid w:val="00C66ED4"/>
    <w:rsid w:val="00C66EFC"/>
    <w:rsid w:val="00C66F69"/>
    <w:rsid w:val="00C66FEE"/>
    <w:rsid w:val="00C67106"/>
    <w:rsid w:val="00C6717E"/>
    <w:rsid w:val="00C67297"/>
    <w:rsid w:val="00C673B5"/>
    <w:rsid w:val="00C673D4"/>
    <w:rsid w:val="00C6741D"/>
    <w:rsid w:val="00C67464"/>
    <w:rsid w:val="00C6746B"/>
    <w:rsid w:val="00C674A1"/>
    <w:rsid w:val="00C67570"/>
    <w:rsid w:val="00C67586"/>
    <w:rsid w:val="00C675BD"/>
    <w:rsid w:val="00C6763E"/>
    <w:rsid w:val="00C6768A"/>
    <w:rsid w:val="00C67727"/>
    <w:rsid w:val="00C67738"/>
    <w:rsid w:val="00C677F4"/>
    <w:rsid w:val="00C678B3"/>
    <w:rsid w:val="00C67999"/>
    <w:rsid w:val="00C67A18"/>
    <w:rsid w:val="00C67B04"/>
    <w:rsid w:val="00C67C23"/>
    <w:rsid w:val="00C67E74"/>
    <w:rsid w:val="00C67F46"/>
    <w:rsid w:val="00C67F69"/>
    <w:rsid w:val="00C700C8"/>
    <w:rsid w:val="00C7023B"/>
    <w:rsid w:val="00C702A0"/>
    <w:rsid w:val="00C70325"/>
    <w:rsid w:val="00C70339"/>
    <w:rsid w:val="00C70391"/>
    <w:rsid w:val="00C70392"/>
    <w:rsid w:val="00C7047F"/>
    <w:rsid w:val="00C704E2"/>
    <w:rsid w:val="00C70643"/>
    <w:rsid w:val="00C706DC"/>
    <w:rsid w:val="00C706E6"/>
    <w:rsid w:val="00C70700"/>
    <w:rsid w:val="00C7072C"/>
    <w:rsid w:val="00C70767"/>
    <w:rsid w:val="00C7089C"/>
    <w:rsid w:val="00C708C9"/>
    <w:rsid w:val="00C70939"/>
    <w:rsid w:val="00C70A36"/>
    <w:rsid w:val="00C70A4E"/>
    <w:rsid w:val="00C70A51"/>
    <w:rsid w:val="00C70A52"/>
    <w:rsid w:val="00C70C02"/>
    <w:rsid w:val="00C70C7D"/>
    <w:rsid w:val="00C70E4C"/>
    <w:rsid w:val="00C70EB9"/>
    <w:rsid w:val="00C70EC9"/>
    <w:rsid w:val="00C70F50"/>
    <w:rsid w:val="00C7105F"/>
    <w:rsid w:val="00C710AB"/>
    <w:rsid w:val="00C710AF"/>
    <w:rsid w:val="00C710F5"/>
    <w:rsid w:val="00C7118E"/>
    <w:rsid w:val="00C711DF"/>
    <w:rsid w:val="00C71248"/>
    <w:rsid w:val="00C71255"/>
    <w:rsid w:val="00C71277"/>
    <w:rsid w:val="00C7136E"/>
    <w:rsid w:val="00C7138D"/>
    <w:rsid w:val="00C71498"/>
    <w:rsid w:val="00C71517"/>
    <w:rsid w:val="00C716E0"/>
    <w:rsid w:val="00C717DC"/>
    <w:rsid w:val="00C718CB"/>
    <w:rsid w:val="00C718CC"/>
    <w:rsid w:val="00C718E9"/>
    <w:rsid w:val="00C719C8"/>
    <w:rsid w:val="00C71A16"/>
    <w:rsid w:val="00C71A8F"/>
    <w:rsid w:val="00C71AE6"/>
    <w:rsid w:val="00C71B11"/>
    <w:rsid w:val="00C71B43"/>
    <w:rsid w:val="00C71D83"/>
    <w:rsid w:val="00C71DA9"/>
    <w:rsid w:val="00C71DF9"/>
    <w:rsid w:val="00C71E6C"/>
    <w:rsid w:val="00C71EFB"/>
    <w:rsid w:val="00C71F41"/>
    <w:rsid w:val="00C71FB5"/>
    <w:rsid w:val="00C7203D"/>
    <w:rsid w:val="00C72048"/>
    <w:rsid w:val="00C7205E"/>
    <w:rsid w:val="00C720D0"/>
    <w:rsid w:val="00C720D8"/>
    <w:rsid w:val="00C720F6"/>
    <w:rsid w:val="00C721A1"/>
    <w:rsid w:val="00C7227C"/>
    <w:rsid w:val="00C7229C"/>
    <w:rsid w:val="00C722B1"/>
    <w:rsid w:val="00C72313"/>
    <w:rsid w:val="00C72354"/>
    <w:rsid w:val="00C72357"/>
    <w:rsid w:val="00C7243E"/>
    <w:rsid w:val="00C72516"/>
    <w:rsid w:val="00C72605"/>
    <w:rsid w:val="00C7268E"/>
    <w:rsid w:val="00C72696"/>
    <w:rsid w:val="00C727AF"/>
    <w:rsid w:val="00C727B7"/>
    <w:rsid w:val="00C728F8"/>
    <w:rsid w:val="00C7297E"/>
    <w:rsid w:val="00C729C8"/>
    <w:rsid w:val="00C72A31"/>
    <w:rsid w:val="00C72A5E"/>
    <w:rsid w:val="00C72ACA"/>
    <w:rsid w:val="00C72B9C"/>
    <w:rsid w:val="00C72C28"/>
    <w:rsid w:val="00C72CA3"/>
    <w:rsid w:val="00C72D30"/>
    <w:rsid w:val="00C72E34"/>
    <w:rsid w:val="00C72ECA"/>
    <w:rsid w:val="00C72F0F"/>
    <w:rsid w:val="00C73004"/>
    <w:rsid w:val="00C73130"/>
    <w:rsid w:val="00C73170"/>
    <w:rsid w:val="00C73202"/>
    <w:rsid w:val="00C73349"/>
    <w:rsid w:val="00C7336D"/>
    <w:rsid w:val="00C733B2"/>
    <w:rsid w:val="00C733DB"/>
    <w:rsid w:val="00C73467"/>
    <w:rsid w:val="00C73511"/>
    <w:rsid w:val="00C735CA"/>
    <w:rsid w:val="00C73634"/>
    <w:rsid w:val="00C73686"/>
    <w:rsid w:val="00C73690"/>
    <w:rsid w:val="00C73792"/>
    <w:rsid w:val="00C73818"/>
    <w:rsid w:val="00C7384B"/>
    <w:rsid w:val="00C73851"/>
    <w:rsid w:val="00C738A6"/>
    <w:rsid w:val="00C738AB"/>
    <w:rsid w:val="00C73A42"/>
    <w:rsid w:val="00C73A60"/>
    <w:rsid w:val="00C73A8B"/>
    <w:rsid w:val="00C73AF9"/>
    <w:rsid w:val="00C73B58"/>
    <w:rsid w:val="00C73C68"/>
    <w:rsid w:val="00C73D2A"/>
    <w:rsid w:val="00C73E3F"/>
    <w:rsid w:val="00C73ED2"/>
    <w:rsid w:val="00C74139"/>
    <w:rsid w:val="00C74356"/>
    <w:rsid w:val="00C74391"/>
    <w:rsid w:val="00C743E9"/>
    <w:rsid w:val="00C74451"/>
    <w:rsid w:val="00C744F1"/>
    <w:rsid w:val="00C74527"/>
    <w:rsid w:val="00C74539"/>
    <w:rsid w:val="00C74559"/>
    <w:rsid w:val="00C7459B"/>
    <w:rsid w:val="00C745A8"/>
    <w:rsid w:val="00C745DD"/>
    <w:rsid w:val="00C74686"/>
    <w:rsid w:val="00C7471C"/>
    <w:rsid w:val="00C7473E"/>
    <w:rsid w:val="00C747B8"/>
    <w:rsid w:val="00C747CC"/>
    <w:rsid w:val="00C747DC"/>
    <w:rsid w:val="00C74894"/>
    <w:rsid w:val="00C7498A"/>
    <w:rsid w:val="00C749E5"/>
    <w:rsid w:val="00C74B1C"/>
    <w:rsid w:val="00C74B84"/>
    <w:rsid w:val="00C74B99"/>
    <w:rsid w:val="00C74BB5"/>
    <w:rsid w:val="00C74C3D"/>
    <w:rsid w:val="00C74CC3"/>
    <w:rsid w:val="00C750B4"/>
    <w:rsid w:val="00C75135"/>
    <w:rsid w:val="00C7520F"/>
    <w:rsid w:val="00C752C9"/>
    <w:rsid w:val="00C75317"/>
    <w:rsid w:val="00C7532D"/>
    <w:rsid w:val="00C7540C"/>
    <w:rsid w:val="00C75553"/>
    <w:rsid w:val="00C756AE"/>
    <w:rsid w:val="00C756B6"/>
    <w:rsid w:val="00C756B8"/>
    <w:rsid w:val="00C757DB"/>
    <w:rsid w:val="00C75886"/>
    <w:rsid w:val="00C7595D"/>
    <w:rsid w:val="00C75A00"/>
    <w:rsid w:val="00C75A35"/>
    <w:rsid w:val="00C75A83"/>
    <w:rsid w:val="00C75AA0"/>
    <w:rsid w:val="00C75B52"/>
    <w:rsid w:val="00C75B77"/>
    <w:rsid w:val="00C75C02"/>
    <w:rsid w:val="00C75C50"/>
    <w:rsid w:val="00C75C8F"/>
    <w:rsid w:val="00C75CA1"/>
    <w:rsid w:val="00C75D1F"/>
    <w:rsid w:val="00C75E50"/>
    <w:rsid w:val="00C75EBA"/>
    <w:rsid w:val="00C75FF5"/>
    <w:rsid w:val="00C7607A"/>
    <w:rsid w:val="00C76358"/>
    <w:rsid w:val="00C763E5"/>
    <w:rsid w:val="00C763F3"/>
    <w:rsid w:val="00C7644C"/>
    <w:rsid w:val="00C764BF"/>
    <w:rsid w:val="00C764D4"/>
    <w:rsid w:val="00C765D9"/>
    <w:rsid w:val="00C76606"/>
    <w:rsid w:val="00C76773"/>
    <w:rsid w:val="00C76789"/>
    <w:rsid w:val="00C7689C"/>
    <w:rsid w:val="00C76A1C"/>
    <w:rsid w:val="00C76A46"/>
    <w:rsid w:val="00C76A6F"/>
    <w:rsid w:val="00C76A82"/>
    <w:rsid w:val="00C76B4B"/>
    <w:rsid w:val="00C76C25"/>
    <w:rsid w:val="00C76CDA"/>
    <w:rsid w:val="00C76D5D"/>
    <w:rsid w:val="00C76E63"/>
    <w:rsid w:val="00C76FC6"/>
    <w:rsid w:val="00C77182"/>
    <w:rsid w:val="00C7728E"/>
    <w:rsid w:val="00C77334"/>
    <w:rsid w:val="00C773DD"/>
    <w:rsid w:val="00C77494"/>
    <w:rsid w:val="00C7756C"/>
    <w:rsid w:val="00C77673"/>
    <w:rsid w:val="00C77732"/>
    <w:rsid w:val="00C777C2"/>
    <w:rsid w:val="00C778EF"/>
    <w:rsid w:val="00C779DB"/>
    <w:rsid w:val="00C779FF"/>
    <w:rsid w:val="00C77A93"/>
    <w:rsid w:val="00C77ACF"/>
    <w:rsid w:val="00C77B04"/>
    <w:rsid w:val="00C77B8F"/>
    <w:rsid w:val="00C77BC1"/>
    <w:rsid w:val="00C77C5E"/>
    <w:rsid w:val="00C77D43"/>
    <w:rsid w:val="00C77D7C"/>
    <w:rsid w:val="00C80004"/>
    <w:rsid w:val="00C80043"/>
    <w:rsid w:val="00C800C4"/>
    <w:rsid w:val="00C80161"/>
    <w:rsid w:val="00C80171"/>
    <w:rsid w:val="00C801A9"/>
    <w:rsid w:val="00C801CB"/>
    <w:rsid w:val="00C801F0"/>
    <w:rsid w:val="00C8029B"/>
    <w:rsid w:val="00C802C7"/>
    <w:rsid w:val="00C802EC"/>
    <w:rsid w:val="00C80304"/>
    <w:rsid w:val="00C8035E"/>
    <w:rsid w:val="00C80362"/>
    <w:rsid w:val="00C8049E"/>
    <w:rsid w:val="00C804C2"/>
    <w:rsid w:val="00C804C7"/>
    <w:rsid w:val="00C80580"/>
    <w:rsid w:val="00C8062D"/>
    <w:rsid w:val="00C80781"/>
    <w:rsid w:val="00C80806"/>
    <w:rsid w:val="00C8085A"/>
    <w:rsid w:val="00C808C8"/>
    <w:rsid w:val="00C808D0"/>
    <w:rsid w:val="00C80901"/>
    <w:rsid w:val="00C80999"/>
    <w:rsid w:val="00C80A5B"/>
    <w:rsid w:val="00C80B08"/>
    <w:rsid w:val="00C80B5C"/>
    <w:rsid w:val="00C80BA1"/>
    <w:rsid w:val="00C80C3E"/>
    <w:rsid w:val="00C80C6A"/>
    <w:rsid w:val="00C80C71"/>
    <w:rsid w:val="00C80CE3"/>
    <w:rsid w:val="00C80DB8"/>
    <w:rsid w:val="00C80DE6"/>
    <w:rsid w:val="00C80FCE"/>
    <w:rsid w:val="00C8105F"/>
    <w:rsid w:val="00C81068"/>
    <w:rsid w:val="00C8106B"/>
    <w:rsid w:val="00C81079"/>
    <w:rsid w:val="00C810CE"/>
    <w:rsid w:val="00C811A1"/>
    <w:rsid w:val="00C81314"/>
    <w:rsid w:val="00C813D7"/>
    <w:rsid w:val="00C813DD"/>
    <w:rsid w:val="00C813E9"/>
    <w:rsid w:val="00C81487"/>
    <w:rsid w:val="00C814C9"/>
    <w:rsid w:val="00C814EB"/>
    <w:rsid w:val="00C814F3"/>
    <w:rsid w:val="00C8151F"/>
    <w:rsid w:val="00C815D1"/>
    <w:rsid w:val="00C81626"/>
    <w:rsid w:val="00C8162C"/>
    <w:rsid w:val="00C81666"/>
    <w:rsid w:val="00C81694"/>
    <w:rsid w:val="00C8172E"/>
    <w:rsid w:val="00C8174A"/>
    <w:rsid w:val="00C817A4"/>
    <w:rsid w:val="00C81816"/>
    <w:rsid w:val="00C81843"/>
    <w:rsid w:val="00C8186F"/>
    <w:rsid w:val="00C818D0"/>
    <w:rsid w:val="00C81907"/>
    <w:rsid w:val="00C8198F"/>
    <w:rsid w:val="00C81ACF"/>
    <w:rsid w:val="00C81C1A"/>
    <w:rsid w:val="00C81CAA"/>
    <w:rsid w:val="00C81D48"/>
    <w:rsid w:val="00C81D86"/>
    <w:rsid w:val="00C81E0F"/>
    <w:rsid w:val="00C81E27"/>
    <w:rsid w:val="00C81E75"/>
    <w:rsid w:val="00C81F8A"/>
    <w:rsid w:val="00C81FAC"/>
    <w:rsid w:val="00C81FC1"/>
    <w:rsid w:val="00C81FEE"/>
    <w:rsid w:val="00C8205F"/>
    <w:rsid w:val="00C82080"/>
    <w:rsid w:val="00C8220D"/>
    <w:rsid w:val="00C82298"/>
    <w:rsid w:val="00C82312"/>
    <w:rsid w:val="00C82333"/>
    <w:rsid w:val="00C82352"/>
    <w:rsid w:val="00C823F0"/>
    <w:rsid w:val="00C8244C"/>
    <w:rsid w:val="00C824BF"/>
    <w:rsid w:val="00C82588"/>
    <w:rsid w:val="00C8260A"/>
    <w:rsid w:val="00C827E6"/>
    <w:rsid w:val="00C827E8"/>
    <w:rsid w:val="00C827F9"/>
    <w:rsid w:val="00C8280C"/>
    <w:rsid w:val="00C82888"/>
    <w:rsid w:val="00C82930"/>
    <w:rsid w:val="00C829BA"/>
    <w:rsid w:val="00C82B0C"/>
    <w:rsid w:val="00C82B75"/>
    <w:rsid w:val="00C82C3F"/>
    <w:rsid w:val="00C82ED3"/>
    <w:rsid w:val="00C82F09"/>
    <w:rsid w:val="00C82F69"/>
    <w:rsid w:val="00C82FAA"/>
    <w:rsid w:val="00C83051"/>
    <w:rsid w:val="00C830A3"/>
    <w:rsid w:val="00C8313C"/>
    <w:rsid w:val="00C833CB"/>
    <w:rsid w:val="00C8343A"/>
    <w:rsid w:val="00C83504"/>
    <w:rsid w:val="00C835E4"/>
    <w:rsid w:val="00C83692"/>
    <w:rsid w:val="00C836AB"/>
    <w:rsid w:val="00C836FA"/>
    <w:rsid w:val="00C8383D"/>
    <w:rsid w:val="00C8385B"/>
    <w:rsid w:val="00C83A46"/>
    <w:rsid w:val="00C83A71"/>
    <w:rsid w:val="00C83B31"/>
    <w:rsid w:val="00C83BA2"/>
    <w:rsid w:val="00C83E11"/>
    <w:rsid w:val="00C83E37"/>
    <w:rsid w:val="00C83E5D"/>
    <w:rsid w:val="00C83E64"/>
    <w:rsid w:val="00C83EA6"/>
    <w:rsid w:val="00C83EDB"/>
    <w:rsid w:val="00C84180"/>
    <w:rsid w:val="00C841D2"/>
    <w:rsid w:val="00C8420C"/>
    <w:rsid w:val="00C84296"/>
    <w:rsid w:val="00C842E3"/>
    <w:rsid w:val="00C843D7"/>
    <w:rsid w:val="00C84493"/>
    <w:rsid w:val="00C8456B"/>
    <w:rsid w:val="00C84708"/>
    <w:rsid w:val="00C847BE"/>
    <w:rsid w:val="00C847C2"/>
    <w:rsid w:val="00C8486F"/>
    <w:rsid w:val="00C848CA"/>
    <w:rsid w:val="00C848F7"/>
    <w:rsid w:val="00C84AC5"/>
    <w:rsid w:val="00C84B48"/>
    <w:rsid w:val="00C84C2A"/>
    <w:rsid w:val="00C84D04"/>
    <w:rsid w:val="00C84D9F"/>
    <w:rsid w:val="00C84E26"/>
    <w:rsid w:val="00C84E8E"/>
    <w:rsid w:val="00C84F7B"/>
    <w:rsid w:val="00C8502C"/>
    <w:rsid w:val="00C85045"/>
    <w:rsid w:val="00C850C8"/>
    <w:rsid w:val="00C85120"/>
    <w:rsid w:val="00C851A6"/>
    <w:rsid w:val="00C851B0"/>
    <w:rsid w:val="00C8521E"/>
    <w:rsid w:val="00C852FC"/>
    <w:rsid w:val="00C85434"/>
    <w:rsid w:val="00C856A6"/>
    <w:rsid w:val="00C857A0"/>
    <w:rsid w:val="00C858B1"/>
    <w:rsid w:val="00C859A3"/>
    <w:rsid w:val="00C85A0F"/>
    <w:rsid w:val="00C85B34"/>
    <w:rsid w:val="00C85B9B"/>
    <w:rsid w:val="00C85BA1"/>
    <w:rsid w:val="00C85C62"/>
    <w:rsid w:val="00C85CED"/>
    <w:rsid w:val="00C85DBE"/>
    <w:rsid w:val="00C85DF9"/>
    <w:rsid w:val="00C85F41"/>
    <w:rsid w:val="00C85F42"/>
    <w:rsid w:val="00C85FDE"/>
    <w:rsid w:val="00C86020"/>
    <w:rsid w:val="00C860CD"/>
    <w:rsid w:val="00C86118"/>
    <w:rsid w:val="00C8615F"/>
    <w:rsid w:val="00C8616F"/>
    <w:rsid w:val="00C86170"/>
    <w:rsid w:val="00C86182"/>
    <w:rsid w:val="00C861E2"/>
    <w:rsid w:val="00C8620A"/>
    <w:rsid w:val="00C8623F"/>
    <w:rsid w:val="00C86292"/>
    <w:rsid w:val="00C862F5"/>
    <w:rsid w:val="00C8643E"/>
    <w:rsid w:val="00C865EC"/>
    <w:rsid w:val="00C8662A"/>
    <w:rsid w:val="00C86648"/>
    <w:rsid w:val="00C866C7"/>
    <w:rsid w:val="00C867A5"/>
    <w:rsid w:val="00C867CE"/>
    <w:rsid w:val="00C867F8"/>
    <w:rsid w:val="00C868DF"/>
    <w:rsid w:val="00C869C7"/>
    <w:rsid w:val="00C86BCF"/>
    <w:rsid w:val="00C86CC3"/>
    <w:rsid w:val="00C86D39"/>
    <w:rsid w:val="00C86D4B"/>
    <w:rsid w:val="00C86D55"/>
    <w:rsid w:val="00C86DB7"/>
    <w:rsid w:val="00C86DE2"/>
    <w:rsid w:val="00C86DE3"/>
    <w:rsid w:val="00C86E62"/>
    <w:rsid w:val="00C86F95"/>
    <w:rsid w:val="00C86FC8"/>
    <w:rsid w:val="00C86FCA"/>
    <w:rsid w:val="00C8715F"/>
    <w:rsid w:val="00C8716C"/>
    <w:rsid w:val="00C87323"/>
    <w:rsid w:val="00C873E9"/>
    <w:rsid w:val="00C87440"/>
    <w:rsid w:val="00C875E7"/>
    <w:rsid w:val="00C87601"/>
    <w:rsid w:val="00C87709"/>
    <w:rsid w:val="00C87795"/>
    <w:rsid w:val="00C878A2"/>
    <w:rsid w:val="00C879B6"/>
    <w:rsid w:val="00C879C7"/>
    <w:rsid w:val="00C879F0"/>
    <w:rsid w:val="00C879FE"/>
    <w:rsid w:val="00C87A3E"/>
    <w:rsid w:val="00C87A48"/>
    <w:rsid w:val="00C87DAE"/>
    <w:rsid w:val="00C87E13"/>
    <w:rsid w:val="00C87E3A"/>
    <w:rsid w:val="00C87E5B"/>
    <w:rsid w:val="00C90170"/>
    <w:rsid w:val="00C901A6"/>
    <w:rsid w:val="00C90230"/>
    <w:rsid w:val="00C90241"/>
    <w:rsid w:val="00C9025F"/>
    <w:rsid w:val="00C90263"/>
    <w:rsid w:val="00C9036C"/>
    <w:rsid w:val="00C90442"/>
    <w:rsid w:val="00C90498"/>
    <w:rsid w:val="00C904FE"/>
    <w:rsid w:val="00C905DC"/>
    <w:rsid w:val="00C905EC"/>
    <w:rsid w:val="00C90610"/>
    <w:rsid w:val="00C90687"/>
    <w:rsid w:val="00C906C9"/>
    <w:rsid w:val="00C906D2"/>
    <w:rsid w:val="00C907EB"/>
    <w:rsid w:val="00C907FA"/>
    <w:rsid w:val="00C90815"/>
    <w:rsid w:val="00C909D5"/>
    <w:rsid w:val="00C909ED"/>
    <w:rsid w:val="00C90ACA"/>
    <w:rsid w:val="00C90C8B"/>
    <w:rsid w:val="00C90CB5"/>
    <w:rsid w:val="00C90D1C"/>
    <w:rsid w:val="00C90D72"/>
    <w:rsid w:val="00C90DC1"/>
    <w:rsid w:val="00C90E51"/>
    <w:rsid w:val="00C90EC7"/>
    <w:rsid w:val="00C9115F"/>
    <w:rsid w:val="00C9121B"/>
    <w:rsid w:val="00C912F1"/>
    <w:rsid w:val="00C9135C"/>
    <w:rsid w:val="00C913A2"/>
    <w:rsid w:val="00C915A5"/>
    <w:rsid w:val="00C915A9"/>
    <w:rsid w:val="00C915CE"/>
    <w:rsid w:val="00C91620"/>
    <w:rsid w:val="00C916B5"/>
    <w:rsid w:val="00C916B9"/>
    <w:rsid w:val="00C91729"/>
    <w:rsid w:val="00C917A6"/>
    <w:rsid w:val="00C9183E"/>
    <w:rsid w:val="00C91928"/>
    <w:rsid w:val="00C91A42"/>
    <w:rsid w:val="00C91AC9"/>
    <w:rsid w:val="00C91B00"/>
    <w:rsid w:val="00C91B0E"/>
    <w:rsid w:val="00C91BAD"/>
    <w:rsid w:val="00C91C15"/>
    <w:rsid w:val="00C91C5E"/>
    <w:rsid w:val="00C91D44"/>
    <w:rsid w:val="00C91E21"/>
    <w:rsid w:val="00C91E67"/>
    <w:rsid w:val="00C91E76"/>
    <w:rsid w:val="00C91F1D"/>
    <w:rsid w:val="00C91F90"/>
    <w:rsid w:val="00C91FB5"/>
    <w:rsid w:val="00C91FBF"/>
    <w:rsid w:val="00C91FE6"/>
    <w:rsid w:val="00C92028"/>
    <w:rsid w:val="00C92115"/>
    <w:rsid w:val="00C92310"/>
    <w:rsid w:val="00C92455"/>
    <w:rsid w:val="00C92467"/>
    <w:rsid w:val="00C926B1"/>
    <w:rsid w:val="00C92754"/>
    <w:rsid w:val="00C92801"/>
    <w:rsid w:val="00C928B4"/>
    <w:rsid w:val="00C9292E"/>
    <w:rsid w:val="00C92992"/>
    <w:rsid w:val="00C929D7"/>
    <w:rsid w:val="00C92C44"/>
    <w:rsid w:val="00C92C6A"/>
    <w:rsid w:val="00C92C97"/>
    <w:rsid w:val="00C92CBC"/>
    <w:rsid w:val="00C92EEC"/>
    <w:rsid w:val="00C92F85"/>
    <w:rsid w:val="00C93036"/>
    <w:rsid w:val="00C93109"/>
    <w:rsid w:val="00C9310E"/>
    <w:rsid w:val="00C93182"/>
    <w:rsid w:val="00C93204"/>
    <w:rsid w:val="00C93323"/>
    <w:rsid w:val="00C933D0"/>
    <w:rsid w:val="00C9347D"/>
    <w:rsid w:val="00C9350A"/>
    <w:rsid w:val="00C93596"/>
    <w:rsid w:val="00C9366F"/>
    <w:rsid w:val="00C936A8"/>
    <w:rsid w:val="00C936E3"/>
    <w:rsid w:val="00C93705"/>
    <w:rsid w:val="00C9389E"/>
    <w:rsid w:val="00C938FD"/>
    <w:rsid w:val="00C9390A"/>
    <w:rsid w:val="00C93914"/>
    <w:rsid w:val="00C93ACA"/>
    <w:rsid w:val="00C93BE8"/>
    <w:rsid w:val="00C93BF8"/>
    <w:rsid w:val="00C93C03"/>
    <w:rsid w:val="00C93D4C"/>
    <w:rsid w:val="00C93E80"/>
    <w:rsid w:val="00C93E94"/>
    <w:rsid w:val="00C93F4B"/>
    <w:rsid w:val="00C940DB"/>
    <w:rsid w:val="00C940EF"/>
    <w:rsid w:val="00C9410E"/>
    <w:rsid w:val="00C9418E"/>
    <w:rsid w:val="00C9419B"/>
    <w:rsid w:val="00C941B0"/>
    <w:rsid w:val="00C94269"/>
    <w:rsid w:val="00C94466"/>
    <w:rsid w:val="00C94511"/>
    <w:rsid w:val="00C9451C"/>
    <w:rsid w:val="00C9464B"/>
    <w:rsid w:val="00C947B3"/>
    <w:rsid w:val="00C94856"/>
    <w:rsid w:val="00C94902"/>
    <w:rsid w:val="00C9498B"/>
    <w:rsid w:val="00C94C56"/>
    <w:rsid w:val="00C94CE2"/>
    <w:rsid w:val="00C94E5E"/>
    <w:rsid w:val="00C94E5F"/>
    <w:rsid w:val="00C94F39"/>
    <w:rsid w:val="00C94F5E"/>
    <w:rsid w:val="00C94F93"/>
    <w:rsid w:val="00C94FED"/>
    <w:rsid w:val="00C95012"/>
    <w:rsid w:val="00C95023"/>
    <w:rsid w:val="00C95060"/>
    <w:rsid w:val="00C950C3"/>
    <w:rsid w:val="00C950F1"/>
    <w:rsid w:val="00C95133"/>
    <w:rsid w:val="00C951E3"/>
    <w:rsid w:val="00C95209"/>
    <w:rsid w:val="00C95221"/>
    <w:rsid w:val="00C952E4"/>
    <w:rsid w:val="00C9537F"/>
    <w:rsid w:val="00C953E0"/>
    <w:rsid w:val="00C95454"/>
    <w:rsid w:val="00C95500"/>
    <w:rsid w:val="00C95501"/>
    <w:rsid w:val="00C95598"/>
    <w:rsid w:val="00C9566B"/>
    <w:rsid w:val="00C95736"/>
    <w:rsid w:val="00C95792"/>
    <w:rsid w:val="00C95830"/>
    <w:rsid w:val="00C958E8"/>
    <w:rsid w:val="00C95911"/>
    <w:rsid w:val="00C95982"/>
    <w:rsid w:val="00C959E2"/>
    <w:rsid w:val="00C959EE"/>
    <w:rsid w:val="00C95A0E"/>
    <w:rsid w:val="00C95A41"/>
    <w:rsid w:val="00C95B8E"/>
    <w:rsid w:val="00C95BE0"/>
    <w:rsid w:val="00C95BFD"/>
    <w:rsid w:val="00C95C08"/>
    <w:rsid w:val="00C95C66"/>
    <w:rsid w:val="00C95D57"/>
    <w:rsid w:val="00C95E61"/>
    <w:rsid w:val="00C95E6F"/>
    <w:rsid w:val="00C95F3D"/>
    <w:rsid w:val="00C95F7F"/>
    <w:rsid w:val="00C96023"/>
    <w:rsid w:val="00C96101"/>
    <w:rsid w:val="00C96147"/>
    <w:rsid w:val="00C961CD"/>
    <w:rsid w:val="00C961F3"/>
    <w:rsid w:val="00C9625C"/>
    <w:rsid w:val="00C96355"/>
    <w:rsid w:val="00C9643B"/>
    <w:rsid w:val="00C964FF"/>
    <w:rsid w:val="00C96685"/>
    <w:rsid w:val="00C9675C"/>
    <w:rsid w:val="00C9679C"/>
    <w:rsid w:val="00C968D8"/>
    <w:rsid w:val="00C96A17"/>
    <w:rsid w:val="00C96A37"/>
    <w:rsid w:val="00C96A59"/>
    <w:rsid w:val="00C96ADC"/>
    <w:rsid w:val="00C96AFE"/>
    <w:rsid w:val="00C96B28"/>
    <w:rsid w:val="00C96B40"/>
    <w:rsid w:val="00C96C57"/>
    <w:rsid w:val="00C96C99"/>
    <w:rsid w:val="00C96CF1"/>
    <w:rsid w:val="00C96D5A"/>
    <w:rsid w:val="00C96D7E"/>
    <w:rsid w:val="00C96DBA"/>
    <w:rsid w:val="00C96EC3"/>
    <w:rsid w:val="00C96ECA"/>
    <w:rsid w:val="00C96F68"/>
    <w:rsid w:val="00C96F77"/>
    <w:rsid w:val="00C96FA9"/>
    <w:rsid w:val="00C96FB2"/>
    <w:rsid w:val="00C96FC1"/>
    <w:rsid w:val="00C96FEB"/>
    <w:rsid w:val="00C96FF9"/>
    <w:rsid w:val="00C972BA"/>
    <w:rsid w:val="00C973D4"/>
    <w:rsid w:val="00C9740C"/>
    <w:rsid w:val="00C97495"/>
    <w:rsid w:val="00C97574"/>
    <w:rsid w:val="00C975F3"/>
    <w:rsid w:val="00C97723"/>
    <w:rsid w:val="00C977C7"/>
    <w:rsid w:val="00C978B4"/>
    <w:rsid w:val="00C978C0"/>
    <w:rsid w:val="00C97AB2"/>
    <w:rsid w:val="00C97AC7"/>
    <w:rsid w:val="00C97B1F"/>
    <w:rsid w:val="00C97BDD"/>
    <w:rsid w:val="00C97C69"/>
    <w:rsid w:val="00C97C92"/>
    <w:rsid w:val="00C97CA8"/>
    <w:rsid w:val="00C97D8D"/>
    <w:rsid w:val="00C97D8F"/>
    <w:rsid w:val="00C97E53"/>
    <w:rsid w:val="00C97E9D"/>
    <w:rsid w:val="00C97EC6"/>
    <w:rsid w:val="00C97F02"/>
    <w:rsid w:val="00C97F15"/>
    <w:rsid w:val="00C97F80"/>
    <w:rsid w:val="00CA009D"/>
    <w:rsid w:val="00CA0117"/>
    <w:rsid w:val="00CA0156"/>
    <w:rsid w:val="00CA0451"/>
    <w:rsid w:val="00CA04AF"/>
    <w:rsid w:val="00CA0664"/>
    <w:rsid w:val="00CA066E"/>
    <w:rsid w:val="00CA0860"/>
    <w:rsid w:val="00CA08C9"/>
    <w:rsid w:val="00CA08E3"/>
    <w:rsid w:val="00CA0924"/>
    <w:rsid w:val="00CA0951"/>
    <w:rsid w:val="00CA09FC"/>
    <w:rsid w:val="00CA0B13"/>
    <w:rsid w:val="00CA0B9B"/>
    <w:rsid w:val="00CA0BCD"/>
    <w:rsid w:val="00CA0CC0"/>
    <w:rsid w:val="00CA0DA0"/>
    <w:rsid w:val="00CA0E3A"/>
    <w:rsid w:val="00CA112E"/>
    <w:rsid w:val="00CA1148"/>
    <w:rsid w:val="00CA11F4"/>
    <w:rsid w:val="00CA1213"/>
    <w:rsid w:val="00CA1405"/>
    <w:rsid w:val="00CA14F3"/>
    <w:rsid w:val="00CA15E4"/>
    <w:rsid w:val="00CA1723"/>
    <w:rsid w:val="00CA177E"/>
    <w:rsid w:val="00CA189D"/>
    <w:rsid w:val="00CA18A1"/>
    <w:rsid w:val="00CA18D7"/>
    <w:rsid w:val="00CA194D"/>
    <w:rsid w:val="00CA19A4"/>
    <w:rsid w:val="00CA1AB4"/>
    <w:rsid w:val="00CA1B0B"/>
    <w:rsid w:val="00CA1C55"/>
    <w:rsid w:val="00CA1CAA"/>
    <w:rsid w:val="00CA1D23"/>
    <w:rsid w:val="00CA1E60"/>
    <w:rsid w:val="00CA1EAE"/>
    <w:rsid w:val="00CA1ED2"/>
    <w:rsid w:val="00CA1F74"/>
    <w:rsid w:val="00CA2008"/>
    <w:rsid w:val="00CA205D"/>
    <w:rsid w:val="00CA209D"/>
    <w:rsid w:val="00CA2205"/>
    <w:rsid w:val="00CA22DE"/>
    <w:rsid w:val="00CA2372"/>
    <w:rsid w:val="00CA23AC"/>
    <w:rsid w:val="00CA2406"/>
    <w:rsid w:val="00CA2427"/>
    <w:rsid w:val="00CA24E6"/>
    <w:rsid w:val="00CA2504"/>
    <w:rsid w:val="00CA250F"/>
    <w:rsid w:val="00CA25E6"/>
    <w:rsid w:val="00CA2624"/>
    <w:rsid w:val="00CA265E"/>
    <w:rsid w:val="00CA278B"/>
    <w:rsid w:val="00CA27DA"/>
    <w:rsid w:val="00CA2852"/>
    <w:rsid w:val="00CA290C"/>
    <w:rsid w:val="00CA292D"/>
    <w:rsid w:val="00CA29F3"/>
    <w:rsid w:val="00CA2AE1"/>
    <w:rsid w:val="00CA2BB5"/>
    <w:rsid w:val="00CA2BD7"/>
    <w:rsid w:val="00CA2CBA"/>
    <w:rsid w:val="00CA2E3B"/>
    <w:rsid w:val="00CA2F44"/>
    <w:rsid w:val="00CA2FE7"/>
    <w:rsid w:val="00CA3037"/>
    <w:rsid w:val="00CA3190"/>
    <w:rsid w:val="00CA31E4"/>
    <w:rsid w:val="00CA3252"/>
    <w:rsid w:val="00CA325D"/>
    <w:rsid w:val="00CA32E4"/>
    <w:rsid w:val="00CA36A0"/>
    <w:rsid w:val="00CA378B"/>
    <w:rsid w:val="00CA38D1"/>
    <w:rsid w:val="00CA3AF8"/>
    <w:rsid w:val="00CA3B7C"/>
    <w:rsid w:val="00CA3BA6"/>
    <w:rsid w:val="00CA3BEA"/>
    <w:rsid w:val="00CA3C61"/>
    <w:rsid w:val="00CA3C9A"/>
    <w:rsid w:val="00CA3D16"/>
    <w:rsid w:val="00CA3D1E"/>
    <w:rsid w:val="00CA3D28"/>
    <w:rsid w:val="00CA3D34"/>
    <w:rsid w:val="00CA3D6B"/>
    <w:rsid w:val="00CA3E17"/>
    <w:rsid w:val="00CA3EA3"/>
    <w:rsid w:val="00CA3EE0"/>
    <w:rsid w:val="00CA3F63"/>
    <w:rsid w:val="00CA3FB0"/>
    <w:rsid w:val="00CA408C"/>
    <w:rsid w:val="00CA409E"/>
    <w:rsid w:val="00CA40F8"/>
    <w:rsid w:val="00CA4171"/>
    <w:rsid w:val="00CA423F"/>
    <w:rsid w:val="00CA4246"/>
    <w:rsid w:val="00CA42EF"/>
    <w:rsid w:val="00CA434D"/>
    <w:rsid w:val="00CA434F"/>
    <w:rsid w:val="00CA4352"/>
    <w:rsid w:val="00CA43DC"/>
    <w:rsid w:val="00CA4450"/>
    <w:rsid w:val="00CA44EA"/>
    <w:rsid w:val="00CA4564"/>
    <w:rsid w:val="00CA45CB"/>
    <w:rsid w:val="00CA45E3"/>
    <w:rsid w:val="00CA462E"/>
    <w:rsid w:val="00CA468D"/>
    <w:rsid w:val="00CA46AB"/>
    <w:rsid w:val="00CA471B"/>
    <w:rsid w:val="00CA478A"/>
    <w:rsid w:val="00CA47F0"/>
    <w:rsid w:val="00CA48B6"/>
    <w:rsid w:val="00CA48C8"/>
    <w:rsid w:val="00CA48D5"/>
    <w:rsid w:val="00CA48ED"/>
    <w:rsid w:val="00CA4993"/>
    <w:rsid w:val="00CA4AAD"/>
    <w:rsid w:val="00CA4B26"/>
    <w:rsid w:val="00CA4B57"/>
    <w:rsid w:val="00CA4B8C"/>
    <w:rsid w:val="00CA4C77"/>
    <w:rsid w:val="00CA4C7C"/>
    <w:rsid w:val="00CA4CB5"/>
    <w:rsid w:val="00CA4CC5"/>
    <w:rsid w:val="00CA4DAA"/>
    <w:rsid w:val="00CA4DC4"/>
    <w:rsid w:val="00CA4DCF"/>
    <w:rsid w:val="00CA4E04"/>
    <w:rsid w:val="00CA4E44"/>
    <w:rsid w:val="00CA5038"/>
    <w:rsid w:val="00CA503E"/>
    <w:rsid w:val="00CA5096"/>
    <w:rsid w:val="00CA50F2"/>
    <w:rsid w:val="00CA526E"/>
    <w:rsid w:val="00CA529C"/>
    <w:rsid w:val="00CA52E6"/>
    <w:rsid w:val="00CA546B"/>
    <w:rsid w:val="00CA54FF"/>
    <w:rsid w:val="00CA55BC"/>
    <w:rsid w:val="00CA5627"/>
    <w:rsid w:val="00CA57D0"/>
    <w:rsid w:val="00CA57D7"/>
    <w:rsid w:val="00CA5857"/>
    <w:rsid w:val="00CA5969"/>
    <w:rsid w:val="00CA59A5"/>
    <w:rsid w:val="00CA5ACB"/>
    <w:rsid w:val="00CA5B2C"/>
    <w:rsid w:val="00CA5B9E"/>
    <w:rsid w:val="00CA5C62"/>
    <w:rsid w:val="00CA5CC2"/>
    <w:rsid w:val="00CA5D90"/>
    <w:rsid w:val="00CA5DA7"/>
    <w:rsid w:val="00CA5DE6"/>
    <w:rsid w:val="00CA5DF7"/>
    <w:rsid w:val="00CA5E02"/>
    <w:rsid w:val="00CA5E11"/>
    <w:rsid w:val="00CA5F61"/>
    <w:rsid w:val="00CA5FB2"/>
    <w:rsid w:val="00CA5FB3"/>
    <w:rsid w:val="00CA60CB"/>
    <w:rsid w:val="00CA60D9"/>
    <w:rsid w:val="00CA6143"/>
    <w:rsid w:val="00CA6147"/>
    <w:rsid w:val="00CA6154"/>
    <w:rsid w:val="00CA6180"/>
    <w:rsid w:val="00CA61EF"/>
    <w:rsid w:val="00CA6233"/>
    <w:rsid w:val="00CA6295"/>
    <w:rsid w:val="00CA62C6"/>
    <w:rsid w:val="00CA63C4"/>
    <w:rsid w:val="00CA642B"/>
    <w:rsid w:val="00CA6440"/>
    <w:rsid w:val="00CA648E"/>
    <w:rsid w:val="00CA64BB"/>
    <w:rsid w:val="00CA6625"/>
    <w:rsid w:val="00CA6818"/>
    <w:rsid w:val="00CA683C"/>
    <w:rsid w:val="00CA685C"/>
    <w:rsid w:val="00CA68A0"/>
    <w:rsid w:val="00CA68C7"/>
    <w:rsid w:val="00CA6984"/>
    <w:rsid w:val="00CA69CB"/>
    <w:rsid w:val="00CA6A3D"/>
    <w:rsid w:val="00CA6A59"/>
    <w:rsid w:val="00CA6B0C"/>
    <w:rsid w:val="00CA6B97"/>
    <w:rsid w:val="00CA6BDD"/>
    <w:rsid w:val="00CA6C33"/>
    <w:rsid w:val="00CA6C6F"/>
    <w:rsid w:val="00CA6CD1"/>
    <w:rsid w:val="00CA6DB3"/>
    <w:rsid w:val="00CA6DEF"/>
    <w:rsid w:val="00CA6E79"/>
    <w:rsid w:val="00CA6ED9"/>
    <w:rsid w:val="00CA6EE3"/>
    <w:rsid w:val="00CA6F76"/>
    <w:rsid w:val="00CA7059"/>
    <w:rsid w:val="00CA70F0"/>
    <w:rsid w:val="00CA714E"/>
    <w:rsid w:val="00CA7190"/>
    <w:rsid w:val="00CA720F"/>
    <w:rsid w:val="00CA72D5"/>
    <w:rsid w:val="00CA7371"/>
    <w:rsid w:val="00CA737D"/>
    <w:rsid w:val="00CA73FA"/>
    <w:rsid w:val="00CA7437"/>
    <w:rsid w:val="00CA7464"/>
    <w:rsid w:val="00CA76AC"/>
    <w:rsid w:val="00CA774D"/>
    <w:rsid w:val="00CA78BB"/>
    <w:rsid w:val="00CA7913"/>
    <w:rsid w:val="00CA794E"/>
    <w:rsid w:val="00CA79E5"/>
    <w:rsid w:val="00CA79E7"/>
    <w:rsid w:val="00CA7A73"/>
    <w:rsid w:val="00CA7AA2"/>
    <w:rsid w:val="00CA7B69"/>
    <w:rsid w:val="00CA7B89"/>
    <w:rsid w:val="00CA7C22"/>
    <w:rsid w:val="00CA7C6A"/>
    <w:rsid w:val="00CA7D6B"/>
    <w:rsid w:val="00CA7D74"/>
    <w:rsid w:val="00CA7D8D"/>
    <w:rsid w:val="00CB0020"/>
    <w:rsid w:val="00CB00AE"/>
    <w:rsid w:val="00CB00ED"/>
    <w:rsid w:val="00CB01A8"/>
    <w:rsid w:val="00CB01C4"/>
    <w:rsid w:val="00CB020D"/>
    <w:rsid w:val="00CB0223"/>
    <w:rsid w:val="00CB0524"/>
    <w:rsid w:val="00CB0526"/>
    <w:rsid w:val="00CB0597"/>
    <w:rsid w:val="00CB0722"/>
    <w:rsid w:val="00CB07B2"/>
    <w:rsid w:val="00CB0963"/>
    <w:rsid w:val="00CB09B0"/>
    <w:rsid w:val="00CB09C2"/>
    <w:rsid w:val="00CB0A1C"/>
    <w:rsid w:val="00CB0A3E"/>
    <w:rsid w:val="00CB0AA3"/>
    <w:rsid w:val="00CB0B80"/>
    <w:rsid w:val="00CB0BC6"/>
    <w:rsid w:val="00CB0DFF"/>
    <w:rsid w:val="00CB0E2E"/>
    <w:rsid w:val="00CB0F2D"/>
    <w:rsid w:val="00CB0F7E"/>
    <w:rsid w:val="00CB0FAC"/>
    <w:rsid w:val="00CB11D0"/>
    <w:rsid w:val="00CB1219"/>
    <w:rsid w:val="00CB12CA"/>
    <w:rsid w:val="00CB12FC"/>
    <w:rsid w:val="00CB1301"/>
    <w:rsid w:val="00CB1387"/>
    <w:rsid w:val="00CB13FB"/>
    <w:rsid w:val="00CB1406"/>
    <w:rsid w:val="00CB1543"/>
    <w:rsid w:val="00CB1619"/>
    <w:rsid w:val="00CB1672"/>
    <w:rsid w:val="00CB16A2"/>
    <w:rsid w:val="00CB16C3"/>
    <w:rsid w:val="00CB16D1"/>
    <w:rsid w:val="00CB16E5"/>
    <w:rsid w:val="00CB16FD"/>
    <w:rsid w:val="00CB170A"/>
    <w:rsid w:val="00CB1818"/>
    <w:rsid w:val="00CB18F6"/>
    <w:rsid w:val="00CB19D0"/>
    <w:rsid w:val="00CB1AE8"/>
    <w:rsid w:val="00CB1BE0"/>
    <w:rsid w:val="00CB1C1A"/>
    <w:rsid w:val="00CB1CE8"/>
    <w:rsid w:val="00CB1D5E"/>
    <w:rsid w:val="00CB1D6D"/>
    <w:rsid w:val="00CB1EA4"/>
    <w:rsid w:val="00CB1F89"/>
    <w:rsid w:val="00CB20B0"/>
    <w:rsid w:val="00CB20C0"/>
    <w:rsid w:val="00CB20C3"/>
    <w:rsid w:val="00CB20D6"/>
    <w:rsid w:val="00CB214F"/>
    <w:rsid w:val="00CB2180"/>
    <w:rsid w:val="00CB21A3"/>
    <w:rsid w:val="00CB21B7"/>
    <w:rsid w:val="00CB2221"/>
    <w:rsid w:val="00CB2239"/>
    <w:rsid w:val="00CB2270"/>
    <w:rsid w:val="00CB23AE"/>
    <w:rsid w:val="00CB23BC"/>
    <w:rsid w:val="00CB23C3"/>
    <w:rsid w:val="00CB23C8"/>
    <w:rsid w:val="00CB2439"/>
    <w:rsid w:val="00CB251E"/>
    <w:rsid w:val="00CB253C"/>
    <w:rsid w:val="00CB2575"/>
    <w:rsid w:val="00CB2663"/>
    <w:rsid w:val="00CB26E8"/>
    <w:rsid w:val="00CB272E"/>
    <w:rsid w:val="00CB2825"/>
    <w:rsid w:val="00CB284D"/>
    <w:rsid w:val="00CB28C5"/>
    <w:rsid w:val="00CB2983"/>
    <w:rsid w:val="00CB2A68"/>
    <w:rsid w:val="00CB2AF3"/>
    <w:rsid w:val="00CB2C3B"/>
    <w:rsid w:val="00CB2D08"/>
    <w:rsid w:val="00CB2DC6"/>
    <w:rsid w:val="00CB2E12"/>
    <w:rsid w:val="00CB2EB0"/>
    <w:rsid w:val="00CB2F25"/>
    <w:rsid w:val="00CB2FA7"/>
    <w:rsid w:val="00CB3035"/>
    <w:rsid w:val="00CB3143"/>
    <w:rsid w:val="00CB3169"/>
    <w:rsid w:val="00CB3229"/>
    <w:rsid w:val="00CB3298"/>
    <w:rsid w:val="00CB32D3"/>
    <w:rsid w:val="00CB32F3"/>
    <w:rsid w:val="00CB32FC"/>
    <w:rsid w:val="00CB33A3"/>
    <w:rsid w:val="00CB345F"/>
    <w:rsid w:val="00CB3536"/>
    <w:rsid w:val="00CB35E1"/>
    <w:rsid w:val="00CB35E7"/>
    <w:rsid w:val="00CB363C"/>
    <w:rsid w:val="00CB36AA"/>
    <w:rsid w:val="00CB38DD"/>
    <w:rsid w:val="00CB3974"/>
    <w:rsid w:val="00CB3A34"/>
    <w:rsid w:val="00CB3B94"/>
    <w:rsid w:val="00CB3CA2"/>
    <w:rsid w:val="00CB3CAA"/>
    <w:rsid w:val="00CB3DCA"/>
    <w:rsid w:val="00CB3E00"/>
    <w:rsid w:val="00CB40A6"/>
    <w:rsid w:val="00CB40EC"/>
    <w:rsid w:val="00CB410A"/>
    <w:rsid w:val="00CB41E5"/>
    <w:rsid w:val="00CB41F9"/>
    <w:rsid w:val="00CB42FA"/>
    <w:rsid w:val="00CB43B2"/>
    <w:rsid w:val="00CB43B9"/>
    <w:rsid w:val="00CB43C1"/>
    <w:rsid w:val="00CB43C7"/>
    <w:rsid w:val="00CB44BE"/>
    <w:rsid w:val="00CB4500"/>
    <w:rsid w:val="00CB4533"/>
    <w:rsid w:val="00CB456D"/>
    <w:rsid w:val="00CB467B"/>
    <w:rsid w:val="00CB4731"/>
    <w:rsid w:val="00CB4818"/>
    <w:rsid w:val="00CB4839"/>
    <w:rsid w:val="00CB4959"/>
    <w:rsid w:val="00CB496B"/>
    <w:rsid w:val="00CB49C7"/>
    <w:rsid w:val="00CB4A22"/>
    <w:rsid w:val="00CB4A2F"/>
    <w:rsid w:val="00CB4AAE"/>
    <w:rsid w:val="00CB4BA5"/>
    <w:rsid w:val="00CB4C64"/>
    <w:rsid w:val="00CB4D22"/>
    <w:rsid w:val="00CB4D4D"/>
    <w:rsid w:val="00CB4D88"/>
    <w:rsid w:val="00CB4DB2"/>
    <w:rsid w:val="00CB4EC3"/>
    <w:rsid w:val="00CB4F26"/>
    <w:rsid w:val="00CB4F2D"/>
    <w:rsid w:val="00CB50B3"/>
    <w:rsid w:val="00CB5170"/>
    <w:rsid w:val="00CB5177"/>
    <w:rsid w:val="00CB5216"/>
    <w:rsid w:val="00CB5303"/>
    <w:rsid w:val="00CB5380"/>
    <w:rsid w:val="00CB53E8"/>
    <w:rsid w:val="00CB549C"/>
    <w:rsid w:val="00CB54ED"/>
    <w:rsid w:val="00CB5603"/>
    <w:rsid w:val="00CB562A"/>
    <w:rsid w:val="00CB5636"/>
    <w:rsid w:val="00CB5666"/>
    <w:rsid w:val="00CB57B0"/>
    <w:rsid w:val="00CB5862"/>
    <w:rsid w:val="00CB597A"/>
    <w:rsid w:val="00CB5A21"/>
    <w:rsid w:val="00CB5B27"/>
    <w:rsid w:val="00CB5BBA"/>
    <w:rsid w:val="00CB5BDE"/>
    <w:rsid w:val="00CB5CA9"/>
    <w:rsid w:val="00CB5DF2"/>
    <w:rsid w:val="00CB5F17"/>
    <w:rsid w:val="00CB5F6C"/>
    <w:rsid w:val="00CB602B"/>
    <w:rsid w:val="00CB610B"/>
    <w:rsid w:val="00CB61DC"/>
    <w:rsid w:val="00CB61DE"/>
    <w:rsid w:val="00CB62B5"/>
    <w:rsid w:val="00CB6320"/>
    <w:rsid w:val="00CB6355"/>
    <w:rsid w:val="00CB63A3"/>
    <w:rsid w:val="00CB645C"/>
    <w:rsid w:val="00CB6461"/>
    <w:rsid w:val="00CB676F"/>
    <w:rsid w:val="00CB6780"/>
    <w:rsid w:val="00CB68D1"/>
    <w:rsid w:val="00CB68F4"/>
    <w:rsid w:val="00CB6AC1"/>
    <w:rsid w:val="00CB6B00"/>
    <w:rsid w:val="00CB6BAB"/>
    <w:rsid w:val="00CB6BD1"/>
    <w:rsid w:val="00CB6CD2"/>
    <w:rsid w:val="00CB6EA4"/>
    <w:rsid w:val="00CB6ECA"/>
    <w:rsid w:val="00CB6FA1"/>
    <w:rsid w:val="00CB711A"/>
    <w:rsid w:val="00CB7149"/>
    <w:rsid w:val="00CB724B"/>
    <w:rsid w:val="00CB726D"/>
    <w:rsid w:val="00CB72D3"/>
    <w:rsid w:val="00CB7436"/>
    <w:rsid w:val="00CB743D"/>
    <w:rsid w:val="00CB76AE"/>
    <w:rsid w:val="00CB77A9"/>
    <w:rsid w:val="00CB7841"/>
    <w:rsid w:val="00CB78B1"/>
    <w:rsid w:val="00CB78ED"/>
    <w:rsid w:val="00CB79C7"/>
    <w:rsid w:val="00CB7A65"/>
    <w:rsid w:val="00CB7B3D"/>
    <w:rsid w:val="00CB7BAD"/>
    <w:rsid w:val="00CB7C0C"/>
    <w:rsid w:val="00CB7C1F"/>
    <w:rsid w:val="00CB7C36"/>
    <w:rsid w:val="00CB7C48"/>
    <w:rsid w:val="00CB7C5A"/>
    <w:rsid w:val="00CB7C8C"/>
    <w:rsid w:val="00CB7D10"/>
    <w:rsid w:val="00CB7D53"/>
    <w:rsid w:val="00CB7E69"/>
    <w:rsid w:val="00CC00C8"/>
    <w:rsid w:val="00CC00D7"/>
    <w:rsid w:val="00CC00F0"/>
    <w:rsid w:val="00CC015F"/>
    <w:rsid w:val="00CC02C0"/>
    <w:rsid w:val="00CC0335"/>
    <w:rsid w:val="00CC0344"/>
    <w:rsid w:val="00CC0366"/>
    <w:rsid w:val="00CC0404"/>
    <w:rsid w:val="00CC0584"/>
    <w:rsid w:val="00CC06A4"/>
    <w:rsid w:val="00CC06D9"/>
    <w:rsid w:val="00CC06E0"/>
    <w:rsid w:val="00CC0711"/>
    <w:rsid w:val="00CC0742"/>
    <w:rsid w:val="00CC07F2"/>
    <w:rsid w:val="00CC0854"/>
    <w:rsid w:val="00CC08C6"/>
    <w:rsid w:val="00CC0964"/>
    <w:rsid w:val="00CC096C"/>
    <w:rsid w:val="00CC0A2E"/>
    <w:rsid w:val="00CC0A31"/>
    <w:rsid w:val="00CC0AAE"/>
    <w:rsid w:val="00CC0AB0"/>
    <w:rsid w:val="00CC0B66"/>
    <w:rsid w:val="00CC0D50"/>
    <w:rsid w:val="00CC0D93"/>
    <w:rsid w:val="00CC0E67"/>
    <w:rsid w:val="00CC0E84"/>
    <w:rsid w:val="00CC0F02"/>
    <w:rsid w:val="00CC0F82"/>
    <w:rsid w:val="00CC0FF1"/>
    <w:rsid w:val="00CC1001"/>
    <w:rsid w:val="00CC1010"/>
    <w:rsid w:val="00CC1039"/>
    <w:rsid w:val="00CC11D6"/>
    <w:rsid w:val="00CC1216"/>
    <w:rsid w:val="00CC1228"/>
    <w:rsid w:val="00CC12A0"/>
    <w:rsid w:val="00CC12E6"/>
    <w:rsid w:val="00CC12F4"/>
    <w:rsid w:val="00CC1386"/>
    <w:rsid w:val="00CC13A3"/>
    <w:rsid w:val="00CC13AC"/>
    <w:rsid w:val="00CC13F3"/>
    <w:rsid w:val="00CC14D3"/>
    <w:rsid w:val="00CC15AA"/>
    <w:rsid w:val="00CC15B7"/>
    <w:rsid w:val="00CC168F"/>
    <w:rsid w:val="00CC16B8"/>
    <w:rsid w:val="00CC1717"/>
    <w:rsid w:val="00CC1798"/>
    <w:rsid w:val="00CC17CE"/>
    <w:rsid w:val="00CC187D"/>
    <w:rsid w:val="00CC1A08"/>
    <w:rsid w:val="00CC1B06"/>
    <w:rsid w:val="00CC1B19"/>
    <w:rsid w:val="00CC1C39"/>
    <w:rsid w:val="00CC1D66"/>
    <w:rsid w:val="00CC1DA5"/>
    <w:rsid w:val="00CC1DB6"/>
    <w:rsid w:val="00CC1F46"/>
    <w:rsid w:val="00CC1F75"/>
    <w:rsid w:val="00CC1FD9"/>
    <w:rsid w:val="00CC20EC"/>
    <w:rsid w:val="00CC20F8"/>
    <w:rsid w:val="00CC2119"/>
    <w:rsid w:val="00CC2161"/>
    <w:rsid w:val="00CC21CD"/>
    <w:rsid w:val="00CC21DB"/>
    <w:rsid w:val="00CC23A1"/>
    <w:rsid w:val="00CC23EC"/>
    <w:rsid w:val="00CC243C"/>
    <w:rsid w:val="00CC2593"/>
    <w:rsid w:val="00CC25D4"/>
    <w:rsid w:val="00CC2683"/>
    <w:rsid w:val="00CC27FC"/>
    <w:rsid w:val="00CC2817"/>
    <w:rsid w:val="00CC282A"/>
    <w:rsid w:val="00CC283B"/>
    <w:rsid w:val="00CC2864"/>
    <w:rsid w:val="00CC2998"/>
    <w:rsid w:val="00CC29D5"/>
    <w:rsid w:val="00CC2A02"/>
    <w:rsid w:val="00CC2D66"/>
    <w:rsid w:val="00CC2DC1"/>
    <w:rsid w:val="00CC2DCF"/>
    <w:rsid w:val="00CC2F70"/>
    <w:rsid w:val="00CC3019"/>
    <w:rsid w:val="00CC3061"/>
    <w:rsid w:val="00CC30C8"/>
    <w:rsid w:val="00CC325B"/>
    <w:rsid w:val="00CC3383"/>
    <w:rsid w:val="00CC3527"/>
    <w:rsid w:val="00CC361D"/>
    <w:rsid w:val="00CC3725"/>
    <w:rsid w:val="00CC395A"/>
    <w:rsid w:val="00CC39E2"/>
    <w:rsid w:val="00CC3D2D"/>
    <w:rsid w:val="00CC3DF5"/>
    <w:rsid w:val="00CC3F51"/>
    <w:rsid w:val="00CC3FB1"/>
    <w:rsid w:val="00CC3FE6"/>
    <w:rsid w:val="00CC4078"/>
    <w:rsid w:val="00CC40DA"/>
    <w:rsid w:val="00CC40E4"/>
    <w:rsid w:val="00CC41F9"/>
    <w:rsid w:val="00CC424C"/>
    <w:rsid w:val="00CC4338"/>
    <w:rsid w:val="00CC43D3"/>
    <w:rsid w:val="00CC4478"/>
    <w:rsid w:val="00CC44F3"/>
    <w:rsid w:val="00CC455A"/>
    <w:rsid w:val="00CC47F7"/>
    <w:rsid w:val="00CC4874"/>
    <w:rsid w:val="00CC497B"/>
    <w:rsid w:val="00CC4AB4"/>
    <w:rsid w:val="00CC4B5B"/>
    <w:rsid w:val="00CC4B60"/>
    <w:rsid w:val="00CC4C01"/>
    <w:rsid w:val="00CC4C5F"/>
    <w:rsid w:val="00CC4D08"/>
    <w:rsid w:val="00CC4D26"/>
    <w:rsid w:val="00CC4D45"/>
    <w:rsid w:val="00CC4D78"/>
    <w:rsid w:val="00CC4D8B"/>
    <w:rsid w:val="00CC4EB2"/>
    <w:rsid w:val="00CC4F10"/>
    <w:rsid w:val="00CC4FC2"/>
    <w:rsid w:val="00CC50BD"/>
    <w:rsid w:val="00CC50BF"/>
    <w:rsid w:val="00CC51D9"/>
    <w:rsid w:val="00CC51F5"/>
    <w:rsid w:val="00CC5357"/>
    <w:rsid w:val="00CC5373"/>
    <w:rsid w:val="00CC53C3"/>
    <w:rsid w:val="00CC547B"/>
    <w:rsid w:val="00CC55ED"/>
    <w:rsid w:val="00CC55F5"/>
    <w:rsid w:val="00CC5607"/>
    <w:rsid w:val="00CC5662"/>
    <w:rsid w:val="00CC5668"/>
    <w:rsid w:val="00CC572E"/>
    <w:rsid w:val="00CC581C"/>
    <w:rsid w:val="00CC5883"/>
    <w:rsid w:val="00CC5961"/>
    <w:rsid w:val="00CC5A1A"/>
    <w:rsid w:val="00CC5A62"/>
    <w:rsid w:val="00CC5AAE"/>
    <w:rsid w:val="00CC5AFC"/>
    <w:rsid w:val="00CC5B7E"/>
    <w:rsid w:val="00CC5C4F"/>
    <w:rsid w:val="00CC5C7C"/>
    <w:rsid w:val="00CC5C84"/>
    <w:rsid w:val="00CC5D28"/>
    <w:rsid w:val="00CC5D70"/>
    <w:rsid w:val="00CC5D9A"/>
    <w:rsid w:val="00CC5DF6"/>
    <w:rsid w:val="00CC6000"/>
    <w:rsid w:val="00CC6040"/>
    <w:rsid w:val="00CC6119"/>
    <w:rsid w:val="00CC6161"/>
    <w:rsid w:val="00CC61ED"/>
    <w:rsid w:val="00CC6217"/>
    <w:rsid w:val="00CC6244"/>
    <w:rsid w:val="00CC6372"/>
    <w:rsid w:val="00CC63CA"/>
    <w:rsid w:val="00CC648C"/>
    <w:rsid w:val="00CC650C"/>
    <w:rsid w:val="00CC652B"/>
    <w:rsid w:val="00CC664A"/>
    <w:rsid w:val="00CC66A6"/>
    <w:rsid w:val="00CC66C8"/>
    <w:rsid w:val="00CC6776"/>
    <w:rsid w:val="00CC6802"/>
    <w:rsid w:val="00CC69F9"/>
    <w:rsid w:val="00CC6B52"/>
    <w:rsid w:val="00CC6C84"/>
    <w:rsid w:val="00CC6C9B"/>
    <w:rsid w:val="00CC6CAB"/>
    <w:rsid w:val="00CC6CF5"/>
    <w:rsid w:val="00CC6D04"/>
    <w:rsid w:val="00CC6E30"/>
    <w:rsid w:val="00CC6E38"/>
    <w:rsid w:val="00CC6E5E"/>
    <w:rsid w:val="00CC6F26"/>
    <w:rsid w:val="00CC6F4C"/>
    <w:rsid w:val="00CC6F55"/>
    <w:rsid w:val="00CC6F65"/>
    <w:rsid w:val="00CC71AA"/>
    <w:rsid w:val="00CC7281"/>
    <w:rsid w:val="00CC7319"/>
    <w:rsid w:val="00CC73C8"/>
    <w:rsid w:val="00CC73D8"/>
    <w:rsid w:val="00CC7428"/>
    <w:rsid w:val="00CC7476"/>
    <w:rsid w:val="00CC7489"/>
    <w:rsid w:val="00CC7550"/>
    <w:rsid w:val="00CC75DE"/>
    <w:rsid w:val="00CC76BC"/>
    <w:rsid w:val="00CC77F8"/>
    <w:rsid w:val="00CC7875"/>
    <w:rsid w:val="00CC7908"/>
    <w:rsid w:val="00CC790F"/>
    <w:rsid w:val="00CC79A1"/>
    <w:rsid w:val="00CC7A42"/>
    <w:rsid w:val="00CC7A4F"/>
    <w:rsid w:val="00CC7A5A"/>
    <w:rsid w:val="00CC7A7B"/>
    <w:rsid w:val="00CC7A8A"/>
    <w:rsid w:val="00CC7B20"/>
    <w:rsid w:val="00CC7B47"/>
    <w:rsid w:val="00CC7C52"/>
    <w:rsid w:val="00CC7C70"/>
    <w:rsid w:val="00CC7D0A"/>
    <w:rsid w:val="00CC7D50"/>
    <w:rsid w:val="00CC7D89"/>
    <w:rsid w:val="00CC7D8F"/>
    <w:rsid w:val="00CC7DAB"/>
    <w:rsid w:val="00CC7E13"/>
    <w:rsid w:val="00CC7FB4"/>
    <w:rsid w:val="00CC99F0"/>
    <w:rsid w:val="00CD0007"/>
    <w:rsid w:val="00CD009F"/>
    <w:rsid w:val="00CD00D6"/>
    <w:rsid w:val="00CD042E"/>
    <w:rsid w:val="00CD04E2"/>
    <w:rsid w:val="00CD04E6"/>
    <w:rsid w:val="00CD059E"/>
    <w:rsid w:val="00CD068B"/>
    <w:rsid w:val="00CD06BA"/>
    <w:rsid w:val="00CD07E2"/>
    <w:rsid w:val="00CD07F5"/>
    <w:rsid w:val="00CD08B9"/>
    <w:rsid w:val="00CD091B"/>
    <w:rsid w:val="00CD0B6B"/>
    <w:rsid w:val="00CD0C6A"/>
    <w:rsid w:val="00CD0C93"/>
    <w:rsid w:val="00CD0CC7"/>
    <w:rsid w:val="00CD0E09"/>
    <w:rsid w:val="00CD0FE1"/>
    <w:rsid w:val="00CD103E"/>
    <w:rsid w:val="00CD10DA"/>
    <w:rsid w:val="00CD1219"/>
    <w:rsid w:val="00CD14B5"/>
    <w:rsid w:val="00CD14CF"/>
    <w:rsid w:val="00CD14E8"/>
    <w:rsid w:val="00CD1534"/>
    <w:rsid w:val="00CD162B"/>
    <w:rsid w:val="00CD169D"/>
    <w:rsid w:val="00CD1758"/>
    <w:rsid w:val="00CD1779"/>
    <w:rsid w:val="00CD17E9"/>
    <w:rsid w:val="00CD1824"/>
    <w:rsid w:val="00CD1865"/>
    <w:rsid w:val="00CD18F7"/>
    <w:rsid w:val="00CD197C"/>
    <w:rsid w:val="00CD19CA"/>
    <w:rsid w:val="00CD19E2"/>
    <w:rsid w:val="00CD1A5D"/>
    <w:rsid w:val="00CD1A71"/>
    <w:rsid w:val="00CD1BB4"/>
    <w:rsid w:val="00CD1C46"/>
    <w:rsid w:val="00CD1CAD"/>
    <w:rsid w:val="00CD1DAD"/>
    <w:rsid w:val="00CD1E21"/>
    <w:rsid w:val="00CD1E51"/>
    <w:rsid w:val="00CD1EA4"/>
    <w:rsid w:val="00CD1ED1"/>
    <w:rsid w:val="00CD1F5A"/>
    <w:rsid w:val="00CD1F92"/>
    <w:rsid w:val="00CD2002"/>
    <w:rsid w:val="00CD204D"/>
    <w:rsid w:val="00CD2050"/>
    <w:rsid w:val="00CD2077"/>
    <w:rsid w:val="00CD218C"/>
    <w:rsid w:val="00CD22B3"/>
    <w:rsid w:val="00CD2410"/>
    <w:rsid w:val="00CD242E"/>
    <w:rsid w:val="00CD2456"/>
    <w:rsid w:val="00CD25A9"/>
    <w:rsid w:val="00CD25AB"/>
    <w:rsid w:val="00CD25FF"/>
    <w:rsid w:val="00CD2676"/>
    <w:rsid w:val="00CD267C"/>
    <w:rsid w:val="00CD26A0"/>
    <w:rsid w:val="00CD26B5"/>
    <w:rsid w:val="00CD29A3"/>
    <w:rsid w:val="00CD29C5"/>
    <w:rsid w:val="00CD2BD3"/>
    <w:rsid w:val="00CD2C34"/>
    <w:rsid w:val="00CD2F29"/>
    <w:rsid w:val="00CD2F30"/>
    <w:rsid w:val="00CD2F61"/>
    <w:rsid w:val="00CD3017"/>
    <w:rsid w:val="00CD3050"/>
    <w:rsid w:val="00CD30BB"/>
    <w:rsid w:val="00CD31A9"/>
    <w:rsid w:val="00CD331C"/>
    <w:rsid w:val="00CD3353"/>
    <w:rsid w:val="00CD3425"/>
    <w:rsid w:val="00CD3452"/>
    <w:rsid w:val="00CD362A"/>
    <w:rsid w:val="00CD365E"/>
    <w:rsid w:val="00CD36CA"/>
    <w:rsid w:val="00CD3771"/>
    <w:rsid w:val="00CD38E3"/>
    <w:rsid w:val="00CD38F7"/>
    <w:rsid w:val="00CD39A8"/>
    <w:rsid w:val="00CD3A5A"/>
    <w:rsid w:val="00CD3B1C"/>
    <w:rsid w:val="00CD3E42"/>
    <w:rsid w:val="00CD3EA0"/>
    <w:rsid w:val="00CD3EAE"/>
    <w:rsid w:val="00CD402E"/>
    <w:rsid w:val="00CD4087"/>
    <w:rsid w:val="00CD419D"/>
    <w:rsid w:val="00CD41EF"/>
    <w:rsid w:val="00CD438E"/>
    <w:rsid w:val="00CD43C5"/>
    <w:rsid w:val="00CD4411"/>
    <w:rsid w:val="00CD447A"/>
    <w:rsid w:val="00CD461F"/>
    <w:rsid w:val="00CD46AC"/>
    <w:rsid w:val="00CD46C7"/>
    <w:rsid w:val="00CD4874"/>
    <w:rsid w:val="00CD48C4"/>
    <w:rsid w:val="00CD49CA"/>
    <w:rsid w:val="00CD4A4E"/>
    <w:rsid w:val="00CD4A60"/>
    <w:rsid w:val="00CD4A78"/>
    <w:rsid w:val="00CD4AB4"/>
    <w:rsid w:val="00CD4AB9"/>
    <w:rsid w:val="00CD4B51"/>
    <w:rsid w:val="00CD4C2A"/>
    <w:rsid w:val="00CD4C41"/>
    <w:rsid w:val="00CD4C8A"/>
    <w:rsid w:val="00CD4DCF"/>
    <w:rsid w:val="00CD4E8D"/>
    <w:rsid w:val="00CD4EDC"/>
    <w:rsid w:val="00CD4F19"/>
    <w:rsid w:val="00CD4F2D"/>
    <w:rsid w:val="00CD5012"/>
    <w:rsid w:val="00CD5027"/>
    <w:rsid w:val="00CD5111"/>
    <w:rsid w:val="00CD5112"/>
    <w:rsid w:val="00CD515D"/>
    <w:rsid w:val="00CD5174"/>
    <w:rsid w:val="00CD520D"/>
    <w:rsid w:val="00CD5224"/>
    <w:rsid w:val="00CD53B8"/>
    <w:rsid w:val="00CD53E0"/>
    <w:rsid w:val="00CD5556"/>
    <w:rsid w:val="00CD558B"/>
    <w:rsid w:val="00CD56DD"/>
    <w:rsid w:val="00CD5776"/>
    <w:rsid w:val="00CD57A5"/>
    <w:rsid w:val="00CD57F2"/>
    <w:rsid w:val="00CD58BE"/>
    <w:rsid w:val="00CD5960"/>
    <w:rsid w:val="00CD5A00"/>
    <w:rsid w:val="00CD5B16"/>
    <w:rsid w:val="00CD5B86"/>
    <w:rsid w:val="00CD5B9E"/>
    <w:rsid w:val="00CD5C24"/>
    <w:rsid w:val="00CD5C3C"/>
    <w:rsid w:val="00CD5C75"/>
    <w:rsid w:val="00CD5D2A"/>
    <w:rsid w:val="00CD5D52"/>
    <w:rsid w:val="00CD5D85"/>
    <w:rsid w:val="00CD5E16"/>
    <w:rsid w:val="00CD5F04"/>
    <w:rsid w:val="00CD5F4D"/>
    <w:rsid w:val="00CD5F7A"/>
    <w:rsid w:val="00CD6041"/>
    <w:rsid w:val="00CD610A"/>
    <w:rsid w:val="00CD6181"/>
    <w:rsid w:val="00CD619C"/>
    <w:rsid w:val="00CD62AD"/>
    <w:rsid w:val="00CD6396"/>
    <w:rsid w:val="00CD6412"/>
    <w:rsid w:val="00CD64AC"/>
    <w:rsid w:val="00CD64D5"/>
    <w:rsid w:val="00CD651E"/>
    <w:rsid w:val="00CD65CD"/>
    <w:rsid w:val="00CD65EC"/>
    <w:rsid w:val="00CD660C"/>
    <w:rsid w:val="00CD673F"/>
    <w:rsid w:val="00CD6773"/>
    <w:rsid w:val="00CD6778"/>
    <w:rsid w:val="00CD6837"/>
    <w:rsid w:val="00CD684A"/>
    <w:rsid w:val="00CD6871"/>
    <w:rsid w:val="00CD68FF"/>
    <w:rsid w:val="00CD69AD"/>
    <w:rsid w:val="00CD6A07"/>
    <w:rsid w:val="00CD6A0C"/>
    <w:rsid w:val="00CD6B0A"/>
    <w:rsid w:val="00CD6D3F"/>
    <w:rsid w:val="00CD6D5F"/>
    <w:rsid w:val="00CD6F3F"/>
    <w:rsid w:val="00CD6FCD"/>
    <w:rsid w:val="00CD704D"/>
    <w:rsid w:val="00CD70AF"/>
    <w:rsid w:val="00CD7185"/>
    <w:rsid w:val="00CD73BB"/>
    <w:rsid w:val="00CD744A"/>
    <w:rsid w:val="00CD75B7"/>
    <w:rsid w:val="00CD762B"/>
    <w:rsid w:val="00CD763A"/>
    <w:rsid w:val="00CD76CB"/>
    <w:rsid w:val="00CD779C"/>
    <w:rsid w:val="00CD784D"/>
    <w:rsid w:val="00CD788B"/>
    <w:rsid w:val="00CD79A0"/>
    <w:rsid w:val="00CD79AF"/>
    <w:rsid w:val="00CD79D2"/>
    <w:rsid w:val="00CD7AF6"/>
    <w:rsid w:val="00CD7B53"/>
    <w:rsid w:val="00CD7BA0"/>
    <w:rsid w:val="00CD7C0B"/>
    <w:rsid w:val="00CD7C88"/>
    <w:rsid w:val="00CD7CA2"/>
    <w:rsid w:val="00CD7CD1"/>
    <w:rsid w:val="00CD7CDB"/>
    <w:rsid w:val="00CD7D0F"/>
    <w:rsid w:val="00CD7D3C"/>
    <w:rsid w:val="00CD7DDF"/>
    <w:rsid w:val="00CD7E25"/>
    <w:rsid w:val="00CD7E90"/>
    <w:rsid w:val="00CD7FE8"/>
    <w:rsid w:val="00CD7FF1"/>
    <w:rsid w:val="00CDE579"/>
    <w:rsid w:val="00CE00B4"/>
    <w:rsid w:val="00CE0234"/>
    <w:rsid w:val="00CE0255"/>
    <w:rsid w:val="00CE026D"/>
    <w:rsid w:val="00CE03F3"/>
    <w:rsid w:val="00CE0478"/>
    <w:rsid w:val="00CE0574"/>
    <w:rsid w:val="00CE0620"/>
    <w:rsid w:val="00CE06AF"/>
    <w:rsid w:val="00CE079F"/>
    <w:rsid w:val="00CE07BE"/>
    <w:rsid w:val="00CE07E9"/>
    <w:rsid w:val="00CE0925"/>
    <w:rsid w:val="00CE0935"/>
    <w:rsid w:val="00CE0979"/>
    <w:rsid w:val="00CE0B98"/>
    <w:rsid w:val="00CE0BD3"/>
    <w:rsid w:val="00CE0C9A"/>
    <w:rsid w:val="00CE0CCA"/>
    <w:rsid w:val="00CE10DD"/>
    <w:rsid w:val="00CE1121"/>
    <w:rsid w:val="00CE1257"/>
    <w:rsid w:val="00CE132B"/>
    <w:rsid w:val="00CE139D"/>
    <w:rsid w:val="00CE1451"/>
    <w:rsid w:val="00CE14A3"/>
    <w:rsid w:val="00CE14A7"/>
    <w:rsid w:val="00CE14CC"/>
    <w:rsid w:val="00CE15B0"/>
    <w:rsid w:val="00CE164C"/>
    <w:rsid w:val="00CE16C6"/>
    <w:rsid w:val="00CE171F"/>
    <w:rsid w:val="00CE17B4"/>
    <w:rsid w:val="00CE1849"/>
    <w:rsid w:val="00CE1884"/>
    <w:rsid w:val="00CE1974"/>
    <w:rsid w:val="00CE1978"/>
    <w:rsid w:val="00CE1A8D"/>
    <w:rsid w:val="00CE1B36"/>
    <w:rsid w:val="00CE1CFC"/>
    <w:rsid w:val="00CE1E09"/>
    <w:rsid w:val="00CE1E2B"/>
    <w:rsid w:val="00CE1F2B"/>
    <w:rsid w:val="00CE2002"/>
    <w:rsid w:val="00CE206D"/>
    <w:rsid w:val="00CE20AD"/>
    <w:rsid w:val="00CE2181"/>
    <w:rsid w:val="00CE21D1"/>
    <w:rsid w:val="00CE22DB"/>
    <w:rsid w:val="00CE22E2"/>
    <w:rsid w:val="00CE234A"/>
    <w:rsid w:val="00CE23FC"/>
    <w:rsid w:val="00CE2429"/>
    <w:rsid w:val="00CE24F0"/>
    <w:rsid w:val="00CE2569"/>
    <w:rsid w:val="00CE257C"/>
    <w:rsid w:val="00CE26A1"/>
    <w:rsid w:val="00CE26D7"/>
    <w:rsid w:val="00CE279E"/>
    <w:rsid w:val="00CE296A"/>
    <w:rsid w:val="00CE2991"/>
    <w:rsid w:val="00CE29E9"/>
    <w:rsid w:val="00CE2A01"/>
    <w:rsid w:val="00CE2A25"/>
    <w:rsid w:val="00CE2B21"/>
    <w:rsid w:val="00CE2B68"/>
    <w:rsid w:val="00CE2B88"/>
    <w:rsid w:val="00CE2BD2"/>
    <w:rsid w:val="00CE2D75"/>
    <w:rsid w:val="00CE2F31"/>
    <w:rsid w:val="00CE2FC5"/>
    <w:rsid w:val="00CE3372"/>
    <w:rsid w:val="00CE345C"/>
    <w:rsid w:val="00CE34A5"/>
    <w:rsid w:val="00CE34F1"/>
    <w:rsid w:val="00CE356C"/>
    <w:rsid w:val="00CE3598"/>
    <w:rsid w:val="00CE35E1"/>
    <w:rsid w:val="00CE3604"/>
    <w:rsid w:val="00CE3622"/>
    <w:rsid w:val="00CE362B"/>
    <w:rsid w:val="00CE3683"/>
    <w:rsid w:val="00CE36E4"/>
    <w:rsid w:val="00CE372B"/>
    <w:rsid w:val="00CE38BA"/>
    <w:rsid w:val="00CE39A9"/>
    <w:rsid w:val="00CE3A56"/>
    <w:rsid w:val="00CE3AB9"/>
    <w:rsid w:val="00CE3B41"/>
    <w:rsid w:val="00CE3B42"/>
    <w:rsid w:val="00CE3B8B"/>
    <w:rsid w:val="00CE3BBC"/>
    <w:rsid w:val="00CE3BEE"/>
    <w:rsid w:val="00CE3C10"/>
    <w:rsid w:val="00CE3D66"/>
    <w:rsid w:val="00CE4050"/>
    <w:rsid w:val="00CE4092"/>
    <w:rsid w:val="00CE41C1"/>
    <w:rsid w:val="00CE4306"/>
    <w:rsid w:val="00CE43A8"/>
    <w:rsid w:val="00CE43E6"/>
    <w:rsid w:val="00CE43F6"/>
    <w:rsid w:val="00CE4415"/>
    <w:rsid w:val="00CE4632"/>
    <w:rsid w:val="00CE4713"/>
    <w:rsid w:val="00CE4740"/>
    <w:rsid w:val="00CE4815"/>
    <w:rsid w:val="00CE4820"/>
    <w:rsid w:val="00CE49D2"/>
    <w:rsid w:val="00CE4AF5"/>
    <w:rsid w:val="00CE4B16"/>
    <w:rsid w:val="00CE4C60"/>
    <w:rsid w:val="00CE4CCA"/>
    <w:rsid w:val="00CE4D4B"/>
    <w:rsid w:val="00CE4D8D"/>
    <w:rsid w:val="00CE4F3A"/>
    <w:rsid w:val="00CE4F48"/>
    <w:rsid w:val="00CE5161"/>
    <w:rsid w:val="00CE51B0"/>
    <w:rsid w:val="00CE5203"/>
    <w:rsid w:val="00CE52DB"/>
    <w:rsid w:val="00CE544C"/>
    <w:rsid w:val="00CE54EF"/>
    <w:rsid w:val="00CE55D7"/>
    <w:rsid w:val="00CE55F1"/>
    <w:rsid w:val="00CE5680"/>
    <w:rsid w:val="00CE5725"/>
    <w:rsid w:val="00CE57C5"/>
    <w:rsid w:val="00CE57E0"/>
    <w:rsid w:val="00CE58FD"/>
    <w:rsid w:val="00CE5921"/>
    <w:rsid w:val="00CE5A9E"/>
    <w:rsid w:val="00CE5AA6"/>
    <w:rsid w:val="00CE5C00"/>
    <w:rsid w:val="00CE5C48"/>
    <w:rsid w:val="00CE5D1E"/>
    <w:rsid w:val="00CE5D8C"/>
    <w:rsid w:val="00CE5D8D"/>
    <w:rsid w:val="00CE5EFF"/>
    <w:rsid w:val="00CE5FDF"/>
    <w:rsid w:val="00CE6012"/>
    <w:rsid w:val="00CE61CC"/>
    <w:rsid w:val="00CE622E"/>
    <w:rsid w:val="00CE630C"/>
    <w:rsid w:val="00CE634D"/>
    <w:rsid w:val="00CE63EC"/>
    <w:rsid w:val="00CE6457"/>
    <w:rsid w:val="00CE6505"/>
    <w:rsid w:val="00CE65AB"/>
    <w:rsid w:val="00CE670A"/>
    <w:rsid w:val="00CE6734"/>
    <w:rsid w:val="00CE6741"/>
    <w:rsid w:val="00CE67E8"/>
    <w:rsid w:val="00CE68FA"/>
    <w:rsid w:val="00CE6936"/>
    <w:rsid w:val="00CE6997"/>
    <w:rsid w:val="00CE6AF0"/>
    <w:rsid w:val="00CE6B12"/>
    <w:rsid w:val="00CE6B5D"/>
    <w:rsid w:val="00CE6C08"/>
    <w:rsid w:val="00CE6D3D"/>
    <w:rsid w:val="00CE6D55"/>
    <w:rsid w:val="00CE6DAF"/>
    <w:rsid w:val="00CE6DF4"/>
    <w:rsid w:val="00CE6E3E"/>
    <w:rsid w:val="00CE6F18"/>
    <w:rsid w:val="00CE6F20"/>
    <w:rsid w:val="00CE7082"/>
    <w:rsid w:val="00CE70A4"/>
    <w:rsid w:val="00CE7100"/>
    <w:rsid w:val="00CE729E"/>
    <w:rsid w:val="00CE7357"/>
    <w:rsid w:val="00CE75E5"/>
    <w:rsid w:val="00CE7647"/>
    <w:rsid w:val="00CE769A"/>
    <w:rsid w:val="00CE76FF"/>
    <w:rsid w:val="00CE7717"/>
    <w:rsid w:val="00CE7776"/>
    <w:rsid w:val="00CE779B"/>
    <w:rsid w:val="00CE79A4"/>
    <w:rsid w:val="00CE79BA"/>
    <w:rsid w:val="00CE79D7"/>
    <w:rsid w:val="00CE79DF"/>
    <w:rsid w:val="00CE7A08"/>
    <w:rsid w:val="00CE7BA7"/>
    <w:rsid w:val="00CE7C62"/>
    <w:rsid w:val="00CE7CAA"/>
    <w:rsid w:val="00CE7CCE"/>
    <w:rsid w:val="00CE7D45"/>
    <w:rsid w:val="00CE7E64"/>
    <w:rsid w:val="00CF0045"/>
    <w:rsid w:val="00CF00FD"/>
    <w:rsid w:val="00CF012D"/>
    <w:rsid w:val="00CF0155"/>
    <w:rsid w:val="00CF018F"/>
    <w:rsid w:val="00CF0468"/>
    <w:rsid w:val="00CF04D9"/>
    <w:rsid w:val="00CF0564"/>
    <w:rsid w:val="00CF0570"/>
    <w:rsid w:val="00CF0578"/>
    <w:rsid w:val="00CF060A"/>
    <w:rsid w:val="00CF0635"/>
    <w:rsid w:val="00CF085B"/>
    <w:rsid w:val="00CF0885"/>
    <w:rsid w:val="00CF09BA"/>
    <w:rsid w:val="00CF0CC6"/>
    <w:rsid w:val="00CF0DA8"/>
    <w:rsid w:val="00CF0E13"/>
    <w:rsid w:val="00CF0F51"/>
    <w:rsid w:val="00CF101C"/>
    <w:rsid w:val="00CF115B"/>
    <w:rsid w:val="00CF1218"/>
    <w:rsid w:val="00CF125B"/>
    <w:rsid w:val="00CF1280"/>
    <w:rsid w:val="00CF12F4"/>
    <w:rsid w:val="00CF1316"/>
    <w:rsid w:val="00CF131C"/>
    <w:rsid w:val="00CF14F9"/>
    <w:rsid w:val="00CF1501"/>
    <w:rsid w:val="00CF1678"/>
    <w:rsid w:val="00CF168A"/>
    <w:rsid w:val="00CF1737"/>
    <w:rsid w:val="00CF173F"/>
    <w:rsid w:val="00CF1769"/>
    <w:rsid w:val="00CF181D"/>
    <w:rsid w:val="00CF182B"/>
    <w:rsid w:val="00CF1847"/>
    <w:rsid w:val="00CF1931"/>
    <w:rsid w:val="00CF194B"/>
    <w:rsid w:val="00CF194E"/>
    <w:rsid w:val="00CF1959"/>
    <w:rsid w:val="00CF1A53"/>
    <w:rsid w:val="00CF1AE2"/>
    <w:rsid w:val="00CF1BDA"/>
    <w:rsid w:val="00CF1C23"/>
    <w:rsid w:val="00CF1C33"/>
    <w:rsid w:val="00CF1C78"/>
    <w:rsid w:val="00CF1C88"/>
    <w:rsid w:val="00CF1CCA"/>
    <w:rsid w:val="00CF1CE4"/>
    <w:rsid w:val="00CF1D06"/>
    <w:rsid w:val="00CF1D58"/>
    <w:rsid w:val="00CF1DD5"/>
    <w:rsid w:val="00CF1F1F"/>
    <w:rsid w:val="00CF200D"/>
    <w:rsid w:val="00CF2028"/>
    <w:rsid w:val="00CF20BC"/>
    <w:rsid w:val="00CF2152"/>
    <w:rsid w:val="00CF22A2"/>
    <w:rsid w:val="00CF230C"/>
    <w:rsid w:val="00CF2570"/>
    <w:rsid w:val="00CF2596"/>
    <w:rsid w:val="00CF2623"/>
    <w:rsid w:val="00CF2662"/>
    <w:rsid w:val="00CF2676"/>
    <w:rsid w:val="00CF27CC"/>
    <w:rsid w:val="00CF2968"/>
    <w:rsid w:val="00CF29B1"/>
    <w:rsid w:val="00CF2A18"/>
    <w:rsid w:val="00CF2B11"/>
    <w:rsid w:val="00CF2C2A"/>
    <w:rsid w:val="00CF2D36"/>
    <w:rsid w:val="00CF2D43"/>
    <w:rsid w:val="00CF2D81"/>
    <w:rsid w:val="00CF2DB9"/>
    <w:rsid w:val="00CF2DF7"/>
    <w:rsid w:val="00CF2E05"/>
    <w:rsid w:val="00CF2EB7"/>
    <w:rsid w:val="00CF2F44"/>
    <w:rsid w:val="00CF2FBE"/>
    <w:rsid w:val="00CF2FE2"/>
    <w:rsid w:val="00CF3110"/>
    <w:rsid w:val="00CF317C"/>
    <w:rsid w:val="00CF31E0"/>
    <w:rsid w:val="00CF31ED"/>
    <w:rsid w:val="00CF31FF"/>
    <w:rsid w:val="00CF321F"/>
    <w:rsid w:val="00CF3296"/>
    <w:rsid w:val="00CF3378"/>
    <w:rsid w:val="00CF339D"/>
    <w:rsid w:val="00CF33B9"/>
    <w:rsid w:val="00CF35C6"/>
    <w:rsid w:val="00CF3601"/>
    <w:rsid w:val="00CF38E9"/>
    <w:rsid w:val="00CF3978"/>
    <w:rsid w:val="00CF3AB5"/>
    <w:rsid w:val="00CF3B0E"/>
    <w:rsid w:val="00CF3BD8"/>
    <w:rsid w:val="00CF3BE2"/>
    <w:rsid w:val="00CF3BE8"/>
    <w:rsid w:val="00CF3C06"/>
    <w:rsid w:val="00CF3CE4"/>
    <w:rsid w:val="00CF3D02"/>
    <w:rsid w:val="00CF3D43"/>
    <w:rsid w:val="00CF3D8B"/>
    <w:rsid w:val="00CF3DD5"/>
    <w:rsid w:val="00CF3DE3"/>
    <w:rsid w:val="00CF3EEF"/>
    <w:rsid w:val="00CF3FD9"/>
    <w:rsid w:val="00CF407F"/>
    <w:rsid w:val="00CF4129"/>
    <w:rsid w:val="00CF430B"/>
    <w:rsid w:val="00CF4389"/>
    <w:rsid w:val="00CF43E0"/>
    <w:rsid w:val="00CF4523"/>
    <w:rsid w:val="00CF45BA"/>
    <w:rsid w:val="00CF4696"/>
    <w:rsid w:val="00CF469C"/>
    <w:rsid w:val="00CF46A5"/>
    <w:rsid w:val="00CF4714"/>
    <w:rsid w:val="00CF4731"/>
    <w:rsid w:val="00CF4750"/>
    <w:rsid w:val="00CF47A2"/>
    <w:rsid w:val="00CF4846"/>
    <w:rsid w:val="00CF4852"/>
    <w:rsid w:val="00CF4911"/>
    <w:rsid w:val="00CF4921"/>
    <w:rsid w:val="00CF4999"/>
    <w:rsid w:val="00CF4A07"/>
    <w:rsid w:val="00CF4A8A"/>
    <w:rsid w:val="00CF4B0D"/>
    <w:rsid w:val="00CF4B7D"/>
    <w:rsid w:val="00CF4C16"/>
    <w:rsid w:val="00CF4CC7"/>
    <w:rsid w:val="00CF4D15"/>
    <w:rsid w:val="00CF4D46"/>
    <w:rsid w:val="00CF4DDA"/>
    <w:rsid w:val="00CF4E52"/>
    <w:rsid w:val="00CF4E7E"/>
    <w:rsid w:val="00CF4ED2"/>
    <w:rsid w:val="00CF4F1F"/>
    <w:rsid w:val="00CF4F5E"/>
    <w:rsid w:val="00CF4F7A"/>
    <w:rsid w:val="00CF4FA2"/>
    <w:rsid w:val="00CF500E"/>
    <w:rsid w:val="00CF5012"/>
    <w:rsid w:val="00CF502A"/>
    <w:rsid w:val="00CF50AF"/>
    <w:rsid w:val="00CF50BD"/>
    <w:rsid w:val="00CF50E7"/>
    <w:rsid w:val="00CF512D"/>
    <w:rsid w:val="00CF52B5"/>
    <w:rsid w:val="00CF52F1"/>
    <w:rsid w:val="00CF5316"/>
    <w:rsid w:val="00CF531A"/>
    <w:rsid w:val="00CF538C"/>
    <w:rsid w:val="00CF53BA"/>
    <w:rsid w:val="00CF5464"/>
    <w:rsid w:val="00CF5542"/>
    <w:rsid w:val="00CF5591"/>
    <w:rsid w:val="00CF56C2"/>
    <w:rsid w:val="00CF5819"/>
    <w:rsid w:val="00CF5888"/>
    <w:rsid w:val="00CF58C1"/>
    <w:rsid w:val="00CF5A44"/>
    <w:rsid w:val="00CF5B68"/>
    <w:rsid w:val="00CF5B6A"/>
    <w:rsid w:val="00CF5C0E"/>
    <w:rsid w:val="00CF5CE1"/>
    <w:rsid w:val="00CF5D31"/>
    <w:rsid w:val="00CF5D7C"/>
    <w:rsid w:val="00CF5DA9"/>
    <w:rsid w:val="00CF5E8C"/>
    <w:rsid w:val="00CF5EE0"/>
    <w:rsid w:val="00CF5F12"/>
    <w:rsid w:val="00CF5F2A"/>
    <w:rsid w:val="00CF60F8"/>
    <w:rsid w:val="00CF6161"/>
    <w:rsid w:val="00CF61B2"/>
    <w:rsid w:val="00CF61E7"/>
    <w:rsid w:val="00CF61ED"/>
    <w:rsid w:val="00CF6232"/>
    <w:rsid w:val="00CF624B"/>
    <w:rsid w:val="00CF6380"/>
    <w:rsid w:val="00CF63D5"/>
    <w:rsid w:val="00CF6511"/>
    <w:rsid w:val="00CF6532"/>
    <w:rsid w:val="00CF658F"/>
    <w:rsid w:val="00CF6590"/>
    <w:rsid w:val="00CF669C"/>
    <w:rsid w:val="00CF671D"/>
    <w:rsid w:val="00CF6728"/>
    <w:rsid w:val="00CF6799"/>
    <w:rsid w:val="00CF67FE"/>
    <w:rsid w:val="00CF681B"/>
    <w:rsid w:val="00CF681F"/>
    <w:rsid w:val="00CF697E"/>
    <w:rsid w:val="00CF6AE8"/>
    <w:rsid w:val="00CF6AF2"/>
    <w:rsid w:val="00CF6BAB"/>
    <w:rsid w:val="00CF6BEF"/>
    <w:rsid w:val="00CF6D0E"/>
    <w:rsid w:val="00CF6D44"/>
    <w:rsid w:val="00CF6E0A"/>
    <w:rsid w:val="00CF6EFE"/>
    <w:rsid w:val="00CF6F9E"/>
    <w:rsid w:val="00CF70AE"/>
    <w:rsid w:val="00CF715B"/>
    <w:rsid w:val="00CF71F3"/>
    <w:rsid w:val="00CF723F"/>
    <w:rsid w:val="00CF7248"/>
    <w:rsid w:val="00CF730C"/>
    <w:rsid w:val="00CF73AA"/>
    <w:rsid w:val="00CF73FC"/>
    <w:rsid w:val="00CF7401"/>
    <w:rsid w:val="00CF749C"/>
    <w:rsid w:val="00CF74E2"/>
    <w:rsid w:val="00CF7530"/>
    <w:rsid w:val="00CF757C"/>
    <w:rsid w:val="00CF7678"/>
    <w:rsid w:val="00CF770C"/>
    <w:rsid w:val="00CF77F0"/>
    <w:rsid w:val="00CF7859"/>
    <w:rsid w:val="00CF789F"/>
    <w:rsid w:val="00CF78BF"/>
    <w:rsid w:val="00CF78F9"/>
    <w:rsid w:val="00CF795F"/>
    <w:rsid w:val="00CF7D91"/>
    <w:rsid w:val="00CF7E05"/>
    <w:rsid w:val="00CF7F63"/>
    <w:rsid w:val="00CF7F75"/>
    <w:rsid w:val="00D00009"/>
    <w:rsid w:val="00D0000A"/>
    <w:rsid w:val="00D00183"/>
    <w:rsid w:val="00D00201"/>
    <w:rsid w:val="00D0020F"/>
    <w:rsid w:val="00D0025A"/>
    <w:rsid w:val="00D0027E"/>
    <w:rsid w:val="00D002A0"/>
    <w:rsid w:val="00D00398"/>
    <w:rsid w:val="00D0039B"/>
    <w:rsid w:val="00D003A6"/>
    <w:rsid w:val="00D003DE"/>
    <w:rsid w:val="00D00437"/>
    <w:rsid w:val="00D005D1"/>
    <w:rsid w:val="00D00621"/>
    <w:rsid w:val="00D0065D"/>
    <w:rsid w:val="00D00710"/>
    <w:rsid w:val="00D0071C"/>
    <w:rsid w:val="00D0074D"/>
    <w:rsid w:val="00D00AC9"/>
    <w:rsid w:val="00D00B60"/>
    <w:rsid w:val="00D00B63"/>
    <w:rsid w:val="00D00BED"/>
    <w:rsid w:val="00D00CE2"/>
    <w:rsid w:val="00D00DF5"/>
    <w:rsid w:val="00D00E0A"/>
    <w:rsid w:val="00D00E30"/>
    <w:rsid w:val="00D00E76"/>
    <w:rsid w:val="00D00EBA"/>
    <w:rsid w:val="00D00F45"/>
    <w:rsid w:val="00D00FDC"/>
    <w:rsid w:val="00D01054"/>
    <w:rsid w:val="00D010AB"/>
    <w:rsid w:val="00D01139"/>
    <w:rsid w:val="00D01145"/>
    <w:rsid w:val="00D013D7"/>
    <w:rsid w:val="00D01625"/>
    <w:rsid w:val="00D01991"/>
    <w:rsid w:val="00D01A04"/>
    <w:rsid w:val="00D01B2C"/>
    <w:rsid w:val="00D01B65"/>
    <w:rsid w:val="00D01C1D"/>
    <w:rsid w:val="00D01C7C"/>
    <w:rsid w:val="00D01CE7"/>
    <w:rsid w:val="00D01D65"/>
    <w:rsid w:val="00D01DBC"/>
    <w:rsid w:val="00D01DE9"/>
    <w:rsid w:val="00D01E8E"/>
    <w:rsid w:val="00D01F49"/>
    <w:rsid w:val="00D01F88"/>
    <w:rsid w:val="00D01FA6"/>
    <w:rsid w:val="00D01FDC"/>
    <w:rsid w:val="00D0203D"/>
    <w:rsid w:val="00D021C1"/>
    <w:rsid w:val="00D021E1"/>
    <w:rsid w:val="00D02286"/>
    <w:rsid w:val="00D0229F"/>
    <w:rsid w:val="00D022FC"/>
    <w:rsid w:val="00D02371"/>
    <w:rsid w:val="00D023BE"/>
    <w:rsid w:val="00D0244A"/>
    <w:rsid w:val="00D026D9"/>
    <w:rsid w:val="00D0282D"/>
    <w:rsid w:val="00D02845"/>
    <w:rsid w:val="00D028CE"/>
    <w:rsid w:val="00D02942"/>
    <w:rsid w:val="00D02D28"/>
    <w:rsid w:val="00D02D42"/>
    <w:rsid w:val="00D02D52"/>
    <w:rsid w:val="00D02E07"/>
    <w:rsid w:val="00D02EA5"/>
    <w:rsid w:val="00D02F4C"/>
    <w:rsid w:val="00D02F63"/>
    <w:rsid w:val="00D02FD2"/>
    <w:rsid w:val="00D02FEB"/>
    <w:rsid w:val="00D03029"/>
    <w:rsid w:val="00D03114"/>
    <w:rsid w:val="00D03121"/>
    <w:rsid w:val="00D03230"/>
    <w:rsid w:val="00D03240"/>
    <w:rsid w:val="00D03353"/>
    <w:rsid w:val="00D0335A"/>
    <w:rsid w:val="00D0339C"/>
    <w:rsid w:val="00D03532"/>
    <w:rsid w:val="00D03555"/>
    <w:rsid w:val="00D035C2"/>
    <w:rsid w:val="00D03604"/>
    <w:rsid w:val="00D036AE"/>
    <w:rsid w:val="00D0374D"/>
    <w:rsid w:val="00D037BC"/>
    <w:rsid w:val="00D039C2"/>
    <w:rsid w:val="00D03A0C"/>
    <w:rsid w:val="00D03ADF"/>
    <w:rsid w:val="00D03AE6"/>
    <w:rsid w:val="00D03B24"/>
    <w:rsid w:val="00D03D33"/>
    <w:rsid w:val="00D03D7E"/>
    <w:rsid w:val="00D03D97"/>
    <w:rsid w:val="00D03E11"/>
    <w:rsid w:val="00D03E83"/>
    <w:rsid w:val="00D03FAE"/>
    <w:rsid w:val="00D0403E"/>
    <w:rsid w:val="00D040E6"/>
    <w:rsid w:val="00D040FB"/>
    <w:rsid w:val="00D041D8"/>
    <w:rsid w:val="00D041F5"/>
    <w:rsid w:val="00D042C7"/>
    <w:rsid w:val="00D042E1"/>
    <w:rsid w:val="00D042E4"/>
    <w:rsid w:val="00D042F8"/>
    <w:rsid w:val="00D0437D"/>
    <w:rsid w:val="00D043E6"/>
    <w:rsid w:val="00D0452B"/>
    <w:rsid w:val="00D0452D"/>
    <w:rsid w:val="00D045A2"/>
    <w:rsid w:val="00D045C6"/>
    <w:rsid w:val="00D045F3"/>
    <w:rsid w:val="00D04612"/>
    <w:rsid w:val="00D0462B"/>
    <w:rsid w:val="00D046DF"/>
    <w:rsid w:val="00D0472D"/>
    <w:rsid w:val="00D04730"/>
    <w:rsid w:val="00D047E3"/>
    <w:rsid w:val="00D04849"/>
    <w:rsid w:val="00D04954"/>
    <w:rsid w:val="00D04A2A"/>
    <w:rsid w:val="00D04BB9"/>
    <w:rsid w:val="00D04BF2"/>
    <w:rsid w:val="00D04D03"/>
    <w:rsid w:val="00D04E4E"/>
    <w:rsid w:val="00D04E7E"/>
    <w:rsid w:val="00D04FA5"/>
    <w:rsid w:val="00D050A4"/>
    <w:rsid w:val="00D050E6"/>
    <w:rsid w:val="00D05110"/>
    <w:rsid w:val="00D0511B"/>
    <w:rsid w:val="00D05173"/>
    <w:rsid w:val="00D051BE"/>
    <w:rsid w:val="00D05206"/>
    <w:rsid w:val="00D05209"/>
    <w:rsid w:val="00D05323"/>
    <w:rsid w:val="00D0537D"/>
    <w:rsid w:val="00D053BE"/>
    <w:rsid w:val="00D05422"/>
    <w:rsid w:val="00D0550C"/>
    <w:rsid w:val="00D0560A"/>
    <w:rsid w:val="00D057CB"/>
    <w:rsid w:val="00D057E9"/>
    <w:rsid w:val="00D0589A"/>
    <w:rsid w:val="00D058A7"/>
    <w:rsid w:val="00D05A7D"/>
    <w:rsid w:val="00D05AC0"/>
    <w:rsid w:val="00D05B4F"/>
    <w:rsid w:val="00D05C15"/>
    <w:rsid w:val="00D05C72"/>
    <w:rsid w:val="00D05C8B"/>
    <w:rsid w:val="00D05DD0"/>
    <w:rsid w:val="00D05E28"/>
    <w:rsid w:val="00D05E6A"/>
    <w:rsid w:val="00D05EBA"/>
    <w:rsid w:val="00D05F0B"/>
    <w:rsid w:val="00D05F3A"/>
    <w:rsid w:val="00D0621A"/>
    <w:rsid w:val="00D06272"/>
    <w:rsid w:val="00D062E5"/>
    <w:rsid w:val="00D062F8"/>
    <w:rsid w:val="00D062F9"/>
    <w:rsid w:val="00D063B3"/>
    <w:rsid w:val="00D0652E"/>
    <w:rsid w:val="00D065F1"/>
    <w:rsid w:val="00D0664D"/>
    <w:rsid w:val="00D06863"/>
    <w:rsid w:val="00D0688D"/>
    <w:rsid w:val="00D068B5"/>
    <w:rsid w:val="00D068BF"/>
    <w:rsid w:val="00D068C9"/>
    <w:rsid w:val="00D068D0"/>
    <w:rsid w:val="00D06A9B"/>
    <w:rsid w:val="00D06A9C"/>
    <w:rsid w:val="00D06AB9"/>
    <w:rsid w:val="00D06B18"/>
    <w:rsid w:val="00D06C21"/>
    <w:rsid w:val="00D06E0A"/>
    <w:rsid w:val="00D06E58"/>
    <w:rsid w:val="00D06EF9"/>
    <w:rsid w:val="00D06F9F"/>
    <w:rsid w:val="00D07007"/>
    <w:rsid w:val="00D070EB"/>
    <w:rsid w:val="00D0716A"/>
    <w:rsid w:val="00D072A0"/>
    <w:rsid w:val="00D0737E"/>
    <w:rsid w:val="00D07384"/>
    <w:rsid w:val="00D07387"/>
    <w:rsid w:val="00D073B6"/>
    <w:rsid w:val="00D073E3"/>
    <w:rsid w:val="00D07440"/>
    <w:rsid w:val="00D0749C"/>
    <w:rsid w:val="00D0768B"/>
    <w:rsid w:val="00D076C5"/>
    <w:rsid w:val="00D076D4"/>
    <w:rsid w:val="00D07803"/>
    <w:rsid w:val="00D0784A"/>
    <w:rsid w:val="00D078B4"/>
    <w:rsid w:val="00D0797F"/>
    <w:rsid w:val="00D0799F"/>
    <w:rsid w:val="00D079E3"/>
    <w:rsid w:val="00D079FF"/>
    <w:rsid w:val="00D07B97"/>
    <w:rsid w:val="00D07C62"/>
    <w:rsid w:val="00D07D56"/>
    <w:rsid w:val="00D07E28"/>
    <w:rsid w:val="00D07E38"/>
    <w:rsid w:val="00D07E84"/>
    <w:rsid w:val="00D07E8E"/>
    <w:rsid w:val="00D07F24"/>
    <w:rsid w:val="00D07F7D"/>
    <w:rsid w:val="00D07FE7"/>
    <w:rsid w:val="00D10073"/>
    <w:rsid w:val="00D100E6"/>
    <w:rsid w:val="00D100F7"/>
    <w:rsid w:val="00D1026F"/>
    <w:rsid w:val="00D10307"/>
    <w:rsid w:val="00D10324"/>
    <w:rsid w:val="00D1032B"/>
    <w:rsid w:val="00D103D9"/>
    <w:rsid w:val="00D104DB"/>
    <w:rsid w:val="00D1052C"/>
    <w:rsid w:val="00D10566"/>
    <w:rsid w:val="00D105E3"/>
    <w:rsid w:val="00D10703"/>
    <w:rsid w:val="00D10728"/>
    <w:rsid w:val="00D10736"/>
    <w:rsid w:val="00D107E4"/>
    <w:rsid w:val="00D109E7"/>
    <w:rsid w:val="00D10A76"/>
    <w:rsid w:val="00D10AB7"/>
    <w:rsid w:val="00D10B47"/>
    <w:rsid w:val="00D10B70"/>
    <w:rsid w:val="00D10C79"/>
    <w:rsid w:val="00D10D80"/>
    <w:rsid w:val="00D10E0C"/>
    <w:rsid w:val="00D10E2B"/>
    <w:rsid w:val="00D10E57"/>
    <w:rsid w:val="00D10E6E"/>
    <w:rsid w:val="00D10F15"/>
    <w:rsid w:val="00D10FF5"/>
    <w:rsid w:val="00D110DA"/>
    <w:rsid w:val="00D11135"/>
    <w:rsid w:val="00D1118F"/>
    <w:rsid w:val="00D11196"/>
    <w:rsid w:val="00D111DA"/>
    <w:rsid w:val="00D111FB"/>
    <w:rsid w:val="00D11205"/>
    <w:rsid w:val="00D11225"/>
    <w:rsid w:val="00D11285"/>
    <w:rsid w:val="00D112B6"/>
    <w:rsid w:val="00D113A3"/>
    <w:rsid w:val="00D11492"/>
    <w:rsid w:val="00D1150B"/>
    <w:rsid w:val="00D11682"/>
    <w:rsid w:val="00D11767"/>
    <w:rsid w:val="00D1180D"/>
    <w:rsid w:val="00D1183E"/>
    <w:rsid w:val="00D1186B"/>
    <w:rsid w:val="00D119D9"/>
    <w:rsid w:val="00D11A3D"/>
    <w:rsid w:val="00D11ACF"/>
    <w:rsid w:val="00D11AD9"/>
    <w:rsid w:val="00D11AE8"/>
    <w:rsid w:val="00D11B01"/>
    <w:rsid w:val="00D11B07"/>
    <w:rsid w:val="00D11B2A"/>
    <w:rsid w:val="00D11B37"/>
    <w:rsid w:val="00D11B68"/>
    <w:rsid w:val="00D11BAA"/>
    <w:rsid w:val="00D11BE6"/>
    <w:rsid w:val="00D11CFB"/>
    <w:rsid w:val="00D11D1D"/>
    <w:rsid w:val="00D11D9E"/>
    <w:rsid w:val="00D11F03"/>
    <w:rsid w:val="00D11F0D"/>
    <w:rsid w:val="00D11F7F"/>
    <w:rsid w:val="00D11F90"/>
    <w:rsid w:val="00D11FA0"/>
    <w:rsid w:val="00D121C9"/>
    <w:rsid w:val="00D122BB"/>
    <w:rsid w:val="00D122C6"/>
    <w:rsid w:val="00D1230B"/>
    <w:rsid w:val="00D12313"/>
    <w:rsid w:val="00D123D2"/>
    <w:rsid w:val="00D123DA"/>
    <w:rsid w:val="00D12482"/>
    <w:rsid w:val="00D125E2"/>
    <w:rsid w:val="00D127CA"/>
    <w:rsid w:val="00D128C4"/>
    <w:rsid w:val="00D129CC"/>
    <w:rsid w:val="00D12AE8"/>
    <w:rsid w:val="00D12B1B"/>
    <w:rsid w:val="00D12B75"/>
    <w:rsid w:val="00D12BEA"/>
    <w:rsid w:val="00D12C7C"/>
    <w:rsid w:val="00D12CAA"/>
    <w:rsid w:val="00D12D65"/>
    <w:rsid w:val="00D12E2B"/>
    <w:rsid w:val="00D12ED3"/>
    <w:rsid w:val="00D12F1F"/>
    <w:rsid w:val="00D12F31"/>
    <w:rsid w:val="00D12F8B"/>
    <w:rsid w:val="00D12FF2"/>
    <w:rsid w:val="00D1307A"/>
    <w:rsid w:val="00D13135"/>
    <w:rsid w:val="00D131CC"/>
    <w:rsid w:val="00D13229"/>
    <w:rsid w:val="00D1324D"/>
    <w:rsid w:val="00D13284"/>
    <w:rsid w:val="00D1334C"/>
    <w:rsid w:val="00D1337D"/>
    <w:rsid w:val="00D133B3"/>
    <w:rsid w:val="00D13449"/>
    <w:rsid w:val="00D134B0"/>
    <w:rsid w:val="00D134B1"/>
    <w:rsid w:val="00D13540"/>
    <w:rsid w:val="00D13547"/>
    <w:rsid w:val="00D1365A"/>
    <w:rsid w:val="00D1370C"/>
    <w:rsid w:val="00D137DF"/>
    <w:rsid w:val="00D13905"/>
    <w:rsid w:val="00D13916"/>
    <w:rsid w:val="00D13AA5"/>
    <w:rsid w:val="00D13AD7"/>
    <w:rsid w:val="00D13B19"/>
    <w:rsid w:val="00D13B88"/>
    <w:rsid w:val="00D13C1C"/>
    <w:rsid w:val="00D13E0D"/>
    <w:rsid w:val="00D13E59"/>
    <w:rsid w:val="00D13E8D"/>
    <w:rsid w:val="00D13F6F"/>
    <w:rsid w:val="00D13FE8"/>
    <w:rsid w:val="00D14029"/>
    <w:rsid w:val="00D140C8"/>
    <w:rsid w:val="00D141BF"/>
    <w:rsid w:val="00D1428E"/>
    <w:rsid w:val="00D14296"/>
    <w:rsid w:val="00D142C5"/>
    <w:rsid w:val="00D142CA"/>
    <w:rsid w:val="00D142CE"/>
    <w:rsid w:val="00D14328"/>
    <w:rsid w:val="00D143D1"/>
    <w:rsid w:val="00D143F7"/>
    <w:rsid w:val="00D1443B"/>
    <w:rsid w:val="00D14494"/>
    <w:rsid w:val="00D14513"/>
    <w:rsid w:val="00D14652"/>
    <w:rsid w:val="00D146AF"/>
    <w:rsid w:val="00D146BD"/>
    <w:rsid w:val="00D146D8"/>
    <w:rsid w:val="00D14702"/>
    <w:rsid w:val="00D14778"/>
    <w:rsid w:val="00D1478B"/>
    <w:rsid w:val="00D147C9"/>
    <w:rsid w:val="00D14824"/>
    <w:rsid w:val="00D1499A"/>
    <w:rsid w:val="00D14A07"/>
    <w:rsid w:val="00D14A39"/>
    <w:rsid w:val="00D14B44"/>
    <w:rsid w:val="00D14C36"/>
    <w:rsid w:val="00D14CA0"/>
    <w:rsid w:val="00D14CDC"/>
    <w:rsid w:val="00D14D87"/>
    <w:rsid w:val="00D14E6D"/>
    <w:rsid w:val="00D1502E"/>
    <w:rsid w:val="00D15097"/>
    <w:rsid w:val="00D150ED"/>
    <w:rsid w:val="00D1510B"/>
    <w:rsid w:val="00D151F8"/>
    <w:rsid w:val="00D15223"/>
    <w:rsid w:val="00D15416"/>
    <w:rsid w:val="00D15439"/>
    <w:rsid w:val="00D1543B"/>
    <w:rsid w:val="00D15523"/>
    <w:rsid w:val="00D15539"/>
    <w:rsid w:val="00D15680"/>
    <w:rsid w:val="00D157C8"/>
    <w:rsid w:val="00D158AF"/>
    <w:rsid w:val="00D15906"/>
    <w:rsid w:val="00D15950"/>
    <w:rsid w:val="00D15956"/>
    <w:rsid w:val="00D1597B"/>
    <w:rsid w:val="00D15A71"/>
    <w:rsid w:val="00D15A8B"/>
    <w:rsid w:val="00D15B92"/>
    <w:rsid w:val="00D15D96"/>
    <w:rsid w:val="00D15E18"/>
    <w:rsid w:val="00D15E25"/>
    <w:rsid w:val="00D15E6F"/>
    <w:rsid w:val="00D15E8A"/>
    <w:rsid w:val="00D15E96"/>
    <w:rsid w:val="00D15F68"/>
    <w:rsid w:val="00D15FC8"/>
    <w:rsid w:val="00D1600D"/>
    <w:rsid w:val="00D1606D"/>
    <w:rsid w:val="00D160E2"/>
    <w:rsid w:val="00D16238"/>
    <w:rsid w:val="00D1631F"/>
    <w:rsid w:val="00D16410"/>
    <w:rsid w:val="00D1641E"/>
    <w:rsid w:val="00D16428"/>
    <w:rsid w:val="00D1650B"/>
    <w:rsid w:val="00D16521"/>
    <w:rsid w:val="00D16758"/>
    <w:rsid w:val="00D16793"/>
    <w:rsid w:val="00D167A8"/>
    <w:rsid w:val="00D16884"/>
    <w:rsid w:val="00D16A57"/>
    <w:rsid w:val="00D16A6E"/>
    <w:rsid w:val="00D16AC6"/>
    <w:rsid w:val="00D16AD7"/>
    <w:rsid w:val="00D16B5A"/>
    <w:rsid w:val="00D16B5E"/>
    <w:rsid w:val="00D16B89"/>
    <w:rsid w:val="00D16CC7"/>
    <w:rsid w:val="00D16D5B"/>
    <w:rsid w:val="00D16E3E"/>
    <w:rsid w:val="00D16F14"/>
    <w:rsid w:val="00D16F99"/>
    <w:rsid w:val="00D16F9F"/>
    <w:rsid w:val="00D16FA8"/>
    <w:rsid w:val="00D16FC1"/>
    <w:rsid w:val="00D17034"/>
    <w:rsid w:val="00D17086"/>
    <w:rsid w:val="00D170FA"/>
    <w:rsid w:val="00D17120"/>
    <w:rsid w:val="00D1713A"/>
    <w:rsid w:val="00D1716D"/>
    <w:rsid w:val="00D17192"/>
    <w:rsid w:val="00D171B8"/>
    <w:rsid w:val="00D173FB"/>
    <w:rsid w:val="00D17480"/>
    <w:rsid w:val="00D1749D"/>
    <w:rsid w:val="00D174AB"/>
    <w:rsid w:val="00D175CF"/>
    <w:rsid w:val="00D17622"/>
    <w:rsid w:val="00D17635"/>
    <w:rsid w:val="00D17687"/>
    <w:rsid w:val="00D1773C"/>
    <w:rsid w:val="00D1779A"/>
    <w:rsid w:val="00D177B0"/>
    <w:rsid w:val="00D177E4"/>
    <w:rsid w:val="00D17839"/>
    <w:rsid w:val="00D178FC"/>
    <w:rsid w:val="00D17948"/>
    <w:rsid w:val="00D17A33"/>
    <w:rsid w:val="00D17A87"/>
    <w:rsid w:val="00D17C45"/>
    <w:rsid w:val="00D17C90"/>
    <w:rsid w:val="00D17DDD"/>
    <w:rsid w:val="00D17E05"/>
    <w:rsid w:val="00D17E6D"/>
    <w:rsid w:val="00D17EF0"/>
    <w:rsid w:val="00D17F10"/>
    <w:rsid w:val="00D17F79"/>
    <w:rsid w:val="00D17F7F"/>
    <w:rsid w:val="00D17F94"/>
    <w:rsid w:val="00D200B2"/>
    <w:rsid w:val="00D20194"/>
    <w:rsid w:val="00D20277"/>
    <w:rsid w:val="00D20319"/>
    <w:rsid w:val="00D20393"/>
    <w:rsid w:val="00D203AA"/>
    <w:rsid w:val="00D203D2"/>
    <w:rsid w:val="00D203D4"/>
    <w:rsid w:val="00D20454"/>
    <w:rsid w:val="00D2047B"/>
    <w:rsid w:val="00D204C6"/>
    <w:rsid w:val="00D205D7"/>
    <w:rsid w:val="00D2065E"/>
    <w:rsid w:val="00D2074D"/>
    <w:rsid w:val="00D20793"/>
    <w:rsid w:val="00D208AD"/>
    <w:rsid w:val="00D209BC"/>
    <w:rsid w:val="00D20AF2"/>
    <w:rsid w:val="00D20C94"/>
    <w:rsid w:val="00D20CA2"/>
    <w:rsid w:val="00D20CEE"/>
    <w:rsid w:val="00D20E08"/>
    <w:rsid w:val="00D20EB0"/>
    <w:rsid w:val="00D20EEC"/>
    <w:rsid w:val="00D20F07"/>
    <w:rsid w:val="00D2102E"/>
    <w:rsid w:val="00D21067"/>
    <w:rsid w:val="00D21199"/>
    <w:rsid w:val="00D21215"/>
    <w:rsid w:val="00D2125A"/>
    <w:rsid w:val="00D212D4"/>
    <w:rsid w:val="00D213BA"/>
    <w:rsid w:val="00D213D1"/>
    <w:rsid w:val="00D213E3"/>
    <w:rsid w:val="00D21400"/>
    <w:rsid w:val="00D214EC"/>
    <w:rsid w:val="00D21635"/>
    <w:rsid w:val="00D2175F"/>
    <w:rsid w:val="00D2189C"/>
    <w:rsid w:val="00D218A5"/>
    <w:rsid w:val="00D218CC"/>
    <w:rsid w:val="00D2190C"/>
    <w:rsid w:val="00D21939"/>
    <w:rsid w:val="00D21942"/>
    <w:rsid w:val="00D219F8"/>
    <w:rsid w:val="00D21A02"/>
    <w:rsid w:val="00D21B76"/>
    <w:rsid w:val="00D21BB5"/>
    <w:rsid w:val="00D21BB9"/>
    <w:rsid w:val="00D21CE5"/>
    <w:rsid w:val="00D21E3D"/>
    <w:rsid w:val="00D21EF2"/>
    <w:rsid w:val="00D21F23"/>
    <w:rsid w:val="00D21F49"/>
    <w:rsid w:val="00D21F69"/>
    <w:rsid w:val="00D2200F"/>
    <w:rsid w:val="00D220E9"/>
    <w:rsid w:val="00D22103"/>
    <w:rsid w:val="00D2210B"/>
    <w:rsid w:val="00D22193"/>
    <w:rsid w:val="00D2220F"/>
    <w:rsid w:val="00D2228F"/>
    <w:rsid w:val="00D222EC"/>
    <w:rsid w:val="00D2231B"/>
    <w:rsid w:val="00D22378"/>
    <w:rsid w:val="00D223DD"/>
    <w:rsid w:val="00D224F2"/>
    <w:rsid w:val="00D22531"/>
    <w:rsid w:val="00D22664"/>
    <w:rsid w:val="00D22689"/>
    <w:rsid w:val="00D2273E"/>
    <w:rsid w:val="00D22832"/>
    <w:rsid w:val="00D228B9"/>
    <w:rsid w:val="00D228C1"/>
    <w:rsid w:val="00D22972"/>
    <w:rsid w:val="00D22A2D"/>
    <w:rsid w:val="00D22A3B"/>
    <w:rsid w:val="00D22AB9"/>
    <w:rsid w:val="00D22ABA"/>
    <w:rsid w:val="00D22B3E"/>
    <w:rsid w:val="00D22BA2"/>
    <w:rsid w:val="00D22BAD"/>
    <w:rsid w:val="00D22D9D"/>
    <w:rsid w:val="00D22EB6"/>
    <w:rsid w:val="00D23023"/>
    <w:rsid w:val="00D2305F"/>
    <w:rsid w:val="00D230A3"/>
    <w:rsid w:val="00D230FC"/>
    <w:rsid w:val="00D231A1"/>
    <w:rsid w:val="00D2324F"/>
    <w:rsid w:val="00D2328E"/>
    <w:rsid w:val="00D2339E"/>
    <w:rsid w:val="00D23486"/>
    <w:rsid w:val="00D234A2"/>
    <w:rsid w:val="00D23509"/>
    <w:rsid w:val="00D23661"/>
    <w:rsid w:val="00D23704"/>
    <w:rsid w:val="00D23718"/>
    <w:rsid w:val="00D237D7"/>
    <w:rsid w:val="00D2387E"/>
    <w:rsid w:val="00D23974"/>
    <w:rsid w:val="00D23996"/>
    <w:rsid w:val="00D23AE5"/>
    <w:rsid w:val="00D23B39"/>
    <w:rsid w:val="00D23B96"/>
    <w:rsid w:val="00D23BCF"/>
    <w:rsid w:val="00D23CB6"/>
    <w:rsid w:val="00D23DA4"/>
    <w:rsid w:val="00D23E0B"/>
    <w:rsid w:val="00D23EB3"/>
    <w:rsid w:val="00D23FCB"/>
    <w:rsid w:val="00D24067"/>
    <w:rsid w:val="00D2415E"/>
    <w:rsid w:val="00D241A4"/>
    <w:rsid w:val="00D242C1"/>
    <w:rsid w:val="00D242C4"/>
    <w:rsid w:val="00D24456"/>
    <w:rsid w:val="00D2445A"/>
    <w:rsid w:val="00D24463"/>
    <w:rsid w:val="00D24474"/>
    <w:rsid w:val="00D2448F"/>
    <w:rsid w:val="00D24545"/>
    <w:rsid w:val="00D24555"/>
    <w:rsid w:val="00D24561"/>
    <w:rsid w:val="00D2456A"/>
    <w:rsid w:val="00D2468D"/>
    <w:rsid w:val="00D246B3"/>
    <w:rsid w:val="00D246D1"/>
    <w:rsid w:val="00D2481C"/>
    <w:rsid w:val="00D24865"/>
    <w:rsid w:val="00D24889"/>
    <w:rsid w:val="00D248A1"/>
    <w:rsid w:val="00D248CF"/>
    <w:rsid w:val="00D24972"/>
    <w:rsid w:val="00D24A08"/>
    <w:rsid w:val="00D24A76"/>
    <w:rsid w:val="00D24AB9"/>
    <w:rsid w:val="00D24B62"/>
    <w:rsid w:val="00D24C5D"/>
    <w:rsid w:val="00D24CF9"/>
    <w:rsid w:val="00D24D37"/>
    <w:rsid w:val="00D24E56"/>
    <w:rsid w:val="00D24F27"/>
    <w:rsid w:val="00D25001"/>
    <w:rsid w:val="00D25012"/>
    <w:rsid w:val="00D25126"/>
    <w:rsid w:val="00D25208"/>
    <w:rsid w:val="00D2528F"/>
    <w:rsid w:val="00D2529C"/>
    <w:rsid w:val="00D252A4"/>
    <w:rsid w:val="00D252BC"/>
    <w:rsid w:val="00D25396"/>
    <w:rsid w:val="00D2539B"/>
    <w:rsid w:val="00D253D5"/>
    <w:rsid w:val="00D25430"/>
    <w:rsid w:val="00D25462"/>
    <w:rsid w:val="00D2547D"/>
    <w:rsid w:val="00D254DA"/>
    <w:rsid w:val="00D2555E"/>
    <w:rsid w:val="00D25770"/>
    <w:rsid w:val="00D25802"/>
    <w:rsid w:val="00D25826"/>
    <w:rsid w:val="00D25928"/>
    <w:rsid w:val="00D2594A"/>
    <w:rsid w:val="00D25B4E"/>
    <w:rsid w:val="00D25C7F"/>
    <w:rsid w:val="00D25CC5"/>
    <w:rsid w:val="00D25CE5"/>
    <w:rsid w:val="00D25D5C"/>
    <w:rsid w:val="00D25DCC"/>
    <w:rsid w:val="00D25DCD"/>
    <w:rsid w:val="00D25EE4"/>
    <w:rsid w:val="00D25FE1"/>
    <w:rsid w:val="00D25FFA"/>
    <w:rsid w:val="00D26031"/>
    <w:rsid w:val="00D26103"/>
    <w:rsid w:val="00D261AE"/>
    <w:rsid w:val="00D26217"/>
    <w:rsid w:val="00D2621A"/>
    <w:rsid w:val="00D2622E"/>
    <w:rsid w:val="00D26259"/>
    <w:rsid w:val="00D263A3"/>
    <w:rsid w:val="00D263BD"/>
    <w:rsid w:val="00D26539"/>
    <w:rsid w:val="00D266AA"/>
    <w:rsid w:val="00D26A48"/>
    <w:rsid w:val="00D26B29"/>
    <w:rsid w:val="00D26C1C"/>
    <w:rsid w:val="00D26CF8"/>
    <w:rsid w:val="00D26D7C"/>
    <w:rsid w:val="00D26DBE"/>
    <w:rsid w:val="00D27012"/>
    <w:rsid w:val="00D270B2"/>
    <w:rsid w:val="00D27137"/>
    <w:rsid w:val="00D27198"/>
    <w:rsid w:val="00D271A7"/>
    <w:rsid w:val="00D272BC"/>
    <w:rsid w:val="00D2743A"/>
    <w:rsid w:val="00D274C5"/>
    <w:rsid w:val="00D275FE"/>
    <w:rsid w:val="00D2760D"/>
    <w:rsid w:val="00D2776E"/>
    <w:rsid w:val="00D27819"/>
    <w:rsid w:val="00D27825"/>
    <w:rsid w:val="00D2788A"/>
    <w:rsid w:val="00D278F7"/>
    <w:rsid w:val="00D27A33"/>
    <w:rsid w:val="00D27A3B"/>
    <w:rsid w:val="00D27A58"/>
    <w:rsid w:val="00D27A69"/>
    <w:rsid w:val="00D27ABF"/>
    <w:rsid w:val="00D27AD6"/>
    <w:rsid w:val="00D27B40"/>
    <w:rsid w:val="00D27B99"/>
    <w:rsid w:val="00D27BB8"/>
    <w:rsid w:val="00D27D0F"/>
    <w:rsid w:val="00D27DC3"/>
    <w:rsid w:val="00D27EBD"/>
    <w:rsid w:val="00D27F19"/>
    <w:rsid w:val="00D27F48"/>
    <w:rsid w:val="00D27F50"/>
    <w:rsid w:val="00D27FF8"/>
    <w:rsid w:val="00D27FFE"/>
    <w:rsid w:val="00D3005B"/>
    <w:rsid w:val="00D30071"/>
    <w:rsid w:val="00D30262"/>
    <w:rsid w:val="00D303EF"/>
    <w:rsid w:val="00D30458"/>
    <w:rsid w:val="00D304BB"/>
    <w:rsid w:val="00D30638"/>
    <w:rsid w:val="00D3063A"/>
    <w:rsid w:val="00D306A3"/>
    <w:rsid w:val="00D30795"/>
    <w:rsid w:val="00D307FE"/>
    <w:rsid w:val="00D3082B"/>
    <w:rsid w:val="00D308B9"/>
    <w:rsid w:val="00D309F9"/>
    <w:rsid w:val="00D30A01"/>
    <w:rsid w:val="00D30AB7"/>
    <w:rsid w:val="00D30AD4"/>
    <w:rsid w:val="00D30BAA"/>
    <w:rsid w:val="00D30CD8"/>
    <w:rsid w:val="00D30D5F"/>
    <w:rsid w:val="00D30DD8"/>
    <w:rsid w:val="00D31011"/>
    <w:rsid w:val="00D310B6"/>
    <w:rsid w:val="00D3112E"/>
    <w:rsid w:val="00D31153"/>
    <w:rsid w:val="00D31186"/>
    <w:rsid w:val="00D311C1"/>
    <w:rsid w:val="00D311E9"/>
    <w:rsid w:val="00D312C7"/>
    <w:rsid w:val="00D31394"/>
    <w:rsid w:val="00D313C3"/>
    <w:rsid w:val="00D31430"/>
    <w:rsid w:val="00D314E9"/>
    <w:rsid w:val="00D314F6"/>
    <w:rsid w:val="00D315BB"/>
    <w:rsid w:val="00D315D5"/>
    <w:rsid w:val="00D315E5"/>
    <w:rsid w:val="00D315FC"/>
    <w:rsid w:val="00D3161B"/>
    <w:rsid w:val="00D316C0"/>
    <w:rsid w:val="00D316F9"/>
    <w:rsid w:val="00D31716"/>
    <w:rsid w:val="00D3181E"/>
    <w:rsid w:val="00D31966"/>
    <w:rsid w:val="00D31B20"/>
    <w:rsid w:val="00D31B8F"/>
    <w:rsid w:val="00D31BE7"/>
    <w:rsid w:val="00D31C42"/>
    <w:rsid w:val="00D31D3D"/>
    <w:rsid w:val="00D31DAB"/>
    <w:rsid w:val="00D31E73"/>
    <w:rsid w:val="00D31EA2"/>
    <w:rsid w:val="00D31EEF"/>
    <w:rsid w:val="00D31FC8"/>
    <w:rsid w:val="00D31FCE"/>
    <w:rsid w:val="00D32036"/>
    <w:rsid w:val="00D320A3"/>
    <w:rsid w:val="00D3214A"/>
    <w:rsid w:val="00D3226E"/>
    <w:rsid w:val="00D322B6"/>
    <w:rsid w:val="00D322F3"/>
    <w:rsid w:val="00D323ED"/>
    <w:rsid w:val="00D324A6"/>
    <w:rsid w:val="00D32714"/>
    <w:rsid w:val="00D32740"/>
    <w:rsid w:val="00D32897"/>
    <w:rsid w:val="00D32955"/>
    <w:rsid w:val="00D3296D"/>
    <w:rsid w:val="00D3297A"/>
    <w:rsid w:val="00D32AB5"/>
    <w:rsid w:val="00D32B52"/>
    <w:rsid w:val="00D32CCB"/>
    <w:rsid w:val="00D32D10"/>
    <w:rsid w:val="00D32DF5"/>
    <w:rsid w:val="00D32E0E"/>
    <w:rsid w:val="00D32F05"/>
    <w:rsid w:val="00D33016"/>
    <w:rsid w:val="00D33045"/>
    <w:rsid w:val="00D331CE"/>
    <w:rsid w:val="00D331F4"/>
    <w:rsid w:val="00D33267"/>
    <w:rsid w:val="00D332AE"/>
    <w:rsid w:val="00D332B3"/>
    <w:rsid w:val="00D333D5"/>
    <w:rsid w:val="00D334C8"/>
    <w:rsid w:val="00D3359A"/>
    <w:rsid w:val="00D33702"/>
    <w:rsid w:val="00D33710"/>
    <w:rsid w:val="00D33718"/>
    <w:rsid w:val="00D33752"/>
    <w:rsid w:val="00D3380F"/>
    <w:rsid w:val="00D33868"/>
    <w:rsid w:val="00D3386C"/>
    <w:rsid w:val="00D339E6"/>
    <w:rsid w:val="00D33A98"/>
    <w:rsid w:val="00D33AF4"/>
    <w:rsid w:val="00D33BDA"/>
    <w:rsid w:val="00D33BDC"/>
    <w:rsid w:val="00D33CEF"/>
    <w:rsid w:val="00D33D58"/>
    <w:rsid w:val="00D33DFE"/>
    <w:rsid w:val="00D33EE3"/>
    <w:rsid w:val="00D33FEF"/>
    <w:rsid w:val="00D34006"/>
    <w:rsid w:val="00D340D6"/>
    <w:rsid w:val="00D34125"/>
    <w:rsid w:val="00D34262"/>
    <w:rsid w:val="00D34417"/>
    <w:rsid w:val="00D34426"/>
    <w:rsid w:val="00D34472"/>
    <w:rsid w:val="00D34580"/>
    <w:rsid w:val="00D345EE"/>
    <w:rsid w:val="00D3486B"/>
    <w:rsid w:val="00D349D0"/>
    <w:rsid w:val="00D34A3F"/>
    <w:rsid w:val="00D34B0A"/>
    <w:rsid w:val="00D34B29"/>
    <w:rsid w:val="00D34C9E"/>
    <w:rsid w:val="00D34DCD"/>
    <w:rsid w:val="00D34E20"/>
    <w:rsid w:val="00D34E79"/>
    <w:rsid w:val="00D35047"/>
    <w:rsid w:val="00D350B0"/>
    <w:rsid w:val="00D350B2"/>
    <w:rsid w:val="00D350F4"/>
    <w:rsid w:val="00D350FB"/>
    <w:rsid w:val="00D351AD"/>
    <w:rsid w:val="00D35242"/>
    <w:rsid w:val="00D3539F"/>
    <w:rsid w:val="00D353C2"/>
    <w:rsid w:val="00D354FC"/>
    <w:rsid w:val="00D357F1"/>
    <w:rsid w:val="00D35940"/>
    <w:rsid w:val="00D359A0"/>
    <w:rsid w:val="00D35A72"/>
    <w:rsid w:val="00D35D3D"/>
    <w:rsid w:val="00D35D9B"/>
    <w:rsid w:val="00D35E11"/>
    <w:rsid w:val="00D35E71"/>
    <w:rsid w:val="00D35E9E"/>
    <w:rsid w:val="00D35FE0"/>
    <w:rsid w:val="00D35FF2"/>
    <w:rsid w:val="00D36103"/>
    <w:rsid w:val="00D36177"/>
    <w:rsid w:val="00D361A3"/>
    <w:rsid w:val="00D36201"/>
    <w:rsid w:val="00D36241"/>
    <w:rsid w:val="00D362B0"/>
    <w:rsid w:val="00D362D0"/>
    <w:rsid w:val="00D36387"/>
    <w:rsid w:val="00D364C8"/>
    <w:rsid w:val="00D36625"/>
    <w:rsid w:val="00D366B8"/>
    <w:rsid w:val="00D36724"/>
    <w:rsid w:val="00D36725"/>
    <w:rsid w:val="00D36932"/>
    <w:rsid w:val="00D3694D"/>
    <w:rsid w:val="00D36955"/>
    <w:rsid w:val="00D369B6"/>
    <w:rsid w:val="00D369BE"/>
    <w:rsid w:val="00D369D5"/>
    <w:rsid w:val="00D369F3"/>
    <w:rsid w:val="00D36A04"/>
    <w:rsid w:val="00D36A12"/>
    <w:rsid w:val="00D36AAB"/>
    <w:rsid w:val="00D36B8C"/>
    <w:rsid w:val="00D36CA8"/>
    <w:rsid w:val="00D36CCE"/>
    <w:rsid w:val="00D36D37"/>
    <w:rsid w:val="00D36D3F"/>
    <w:rsid w:val="00D36DC9"/>
    <w:rsid w:val="00D36E4A"/>
    <w:rsid w:val="00D36EA3"/>
    <w:rsid w:val="00D36F19"/>
    <w:rsid w:val="00D36F1E"/>
    <w:rsid w:val="00D36FE0"/>
    <w:rsid w:val="00D36FE7"/>
    <w:rsid w:val="00D37042"/>
    <w:rsid w:val="00D37297"/>
    <w:rsid w:val="00D372A0"/>
    <w:rsid w:val="00D37344"/>
    <w:rsid w:val="00D374E4"/>
    <w:rsid w:val="00D3755D"/>
    <w:rsid w:val="00D375CF"/>
    <w:rsid w:val="00D375D1"/>
    <w:rsid w:val="00D37625"/>
    <w:rsid w:val="00D376D8"/>
    <w:rsid w:val="00D376FD"/>
    <w:rsid w:val="00D37774"/>
    <w:rsid w:val="00D377CA"/>
    <w:rsid w:val="00D37894"/>
    <w:rsid w:val="00D37A1E"/>
    <w:rsid w:val="00D37B47"/>
    <w:rsid w:val="00D37B6F"/>
    <w:rsid w:val="00D37E03"/>
    <w:rsid w:val="00D37E8A"/>
    <w:rsid w:val="00D37ECC"/>
    <w:rsid w:val="00D37F30"/>
    <w:rsid w:val="00D37F61"/>
    <w:rsid w:val="00D37FA6"/>
    <w:rsid w:val="00D4007C"/>
    <w:rsid w:val="00D400F7"/>
    <w:rsid w:val="00D4017C"/>
    <w:rsid w:val="00D401AC"/>
    <w:rsid w:val="00D401C5"/>
    <w:rsid w:val="00D4025F"/>
    <w:rsid w:val="00D4027E"/>
    <w:rsid w:val="00D40396"/>
    <w:rsid w:val="00D40407"/>
    <w:rsid w:val="00D404AB"/>
    <w:rsid w:val="00D404B6"/>
    <w:rsid w:val="00D404CB"/>
    <w:rsid w:val="00D405F1"/>
    <w:rsid w:val="00D408D0"/>
    <w:rsid w:val="00D4090D"/>
    <w:rsid w:val="00D40B76"/>
    <w:rsid w:val="00D40BA8"/>
    <w:rsid w:val="00D40BEF"/>
    <w:rsid w:val="00D40C3D"/>
    <w:rsid w:val="00D40C7D"/>
    <w:rsid w:val="00D40CFF"/>
    <w:rsid w:val="00D40D5F"/>
    <w:rsid w:val="00D40DEC"/>
    <w:rsid w:val="00D40E48"/>
    <w:rsid w:val="00D40EBB"/>
    <w:rsid w:val="00D40F85"/>
    <w:rsid w:val="00D410B3"/>
    <w:rsid w:val="00D41135"/>
    <w:rsid w:val="00D411DB"/>
    <w:rsid w:val="00D41256"/>
    <w:rsid w:val="00D4129D"/>
    <w:rsid w:val="00D412E8"/>
    <w:rsid w:val="00D41306"/>
    <w:rsid w:val="00D41395"/>
    <w:rsid w:val="00D4141D"/>
    <w:rsid w:val="00D4144D"/>
    <w:rsid w:val="00D41492"/>
    <w:rsid w:val="00D4154C"/>
    <w:rsid w:val="00D415A5"/>
    <w:rsid w:val="00D41652"/>
    <w:rsid w:val="00D41742"/>
    <w:rsid w:val="00D41790"/>
    <w:rsid w:val="00D41877"/>
    <w:rsid w:val="00D41967"/>
    <w:rsid w:val="00D4198A"/>
    <w:rsid w:val="00D41A1A"/>
    <w:rsid w:val="00D41A4F"/>
    <w:rsid w:val="00D41A5B"/>
    <w:rsid w:val="00D41A63"/>
    <w:rsid w:val="00D41CB6"/>
    <w:rsid w:val="00D41CC0"/>
    <w:rsid w:val="00D41DC2"/>
    <w:rsid w:val="00D41DC4"/>
    <w:rsid w:val="00D41E30"/>
    <w:rsid w:val="00D41E66"/>
    <w:rsid w:val="00D41E75"/>
    <w:rsid w:val="00D41EF6"/>
    <w:rsid w:val="00D41F01"/>
    <w:rsid w:val="00D42080"/>
    <w:rsid w:val="00D4209B"/>
    <w:rsid w:val="00D42144"/>
    <w:rsid w:val="00D4227C"/>
    <w:rsid w:val="00D4229C"/>
    <w:rsid w:val="00D42334"/>
    <w:rsid w:val="00D42522"/>
    <w:rsid w:val="00D42574"/>
    <w:rsid w:val="00D42579"/>
    <w:rsid w:val="00D42586"/>
    <w:rsid w:val="00D425AB"/>
    <w:rsid w:val="00D425CD"/>
    <w:rsid w:val="00D425D9"/>
    <w:rsid w:val="00D4260F"/>
    <w:rsid w:val="00D427B7"/>
    <w:rsid w:val="00D4289F"/>
    <w:rsid w:val="00D42962"/>
    <w:rsid w:val="00D4299F"/>
    <w:rsid w:val="00D429E7"/>
    <w:rsid w:val="00D42A2C"/>
    <w:rsid w:val="00D42B38"/>
    <w:rsid w:val="00D42B4E"/>
    <w:rsid w:val="00D42CB5"/>
    <w:rsid w:val="00D42D48"/>
    <w:rsid w:val="00D42E04"/>
    <w:rsid w:val="00D42E0E"/>
    <w:rsid w:val="00D42F13"/>
    <w:rsid w:val="00D4302D"/>
    <w:rsid w:val="00D4325A"/>
    <w:rsid w:val="00D4328E"/>
    <w:rsid w:val="00D432DC"/>
    <w:rsid w:val="00D43349"/>
    <w:rsid w:val="00D4344C"/>
    <w:rsid w:val="00D43462"/>
    <w:rsid w:val="00D4349D"/>
    <w:rsid w:val="00D43562"/>
    <w:rsid w:val="00D43694"/>
    <w:rsid w:val="00D436C4"/>
    <w:rsid w:val="00D4376B"/>
    <w:rsid w:val="00D43832"/>
    <w:rsid w:val="00D43858"/>
    <w:rsid w:val="00D43927"/>
    <w:rsid w:val="00D43979"/>
    <w:rsid w:val="00D43AD5"/>
    <w:rsid w:val="00D43B0E"/>
    <w:rsid w:val="00D43BA1"/>
    <w:rsid w:val="00D43C54"/>
    <w:rsid w:val="00D43CD9"/>
    <w:rsid w:val="00D43D0E"/>
    <w:rsid w:val="00D43E97"/>
    <w:rsid w:val="00D43F74"/>
    <w:rsid w:val="00D43FA5"/>
    <w:rsid w:val="00D43FDE"/>
    <w:rsid w:val="00D44039"/>
    <w:rsid w:val="00D44192"/>
    <w:rsid w:val="00D44264"/>
    <w:rsid w:val="00D4437B"/>
    <w:rsid w:val="00D443DD"/>
    <w:rsid w:val="00D444B3"/>
    <w:rsid w:val="00D44582"/>
    <w:rsid w:val="00D445AE"/>
    <w:rsid w:val="00D446A4"/>
    <w:rsid w:val="00D4473E"/>
    <w:rsid w:val="00D447E8"/>
    <w:rsid w:val="00D4481A"/>
    <w:rsid w:val="00D44840"/>
    <w:rsid w:val="00D4485E"/>
    <w:rsid w:val="00D448D4"/>
    <w:rsid w:val="00D448E0"/>
    <w:rsid w:val="00D44928"/>
    <w:rsid w:val="00D44950"/>
    <w:rsid w:val="00D449D3"/>
    <w:rsid w:val="00D44A81"/>
    <w:rsid w:val="00D44AF7"/>
    <w:rsid w:val="00D44BDE"/>
    <w:rsid w:val="00D44BEF"/>
    <w:rsid w:val="00D44C69"/>
    <w:rsid w:val="00D44DD3"/>
    <w:rsid w:val="00D44E01"/>
    <w:rsid w:val="00D44E8E"/>
    <w:rsid w:val="00D44F33"/>
    <w:rsid w:val="00D45058"/>
    <w:rsid w:val="00D4505C"/>
    <w:rsid w:val="00D45169"/>
    <w:rsid w:val="00D45197"/>
    <w:rsid w:val="00D451BE"/>
    <w:rsid w:val="00D4530D"/>
    <w:rsid w:val="00D45353"/>
    <w:rsid w:val="00D453E7"/>
    <w:rsid w:val="00D45455"/>
    <w:rsid w:val="00D455A7"/>
    <w:rsid w:val="00D45667"/>
    <w:rsid w:val="00D4567B"/>
    <w:rsid w:val="00D45681"/>
    <w:rsid w:val="00D45687"/>
    <w:rsid w:val="00D457F6"/>
    <w:rsid w:val="00D4589E"/>
    <w:rsid w:val="00D458D2"/>
    <w:rsid w:val="00D4595C"/>
    <w:rsid w:val="00D45A3F"/>
    <w:rsid w:val="00D45A6B"/>
    <w:rsid w:val="00D45BA7"/>
    <w:rsid w:val="00D45C0A"/>
    <w:rsid w:val="00D45C65"/>
    <w:rsid w:val="00D45F48"/>
    <w:rsid w:val="00D46000"/>
    <w:rsid w:val="00D46012"/>
    <w:rsid w:val="00D46069"/>
    <w:rsid w:val="00D46079"/>
    <w:rsid w:val="00D46174"/>
    <w:rsid w:val="00D4619F"/>
    <w:rsid w:val="00D46213"/>
    <w:rsid w:val="00D462A2"/>
    <w:rsid w:val="00D4633F"/>
    <w:rsid w:val="00D46524"/>
    <w:rsid w:val="00D46526"/>
    <w:rsid w:val="00D46682"/>
    <w:rsid w:val="00D466AF"/>
    <w:rsid w:val="00D467AD"/>
    <w:rsid w:val="00D467FE"/>
    <w:rsid w:val="00D46819"/>
    <w:rsid w:val="00D468B8"/>
    <w:rsid w:val="00D469B7"/>
    <w:rsid w:val="00D469D6"/>
    <w:rsid w:val="00D46E62"/>
    <w:rsid w:val="00D46ED8"/>
    <w:rsid w:val="00D46F7B"/>
    <w:rsid w:val="00D47007"/>
    <w:rsid w:val="00D47074"/>
    <w:rsid w:val="00D470B5"/>
    <w:rsid w:val="00D470E9"/>
    <w:rsid w:val="00D470EA"/>
    <w:rsid w:val="00D470F3"/>
    <w:rsid w:val="00D47121"/>
    <w:rsid w:val="00D4719C"/>
    <w:rsid w:val="00D47441"/>
    <w:rsid w:val="00D47460"/>
    <w:rsid w:val="00D474D8"/>
    <w:rsid w:val="00D475BB"/>
    <w:rsid w:val="00D475EF"/>
    <w:rsid w:val="00D47627"/>
    <w:rsid w:val="00D4764A"/>
    <w:rsid w:val="00D4769E"/>
    <w:rsid w:val="00D476F6"/>
    <w:rsid w:val="00D47728"/>
    <w:rsid w:val="00D47899"/>
    <w:rsid w:val="00D4792F"/>
    <w:rsid w:val="00D479B6"/>
    <w:rsid w:val="00D479D8"/>
    <w:rsid w:val="00D47A1F"/>
    <w:rsid w:val="00D47B33"/>
    <w:rsid w:val="00D47BF3"/>
    <w:rsid w:val="00D47BF9"/>
    <w:rsid w:val="00D47CC5"/>
    <w:rsid w:val="00D47CF7"/>
    <w:rsid w:val="00D47D02"/>
    <w:rsid w:val="00D47D9E"/>
    <w:rsid w:val="00D47DA0"/>
    <w:rsid w:val="00D47E07"/>
    <w:rsid w:val="00D47E11"/>
    <w:rsid w:val="00D47E46"/>
    <w:rsid w:val="00D47E7C"/>
    <w:rsid w:val="00D47EB8"/>
    <w:rsid w:val="00D47F57"/>
    <w:rsid w:val="00D50038"/>
    <w:rsid w:val="00D500C1"/>
    <w:rsid w:val="00D50257"/>
    <w:rsid w:val="00D50267"/>
    <w:rsid w:val="00D50437"/>
    <w:rsid w:val="00D505EC"/>
    <w:rsid w:val="00D50631"/>
    <w:rsid w:val="00D506DA"/>
    <w:rsid w:val="00D50767"/>
    <w:rsid w:val="00D50778"/>
    <w:rsid w:val="00D50823"/>
    <w:rsid w:val="00D5092D"/>
    <w:rsid w:val="00D5095B"/>
    <w:rsid w:val="00D50A21"/>
    <w:rsid w:val="00D50A5D"/>
    <w:rsid w:val="00D50ABD"/>
    <w:rsid w:val="00D50C03"/>
    <w:rsid w:val="00D50CDB"/>
    <w:rsid w:val="00D50E20"/>
    <w:rsid w:val="00D50F21"/>
    <w:rsid w:val="00D50F60"/>
    <w:rsid w:val="00D50FB0"/>
    <w:rsid w:val="00D511BA"/>
    <w:rsid w:val="00D511D6"/>
    <w:rsid w:val="00D5120E"/>
    <w:rsid w:val="00D5132E"/>
    <w:rsid w:val="00D513A6"/>
    <w:rsid w:val="00D513AE"/>
    <w:rsid w:val="00D513E1"/>
    <w:rsid w:val="00D513FF"/>
    <w:rsid w:val="00D5140B"/>
    <w:rsid w:val="00D514B5"/>
    <w:rsid w:val="00D51535"/>
    <w:rsid w:val="00D5157E"/>
    <w:rsid w:val="00D515E7"/>
    <w:rsid w:val="00D51686"/>
    <w:rsid w:val="00D516BB"/>
    <w:rsid w:val="00D5172B"/>
    <w:rsid w:val="00D5173D"/>
    <w:rsid w:val="00D51752"/>
    <w:rsid w:val="00D517E9"/>
    <w:rsid w:val="00D517F3"/>
    <w:rsid w:val="00D51811"/>
    <w:rsid w:val="00D51905"/>
    <w:rsid w:val="00D51939"/>
    <w:rsid w:val="00D51951"/>
    <w:rsid w:val="00D51964"/>
    <w:rsid w:val="00D519E6"/>
    <w:rsid w:val="00D51A82"/>
    <w:rsid w:val="00D51B50"/>
    <w:rsid w:val="00D51BD0"/>
    <w:rsid w:val="00D51C7F"/>
    <w:rsid w:val="00D51D8D"/>
    <w:rsid w:val="00D51DBC"/>
    <w:rsid w:val="00D51E08"/>
    <w:rsid w:val="00D5207B"/>
    <w:rsid w:val="00D5207E"/>
    <w:rsid w:val="00D5216B"/>
    <w:rsid w:val="00D52173"/>
    <w:rsid w:val="00D521D0"/>
    <w:rsid w:val="00D5238E"/>
    <w:rsid w:val="00D52398"/>
    <w:rsid w:val="00D52444"/>
    <w:rsid w:val="00D52593"/>
    <w:rsid w:val="00D528C5"/>
    <w:rsid w:val="00D52948"/>
    <w:rsid w:val="00D52970"/>
    <w:rsid w:val="00D529C1"/>
    <w:rsid w:val="00D52B65"/>
    <w:rsid w:val="00D52C0A"/>
    <w:rsid w:val="00D52D61"/>
    <w:rsid w:val="00D52E28"/>
    <w:rsid w:val="00D52E53"/>
    <w:rsid w:val="00D52EA3"/>
    <w:rsid w:val="00D531CB"/>
    <w:rsid w:val="00D53365"/>
    <w:rsid w:val="00D53374"/>
    <w:rsid w:val="00D533AD"/>
    <w:rsid w:val="00D5341B"/>
    <w:rsid w:val="00D5343F"/>
    <w:rsid w:val="00D53536"/>
    <w:rsid w:val="00D5359C"/>
    <w:rsid w:val="00D53609"/>
    <w:rsid w:val="00D53619"/>
    <w:rsid w:val="00D53661"/>
    <w:rsid w:val="00D53673"/>
    <w:rsid w:val="00D536CE"/>
    <w:rsid w:val="00D5370B"/>
    <w:rsid w:val="00D5375D"/>
    <w:rsid w:val="00D53760"/>
    <w:rsid w:val="00D5388C"/>
    <w:rsid w:val="00D538C1"/>
    <w:rsid w:val="00D53A6E"/>
    <w:rsid w:val="00D53B3F"/>
    <w:rsid w:val="00D53C51"/>
    <w:rsid w:val="00D53C5A"/>
    <w:rsid w:val="00D53F17"/>
    <w:rsid w:val="00D53F51"/>
    <w:rsid w:val="00D53FB7"/>
    <w:rsid w:val="00D54063"/>
    <w:rsid w:val="00D54095"/>
    <w:rsid w:val="00D5416F"/>
    <w:rsid w:val="00D54190"/>
    <w:rsid w:val="00D5422F"/>
    <w:rsid w:val="00D54236"/>
    <w:rsid w:val="00D54269"/>
    <w:rsid w:val="00D5427D"/>
    <w:rsid w:val="00D5428C"/>
    <w:rsid w:val="00D542C0"/>
    <w:rsid w:val="00D542D3"/>
    <w:rsid w:val="00D54330"/>
    <w:rsid w:val="00D5441D"/>
    <w:rsid w:val="00D54436"/>
    <w:rsid w:val="00D544C7"/>
    <w:rsid w:val="00D5457B"/>
    <w:rsid w:val="00D545F0"/>
    <w:rsid w:val="00D54822"/>
    <w:rsid w:val="00D5486D"/>
    <w:rsid w:val="00D54954"/>
    <w:rsid w:val="00D54B55"/>
    <w:rsid w:val="00D54DF8"/>
    <w:rsid w:val="00D54E57"/>
    <w:rsid w:val="00D54E7B"/>
    <w:rsid w:val="00D54EA8"/>
    <w:rsid w:val="00D54EC2"/>
    <w:rsid w:val="00D54EF6"/>
    <w:rsid w:val="00D54F43"/>
    <w:rsid w:val="00D54F5E"/>
    <w:rsid w:val="00D54F95"/>
    <w:rsid w:val="00D55098"/>
    <w:rsid w:val="00D550E5"/>
    <w:rsid w:val="00D551F5"/>
    <w:rsid w:val="00D55224"/>
    <w:rsid w:val="00D5526B"/>
    <w:rsid w:val="00D55296"/>
    <w:rsid w:val="00D55434"/>
    <w:rsid w:val="00D5546A"/>
    <w:rsid w:val="00D554D3"/>
    <w:rsid w:val="00D55575"/>
    <w:rsid w:val="00D556E9"/>
    <w:rsid w:val="00D5578A"/>
    <w:rsid w:val="00D5585A"/>
    <w:rsid w:val="00D558C7"/>
    <w:rsid w:val="00D5597D"/>
    <w:rsid w:val="00D5598D"/>
    <w:rsid w:val="00D559C0"/>
    <w:rsid w:val="00D55A21"/>
    <w:rsid w:val="00D55A76"/>
    <w:rsid w:val="00D55AAE"/>
    <w:rsid w:val="00D55AE0"/>
    <w:rsid w:val="00D55D37"/>
    <w:rsid w:val="00D55E13"/>
    <w:rsid w:val="00D55F69"/>
    <w:rsid w:val="00D56004"/>
    <w:rsid w:val="00D56011"/>
    <w:rsid w:val="00D5601E"/>
    <w:rsid w:val="00D5604C"/>
    <w:rsid w:val="00D56068"/>
    <w:rsid w:val="00D56262"/>
    <w:rsid w:val="00D562ED"/>
    <w:rsid w:val="00D562FB"/>
    <w:rsid w:val="00D56313"/>
    <w:rsid w:val="00D56370"/>
    <w:rsid w:val="00D5639D"/>
    <w:rsid w:val="00D563F7"/>
    <w:rsid w:val="00D56649"/>
    <w:rsid w:val="00D5670C"/>
    <w:rsid w:val="00D567C7"/>
    <w:rsid w:val="00D567DD"/>
    <w:rsid w:val="00D56890"/>
    <w:rsid w:val="00D56929"/>
    <w:rsid w:val="00D56948"/>
    <w:rsid w:val="00D569A1"/>
    <w:rsid w:val="00D56A43"/>
    <w:rsid w:val="00D56AFB"/>
    <w:rsid w:val="00D56C97"/>
    <w:rsid w:val="00D56CF6"/>
    <w:rsid w:val="00D56DF2"/>
    <w:rsid w:val="00D56E32"/>
    <w:rsid w:val="00D56E34"/>
    <w:rsid w:val="00D56E75"/>
    <w:rsid w:val="00D56F0D"/>
    <w:rsid w:val="00D5708B"/>
    <w:rsid w:val="00D57210"/>
    <w:rsid w:val="00D57283"/>
    <w:rsid w:val="00D572D1"/>
    <w:rsid w:val="00D5730C"/>
    <w:rsid w:val="00D5738B"/>
    <w:rsid w:val="00D573AC"/>
    <w:rsid w:val="00D573D8"/>
    <w:rsid w:val="00D5745A"/>
    <w:rsid w:val="00D5756C"/>
    <w:rsid w:val="00D57584"/>
    <w:rsid w:val="00D576A4"/>
    <w:rsid w:val="00D5784C"/>
    <w:rsid w:val="00D5791C"/>
    <w:rsid w:val="00D5795C"/>
    <w:rsid w:val="00D57B56"/>
    <w:rsid w:val="00D57BCA"/>
    <w:rsid w:val="00D57D2F"/>
    <w:rsid w:val="00D57DE3"/>
    <w:rsid w:val="00D57E22"/>
    <w:rsid w:val="00D57ED7"/>
    <w:rsid w:val="00D57EE5"/>
    <w:rsid w:val="00D57F47"/>
    <w:rsid w:val="00D57F7E"/>
    <w:rsid w:val="00D5D9AE"/>
    <w:rsid w:val="00D600C0"/>
    <w:rsid w:val="00D600F7"/>
    <w:rsid w:val="00D601AA"/>
    <w:rsid w:val="00D60369"/>
    <w:rsid w:val="00D60374"/>
    <w:rsid w:val="00D60484"/>
    <w:rsid w:val="00D604C6"/>
    <w:rsid w:val="00D6053E"/>
    <w:rsid w:val="00D6078B"/>
    <w:rsid w:val="00D607E4"/>
    <w:rsid w:val="00D60835"/>
    <w:rsid w:val="00D60880"/>
    <w:rsid w:val="00D6095B"/>
    <w:rsid w:val="00D60A2E"/>
    <w:rsid w:val="00D60A78"/>
    <w:rsid w:val="00D60A7C"/>
    <w:rsid w:val="00D60B6F"/>
    <w:rsid w:val="00D60B84"/>
    <w:rsid w:val="00D60C1B"/>
    <w:rsid w:val="00D60C56"/>
    <w:rsid w:val="00D60CB4"/>
    <w:rsid w:val="00D60CD7"/>
    <w:rsid w:val="00D60D11"/>
    <w:rsid w:val="00D60E91"/>
    <w:rsid w:val="00D60EF2"/>
    <w:rsid w:val="00D60F85"/>
    <w:rsid w:val="00D61179"/>
    <w:rsid w:val="00D611E3"/>
    <w:rsid w:val="00D6124C"/>
    <w:rsid w:val="00D6127E"/>
    <w:rsid w:val="00D613EE"/>
    <w:rsid w:val="00D6149A"/>
    <w:rsid w:val="00D614B0"/>
    <w:rsid w:val="00D61811"/>
    <w:rsid w:val="00D618AD"/>
    <w:rsid w:val="00D618AF"/>
    <w:rsid w:val="00D618D3"/>
    <w:rsid w:val="00D61B7E"/>
    <w:rsid w:val="00D61CA0"/>
    <w:rsid w:val="00D61D17"/>
    <w:rsid w:val="00D61E26"/>
    <w:rsid w:val="00D61E51"/>
    <w:rsid w:val="00D61ECA"/>
    <w:rsid w:val="00D620E6"/>
    <w:rsid w:val="00D62122"/>
    <w:rsid w:val="00D62133"/>
    <w:rsid w:val="00D62257"/>
    <w:rsid w:val="00D6228B"/>
    <w:rsid w:val="00D622D2"/>
    <w:rsid w:val="00D622F4"/>
    <w:rsid w:val="00D623B3"/>
    <w:rsid w:val="00D62437"/>
    <w:rsid w:val="00D626DE"/>
    <w:rsid w:val="00D62717"/>
    <w:rsid w:val="00D6277F"/>
    <w:rsid w:val="00D62852"/>
    <w:rsid w:val="00D628BA"/>
    <w:rsid w:val="00D62946"/>
    <w:rsid w:val="00D62B11"/>
    <w:rsid w:val="00D62B1D"/>
    <w:rsid w:val="00D62B6A"/>
    <w:rsid w:val="00D62C2F"/>
    <w:rsid w:val="00D62D1D"/>
    <w:rsid w:val="00D62D25"/>
    <w:rsid w:val="00D62DE3"/>
    <w:rsid w:val="00D62E48"/>
    <w:rsid w:val="00D62E8F"/>
    <w:rsid w:val="00D62F0D"/>
    <w:rsid w:val="00D62FB0"/>
    <w:rsid w:val="00D62FD9"/>
    <w:rsid w:val="00D6305C"/>
    <w:rsid w:val="00D630EB"/>
    <w:rsid w:val="00D631B8"/>
    <w:rsid w:val="00D6323B"/>
    <w:rsid w:val="00D6324E"/>
    <w:rsid w:val="00D632E4"/>
    <w:rsid w:val="00D6346D"/>
    <w:rsid w:val="00D6346F"/>
    <w:rsid w:val="00D634E6"/>
    <w:rsid w:val="00D6352A"/>
    <w:rsid w:val="00D6358A"/>
    <w:rsid w:val="00D6365B"/>
    <w:rsid w:val="00D636A9"/>
    <w:rsid w:val="00D636E5"/>
    <w:rsid w:val="00D6385B"/>
    <w:rsid w:val="00D63874"/>
    <w:rsid w:val="00D638E0"/>
    <w:rsid w:val="00D63943"/>
    <w:rsid w:val="00D6395C"/>
    <w:rsid w:val="00D63B70"/>
    <w:rsid w:val="00D63C96"/>
    <w:rsid w:val="00D63CA9"/>
    <w:rsid w:val="00D63E8E"/>
    <w:rsid w:val="00D63E9C"/>
    <w:rsid w:val="00D63EAE"/>
    <w:rsid w:val="00D63FB5"/>
    <w:rsid w:val="00D640A0"/>
    <w:rsid w:val="00D640AB"/>
    <w:rsid w:val="00D640F5"/>
    <w:rsid w:val="00D64119"/>
    <w:rsid w:val="00D64131"/>
    <w:rsid w:val="00D64185"/>
    <w:rsid w:val="00D64237"/>
    <w:rsid w:val="00D6423D"/>
    <w:rsid w:val="00D64368"/>
    <w:rsid w:val="00D6439F"/>
    <w:rsid w:val="00D644CA"/>
    <w:rsid w:val="00D645B4"/>
    <w:rsid w:val="00D6473C"/>
    <w:rsid w:val="00D64781"/>
    <w:rsid w:val="00D647E8"/>
    <w:rsid w:val="00D6481E"/>
    <w:rsid w:val="00D6485A"/>
    <w:rsid w:val="00D64876"/>
    <w:rsid w:val="00D64A1F"/>
    <w:rsid w:val="00D64B80"/>
    <w:rsid w:val="00D64B90"/>
    <w:rsid w:val="00D64E42"/>
    <w:rsid w:val="00D64F79"/>
    <w:rsid w:val="00D6518B"/>
    <w:rsid w:val="00D6521C"/>
    <w:rsid w:val="00D65387"/>
    <w:rsid w:val="00D653A0"/>
    <w:rsid w:val="00D65444"/>
    <w:rsid w:val="00D655B7"/>
    <w:rsid w:val="00D655F1"/>
    <w:rsid w:val="00D65624"/>
    <w:rsid w:val="00D65641"/>
    <w:rsid w:val="00D65657"/>
    <w:rsid w:val="00D65883"/>
    <w:rsid w:val="00D658DD"/>
    <w:rsid w:val="00D65905"/>
    <w:rsid w:val="00D6594B"/>
    <w:rsid w:val="00D65AA2"/>
    <w:rsid w:val="00D65AA7"/>
    <w:rsid w:val="00D65AB9"/>
    <w:rsid w:val="00D65ACA"/>
    <w:rsid w:val="00D65B48"/>
    <w:rsid w:val="00D65CD1"/>
    <w:rsid w:val="00D65D1F"/>
    <w:rsid w:val="00D65D7A"/>
    <w:rsid w:val="00D66191"/>
    <w:rsid w:val="00D661B7"/>
    <w:rsid w:val="00D661D1"/>
    <w:rsid w:val="00D661E7"/>
    <w:rsid w:val="00D6626A"/>
    <w:rsid w:val="00D66331"/>
    <w:rsid w:val="00D6639B"/>
    <w:rsid w:val="00D6655D"/>
    <w:rsid w:val="00D66562"/>
    <w:rsid w:val="00D6664A"/>
    <w:rsid w:val="00D6669E"/>
    <w:rsid w:val="00D66721"/>
    <w:rsid w:val="00D6694E"/>
    <w:rsid w:val="00D669F2"/>
    <w:rsid w:val="00D66A1F"/>
    <w:rsid w:val="00D66C2A"/>
    <w:rsid w:val="00D66C2E"/>
    <w:rsid w:val="00D66C31"/>
    <w:rsid w:val="00D66CF2"/>
    <w:rsid w:val="00D66CF9"/>
    <w:rsid w:val="00D66D42"/>
    <w:rsid w:val="00D66DFB"/>
    <w:rsid w:val="00D66E3B"/>
    <w:rsid w:val="00D66EAB"/>
    <w:rsid w:val="00D66EBD"/>
    <w:rsid w:val="00D66EEC"/>
    <w:rsid w:val="00D66F34"/>
    <w:rsid w:val="00D66F37"/>
    <w:rsid w:val="00D66F86"/>
    <w:rsid w:val="00D67032"/>
    <w:rsid w:val="00D6714B"/>
    <w:rsid w:val="00D671A4"/>
    <w:rsid w:val="00D6721B"/>
    <w:rsid w:val="00D67275"/>
    <w:rsid w:val="00D672AC"/>
    <w:rsid w:val="00D6735A"/>
    <w:rsid w:val="00D67368"/>
    <w:rsid w:val="00D67404"/>
    <w:rsid w:val="00D67496"/>
    <w:rsid w:val="00D6755B"/>
    <w:rsid w:val="00D6756F"/>
    <w:rsid w:val="00D6757B"/>
    <w:rsid w:val="00D67645"/>
    <w:rsid w:val="00D676B4"/>
    <w:rsid w:val="00D6773E"/>
    <w:rsid w:val="00D67803"/>
    <w:rsid w:val="00D67835"/>
    <w:rsid w:val="00D67961"/>
    <w:rsid w:val="00D67B07"/>
    <w:rsid w:val="00D67BFE"/>
    <w:rsid w:val="00D67D24"/>
    <w:rsid w:val="00D67D5B"/>
    <w:rsid w:val="00D67F02"/>
    <w:rsid w:val="00D67F9B"/>
    <w:rsid w:val="00D700DA"/>
    <w:rsid w:val="00D70175"/>
    <w:rsid w:val="00D7022A"/>
    <w:rsid w:val="00D70296"/>
    <w:rsid w:val="00D70368"/>
    <w:rsid w:val="00D7036C"/>
    <w:rsid w:val="00D70372"/>
    <w:rsid w:val="00D70515"/>
    <w:rsid w:val="00D705A4"/>
    <w:rsid w:val="00D707DC"/>
    <w:rsid w:val="00D7089F"/>
    <w:rsid w:val="00D7090C"/>
    <w:rsid w:val="00D70A06"/>
    <w:rsid w:val="00D70A26"/>
    <w:rsid w:val="00D70AB7"/>
    <w:rsid w:val="00D70AFD"/>
    <w:rsid w:val="00D70BC8"/>
    <w:rsid w:val="00D70BEF"/>
    <w:rsid w:val="00D70BF9"/>
    <w:rsid w:val="00D70C17"/>
    <w:rsid w:val="00D70D68"/>
    <w:rsid w:val="00D70D73"/>
    <w:rsid w:val="00D70D75"/>
    <w:rsid w:val="00D70D7D"/>
    <w:rsid w:val="00D70F25"/>
    <w:rsid w:val="00D710AF"/>
    <w:rsid w:val="00D71100"/>
    <w:rsid w:val="00D71110"/>
    <w:rsid w:val="00D71156"/>
    <w:rsid w:val="00D71169"/>
    <w:rsid w:val="00D71256"/>
    <w:rsid w:val="00D71343"/>
    <w:rsid w:val="00D7134D"/>
    <w:rsid w:val="00D713B1"/>
    <w:rsid w:val="00D713B4"/>
    <w:rsid w:val="00D71439"/>
    <w:rsid w:val="00D7158E"/>
    <w:rsid w:val="00D715E4"/>
    <w:rsid w:val="00D71689"/>
    <w:rsid w:val="00D7169C"/>
    <w:rsid w:val="00D717D0"/>
    <w:rsid w:val="00D71807"/>
    <w:rsid w:val="00D718DA"/>
    <w:rsid w:val="00D719CA"/>
    <w:rsid w:val="00D71A10"/>
    <w:rsid w:val="00D71B90"/>
    <w:rsid w:val="00D71BB5"/>
    <w:rsid w:val="00D71BC0"/>
    <w:rsid w:val="00D71BCF"/>
    <w:rsid w:val="00D71CBA"/>
    <w:rsid w:val="00D71DE6"/>
    <w:rsid w:val="00D71E8C"/>
    <w:rsid w:val="00D71E9A"/>
    <w:rsid w:val="00D71FAB"/>
    <w:rsid w:val="00D71FC1"/>
    <w:rsid w:val="00D72024"/>
    <w:rsid w:val="00D72085"/>
    <w:rsid w:val="00D720EC"/>
    <w:rsid w:val="00D721AF"/>
    <w:rsid w:val="00D72269"/>
    <w:rsid w:val="00D72394"/>
    <w:rsid w:val="00D72417"/>
    <w:rsid w:val="00D724AC"/>
    <w:rsid w:val="00D724DA"/>
    <w:rsid w:val="00D72518"/>
    <w:rsid w:val="00D7254D"/>
    <w:rsid w:val="00D72640"/>
    <w:rsid w:val="00D72712"/>
    <w:rsid w:val="00D72795"/>
    <w:rsid w:val="00D727B0"/>
    <w:rsid w:val="00D727BA"/>
    <w:rsid w:val="00D72882"/>
    <w:rsid w:val="00D72993"/>
    <w:rsid w:val="00D729A1"/>
    <w:rsid w:val="00D729A3"/>
    <w:rsid w:val="00D72A0E"/>
    <w:rsid w:val="00D72AB3"/>
    <w:rsid w:val="00D72AF8"/>
    <w:rsid w:val="00D72B02"/>
    <w:rsid w:val="00D72B12"/>
    <w:rsid w:val="00D72BE7"/>
    <w:rsid w:val="00D72C29"/>
    <w:rsid w:val="00D72C77"/>
    <w:rsid w:val="00D72D20"/>
    <w:rsid w:val="00D72D49"/>
    <w:rsid w:val="00D72D5F"/>
    <w:rsid w:val="00D72DDC"/>
    <w:rsid w:val="00D72E36"/>
    <w:rsid w:val="00D72F3E"/>
    <w:rsid w:val="00D73017"/>
    <w:rsid w:val="00D73082"/>
    <w:rsid w:val="00D7317F"/>
    <w:rsid w:val="00D73192"/>
    <w:rsid w:val="00D73195"/>
    <w:rsid w:val="00D73196"/>
    <w:rsid w:val="00D733FF"/>
    <w:rsid w:val="00D7342A"/>
    <w:rsid w:val="00D734E0"/>
    <w:rsid w:val="00D734F0"/>
    <w:rsid w:val="00D7363E"/>
    <w:rsid w:val="00D736A2"/>
    <w:rsid w:val="00D7379B"/>
    <w:rsid w:val="00D73807"/>
    <w:rsid w:val="00D7380D"/>
    <w:rsid w:val="00D73998"/>
    <w:rsid w:val="00D73B07"/>
    <w:rsid w:val="00D73B7A"/>
    <w:rsid w:val="00D73BB7"/>
    <w:rsid w:val="00D73C61"/>
    <w:rsid w:val="00D73CC2"/>
    <w:rsid w:val="00D73CD7"/>
    <w:rsid w:val="00D73E95"/>
    <w:rsid w:val="00D73F25"/>
    <w:rsid w:val="00D73F43"/>
    <w:rsid w:val="00D7415C"/>
    <w:rsid w:val="00D741C5"/>
    <w:rsid w:val="00D741F2"/>
    <w:rsid w:val="00D74200"/>
    <w:rsid w:val="00D74239"/>
    <w:rsid w:val="00D742A5"/>
    <w:rsid w:val="00D743FC"/>
    <w:rsid w:val="00D74457"/>
    <w:rsid w:val="00D7472D"/>
    <w:rsid w:val="00D747FA"/>
    <w:rsid w:val="00D74871"/>
    <w:rsid w:val="00D748E5"/>
    <w:rsid w:val="00D74940"/>
    <w:rsid w:val="00D74959"/>
    <w:rsid w:val="00D749FA"/>
    <w:rsid w:val="00D74A05"/>
    <w:rsid w:val="00D74A39"/>
    <w:rsid w:val="00D74B08"/>
    <w:rsid w:val="00D74B54"/>
    <w:rsid w:val="00D74CD2"/>
    <w:rsid w:val="00D74D2D"/>
    <w:rsid w:val="00D74D62"/>
    <w:rsid w:val="00D74DA6"/>
    <w:rsid w:val="00D74DAA"/>
    <w:rsid w:val="00D74E6C"/>
    <w:rsid w:val="00D7501B"/>
    <w:rsid w:val="00D751A9"/>
    <w:rsid w:val="00D751E6"/>
    <w:rsid w:val="00D754C0"/>
    <w:rsid w:val="00D75603"/>
    <w:rsid w:val="00D757F6"/>
    <w:rsid w:val="00D7580B"/>
    <w:rsid w:val="00D75990"/>
    <w:rsid w:val="00D75B0B"/>
    <w:rsid w:val="00D75B48"/>
    <w:rsid w:val="00D75BDA"/>
    <w:rsid w:val="00D75CB5"/>
    <w:rsid w:val="00D75D13"/>
    <w:rsid w:val="00D75D43"/>
    <w:rsid w:val="00D75E04"/>
    <w:rsid w:val="00D75E1E"/>
    <w:rsid w:val="00D75EEF"/>
    <w:rsid w:val="00D75F75"/>
    <w:rsid w:val="00D76136"/>
    <w:rsid w:val="00D761D7"/>
    <w:rsid w:val="00D76226"/>
    <w:rsid w:val="00D7625B"/>
    <w:rsid w:val="00D76261"/>
    <w:rsid w:val="00D76290"/>
    <w:rsid w:val="00D7634B"/>
    <w:rsid w:val="00D763AC"/>
    <w:rsid w:val="00D7643D"/>
    <w:rsid w:val="00D764EB"/>
    <w:rsid w:val="00D7659C"/>
    <w:rsid w:val="00D7668E"/>
    <w:rsid w:val="00D7683A"/>
    <w:rsid w:val="00D769FC"/>
    <w:rsid w:val="00D76A61"/>
    <w:rsid w:val="00D76AEB"/>
    <w:rsid w:val="00D76B41"/>
    <w:rsid w:val="00D76B90"/>
    <w:rsid w:val="00D76BFC"/>
    <w:rsid w:val="00D76BFE"/>
    <w:rsid w:val="00D76CAD"/>
    <w:rsid w:val="00D76CC2"/>
    <w:rsid w:val="00D76D42"/>
    <w:rsid w:val="00D76D4F"/>
    <w:rsid w:val="00D76F18"/>
    <w:rsid w:val="00D76F2B"/>
    <w:rsid w:val="00D77085"/>
    <w:rsid w:val="00D771A1"/>
    <w:rsid w:val="00D771B8"/>
    <w:rsid w:val="00D772D2"/>
    <w:rsid w:val="00D77494"/>
    <w:rsid w:val="00D774F7"/>
    <w:rsid w:val="00D7759B"/>
    <w:rsid w:val="00D775D7"/>
    <w:rsid w:val="00D77631"/>
    <w:rsid w:val="00D7768D"/>
    <w:rsid w:val="00D776A6"/>
    <w:rsid w:val="00D77719"/>
    <w:rsid w:val="00D777DD"/>
    <w:rsid w:val="00D777F3"/>
    <w:rsid w:val="00D77807"/>
    <w:rsid w:val="00D77ACB"/>
    <w:rsid w:val="00D77B37"/>
    <w:rsid w:val="00D77C69"/>
    <w:rsid w:val="00D77C8C"/>
    <w:rsid w:val="00D77DA5"/>
    <w:rsid w:val="00D77DB7"/>
    <w:rsid w:val="00D77DCF"/>
    <w:rsid w:val="00D77E18"/>
    <w:rsid w:val="00D77E9B"/>
    <w:rsid w:val="00D77F04"/>
    <w:rsid w:val="00D77FCD"/>
    <w:rsid w:val="00D77FCF"/>
    <w:rsid w:val="00D77FFC"/>
    <w:rsid w:val="00D800C1"/>
    <w:rsid w:val="00D800E6"/>
    <w:rsid w:val="00D80129"/>
    <w:rsid w:val="00D8017A"/>
    <w:rsid w:val="00D802D1"/>
    <w:rsid w:val="00D80328"/>
    <w:rsid w:val="00D8046C"/>
    <w:rsid w:val="00D806E1"/>
    <w:rsid w:val="00D80757"/>
    <w:rsid w:val="00D80772"/>
    <w:rsid w:val="00D807A1"/>
    <w:rsid w:val="00D80821"/>
    <w:rsid w:val="00D8084B"/>
    <w:rsid w:val="00D808BD"/>
    <w:rsid w:val="00D8093A"/>
    <w:rsid w:val="00D809CE"/>
    <w:rsid w:val="00D80AF1"/>
    <w:rsid w:val="00D80DC5"/>
    <w:rsid w:val="00D80E51"/>
    <w:rsid w:val="00D8107E"/>
    <w:rsid w:val="00D810A8"/>
    <w:rsid w:val="00D810AF"/>
    <w:rsid w:val="00D810C5"/>
    <w:rsid w:val="00D810C9"/>
    <w:rsid w:val="00D810CF"/>
    <w:rsid w:val="00D810D1"/>
    <w:rsid w:val="00D81109"/>
    <w:rsid w:val="00D8115F"/>
    <w:rsid w:val="00D8124D"/>
    <w:rsid w:val="00D8127F"/>
    <w:rsid w:val="00D813AE"/>
    <w:rsid w:val="00D8148E"/>
    <w:rsid w:val="00D81509"/>
    <w:rsid w:val="00D815BF"/>
    <w:rsid w:val="00D81646"/>
    <w:rsid w:val="00D8168C"/>
    <w:rsid w:val="00D81749"/>
    <w:rsid w:val="00D817AA"/>
    <w:rsid w:val="00D817E8"/>
    <w:rsid w:val="00D8186C"/>
    <w:rsid w:val="00D818AD"/>
    <w:rsid w:val="00D8194E"/>
    <w:rsid w:val="00D81A66"/>
    <w:rsid w:val="00D81B3E"/>
    <w:rsid w:val="00D81B48"/>
    <w:rsid w:val="00D81B90"/>
    <w:rsid w:val="00D81BFD"/>
    <w:rsid w:val="00D81D79"/>
    <w:rsid w:val="00D81E9B"/>
    <w:rsid w:val="00D8202B"/>
    <w:rsid w:val="00D8203A"/>
    <w:rsid w:val="00D82046"/>
    <w:rsid w:val="00D820C7"/>
    <w:rsid w:val="00D82175"/>
    <w:rsid w:val="00D82196"/>
    <w:rsid w:val="00D821E6"/>
    <w:rsid w:val="00D822CA"/>
    <w:rsid w:val="00D822FC"/>
    <w:rsid w:val="00D823A9"/>
    <w:rsid w:val="00D823CF"/>
    <w:rsid w:val="00D82AC8"/>
    <w:rsid w:val="00D82B41"/>
    <w:rsid w:val="00D82BD0"/>
    <w:rsid w:val="00D82C95"/>
    <w:rsid w:val="00D82CB3"/>
    <w:rsid w:val="00D82DC6"/>
    <w:rsid w:val="00D82E2E"/>
    <w:rsid w:val="00D82E3A"/>
    <w:rsid w:val="00D82E48"/>
    <w:rsid w:val="00D82F6D"/>
    <w:rsid w:val="00D82FD5"/>
    <w:rsid w:val="00D83035"/>
    <w:rsid w:val="00D8315E"/>
    <w:rsid w:val="00D83234"/>
    <w:rsid w:val="00D83244"/>
    <w:rsid w:val="00D8325D"/>
    <w:rsid w:val="00D832BC"/>
    <w:rsid w:val="00D8339A"/>
    <w:rsid w:val="00D83536"/>
    <w:rsid w:val="00D836E9"/>
    <w:rsid w:val="00D837B9"/>
    <w:rsid w:val="00D8392F"/>
    <w:rsid w:val="00D83992"/>
    <w:rsid w:val="00D839C3"/>
    <w:rsid w:val="00D83AFF"/>
    <w:rsid w:val="00D83B54"/>
    <w:rsid w:val="00D83C28"/>
    <w:rsid w:val="00D83C4A"/>
    <w:rsid w:val="00D83C9A"/>
    <w:rsid w:val="00D83D1C"/>
    <w:rsid w:val="00D83D33"/>
    <w:rsid w:val="00D83D51"/>
    <w:rsid w:val="00D83D92"/>
    <w:rsid w:val="00D83E48"/>
    <w:rsid w:val="00D83E49"/>
    <w:rsid w:val="00D83FFA"/>
    <w:rsid w:val="00D84065"/>
    <w:rsid w:val="00D84126"/>
    <w:rsid w:val="00D841F4"/>
    <w:rsid w:val="00D84210"/>
    <w:rsid w:val="00D84226"/>
    <w:rsid w:val="00D8423A"/>
    <w:rsid w:val="00D842EE"/>
    <w:rsid w:val="00D84322"/>
    <w:rsid w:val="00D84495"/>
    <w:rsid w:val="00D844AE"/>
    <w:rsid w:val="00D844C0"/>
    <w:rsid w:val="00D844CA"/>
    <w:rsid w:val="00D84573"/>
    <w:rsid w:val="00D84590"/>
    <w:rsid w:val="00D8462C"/>
    <w:rsid w:val="00D84660"/>
    <w:rsid w:val="00D8466E"/>
    <w:rsid w:val="00D84690"/>
    <w:rsid w:val="00D84799"/>
    <w:rsid w:val="00D847E3"/>
    <w:rsid w:val="00D847F3"/>
    <w:rsid w:val="00D84808"/>
    <w:rsid w:val="00D84824"/>
    <w:rsid w:val="00D84943"/>
    <w:rsid w:val="00D84A81"/>
    <w:rsid w:val="00D84B72"/>
    <w:rsid w:val="00D84B84"/>
    <w:rsid w:val="00D84BFD"/>
    <w:rsid w:val="00D84C0A"/>
    <w:rsid w:val="00D84DEB"/>
    <w:rsid w:val="00D84EAD"/>
    <w:rsid w:val="00D85029"/>
    <w:rsid w:val="00D85131"/>
    <w:rsid w:val="00D85136"/>
    <w:rsid w:val="00D8515C"/>
    <w:rsid w:val="00D85173"/>
    <w:rsid w:val="00D85465"/>
    <w:rsid w:val="00D854AF"/>
    <w:rsid w:val="00D8554E"/>
    <w:rsid w:val="00D85631"/>
    <w:rsid w:val="00D85695"/>
    <w:rsid w:val="00D856E4"/>
    <w:rsid w:val="00D856F4"/>
    <w:rsid w:val="00D85708"/>
    <w:rsid w:val="00D85735"/>
    <w:rsid w:val="00D8591E"/>
    <w:rsid w:val="00D859E2"/>
    <w:rsid w:val="00D85A4E"/>
    <w:rsid w:val="00D85A7A"/>
    <w:rsid w:val="00D85B50"/>
    <w:rsid w:val="00D85B53"/>
    <w:rsid w:val="00D85B6E"/>
    <w:rsid w:val="00D85B81"/>
    <w:rsid w:val="00D85B92"/>
    <w:rsid w:val="00D85BA1"/>
    <w:rsid w:val="00D85C80"/>
    <w:rsid w:val="00D85E08"/>
    <w:rsid w:val="00D85E63"/>
    <w:rsid w:val="00D85FD1"/>
    <w:rsid w:val="00D85FD9"/>
    <w:rsid w:val="00D86034"/>
    <w:rsid w:val="00D8608C"/>
    <w:rsid w:val="00D86097"/>
    <w:rsid w:val="00D8612A"/>
    <w:rsid w:val="00D86175"/>
    <w:rsid w:val="00D86264"/>
    <w:rsid w:val="00D86428"/>
    <w:rsid w:val="00D8652E"/>
    <w:rsid w:val="00D8655B"/>
    <w:rsid w:val="00D86570"/>
    <w:rsid w:val="00D865AC"/>
    <w:rsid w:val="00D86632"/>
    <w:rsid w:val="00D86640"/>
    <w:rsid w:val="00D86730"/>
    <w:rsid w:val="00D8681C"/>
    <w:rsid w:val="00D8686C"/>
    <w:rsid w:val="00D8689A"/>
    <w:rsid w:val="00D8690B"/>
    <w:rsid w:val="00D8699B"/>
    <w:rsid w:val="00D86A28"/>
    <w:rsid w:val="00D86A8D"/>
    <w:rsid w:val="00D86AA9"/>
    <w:rsid w:val="00D86AEE"/>
    <w:rsid w:val="00D86AF5"/>
    <w:rsid w:val="00D86B8A"/>
    <w:rsid w:val="00D86CDE"/>
    <w:rsid w:val="00D86D02"/>
    <w:rsid w:val="00D86E71"/>
    <w:rsid w:val="00D86E7F"/>
    <w:rsid w:val="00D86E9C"/>
    <w:rsid w:val="00D86EBE"/>
    <w:rsid w:val="00D86F53"/>
    <w:rsid w:val="00D86F5D"/>
    <w:rsid w:val="00D8703D"/>
    <w:rsid w:val="00D8706C"/>
    <w:rsid w:val="00D870FB"/>
    <w:rsid w:val="00D87169"/>
    <w:rsid w:val="00D871E4"/>
    <w:rsid w:val="00D8725D"/>
    <w:rsid w:val="00D87309"/>
    <w:rsid w:val="00D873EB"/>
    <w:rsid w:val="00D8747B"/>
    <w:rsid w:val="00D874E0"/>
    <w:rsid w:val="00D87589"/>
    <w:rsid w:val="00D87657"/>
    <w:rsid w:val="00D876ED"/>
    <w:rsid w:val="00D8779F"/>
    <w:rsid w:val="00D877DD"/>
    <w:rsid w:val="00D87859"/>
    <w:rsid w:val="00D87887"/>
    <w:rsid w:val="00D8789D"/>
    <w:rsid w:val="00D878B3"/>
    <w:rsid w:val="00D878BE"/>
    <w:rsid w:val="00D87A20"/>
    <w:rsid w:val="00D87A44"/>
    <w:rsid w:val="00D87ADA"/>
    <w:rsid w:val="00D87C16"/>
    <w:rsid w:val="00D87CE4"/>
    <w:rsid w:val="00D9009A"/>
    <w:rsid w:val="00D901F6"/>
    <w:rsid w:val="00D9020C"/>
    <w:rsid w:val="00D90245"/>
    <w:rsid w:val="00D9024E"/>
    <w:rsid w:val="00D90258"/>
    <w:rsid w:val="00D9042D"/>
    <w:rsid w:val="00D904CE"/>
    <w:rsid w:val="00D9057D"/>
    <w:rsid w:val="00D905BC"/>
    <w:rsid w:val="00D9076C"/>
    <w:rsid w:val="00D907D1"/>
    <w:rsid w:val="00D90832"/>
    <w:rsid w:val="00D908E7"/>
    <w:rsid w:val="00D9091B"/>
    <w:rsid w:val="00D90A77"/>
    <w:rsid w:val="00D90ABF"/>
    <w:rsid w:val="00D90AF4"/>
    <w:rsid w:val="00D90B3C"/>
    <w:rsid w:val="00D90B6C"/>
    <w:rsid w:val="00D90BD8"/>
    <w:rsid w:val="00D90C0C"/>
    <w:rsid w:val="00D90DC2"/>
    <w:rsid w:val="00D90E04"/>
    <w:rsid w:val="00D90E2E"/>
    <w:rsid w:val="00D90E4C"/>
    <w:rsid w:val="00D90EF2"/>
    <w:rsid w:val="00D9100F"/>
    <w:rsid w:val="00D9107C"/>
    <w:rsid w:val="00D9164E"/>
    <w:rsid w:val="00D91678"/>
    <w:rsid w:val="00D91692"/>
    <w:rsid w:val="00D916B3"/>
    <w:rsid w:val="00D91719"/>
    <w:rsid w:val="00D91768"/>
    <w:rsid w:val="00D9178A"/>
    <w:rsid w:val="00D91A05"/>
    <w:rsid w:val="00D91A3C"/>
    <w:rsid w:val="00D91AB1"/>
    <w:rsid w:val="00D91B49"/>
    <w:rsid w:val="00D91B52"/>
    <w:rsid w:val="00D91B77"/>
    <w:rsid w:val="00D91C03"/>
    <w:rsid w:val="00D91C2B"/>
    <w:rsid w:val="00D91C47"/>
    <w:rsid w:val="00D91C7F"/>
    <w:rsid w:val="00D91CEB"/>
    <w:rsid w:val="00D91D58"/>
    <w:rsid w:val="00D91D85"/>
    <w:rsid w:val="00D91EEA"/>
    <w:rsid w:val="00D91F36"/>
    <w:rsid w:val="00D923AD"/>
    <w:rsid w:val="00D923EE"/>
    <w:rsid w:val="00D92451"/>
    <w:rsid w:val="00D924E1"/>
    <w:rsid w:val="00D925B0"/>
    <w:rsid w:val="00D925B9"/>
    <w:rsid w:val="00D9262F"/>
    <w:rsid w:val="00D9275E"/>
    <w:rsid w:val="00D92791"/>
    <w:rsid w:val="00D927A2"/>
    <w:rsid w:val="00D92826"/>
    <w:rsid w:val="00D92847"/>
    <w:rsid w:val="00D92896"/>
    <w:rsid w:val="00D928FF"/>
    <w:rsid w:val="00D92915"/>
    <w:rsid w:val="00D929BF"/>
    <w:rsid w:val="00D92AA7"/>
    <w:rsid w:val="00D92B00"/>
    <w:rsid w:val="00D92B64"/>
    <w:rsid w:val="00D92C95"/>
    <w:rsid w:val="00D92CB3"/>
    <w:rsid w:val="00D92CF4"/>
    <w:rsid w:val="00D92D91"/>
    <w:rsid w:val="00D92DF7"/>
    <w:rsid w:val="00D92E27"/>
    <w:rsid w:val="00D92E7B"/>
    <w:rsid w:val="00D92F33"/>
    <w:rsid w:val="00D92F93"/>
    <w:rsid w:val="00D92FB2"/>
    <w:rsid w:val="00D92FBD"/>
    <w:rsid w:val="00D92FD8"/>
    <w:rsid w:val="00D93060"/>
    <w:rsid w:val="00D93316"/>
    <w:rsid w:val="00D9341B"/>
    <w:rsid w:val="00D93475"/>
    <w:rsid w:val="00D934D3"/>
    <w:rsid w:val="00D93520"/>
    <w:rsid w:val="00D93597"/>
    <w:rsid w:val="00D935E3"/>
    <w:rsid w:val="00D935F4"/>
    <w:rsid w:val="00D9378E"/>
    <w:rsid w:val="00D93814"/>
    <w:rsid w:val="00D93A99"/>
    <w:rsid w:val="00D93ACE"/>
    <w:rsid w:val="00D93C9F"/>
    <w:rsid w:val="00D93DCB"/>
    <w:rsid w:val="00D93DD5"/>
    <w:rsid w:val="00D93E5B"/>
    <w:rsid w:val="00D93F56"/>
    <w:rsid w:val="00D93F85"/>
    <w:rsid w:val="00D94029"/>
    <w:rsid w:val="00D9403A"/>
    <w:rsid w:val="00D9424F"/>
    <w:rsid w:val="00D942D7"/>
    <w:rsid w:val="00D94402"/>
    <w:rsid w:val="00D94440"/>
    <w:rsid w:val="00D94459"/>
    <w:rsid w:val="00D944FC"/>
    <w:rsid w:val="00D94555"/>
    <w:rsid w:val="00D94623"/>
    <w:rsid w:val="00D946AC"/>
    <w:rsid w:val="00D946C8"/>
    <w:rsid w:val="00D9470F"/>
    <w:rsid w:val="00D947A8"/>
    <w:rsid w:val="00D947BA"/>
    <w:rsid w:val="00D948A3"/>
    <w:rsid w:val="00D948D6"/>
    <w:rsid w:val="00D94ACD"/>
    <w:rsid w:val="00D94AD5"/>
    <w:rsid w:val="00D94B34"/>
    <w:rsid w:val="00D94B62"/>
    <w:rsid w:val="00D94BAA"/>
    <w:rsid w:val="00D94CC6"/>
    <w:rsid w:val="00D94D40"/>
    <w:rsid w:val="00D94DD7"/>
    <w:rsid w:val="00D9508E"/>
    <w:rsid w:val="00D951D7"/>
    <w:rsid w:val="00D952B9"/>
    <w:rsid w:val="00D9543F"/>
    <w:rsid w:val="00D9550E"/>
    <w:rsid w:val="00D9555D"/>
    <w:rsid w:val="00D95573"/>
    <w:rsid w:val="00D95601"/>
    <w:rsid w:val="00D95752"/>
    <w:rsid w:val="00D957A5"/>
    <w:rsid w:val="00D958C1"/>
    <w:rsid w:val="00D958E4"/>
    <w:rsid w:val="00D959B3"/>
    <w:rsid w:val="00D959C9"/>
    <w:rsid w:val="00D95A0D"/>
    <w:rsid w:val="00D95A8E"/>
    <w:rsid w:val="00D95BB0"/>
    <w:rsid w:val="00D95C87"/>
    <w:rsid w:val="00D95C90"/>
    <w:rsid w:val="00D95CBF"/>
    <w:rsid w:val="00D95CE1"/>
    <w:rsid w:val="00D95E25"/>
    <w:rsid w:val="00D95E98"/>
    <w:rsid w:val="00D95FA2"/>
    <w:rsid w:val="00D9603E"/>
    <w:rsid w:val="00D960C3"/>
    <w:rsid w:val="00D960DB"/>
    <w:rsid w:val="00D96103"/>
    <w:rsid w:val="00D961D6"/>
    <w:rsid w:val="00D9625E"/>
    <w:rsid w:val="00D962C7"/>
    <w:rsid w:val="00D963E2"/>
    <w:rsid w:val="00D964AB"/>
    <w:rsid w:val="00D964DA"/>
    <w:rsid w:val="00D9654B"/>
    <w:rsid w:val="00D966C6"/>
    <w:rsid w:val="00D967AB"/>
    <w:rsid w:val="00D96900"/>
    <w:rsid w:val="00D969F9"/>
    <w:rsid w:val="00D96B4D"/>
    <w:rsid w:val="00D96B75"/>
    <w:rsid w:val="00D96B93"/>
    <w:rsid w:val="00D96D92"/>
    <w:rsid w:val="00D96DD1"/>
    <w:rsid w:val="00D96E02"/>
    <w:rsid w:val="00D96E57"/>
    <w:rsid w:val="00D96E58"/>
    <w:rsid w:val="00D96EB4"/>
    <w:rsid w:val="00D96FE9"/>
    <w:rsid w:val="00D97038"/>
    <w:rsid w:val="00D97199"/>
    <w:rsid w:val="00D971A1"/>
    <w:rsid w:val="00D971E9"/>
    <w:rsid w:val="00D9723B"/>
    <w:rsid w:val="00D972ED"/>
    <w:rsid w:val="00D9737D"/>
    <w:rsid w:val="00D9737E"/>
    <w:rsid w:val="00D974AE"/>
    <w:rsid w:val="00D974B9"/>
    <w:rsid w:val="00D974C6"/>
    <w:rsid w:val="00D974DA"/>
    <w:rsid w:val="00D9755B"/>
    <w:rsid w:val="00D97575"/>
    <w:rsid w:val="00D97650"/>
    <w:rsid w:val="00D9768D"/>
    <w:rsid w:val="00D976E6"/>
    <w:rsid w:val="00D97779"/>
    <w:rsid w:val="00D97809"/>
    <w:rsid w:val="00D978B6"/>
    <w:rsid w:val="00D978BC"/>
    <w:rsid w:val="00D97923"/>
    <w:rsid w:val="00D97966"/>
    <w:rsid w:val="00D979DF"/>
    <w:rsid w:val="00D97AF6"/>
    <w:rsid w:val="00D97B72"/>
    <w:rsid w:val="00D97B8F"/>
    <w:rsid w:val="00D97C0D"/>
    <w:rsid w:val="00D97C17"/>
    <w:rsid w:val="00D97DEF"/>
    <w:rsid w:val="00D97F0D"/>
    <w:rsid w:val="00D97F30"/>
    <w:rsid w:val="00D97FCE"/>
    <w:rsid w:val="00D97FCF"/>
    <w:rsid w:val="00D98C09"/>
    <w:rsid w:val="00DA001E"/>
    <w:rsid w:val="00DA013B"/>
    <w:rsid w:val="00DA01BD"/>
    <w:rsid w:val="00DA0226"/>
    <w:rsid w:val="00DA0234"/>
    <w:rsid w:val="00DA0244"/>
    <w:rsid w:val="00DA031D"/>
    <w:rsid w:val="00DA03C9"/>
    <w:rsid w:val="00DA059D"/>
    <w:rsid w:val="00DA0624"/>
    <w:rsid w:val="00DA0654"/>
    <w:rsid w:val="00DA0694"/>
    <w:rsid w:val="00DA06EB"/>
    <w:rsid w:val="00DA07CB"/>
    <w:rsid w:val="00DA0823"/>
    <w:rsid w:val="00DA0855"/>
    <w:rsid w:val="00DA0B01"/>
    <w:rsid w:val="00DA0C0C"/>
    <w:rsid w:val="00DA0C88"/>
    <w:rsid w:val="00DA0D84"/>
    <w:rsid w:val="00DA0DBA"/>
    <w:rsid w:val="00DA0DEB"/>
    <w:rsid w:val="00DA0E2A"/>
    <w:rsid w:val="00DA0EDC"/>
    <w:rsid w:val="00DA0EE5"/>
    <w:rsid w:val="00DA0FC3"/>
    <w:rsid w:val="00DA10C1"/>
    <w:rsid w:val="00DA10DE"/>
    <w:rsid w:val="00DA118E"/>
    <w:rsid w:val="00DA1193"/>
    <w:rsid w:val="00DA11C1"/>
    <w:rsid w:val="00DA11FD"/>
    <w:rsid w:val="00DA1343"/>
    <w:rsid w:val="00DA13D6"/>
    <w:rsid w:val="00DA145A"/>
    <w:rsid w:val="00DA149D"/>
    <w:rsid w:val="00DA14C2"/>
    <w:rsid w:val="00DA14C8"/>
    <w:rsid w:val="00DA1526"/>
    <w:rsid w:val="00DA1528"/>
    <w:rsid w:val="00DA15D1"/>
    <w:rsid w:val="00DA160E"/>
    <w:rsid w:val="00DA176C"/>
    <w:rsid w:val="00DA1858"/>
    <w:rsid w:val="00DA18E7"/>
    <w:rsid w:val="00DA19C8"/>
    <w:rsid w:val="00DA19D3"/>
    <w:rsid w:val="00DA1AA9"/>
    <w:rsid w:val="00DA1AE9"/>
    <w:rsid w:val="00DA1B19"/>
    <w:rsid w:val="00DA1B2C"/>
    <w:rsid w:val="00DA1B33"/>
    <w:rsid w:val="00DA1B5E"/>
    <w:rsid w:val="00DA1BCF"/>
    <w:rsid w:val="00DA1BD4"/>
    <w:rsid w:val="00DA1BE4"/>
    <w:rsid w:val="00DA1C2B"/>
    <w:rsid w:val="00DA1CCB"/>
    <w:rsid w:val="00DA1D2A"/>
    <w:rsid w:val="00DA1D32"/>
    <w:rsid w:val="00DA1D5D"/>
    <w:rsid w:val="00DA1D97"/>
    <w:rsid w:val="00DA1E0E"/>
    <w:rsid w:val="00DA1E4A"/>
    <w:rsid w:val="00DA1E7E"/>
    <w:rsid w:val="00DA2011"/>
    <w:rsid w:val="00DA2071"/>
    <w:rsid w:val="00DA2089"/>
    <w:rsid w:val="00DA2176"/>
    <w:rsid w:val="00DA21A2"/>
    <w:rsid w:val="00DA220F"/>
    <w:rsid w:val="00DA23DC"/>
    <w:rsid w:val="00DA2404"/>
    <w:rsid w:val="00DA257B"/>
    <w:rsid w:val="00DA260E"/>
    <w:rsid w:val="00DA2618"/>
    <w:rsid w:val="00DA2733"/>
    <w:rsid w:val="00DA281A"/>
    <w:rsid w:val="00DA2852"/>
    <w:rsid w:val="00DA28FD"/>
    <w:rsid w:val="00DA2948"/>
    <w:rsid w:val="00DA2951"/>
    <w:rsid w:val="00DA299E"/>
    <w:rsid w:val="00DA2A10"/>
    <w:rsid w:val="00DA2A2A"/>
    <w:rsid w:val="00DA2A3E"/>
    <w:rsid w:val="00DA2CE7"/>
    <w:rsid w:val="00DA2CFB"/>
    <w:rsid w:val="00DA2DEB"/>
    <w:rsid w:val="00DA2E0B"/>
    <w:rsid w:val="00DA2F88"/>
    <w:rsid w:val="00DA3031"/>
    <w:rsid w:val="00DA3190"/>
    <w:rsid w:val="00DA319F"/>
    <w:rsid w:val="00DA3235"/>
    <w:rsid w:val="00DA32D6"/>
    <w:rsid w:val="00DA3417"/>
    <w:rsid w:val="00DA34F3"/>
    <w:rsid w:val="00DA34F9"/>
    <w:rsid w:val="00DA35B9"/>
    <w:rsid w:val="00DA360D"/>
    <w:rsid w:val="00DA3615"/>
    <w:rsid w:val="00DA3618"/>
    <w:rsid w:val="00DA368D"/>
    <w:rsid w:val="00DA36A4"/>
    <w:rsid w:val="00DA3746"/>
    <w:rsid w:val="00DA37D5"/>
    <w:rsid w:val="00DA3823"/>
    <w:rsid w:val="00DA3826"/>
    <w:rsid w:val="00DA38DB"/>
    <w:rsid w:val="00DA39AA"/>
    <w:rsid w:val="00DA3A25"/>
    <w:rsid w:val="00DA3BA0"/>
    <w:rsid w:val="00DA3BB3"/>
    <w:rsid w:val="00DA3BCC"/>
    <w:rsid w:val="00DA3CF2"/>
    <w:rsid w:val="00DA3D32"/>
    <w:rsid w:val="00DA3D68"/>
    <w:rsid w:val="00DA3D9D"/>
    <w:rsid w:val="00DA3DAD"/>
    <w:rsid w:val="00DA3EA6"/>
    <w:rsid w:val="00DA3EA9"/>
    <w:rsid w:val="00DA3EDA"/>
    <w:rsid w:val="00DA3F89"/>
    <w:rsid w:val="00DA400E"/>
    <w:rsid w:val="00DA40D2"/>
    <w:rsid w:val="00DA40E3"/>
    <w:rsid w:val="00DA4251"/>
    <w:rsid w:val="00DA4339"/>
    <w:rsid w:val="00DA442F"/>
    <w:rsid w:val="00DA462E"/>
    <w:rsid w:val="00DA465A"/>
    <w:rsid w:val="00DA4757"/>
    <w:rsid w:val="00DA4777"/>
    <w:rsid w:val="00DA4793"/>
    <w:rsid w:val="00DA47D7"/>
    <w:rsid w:val="00DA4854"/>
    <w:rsid w:val="00DA4A74"/>
    <w:rsid w:val="00DA4A93"/>
    <w:rsid w:val="00DA4AD2"/>
    <w:rsid w:val="00DA4B83"/>
    <w:rsid w:val="00DA4BAE"/>
    <w:rsid w:val="00DA4BDA"/>
    <w:rsid w:val="00DA4D1B"/>
    <w:rsid w:val="00DA4D38"/>
    <w:rsid w:val="00DA4D7D"/>
    <w:rsid w:val="00DA4DDF"/>
    <w:rsid w:val="00DA4DF8"/>
    <w:rsid w:val="00DA4E92"/>
    <w:rsid w:val="00DA5112"/>
    <w:rsid w:val="00DA5192"/>
    <w:rsid w:val="00DA52FC"/>
    <w:rsid w:val="00DA5308"/>
    <w:rsid w:val="00DA535D"/>
    <w:rsid w:val="00DA53D4"/>
    <w:rsid w:val="00DA547D"/>
    <w:rsid w:val="00DA548B"/>
    <w:rsid w:val="00DA54D3"/>
    <w:rsid w:val="00DA55A4"/>
    <w:rsid w:val="00DA561C"/>
    <w:rsid w:val="00DA5693"/>
    <w:rsid w:val="00DA57A3"/>
    <w:rsid w:val="00DA595B"/>
    <w:rsid w:val="00DA5985"/>
    <w:rsid w:val="00DA5A23"/>
    <w:rsid w:val="00DA5AE6"/>
    <w:rsid w:val="00DA5B75"/>
    <w:rsid w:val="00DA5C4F"/>
    <w:rsid w:val="00DA5C9C"/>
    <w:rsid w:val="00DA5D91"/>
    <w:rsid w:val="00DA5E14"/>
    <w:rsid w:val="00DA5E98"/>
    <w:rsid w:val="00DA5F1A"/>
    <w:rsid w:val="00DA5F3B"/>
    <w:rsid w:val="00DA5FD5"/>
    <w:rsid w:val="00DA5FE2"/>
    <w:rsid w:val="00DA5FE4"/>
    <w:rsid w:val="00DA6115"/>
    <w:rsid w:val="00DA6241"/>
    <w:rsid w:val="00DA62BA"/>
    <w:rsid w:val="00DA62C9"/>
    <w:rsid w:val="00DA6360"/>
    <w:rsid w:val="00DA6385"/>
    <w:rsid w:val="00DA63FC"/>
    <w:rsid w:val="00DA643F"/>
    <w:rsid w:val="00DA6444"/>
    <w:rsid w:val="00DA64DA"/>
    <w:rsid w:val="00DA6562"/>
    <w:rsid w:val="00DA65D0"/>
    <w:rsid w:val="00DA6796"/>
    <w:rsid w:val="00DA67EB"/>
    <w:rsid w:val="00DA6824"/>
    <w:rsid w:val="00DA683B"/>
    <w:rsid w:val="00DA684B"/>
    <w:rsid w:val="00DA6881"/>
    <w:rsid w:val="00DA68CD"/>
    <w:rsid w:val="00DA68DB"/>
    <w:rsid w:val="00DA68E9"/>
    <w:rsid w:val="00DA6991"/>
    <w:rsid w:val="00DA6A72"/>
    <w:rsid w:val="00DA6B4A"/>
    <w:rsid w:val="00DA6BE8"/>
    <w:rsid w:val="00DA6CB2"/>
    <w:rsid w:val="00DA6D3D"/>
    <w:rsid w:val="00DA6D4B"/>
    <w:rsid w:val="00DA6E5B"/>
    <w:rsid w:val="00DA6EA8"/>
    <w:rsid w:val="00DA6EAB"/>
    <w:rsid w:val="00DA6EAC"/>
    <w:rsid w:val="00DA6FC9"/>
    <w:rsid w:val="00DA70ED"/>
    <w:rsid w:val="00DA71B8"/>
    <w:rsid w:val="00DA724F"/>
    <w:rsid w:val="00DA7255"/>
    <w:rsid w:val="00DA74D4"/>
    <w:rsid w:val="00DA74EB"/>
    <w:rsid w:val="00DA74FF"/>
    <w:rsid w:val="00DA7522"/>
    <w:rsid w:val="00DA7548"/>
    <w:rsid w:val="00DA776A"/>
    <w:rsid w:val="00DA77BA"/>
    <w:rsid w:val="00DA78E1"/>
    <w:rsid w:val="00DA7A7B"/>
    <w:rsid w:val="00DA7ACE"/>
    <w:rsid w:val="00DA7B12"/>
    <w:rsid w:val="00DA7BB8"/>
    <w:rsid w:val="00DA7BDB"/>
    <w:rsid w:val="00DA7BF6"/>
    <w:rsid w:val="00DA7C01"/>
    <w:rsid w:val="00DA7CA6"/>
    <w:rsid w:val="00DA7CB0"/>
    <w:rsid w:val="00DA7CFF"/>
    <w:rsid w:val="00DA7F4D"/>
    <w:rsid w:val="00DA7FCE"/>
    <w:rsid w:val="00DA7FD1"/>
    <w:rsid w:val="00DB000E"/>
    <w:rsid w:val="00DB00BD"/>
    <w:rsid w:val="00DB024B"/>
    <w:rsid w:val="00DB039D"/>
    <w:rsid w:val="00DB0455"/>
    <w:rsid w:val="00DB0472"/>
    <w:rsid w:val="00DB04FE"/>
    <w:rsid w:val="00DB053B"/>
    <w:rsid w:val="00DB0608"/>
    <w:rsid w:val="00DB0654"/>
    <w:rsid w:val="00DB0660"/>
    <w:rsid w:val="00DB0806"/>
    <w:rsid w:val="00DB0821"/>
    <w:rsid w:val="00DB08BA"/>
    <w:rsid w:val="00DB091E"/>
    <w:rsid w:val="00DB0A1C"/>
    <w:rsid w:val="00DB0A58"/>
    <w:rsid w:val="00DB0A74"/>
    <w:rsid w:val="00DB0AD6"/>
    <w:rsid w:val="00DB0B5F"/>
    <w:rsid w:val="00DB0C28"/>
    <w:rsid w:val="00DB0CDA"/>
    <w:rsid w:val="00DB0D2E"/>
    <w:rsid w:val="00DB0D6A"/>
    <w:rsid w:val="00DB0D81"/>
    <w:rsid w:val="00DB0DAF"/>
    <w:rsid w:val="00DB0F36"/>
    <w:rsid w:val="00DB0F3C"/>
    <w:rsid w:val="00DB0FEE"/>
    <w:rsid w:val="00DB0FEF"/>
    <w:rsid w:val="00DB1046"/>
    <w:rsid w:val="00DB1078"/>
    <w:rsid w:val="00DB1251"/>
    <w:rsid w:val="00DB1320"/>
    <w:rsid w:val="00DB1321"/>
    <w:rsid w:val="00DB1396"/>
    <w:rsid w:val="00DB1435"/>
    <w:rsid w:val="00DB14A2"/>
    <w:rsid w:val="00DB14BE"/>
    <w:rsid w:val="00DB14FF"/>
    <w:rsid w:val="00DB1561"/>
    <w:rsid w:val="00DB15BE"/>
    <w:rsid w:val="00DB17AE"/>
    <w:rsid w:val="00DB17CB"/>
    <w:rsid w:val="00DB1824"/>
    <w:rsid w:val="00DB1856"/>
    <w:rsid w:val="00DB1895"/>
    <w:rsid w:val="00DB18FE"/>
    <w:rsid w:val="00DB1AE6"/>
    <w:rsid w:val="00DB1BE7"/>
    <w:rsid w:val="00DB1C47"/>
    <w:rsid w:val="00DB1CB2"/>
    <w:rsid w:val="00DB1CC3"/>
    <w:rsid w:val="00DB1DD9"/>
    <w:rsid w:val="00DB1DF9"/>
    <w:rsid w:val="00DB1E63"/>
    <w:rsid w:val="00DB1EE7"/>
    <w:rsid w:val="00DB1F4F"/>
    <w:rsid w:val="00DB1F52"/>
    <w:rsid w:val="00DB1FCA"/>
    <w:rsid w:val="00DB202F"/>
    <w:rsid w:val="00DB20FC"/>
    <w:rsid w:val="00DB21FD"/>
    <w:rsid w:val="00DB22F7"/>
    <w:rsid w:val="00DB24FC"/>
    <w:rsid w:val="00DB252B"/>
    <w:rsid w:val="00DB26D3"/>
    <w:rsid w:val="00DB274C"/>
    <w:rsid w:val="00DB2804"/>
    <w:rsid w:val="00DB2805"/>
    <w:rsid w:val="00DB283A"/>
    <w:rsid w:val="00DB285E"/>
    <w:rsid w:val="00DB2935"/>
    <w:rsid w:val="00DB29BE"/>
    <w:rsid w:val="00DB2A73"/>
    <w:rsid w:val="00DB2C99"/>
    <w:rsid w:val="00DB2EB3"/>
    <w:rsid w:val="00DB2F4D"/>
    <w:rsid w:val="00DB2FAD"/>
    <w:rsid w:val="00DB2FE5"/>
    <w:rsid w:val="00DB3006"/>
    <w:rsid w:val="00DB3072"/>
    <w:rsid w:val="00DB30AD"/>
    <w:rsid w:val="00DB30BB"/>
    <w:rsid w:val="00DB310A"/>
    <w:rsid w:val="00DB3149"/>
    <w:rsid w:val="00DB326A"/>
    <w:rsid w:val="00DB32BD"/>
    <w:rsid w:val="00DB3306"/>
    <w:rsid w:val="00DB340F"/>
    <w:rsid w:val="00DB3420"/>
    <w:rsid w:val="00DB354B"/>
    <w:rsid w:val="00DB35C0"/>
    <w:rsid w:val="00DB3790"/>
    <w:rsid w:val="00DB3859"/>
    <w:rsid w:val="00DB3A11"/>
    <w:rsid w:val="00DB3BEC"/>
    <w:rsid w:val="00DB3C3D"/>
    <w:rsid w:val="00DB3DA9"/>
    <w:rsid w:val="00DB3E24"/>
    <w:rsid w:val="00DB3F48"/>
    <w:rsid w:val="00DB3F67"/>
    <w:rsid w:val="00DB3F68"/>
    <w:rsid w:val="00DB40EF"/>
    <w:rsid w:val="00DB4124"/>
    <w:rsid w:val="00DB44BD"/>
    <w:rsid w:val="00DB4613"/>
    <w:rsid w:val="00DB4625"/>
    <w:rsid w:val="00DB4632"/>
    <w:rsid w:val="00DB4645"/>
    <w:rsid w:val="00DB46C2"/>
    <w:rsid w:val="00DB48BB"/>
    <w:rsid w:val="00DB4AAC"/>
    <w:rsid w:val="00DB4ADD"/>
    <w:rsid w:val="00DB4B85"/>
    <w:rsid w:val="00DB4BA7"/>
    <w:rsid w:val="00DB4C43"/>
    <w:rsid w:val="00DB4CA5"/>
    <w:rsid w:val="00DB4F2A"/>
    <w:rsid w:val="00DB4F6E"/>
    <w:rsid w:val="00DB4FD6"/>
    <w:rsid w:val="00DB5163"/>
    <w:rsid w:val="00DB517D"/>
    <w:rsid w:val="00DB5207"/>
    <w:rsid w:val="00DB5299"/>
    <w:rsid w:val="00DB52A8"/>
    <w:rsid w:val="00DB52E0"/>
    <w:rsid w:val="00DB53EB"/>
    <w:rsid w:val="00DB5465"/>
    <w:rsid w:val="00DB549F"/>
    <w:rsid w:val="00DB54CB"/>
    <w:rsid w:val="00DB5612"/>
    <w:rsid w:val="00DB561B"/>
    <w:rsid w:val="00DB5655"/>
    <w:rsid w:val="00DB56FA"/>
    <w:rsid w:val="00DB570D"/>
    <w:rsid w:val="00DB575F"/>
    <w:rsid w:val="00DB57C3"/>
    <w:rsid w:val="00DB5813"/>
    <w:rsid w:val="00DB5835"/>
    <w:rsid w:val="00DB5841"/>
    <w:rsid w:val="00DB5863"/>
    <w:rsid w:val="00DB5933"/>
    <w:rsid w:val="00DB59B1"/>
    <w:rsid w:val="00DB59C3"/>
    <w:rsid w:val="00DB5A26"/>
    <w:rsid w:val="00DB5A2B"/>
    <w:rsid w:val="00DB5A88"/>
    <w:rsid w:val="00DB5ABF"/>
    <w:rsid w:val="00DB5B88"/>
    <w:rsid w:val="00DB5C8E"/>
    <w:rsid w:val="00DB5E4C"/>
    <w:rsid w:val="00DB5E77"/>
    <w:rsid w:val="00DB5EB6"/>
    <w:rsid w:val="00DB5EC2"/>
    <w:rsid w:val="00DB5ECB"/>
    <w:rsid w:val="00DB5F97"/>
    <w:rsid w:val="00DB5FA0"/>
    <w:rsid w:val="00DB6035"/>
    <w:rsid w:val="00DB6085"/>
    <w:rsid w:val="00DB6275"/>
    <w:rsid w:val="00DB62AA"/>
    <w:rsid w:val="00DB637D"/>
    <w:rsid w:val="00DB6683"/>
    <w:rsid w:val="00DB6738"/>
    <w:rsid w:val="00DB6752"/>
    <w:rsid w:val="00DB678D"/>
    <w:rsid w:val="00DB67A9"/>
    <w:rsid w:val="00DB6897"/>
    <w:rsid w:val="00DB6909"/>
    <w:rsid w:val="00DB6963"/>
    <w:rsid w:val="00DB698B"/>
    <w:rsid w:val="00DB6998"/>
    <w:rsid w:val="00DB69DE"/>
    <w:rsid w:val="00DB6AAD"/>
    <w:rsid w:val="00DB6B85"/>
    <w:rsid w:val="00DB6B86"/>
    <w:rsid w:val="00DB6C12"/>
    <w:rsid w:val="00DB6CB9"/>
    <w:rsid w:val="00DB6D84"/>
    <w:rsid w:val="00DB6DA5"/>
    <w:rsid w:val="00DB6ED9"/>
    <w:rsid w:val="00DB6F85"/>
    <w:rsid w:val="00DB7093"/>
    <w:rsid w:val="00DB70D5"/>
    <w:rsid w:val="00DB71AF"/>
    <w:rsid w:val="00DB71B1"/>
    <w:rsid w:val="00DB728B"/>
    <w:rsid w:val="00DB73A2"/>
    <w:rsid w:val="00DB73FF"/>
    <w:rsid w:val="00DB7407"/>
    <w:rsid w:val="00DB76C2"/>
    <w:rsid w:val="00DB7728"/>
    <w:rsid w:val="00DB7732"/>
    <w:rsid w:val="00DB77E6"/>
    <w:rsid w:val="00DB78B6"/>
    <w:rsid w:val="00DB7951"/>
    <w:rsid w:val="00DB79AE"/>
    <w:rsid w:val="00DB79B7"/>
    <w:rsid w:val="00DB7A20"/>
    <w:rsid w:val="00DB7A82"/>
    <w:rsid w:val="00DB7B43"/>
    <w:rsid w:val="00DB7BA6"/>
    <w:rsid w:val="00DB7C35"/>
    <w:rsid w:val="00DB7CAA"/>
    <w:rsid w:val="00DB7D2F"/>
    <w:rsid w:val="00DB7D82"/>
    <w:rsid w:val="00DB7E73"/>
    <w:rsid w:val="00DB7E9B"/>
    <w:rsid w:val="00DB7FA6"/>
    <w:rsid w:val="00DB7FD2"/>
    <w:rsid w:val="00DC0011"/>
    <w:rsid w:val="00DC0060"/>
    <w:rsid w:val="00DC009C"/>
    <w:rsid w:val="00DC00BE"/>
    <w:rsid w:val="00DC011F"/>
    <w:rsid w:val="00DC016C"/>
    <w:rsid w:val="00DC018C"/>
    <w:rsid w:val="00DC019A"/>
    <w:rsid w:val="00DC01B6"/>
    <w:rsid w:val="00DC01F7"/>
    <w:rsid w:val="00DC03CD"/>
    <w:rsid w:val="00DC03F3"/>
    <w:rsid w:val="00DC04FA"/>
    <w:rsid w:val="00DC0514"/>
    <w:rsid w:val="00DC0545"/>
    <w:rsid w:val="00DC0619"/>
    <w:rsid w:val="00DC0673"/>
    <w:rsid w:val="00DC0871"/>
    <w:rsid w:val="00DC089C"/>
    <w:rsid w:val="00DC089D"/>
    <w:rsid w:val="00DC08B4"/>
    <w:rsid w:val="00DC0927"/>
    <w:rsid w:val="00DC0CD6"/>
    <w:rsid w:val="00DC0CEA"/>
    <w:rsid w:val="00DC0D2E"/>
    <w:rsid w:val="00DC0EB9"/>
    <w:rsid w:val="00DC0F26"/>
    <w:rsid w:val="00DC0F56"/>
    <w:rsid w:val="00DC0FAA"/>
    <w:rsid w:val="00DC1112"/>
    <w:rsid w:val="00DC1119"/>
    <w:rsid w:val="00DC1129"/>
    <w:rsid w:val="00DC11C0"/>
    <w:rsid w:val="00DC1223"/>
    <w:rsid w:val="00DC12F1"/>
    <w:rsid w:val="00DC13FE"/>
    <w:rsid w:val="00DC1465"/>
    <w:rsid w:val="00DC14E2"/>
    <w:rsid w:val="00DC1539"/>
    <w:rsid w:val="00DC1548"/>
    <w:rsid w:val="00DC154F"/>
    <w:rsid w:val="00DC16F1"/>
    <w:rsid w:val="00DC1703"/>
    <w:rsid w:val="00DC17A5"/>
    <w:rsid w:val="00DC17C2"/>
    <w:rsid w:val="00DC1841"/>
    <w:rsid w:val="00DC18EA"/>
    <w:rsid w:val="00DC1928"/>
    <w:rsid w:val="00DC1975"/>
    <w:rsid w:val="00DC1A56"/>
    <w:rsid w:val="00DC1D48"/>
    <w:rsid w:val="00DC1D86"/>
    <w:rsid w:val="00DC1D8B"/>
    <w:rsid w:val="00DC1D8C"/>
    <w:rsid w:val="00DC1EE5"/>
    <w:rsid w:val="00DC1F2B"/>
    <w:rsid w:val="00DC1F56"/>
    <w:rsid w:val="00DC1F65"/>
    <w:rsid w:val="00DC2003"/>
    <w:rsid w:val="00DC212C"/>
    <w:rsid w:val="00DC21E4"/>
    <w:rsid w:val="00DC2343"/>
    <w:rsid w:val="00DC23F1"/>
    <w:rsid w:val="00DC24C9"/>
    <w:rsid w:val="00DC257F"/>
    <w:rsid w:val="00DC25C3"/>
    <w:rsid w:val="00DC25EB"/>
    <w:rsid w:val="00DC2617"/>
    <w:rsid w:val="00DC264B"/>
    <w:rsid w:val="00DC2680"/>
    <w:rsid w:val="00DC2705"/>
    <w:rsid w:val="00DC2868"/>
    <w:rsid w:val="00DC2872"/>
    <w:rsid w:val="00DC28C6"/>
    <w:rsid w:val="00DC28CB"/>
    <w:rsid w:val="00DC290E"/>
    <w:rsid w:val="00DC296F"/>
    <w:rsid w:val="00DC29B0"/>
    <w:rsid w:val="00DC2A24"/>
    <w:rsid w:val="00DC2A2F"/>
    <w:rsid w:val="00DC2B59"/>
    <w:rsid w:val="00DC2B9B"/>
    <w:rsid w:val="00DC2BD0"/>
    <w:rsid w:val="00DC2BDA"/>
    <w:rsid w:val="00DC2BF4"/>
    <w:rsid w:val="00DC2C9A"/>
    <w:rsid w:val="00DC2CE5"/>
    <w:rsid w:val="00DC2EC8"/>
    <w:rsid w:val="00DC2ED2"/>
    <w:rsid w:val="00DC2F1B"/>
    <w:rsid w:val="00DC2F2B"/>
    <w:rsid w:val="00DC30A7"/>
    <w:rsid w:val="00DC30B3"/>
    <w:rsid w:val="00DC3116"/>
    <w:rsid w:val="00DC3200"/>
    <w:rsid w:val="00DC3209"/>
    <w:rsid w:val="00DC3666"/>
    <w:rsid w:val="00DC376B"/>
    <w:rsid w:val="00DC3790"/>
    <w:rsid w:val="00DC37E0"/>
    <w:rsid w:val="00DC38A8"/>
    <w:rsid w:val="00DC38EE"/>
    <w:rsid w:val="00DC3A21"/>
    <w:rsid w:val="00DC3A31"/>
    <w:rsid w:val="00DC3AE1"/>
    <w:rsid w:val="00DC3B49"/>
    <w:rsid w:val="00DC3B85"/>
    <w:rsid w:val="00DC3E18"/>
    <w:rsid w:val="00DC3E8B"/>
    <w:rsid w:val="00DC3FE6"/>
    <w:rsid w:val="00DC3FED"/>
    <w:rsid w:val="00DC4195"/>
    <w:rsid w:val="00DC42B2"/>
    <w:rsid w:val="00DC4320"/>
    <w:rsid w:val="00DC44BD"/>
    <w:rsid w:val="00DC44E2"/>
    <w:rsid w:val="00DC4625"/>
    <w:rsid w:val="00DC4682"/>
    <w:rsid w:val="00DC469B"/>
    <w:rsid w:val="00DC469E"/>
    <w:rsid w:val="00DC46B3"/>
    <w:rsid w:val="00DC46D0"/>
    <w:rsid w:val="00DC47CB"/>
    <w:rsid w:val="00DC481D"/>
    <w:rsid w:val="00DC487B"/>
    <w:rsid w:val="00DC48B7"/>
    <w:rsid w:val="00DC4962"/>
    <w:rsid w:val="00DC4A1A"/>
    <w:rsid w:val="00DC4AF1"/>
    <w:rsid w:val="00DC4B70"/>
    <w:rsid w:val="00DC4BB1"/>
    <w:rsid w:val="00DC4C12"/>
    <w:rsid w:val="00DC4C55"/>
    <w:rsid w:val="00DC4DD6"/>
    <w:rsid w:val="00DC4E52"/>
    <w:rsid w:val="00DC4E63"/>
    <w:rsid w:val="00DC4F95"/>
    <w:rsid w:val="00DC5091"/>
    <w:rsid w:val="00DC518D"/>
    <w:rsid w:val="00DC520F"/>
    <w:rsid w:val="00DC522C"/>
    <w:rsid w:val="00DC5247"/>
    <w:rsid w:val="00DC52AA"/>
    <w:rsid w:val="00DC52D5"/>
    <w:rsid w:val="00DC5361"/>
    <w:rsid w:val="00DC5363"/>
    <w:rsid w:val="00DC5417"/>
    <w:rsid w:val="00DC543E"/>
    <w:rsid w:val="00DC5447"/>
    <w:rsid w:val="00DC5655"/>
    <w:rsid w:val="00DC566A"/>
    <w:rsid w:val="00DC5866"/>
    <w:rsid w:val="00DC5952"/>
    <w:rsid w:val="00DC597E"/>
    <w:rsid w:val="00DC59D2"/>
    <w:rsid w:val="00DC59DD"/>
    <w:rsid w:val="00DC5A8F"/>
    <w:rsid w:val="00DC5B45"/>
    <w:rsid w:val="00DC5C84"/>
    <w:rsid w:val="00DC5CE3"/>
    <w:rsid w:val="00DC5D34"/>
    <w:rsid w:val="00DC5E58"/>
    <w:rsid w:val="00DC5E6C"/>
    <w:rsid w:val="00DC5E93"/>
    <w:rsid w:val="00DC5F81"/>
    <w:rsid w:val="00DC5FBD"/>
    <w:rsid w:val="00DC5FE1"/>
    <w:rsid w:val="00DC6104"/>
    <w:rsid w:val="00DC6219"/>
    <w:rsid w:val="00DC62A5"/>
    <w:rsid w:val="00DC6386"/>
    <w:rsid w:val="00DC63D0"/>
    <w:rsid w:val="00DC63EB"/>
    <w:rsid w:val="00DC64D6"/>
    <w:rsid w:val="00DC6593"/>
    <w:rsid w:val="00DC6594"/>
    <w:rsid w:val="00DC65EB"/>
    <w:rsid w:val="00DC661E"/>
    <w:rsid w:val="00DC66F9"/>
    <w:rsid w:val="00DC673F"/>
    <w:rsid w:val="00DC682A"/>
    <w:rsid w:val="00DC6882"/>
    <w:rsid w:val="00DC68D6"/>
    <w:rsid w:val="00DC6908"/>
    <w:rsid w:val="00DC69A5"/>
    <w:rsid w:val="00DC6AE4"/>
    <w:rsid w:val="00DC6AE7"/>
    <w:rsid w:val="00DC6B51"/>
    <w:rsid w:val="00DC6BCF"/>
    <w:rsid w:val="00DC6BDC"/>
    <w:rsid w:val="00DC6D3D"/>
    <w:rsid w:val="00DC6DD2"/>
    <w:rsid w:val="00DC6DEF"/>
    <w:rsid w:val="00DC6E9D"/>
    <w:rsid w:val="00DC6F8A"/>
    <w:rsid w:val="00DC6F8C"/>
    <w:rsid w:val="00DC6FF0"/>
    <w:rsid w:val="00DC702F"/>
    <w:rsid w:val="00DC704B"/>
    <w:rsid w:val="00DC71FB"/>
    <w:rsid w:val="00DC721F"/>
    <w:rsid w:val="00DC727E"/>
    <w:rsid w:val="00DC7344"/>
    <w:rsid w:val="00DC7389"/>
    <w:rsid w:val="00DC740E"/>
    <w:rsid w:val="00DC7507"/>
    <w:rsid w:val="00DC7546"/>
    <w:rsid w:val="00DC754C"/>
    <w:rsid w:val="00DC75D6"/>
    <w:rsid w:val="00DC760C"/>
    <w:rsid w:val="00DC777E"/>
    <w:rsid w:val="00DC778D"/>
    <w:rsid w:val="00DC7867"/>
    <w:rsid w:val="00DC7881"/>
    <w:rsid w:val="00DC797A"/>
    <w:rsid w:val="00DC7B44"/>
    <w:rsid w:val="00DC7C1C"/>
    <w:rsid w:val="00DC7C41"/>
    <w:rsid w:val="00DC7C49"/>
    <w:rsid w:val="00DC7D28"/>
    <w:rsid w:val="00DC7DE8"/>
    <w:rsid w:val="00DC7EAD"/>
    <w:rsid w:val="00DC7F1F"/>
    <w:rsid w:val="00DD0051"/>
    <w:rsid w:val="00DD00BD"/>
    <w:rsid w:val="00DD0230"/>
    <w:rsid w:val="00DD02B2"/>
    <w:rsid w:val="00DD0365"/>
    <w:rsid w:val="00DD03BF"/>
    <w:rsid w:val="00DD0565"/>
    <w:rsid w:val="00DD05A0"/>
    <w:rsid w:val="00DD05F3"/>
    <w:rsid w:val="00DD0742"/>
    <w:rsid w:val="00DD0744"/>
    <w:rsid w:val="00DD0857"/>
    <w:rsid w:val="00DD08AE"/>
    <w:rsid w:val="00DD08D3"/>
    <w:rsid w:val="00DD08D8"/>
    <w:rsid w:val="00DD09C3"/>
    <w:rsid w:val="00DD0AB4"/>
    <w:rsid w:val="00DD0C06"/>
    <w:rsid w:val="00DD0C5B"/>
    <w:rsid w:val="00DD0CE1"/>
    <w:rsid w:val="00DD0F5D"/>
    <w:rsid w:val="00DD1049"/>
    <w:rsid w:val="00DD1133"/>
    <w:rsid w:val="00DD11D4"/>
    <w:rsid w:val="00DD1205"/>
    <w:rsid w:val="00DD126D"/>
    <w:rsid w:val="00DD12E1"/>
    <w:rsid w:val="00DD15D0"/>
    <w:rsid w:val="00DD1701"/>
    <w:rsid w:val="00DD1780"/>
    <w:rsid w:val="00DD17E7"/>
    <w:rsid w:val="00DD17FA"/>
    <w:rsid w:val="00DD180A"/>
    <w:rsid w:val="00DD1863"/>
    <w:rsid w:val="00DD18CD"/>
    <w:rsid w:val="00DD1958"/>
    <w:rsid w:val="00DD1B24"/>
    <w:rsid w:val="00DD1C05"/>
    <w:rsid w:val="00DD1CC7"/>
    <w:rsid w:val="00DD1D61"/>
    <w:rsid w:val="00DD1DA3"/>
    <w:rsid w:val="00DD1EA2"/>
    <w:rsid w:val="00DD1F5B"/>
    <w:rsid w:val="00DD1F8C"/>
    <w:rsid w:val="00DD204B"/>
    <w:rsid w:val="00DD2195"/>
    <w:rsid w:val="00DD2463"/>
    <w:rsid w:val="00DD2652"/>
    <w:rsid w:val="00DD2692"/>
    <w:rsid w:val="00DD271B"/>
    <w:rsid w:val="00DD274E"/>
    <w:rsid w:val="00DD27C1"/>
    <w:rsid w:val="00DD2816"/>
    <w:rsid w:val="00DD28CA"/>
    <w:rsid w:val="00DD2A46"/>
    <w:rsid w:val="00DD2A70"/>
    <w:rsid w:val="00DD2BA0"/>
    <w:rsid w:val="00DD2DE4"/>
    <w:rsid w:val="00DD2E46"/>
    <w:rsid w:val="00DD2F30"/>
    <w:rsid w:val="00DD2FB8"/>
    <w:rsid w:val="00DD2FBE"/>
    <w:rsid w:val="00DD3091"/>
    <w:rsid w:val="00DD30A0"/>
    <w:rsid w:val="00DD3199"/>
    <w:rsid w:val="00DD329C"/>
    <w:rsid w:val="00DD3328"/>
    <w:rsid w:val="00DD3390"/>
    <w:rsid w:val="00DD33AD"/>
    <w:rsid w:val="00DD34E4"/>
    <w:rsid w:val="00DD37B8"/>
    <w:rsid w:val="00DD3848"/>
    <w:rsid w:val="00DD387F"/>
    <w:rsid w:val="00DD3992"/>
    <w:rsid w:val="00DD39F1"/>
    <w:rsid w:val="00DD3A0C"/>
    <w:rsid w:val="00DD3C40"/>
    <w:rsid w:val="00DD3CB2"/>
    <w:rsid w:val="00DD3CCA"/>
    <w:rsid w:val="00DD3D09"/>
    <w:rsid w:val="00DD3DA3"/>
    <w:rsid w:val="00DD3E6E"/>
    <w:rsid w:val="00DD3E8F"/>
    <w:rsid w:val="00DD3F26"/>
    <w:rsid w:val="00DD3F50"/>
    <w:rsid w:val="00DD3FF9"/>
    <w:rsid w:val="00DD4127"/>
    <w:rsid w:val="00DD412C"/>
    <w:rsid w:val="00DD4157"/>
    <w:rsid w:val="00DD426B"/>
    <w:rsid w:val="00DD439E"/>
    <w:rsid w:val="00DD440F"/>
    <w:rsid w:val="00DD4443"/>
    <w:rsid w:val="00DD4501"/>
    <w:rsid w:val="00DD452F"/>
    <w:rsid w:val="00DD453C"/>
    <w:rsid w:val="00DD4585"/>
    <w:rsid w:val="00DD4717"/>
    <w:rsid w:val="00DD4730"/>
    <w:rsid w:val="00DD4751"/>
    <w:rsid w:val="00DD4765"/>
    <w:rsid w:val="00DD481A"/>
    <w:rsid w:val="00DD48D1"/>
    <w:rsid w:val="00DD48EF"/>
    <w:rsid w:val="00DD4A25"/>
    <w:rsid w:val="00DD4A97"/>
    <w:rsid w:val="00DD4B90"/>
    <w:rsid w:val="00DD4BB8"/>
    <w:rsid w:val="00DD4C16"/>
    <w:rsid w:val="00DD4C3D"/>
    <w:rsid w:val="00DD4C4D"/>
    <w:rsid w:val="00DD4C90"/>
    <w:rsid w:val="00DD4C95"/>
    <w:rsid w:val="00DD4CD4"/>
    <w:rsid w:val="00DD4D6C"/>
    <w:rsid w:val="00DD4DC0"/>
    <w:rsid w:val="00DD4E5D"/>
    <w:rsid w:val="00DD4E81"/>
    <w:rsid w:val="00DD4F3E"/>
    <w:rsid w:val="00DD4FC5"/>
    <w:rsid w:val="00DD5074"/>
    <w:rsid w:val="00DD50F6"/>
    <w:rsid w:val="00DD5167"/>
    <w:rsid w:val="00DD51B9"/>
    <w:rsid w:val="00DD51E0"/>
    <w:rsid w:val="00DD5201"/>
    <w:rsid w:val="00DD528D"/>
    <w:rsid w:val="00DD52C5"/>
    <w:rsid w:val="00DD52FE"/>
    <w:rsid w:val="00DD5324"/>
    <w:rsid w:val="00DD539B"/>
    <w:rsid w:val="00DD53DE"/>
    <w:rsid w:val="00DD53F0"/>
    <w:rsid w:val="00DD5450"/>
    <w:rsid w:val="00DD54B8"/>
    <w:rsid w:val="00DD54EE"/>
    <w:rsid w:val="00DD551D"/>
    <w:rsid w:val="00DD5547"/>
    <w:rsid w:val="00DD559D"/>
    <w:rsid w:val="00DD55EE"/>
    <w:rsid w:val="00DD5769"/>
    <w:rsid w:val="00DD5819"/>
    <w:rsid w:val="00DD5882"/>
    <w:rsid w:val="00DD5AD9"/>
    <w:rsid w:val="00DD5B01"/>
    <w:rsid w:val="00DD5B47"/>
    <w:rsid w:val="00DD5B8B"/>
    <w:rsid w:val="00DD5BBD"/>
    <w:rsid w:val="00DD5C1F"/>
    <w:rsid w:val="00DD5E43"/>
    <w:rsid w:val="00DD5EBC"/>
    <w:rsid w:val="00DD619A"/>
    <w:rsid w:val="00DD61DE"/>
    <w:rsid w:val="00DD61ED"/>
    <w:rsid w:val="00DD621F"/>
    <w:rsid w:val="00DD6233"/>
    <w:rsid w:val="00DD6294"/>
    <w:rsid w:val="00DD62CD"/>
    <w:rsid w:val="00DD62D8"/>
    <w:rsid w:val="00DD62F5"/>
    <w:rsid w:val="00DD6338"/>
    <w:rsid w:val="00DD652A"/>
    <w:rsid w:val="00DD65BB"/>
    <w:rsid w:val="00DD65E3"/>
    <w:rsid w:val="00DD65EC"/>
    <w:rsid w:val="00DD661B"/>
    <w:rsid w:val="00DD66AB"/>
    <w:rsid w:val="00DD672B"/>
    <w:rsid w:val="00DD679D"/>
    <w:rsid w:val="00DD6959"/>
    <w:rsid w:val="00DD697B"/>
    <w:rsid w:val="00DD6988"/>
    <w:rsid w:val="00DD6A55"/>
    <w:rsid w:val="00DD6B2B"/>
    <w:rsid w:val="00DD6CB2"/>
    <w:rsid w:val="00DD6E81"/>
    <w:rsid w:val="00DD6F3D"/>
    <w:rsid w:val="00DD6F48"/>
    <w:rsid w:val="00DD6FAC"/>
    <w:rsid w:val="00DD6FED"/>
    <w:rsid w:val="00DD7034"/>
    <w:rsid w:val="00DD73A5"/>
    <w:rsid w:val="00DD73C9"/>
    <w:rsid w:val="00DD744B"/>
    <w:rsid w:val="00DD746C"/>
    <w:rsid w:val="00DD74AD"/>
    <w:rsid w:val="00DD7617"/>
    <w:rsid w:val="00DD77DE"/>
    <w:rsid w:val="00DD786E"/>
    <w:rsid w:val="00DD78CC"/>
    <w:rsid w:val="00DD7924"/>
    <w:rsid w:val="00DD7949"/>
    <w:rsid w:val="00DD79ED"/>
    <w:rsid w:val="00DD7B1C"/>
    <w:rsid w:val="00DD7B20"/>
    <w:rsid w:val="00DD7C5A"/>
    <w:rsid w:val="00DD7E1F"/>
    <w:rsid w:val="00DD7E59"/>
    <w:rsid w:val="00DD7FEA"/>
    <w:rsid w:val="00DE0075"/>
    <w:rsid w:val="00DE0097"/>
    <w:rsid w:val="00DE0213"/>
    <w:rsid w:val="00DE027D"/>
    <w:rsid w:val="00DE02CD"/>
    <w:rsid w:val="00DE02D9"/>
    <w:rsid w:val="00DE02EF"/>
    <w:rsid w:val="00DE02F2"/>
    <w:rsid w:val="00DE04C0"/>
    <w:rsid w:val="00DE052A"/>
    <w:rsid w:val="00DE0549"/>
    <w:rsid w:val="00DE0556"/>
    <w:rsid w:val="00DE0686"/>
    <w:rsid w:val="00DE06E3"/>
    <w:rsid w:val="00DE0765"/>
    <w:rsid w:val="00DE0956"/>
    <w:rsid w:val="00DE0982"/>
    <w:rsid w:val="00DE09CE"/>
    <w:rsid w:val="00DE0A6F"/>
    <w:rsid w:val="00DE0A8C"/>
    <w:rsid w:val="00DE0AAE"/>
    <w:rsid w:val="00DE0AB1"/>
    <w:rsid w:val="00DE0B07"/>
    <w:rsid w:val="00DE0B20"/>
    <w:rsid w:val="00DE0BC1"/>
    <w:rsid w:val="00DE0C2E"/>
    <w:rsid w:val="00DE0DC0"/>
    <w:rsid w:val="00DE0E12"/>
    <w:rsid w:val="00DE0ECF"/>
    <w:rsid w:val="00DE100F"/>
    <w:rsid w:val="00DE10FA"/>
    <w:rsid w:val="00DE11D1"/>
    <w:rsid w:val="00DE124C"/>
    <w:rsid w:val="00DE1292"/>
    <w:rsid w:val="00DE12C4"/>
    <w:rsid w:val="00DE12DA"/>
    <w:rsid w:val="00DE1335"/>
    <w:rsid w:val="00DE14EB"/>
    <w:rsid w:val="00DE1559"/>
    <w:rsid w:val="00DE15E8"/>
    <w:rsid w:val="00DE1641"/>
    <w:rsid w:val="00DE174F"/>
    <w:rsid w:val="00DE1858"/>
    <w:rsid w:val="00DE187F"/>
    <w:rsid w:val="00DE1927"/>
    <w:rsid w:val="00DE1979"/>
    <w:rsid w:val="00DE1A7A"/>
    <w:rsid w:val="00DE1AAE"/>
    <w:rsid w:val="00DE1B92"/>
    <w:rsid w:val="00DE1B9E"/>
    <w:rsid w:val="00DE1D40"/>
    <w:rsid w:val="00DE1D99"/>
    <w:rsid w:val="00DE1E45"/>
    <w:rsid w:val="00DE1EA1"/>
    <w:rsid w:val="00DE1EB4"/>
    <w:rsid w:val="00DE1F6C"/>
    <w:rsid w:val="00DE2077"/>
    <w:rsid w:val="00DE2094"/>
    <w:rsid w:val="00DE20D1"/>
    <w:rsid w:val="00DE213E"/>
    <w:rsid w:val="00DE2270"/>
    <w:rsid w:val="00DE22E4"/>
    <w:rsid w:val="00DE2337"/>
    <w:rsid w:val="00DE2357"/>
    <w:rsid w:val="00DE23DF"/>
    <w:rsid w:val="00DE2417"/>
    <w:rsid w:val="00DE2461"/>
    <w:rsid w:val="00DE2524"/>
    <w:rsid w:val="00DE2771"/>
    <w:rsid w:val="00DE27D1"/>
    <w:rsid w:val="00DE29F0"/>
    <w:rsid w:val="00DE2AD0"/>
    <w:rsid w:val="00DE2B90"/>
    <w:rsid w:val="00DE2C2D"/>
    <w:rsid w:val="00DE2E56"/>
    <w:rsid w:val="00DE2FC3"/>
    <w:rsid w:val="00DE2FFA"/>
    <w:rsid w:val="00DE302F"/>
    <w:rsid w:val="00DE30A8"/>
    <w:rsid w:val="00DE30EA"/>
    <w:rsid w:val="00DE3120"/>
    <w:rsid w:val="00DE31F0"/>
    <w:rsid w:val="00DE3217"/>
    <w:rsid w:val="00DE326B"/>
    <w:rsid w:val="00DE3385"/>
    <w:rsid w:val="00DE338C"/>
    <w:rsid w:val="00DE339C"/>
    <w:rsid w:val="00DE33AA"/>
    <w:rsid w:val="00DE33BE"/>
    <w:rsid w:val="00DE33D2"/>
    <w:rsid w:val="00DE3472"/>
    <w:rsid w:val="00DE34BB"/>
    <w:rsid w:val="00DE34E4"/>
    <w:rsid w:val="00DE3503"/>
    <w:rsid w:val="00DE352E"/>
    <w:rsid w:val="00DE35DC"/>
    <w:rsid w:val="00DE360B"/>
    <w:rsid w:val="00DE370D"/>
    <w:rsid w:val="00DE3742"/>
    <w:rsid w:val="00DE374A"/>
    <w:rsid w:val="00DE37CC"/>
    <w:rsid w:val="00DE37DE"/>
    <w:rsid w:val="00DE383B"/>
    <w:rsid w:val="00DE3989"/>
    <w:rsid w:val="00DE399B"/>
    <w:rsid w:val="00DE39A3"/>
    <w:rsid w:val="00DE39F7"/>
    <w:rsid w:val="00DE3A5C"/>
    <w:rsid w:val="00DE3AFC"/>
    <w:rsid w:val="00DE3B42"/>
    <w:rsid w:val="00DE3B8D"/>
    <w:rsid w:val="00DE3B8E"/>
    <w:rsid w:val="00DE3C75"/>
    <w:rsid w:val="00DE3D12"/>
    <w:rsid w:val="00DE3D16"/>
    <w:rsid w:val="00DE3D36"/>
    <w:rsid w:val="00DE3D43"/>
    <w:rsid w:val="00DE3D8F"/>
    <w:rsid w:val="00DE3E02"/>
    <w:rsid w:val="00DE3E34"/>
    <w:rsid w:val="00DE3EDF"/>
    <w:rsid w:val="00DE3EF5"/>
    <w:rsid w:val="00DE3F1B"/>
    <w:rsid w:val="00DE3F36"/>
    <w:rsid w:val="00DE4037"/>
    <w:rsid w:val="00DE405D"/>
    <w:rsid w:val="00DE4071"/>
    <w:rsid w:val="00DE40B9"/>
    <w:rsid w:val="00DE41AD"/>
    <w:rsid w:val="00DE41DB"/>
    <w:rsid w:val="00DE41FF"/>
    <w:rsid w:val="00DE421A"/>
    <w:rsid w:val="00DE422D"/>
    <w:rsid w:val="00DE4278"/>
    <w:rsid w:val="00DE4287"/>
    <w:rsid w:val="00DE431C"/>
    <w:rsid w:val="00DE4412"/>
    <w:rsid w:val="00DE444C"/>
    <w:rsid w:val="00DE44C6"/>
    <w:rsid w:val="00DE4611"/>
    <w:rsid w:val="00DE46CA"/>
    <w:rsid w:val="00DE46F7"/>
    <w:rsid w:val="00DE47F3"/>
    <w:rsid w:val="00DE47FD"/>
    <w:rsid w:val="00DE48AE"/>
    <w:rsid w:val="00DE4A29"/>
    <w:rsid w:val="00DE4BBF"/>
    <w:rsid w:val="00DE4C0D"/>
    <w:rsid w:val="00DE4C2E"/>
    <w:rsid w:val="00DE4C3F"/>
    <w:rsid w:val="00DE4C5C"/>
    <w:rsid w:val="00DE4C95"/>
    <w:rsid w:val="00DE4CEA"/>
    <w:rsid w:val="00DE4D5A"/>
    <w:rsid w:val="00DE4FE1"/>
    <w:rsid w:val="00DE50C3"/>
    <w:rsid w:val="00DE519E"/>
    <w:rsid w:val="00DE51B4"/>
    <w:rsid w:val="00DE51BD"/>
    <w:rsid w:val="00DE531F"/>
    <w:rsid w:val="00DE53B3"/>
    <w:rsid w:val="00DE54C6"/>
    <w:rsid w:val="00DE54DE"/>
    <w:rsid w:val="00DE5560"/>
    <w:rsid w:val="00DE56BE"/>
    <w:rsid w:val="00DE56F7"/>
    <w:rsid w:val="00DE57F8"/>
    <w:rsid w:val="00DE5864"/>
    <w:rsid w:val="00DE5A23"/>
    <w:rsid w:val="00DE5B6E"/>
    <w:rsid w:val="00DE5B76"/>
    <w:rsid w:val="00DE5BF6"/>
    <w:rsid w:val="00DE5C44"/>
    <w:rsid w:val="00DE5C81"/>
    <w:rsid w:val="00DE5C9A"/>
    <w:rsid w:val="00DE5CA7"/>
    <w:rsid w:val="00DE5CB9"/>
    <w:rsid w:val="00DE5CDB"/>
    <w:rsid w:val="00DE5D12"/>
    <w:rsid w:val="00DE5D1C"/>
    <w:rsid w:val="00DE5D8F"/>
    <w:rsid w:val="00DE5E11"/>
    <w:rsid w:val="00DE5E20"/>
    <w:rsid w:val="00DE5E67"/>
    <w:rsid w:val="00DE5F62"/>
    <w:rsid w:val="00DE60D6"/>
    <w:rsid w:val="00DE60E0"/>
    <w:rsid w:val="00DE6147"/>
    <w:rsid w:val="00DE620B"/>
    <w:rsid w:val="00DE6279"/>
    <w:rsid w:val="00DE628D"/>
    <w:rsid w:val="00DE62A3"/>
    <w:rsid w:val="00DE62FF"/>
    <w:rsid w:val="00DE6373"/>
    <w:rsid w:val="00DE64BE"/>
    <w:rsid w:val="00DE6677"/>
    <w:rsid w:val="00DE66E6"/>
    <w:rsid w:val="00DE6761"/>
    <w:rsid w:val="00DE68DF"/>
    <w:rsid w:val="00DE6A10"/>
    <w:rsid w:val="00DE6A4C"/>
    <w:rsid w:val="00DE6A73"/>
    <w:rsid w:val="00DE6A77"/>
    <w:rsid w:val="00DE6AF6"/>
    <w:rsid w:val="00DE6B9F"/>
    <w:rsid w:val="00DE6C3B"/>
    <w:rsid w:val="00DE6C93"/>
    <w:rsid w:val="00DE6E02"/>
    <w:rsid w:val="00DE6F15"/>
    <w:rsid w:val="00DE6F86"/>
    <w:rsid w:val="00DE7053"/>
    <w:rsid w:val="00DE7059"/>
    <w:rsid w:val="00DE70F3"/>
    <w:rsid w:val="00DE717B"/>
    <w:rsid w:val="00DE7202"/>
    <w:rsid w:val="00DE7236"/>
    <w:rsid w:val="00DE728F"/>
    <w:rsid w:val="00DE72EA"/>
    <w:rsid w:val="00DE7346"/>
    <w:rsid w:val="00DE73A1"/>
    <w:rsid w:val="00DE7414"/>
    <w:rsid w:val="00DE74E7"/>
    <w:rsid w:val="00DE7529"/>
    <w:rsid w:val="00DE75E9"/>
    <w:rsid w:val="00DE76A1"/>
    <w:rsid w:val="00DE76BF"/>
    <w:rsid w:val="00DE7743"/>
    <w:rsid w:val="00DE7769"/>
    <w:rsid w:val="00DE788C"/>
    <w:rsid w:val="00DE7890"/>
    <w:rsid w:val="00DE7893"/>
    <w:rsid w:val="00DE79FB"/>
    <w:rsid w:val="00DE7A7F"/>
    <w:rsid w:val="00DE7AEF"/>
    <w:rsid w:val="00DE7B66"/>
    <w:rsid w:val="00DE7BC1"/>
    <w:rsid w:val="00DE7C39"/>
    <w:rsid w:val="00DE7C50"/>
    <w:rsid w:val="00DE7CD0"/>
    <w:rsid w:val="00DE7D00"/>
    <w:rsid w:val="00DE7DE4"/>
    <w:rsid w:val="00DE7E51"/>
    <w:rsid w:val="00DE7EAA"/>
    <w:rsid w:val="00DE7FB5"/>
    <w:rsid w:val="00DF00E7"/>
    <w:rsid w:val="00DF0136"/>
    <w:rsid w:val="00DF0178"/>
    <w:rsid w:val="00DF018B"/>
    <w:rsid w:val="00DF01A1"/>
    <w:rsid w:val="00DF02D3"/>
    <w:rsid w:val="00DF02EB"/>
    <w:rsid w:val="00DF0365"/>
    <w:rsid w:val="00DF03FF"/>
    <w:rsid w:val="00DF055A"/>
    <w:rsid w:val="00DF05FD"/>
    <w:rsid w:val="00DF06F1"/>
    <w:rsid w:val="00DF0743"/>
    <w:rsid w:val="00DF0811"/>
    <w:rsid w:val="00DF082F"/>
    <w:rsid w:val="00DF0958"/>
    <w:rsid w:val="00DF09B1"/>
    <w:rsid w:val="00DF09CD"/>
    <w:rsid w:val="00DF09DD"/>
    <w:rsid w:val="00DF09E2"/>
    <w:rsid w:val="00DF0A18"/>
    <w:rsid w:val="00DF0B4F"/>
    <w:rsid w:val="00DF0B62"/>
    <w:rsid w:val="00DF0BA8"/>
    <w:rsid w:val="00DF0BD9"/>
    <w:rsid w:val="00DF0C56"/>
    <w:rsid w:val="00DF0C98"/>
    <w:rsid w:val="00DF0D18"/>
    <w:rsid w:val="00DF0DC4"/>
    <w:rsid w:val="00DF0DC7"/>
    <w:rsid w:val="00DF0E19"/>
    <w:rsid w:val="00DF0F0E"/>
    <w:rsid w:val="00DF0FA7"/>
    <w:rsid w:val="00DF1075"/>
    <w:rsid w:val="00DF1093"/>
    <w:rsid w:val="00DF117A"/>
    <w:rsid w:val="00DF1236"/>
    <w:rsid w:val="00DF12FB"/>
    <w:rsid w:val="00DF1335"/>
    <w:rsid w:val="00DF149E"/>
    <w:rsid w:val="00DF152F"/>
    <w:rsid w:val="00DF1719"/>
    <w:rsid w:val="00DF172C"/>
    <w:rsid w:val="00DF17A6"/>
    <w:rsid w:val="00DF1881"/>
    <w:rsid w:val="00DF18B0"/>
    <w:rsid w:val="00DF18CE"/>
    <w:rsid w:val="00DF1917"/>
    <w:rsid w:val="00DF1933"/>
    <w:rsid w:val="00DF1947"/>
    <w:rsid w:val="00DF19B7"/>
    <w:rsid w:val="00DF19F0"/>
    <w:rsid w:val="00DF1A79"/>
    <w:rsid w:val="00DF1B07"/>
    <w:rsid w:val="00DF1C21"/>
    <w:rsid w:val="00DF1CD0"/>
    <w:rsid w:val="00DF1E04"/>
    <w:rsid w:val="00DF1E25"/>
    <w:rsid w:val="00DF1EF0"/>
    <w:rsid w:val="00DF1FA5"/>
    <w:rsid w:val="00DF21B3"/>
    <w:rsid w:val="00DF2201"/>
    <w:rsid w:val="00DF221A"/>
    <w:rsid w:val="00DF2466"/>
    <w:rsid w:val="00DF2494"/>
    <w:rsid w:val="00DF24C3"/>
    <w:rsid w:val="00DF250B"/>
    <w:rsid w:val="00DF2599"/>
    <w:rsid w:val="00DF25A8"/>
    <w:rsid w:val="00DF26D7"/>
    <w:rsid w:val="00DF26DD"/>
    <w:rsid w:val="00DF2797"/>
    <w:rsid w:val="00DF279E"/>
    <w:rsid w:val="00DF2816"/>
    <w:rsid w:val="00DF2880"/>
    <w:rsid w:val="00DF28B0"/>
    <w:rsid w:val="00DF28EE"/>
    <w:rsid w:val="00DF2936"/>
    <w:rsid w:val="00DF29CA"/>
    <w:rsid w:val="00DF2A5F"/>
    <w:rsid w:val="00DF2A9F"/>
    <w:rsid w:val="00DF2BED"/>
    <w:rsid w:val="00DF2BF0"/>
    <w:rsid w:val="00DF2C5F"/>
    <w:rsid w:val="00DF2DFF"/>
    <w:rsid w:val="00DF2E0A"/>
    <w:rsid w:val="00DF2ECD"/>
    <w:rsid w:val="00DF2EE1"/>
    <w:rsid w:val="00DF310E"/>
    <w:rsid w:val="00DF3114"/>
    <w:rsid w:val="00DF3266"/>
    <w:rsid w:val="00DF326F"/>
    <w:rsid w:val="00DF33BA"/>
    <w:rsid w:val="00DF3437"/>
    <w:rsid w:val="00DF34E2"/>
    <w:rsid w:val="00DF351E"/>
    <w:rsid w:val="00DF35C2"/>
    <w:rsid w:val="00DF35E8"/>
    <w:rsid w:val="00DF361C"/>
    <w:rsid w:val="00DF366A"/>
    <w:rsid w:val="00DF36FA"/>
    <w:rsid w:val="00DF3708"/>
    <w:rsid w:val="00DF377C"/>
    <w:rsid w:val="00DF378E"/>
    <w:rsid w:val="00DF37AB"/>
    <w:rsid w:val="00DF38BF"/>
    <w:rsid w:val="00DF398C"/>
    <w:rsid w:val="00DF39FE"/>
    <w:rsid w:val="00DF3A3A"/>
    <w:rsid w:val="00DF3A3F"/>
    <w:rsid w:val="00DF3A69"/>
    <w:rsid w:val="00DF3A70"/>
    <w:rsid w:val="00DF3A80"/>
    <w:rsid w:val="00DF3A82"/>
    <w:rsid w:val="00DF3AF8"/>
    <w:rsid w:val="00DF3B5C"/>
    <w:rsid w:val="00DF3BAD"/>
    <w:rsid w:val="00DF3CDD"/>
    <w:rsid w:val="00DF3DF2"/>
    <w:rsid w:val="00DF3E0B"/>
    <w:rsid w:val="00DF3E25"/>
    <w:rsid w:val="00DF3E7F"/>
    <w:rsid w:val="00DF3E94"/>
    <w:rsid w:val="00DF3ED6"/>
    <w:rsid w:val="00DF3F9D"/>
    <w:rsid w:val="00DF3FC0"/>
    <w:rsid w:val="00DF3FCE"/>
    <w:rsid w:val="00DF40F8"/>
    <w:rsid w:val="00DF4120"/>
    <w:rsid w:val="00DF429B"/>
    <w:rsid w:val="00DF42F7"/>
    <w:rsid w:val="00DF4381"/>
    <w:rsid w:val="00DF4418"/>
    <w:rsid w:val="00DF443A"/>
    <w:rsid w:val="00DF4449"/>
    <w:rsid w:val="00DF457D"/>
    <w:rsid w:val="00DF4636"/>
    <w:rsid w:val="00DF46DD"/>
    <w:rsid w:val="00DF4709"/>
    <w:rsid w:val="00DF47CD"/>
    <w:rsid w:val="00DF4836"/>
    <w:rsid w:val="00DF48B7"/>
    <w:rsid w:val="00DF4907"/>
    <w:rsid w:val="00DF492B"/>
    <w:rsid w:val="00DF49C8"/>
    <w:rsid w:val="00DF4A44"/>
    <w:rsid w:val="00DF4AE9"/>
    <w:rsid w:val="00DF4B76"/>
    <w:rsid w:val="00DF4BC5"/>
    <w:rsid w:val="00DF4C34"/>
    <w:rsid w:val="00DF4D23"/>
    <w:rsid w:val="00DF4D31"/>
    <w:rsid w:val="00DF4D3C"/>
    <w:rsid w:val="00DF4D57"/>
    <w:rsid w:val="00DF4DAB"/>
    <w:rsid w:val="00DF4EFC"/>
    <w:rsid w:val="00DF4F0F"/>
    <w:rsid w:val="00DF4F3B"/>
    <w:rsid w:val="00DF4F6B"/>
    <w:rsid w:val="00DF4FC5"/>
    <w:rsid w:val="00DF5012"/>
    <w:rsid w:val="00DF5088"/>
    <w:rsid w:val="00DF5279"/>
    <w:rsid w:val="00DF52C4"/>
    <w:rsid w:val="00DF53AA"/>
    <w:rsid w:val="00DF53EE"/>
    <w:rsid w:val="00DF5481"/>
    <w:rsid w:val="00DF5579"/>
    <w:rsid w:val="00DF56A8"/>
    <w:rsid w:val="00DF57B8"/>
    <w:rsid w:val="00DF5846"/>
    <w:rsid w:val="00DF5955"/>
    <w:rsid w:val="00DF59E1"/>
    <w:rsid w:val="00DF5A02"/>
    <w:rsid w:val="00DF5CF1"/>
    <w:rsid w:val="00DF5D0B"/>
    <w:rsid w:val="00DF5D24"/>
    <w:rsid w:val="00DF5D36"/>
    <w:rsid w:val="00DF5D6D"/>
    <w:rsid w:val="00DF5DBD"/>
    <w:rsid w:val="00DF5E11"/>
    <w:rsid w:val="00DF5E30"/>
    <w:rsid w:val="00DF5E44"/>
    <w:rsid w:val="00DF5E67"/>
    <w:rsid w:val="00DF5EFD"/>
    <w:rsid w:val="00DF6007"/>
    <w:rsid w:val="00DF606D"/>
    <w:rsid w:val="00DF60DD"/>
    <w:rsid w:val="00DF612F"/>
    <w:rsid w:val="00DF61C4"/>
    <w:rsid w:val="00DF61DF"/>
    <w:rsid w:val="00DF628A"/>
    <w:rsid w:val="00DF62F0"/>
    <w:rsid w:val="00DF633C"/>
    <w:rsid w:val="00DF6434"/>
    <w:rsid w:val="00DF6674"/>
    <w:rsid w:val="00DF6711"/>
    <w:rsid w:val="00DF673E"/>
    <w:rsid w:val="00DF6758"/>
    <w:rsid w:val="00DF6764"/>
    <w:rsid w:val="00DF6897"/>
    <w:rsid w:val="00DF68DB"/>
    <w:rsid w:val="00DF6968"/>
    <w:rsid w:val="00DF69A4"/>
    <w:rsid w:val="00DF69F1"/>
    <w:rsid w:val="00DF6A5C"/>
    <w:rsid w:val="00DF6AFF"/>
    <w:rsid w:val="00DF6B3B"/>
    <w:rsid w:val="00DF6BB2"/>
    <w:rsid w:val="00DF6CD5"/>
    <w:rsid w:val="00DF6DD1"/>
    <w:rsid w:val="00DF6E19"/>
    <w:rsid w:val="00DF6E7F"/>
    <w:rsid w:val="00DF70AD"/>
    <w:rsid w:val="00DF70D4"/>
    <w:rsid w:val="00DF7119"/>
    <w:rsid w:val="00DF7158"/>
    <w:rsid w:val="00DF7177"/>
    <w:rsid w:val="00DF719F"/>
    <w:rsid w:val="00DF7243"/>
    <w:rsid w:val="00DF72B8"/>
    <w:rsid w:val="00DF72CA"/>
    <w:rsid w:val="00DF7358"/>
    <w:rsid w:val="00DF7438"/>
    <w:rsid w:val="00DF74AE"/>
    <w:rsid w:val="00DF74D8"/>
    <w:rsid w:val="00DF74F9"/>
    <w:rsid w:val="00DF7545"/>
    <w:rsid w:val="00DF75A4"/>
    <w:rsid w:val="00DF764A"/>
    <w:rsid w:val="00DF7725"/>
    <w:rsid w:val="00DF7915"/>
    <w:rsid w:val="00DF7A75"/>
    <w:rsid w:val="00DF7AF0"/>
    <w:rsid w:val="00DF7B2C"/>
    <w:rsid w:val="00DF7BAA"/>
    <w:rsid w:val="00DF7BB7"/>
    <w:rsid w:val="00DF7C54"/>
    <w:rsid w:val="00DF7C60"/>
    <w:rsid w:val="00DF7CB5"/>
    <w:rsid w:val="00DF7D38"/>
    <w:rsid w:val="00DF7D6D"/>
    <w:rsid w:val="00DF7DB9"/>
    <w:rsid w:val="00DF7E95"/>
    <w:rsid w:val="00DF7EDA"/>
    <w:rsid w:val="00DF7F73"/>
    <w:rsid w:val="00E00116"/>
    <w:rsid w:val="00E0011F"/>
    <w:rsid w:val="00E00171"/>
    <w:rsid w:val="00E00184"/>
    <w:rsid w:val="00E001D3"/>
    <w:rsid w:val="00E00259"/>
    <w:rsid w:val="00E0035B"/>
    <w:rsid w:val="00E003A0"/>
    <w:rsid w:val="00E00495"/>
    <w:rsid w:val="00E00509"/>
    <w:rsid w:val="00E0054A"/>
    <w:rsid w:val="00E00573"/>
    <w:rsid w:val="00E00587"/>
    <w:rsid w:val="00E00636"/>
    <w:rsid w:val="00E0069F"/>
    <w:rsid w:val="00E007A4"/>
    <w:rsid w:val="00E0081A"/>
    <w:rsid w:val="00E0087C"/>
    <w:rsid w:val="00E00913"/>
    <w:rsid w:val="00E0092B"/>
    <w:rsid w:val="00E00BE2"/>
    <w:rsid w:val="00E00C56"/>
    <w:rsid w:val="00E00D4C"/>
    <w:rsid w:val="00E00D53"/>
    <w:rsid w:val="00E00D62"/>
    <w:rsid w:val="00E00D8C"/>
    <w:rsid w:val="00E00E62"/>
    <w:rsid w:val="00E00EF8"/>
    <w:rsid w:val="00E0104F"/>
    <w:rsid w:val="00E01058"/>
    <w:rsid w:val="00E010C9"/>
    <w:rsid w:val="00E0117C"/>
    <w:rsid w:val="00E011C5"/>
    <w:rsid w:val="00E01264"/>
    <w:rsid w:val="00E01289"/>
    <w:rsid w:val="00E012B5"/>
    <w:rsid w:val="00E012CB"/>
    <w:rsid w:val="00E0132B"/>
    <w:rsid w:val="00E01398"/>
    <w:rsid w:val="00E013F3"/>
    <w:rsid w:val="00E01430"/>
    <w:rsid w:val="00E014A0"/>
    <w:rsid w:val="00E01608"/>
    <w:rsid w:val="00E016AE"/>
    <w:rsid w:val="00E016C9"/>
    <w:rsid w:val="00E016E5"/>
    <w:rsid w:val="00E018B5"/>
    <w:rsid w:val="00E018C5"/>
    <w:rsid w:val="00E018D9"/>
    <w:rsid w:val="00E01939"/>
    <w:rsid w:val="00E0194B"/>
    <w:rsid w:val="00E01ACB"/>
    <w:rsid w:val="00E01AF1"/>
    <w:rsid w:val="00E01C3E"/>
    <w:rsid w:val="00E01C49"/>
    <w:rsid w:val="00E01CC8"/>
    <w:rsid w:val="00E01E0B"/>
    <w:rsid w:val="00E01E13"/>
    <w:rsid w:val="00E01F16"/>
    <w:rsid w:val="00E01F7F"/>
    <w:rsid w:val="00E01FAB"/>
    <w:rsid w:val="00E01FC9"/>
    <w:rsid w:val="00E01FD6"/>
    <w:rsid w:val="00E02014"/>
    <w:rsid w:val="00E020E5"/>
    <w:rsid w:val="00E020FE"/>
    <w:rsid w:val="00E02250"/>
    <w:rsid w:val="00E02275"/>
    <w:rsid w:val="00E02406"/>
    <w:rsid w:val="00E0244E"/>
    <w:rsid w:val="00E02584"/>
    <w:rsid w:val="00E025FD"/>
    <w:rsid w:val="00E02639"/>
    <w:rsid w:val="00E02672"/>
    <w:rsid w:val="00E0269E"/>
    <w:rsid w:val="00E02773"/>
    <w:rsid w:val="00E02815"/>
    <w:rsid w:val="00E02970"/>
    <w:rsid w:val="00E02A1D"/>
    <w:rsid w:val="00E02A80"/>
    <w:rsid w:val="00E02A8A"/>
    <w:rsid w:val="00E02AA2"/>
    <w:rsid w:val="00E02BD1"/>
    <w:rsid w:val="00E02C02"/>
    <w:rsid w:val="00E02C09"/>
    <w:rsid w:val="00E02D4B"/>
    <w:rsid w:val="00E02DAC"/>
    <w:rsid w:val="00E02ECD"/>
    <w:rsid w:val="00E02F8E"/>
    <w:rsid w:val="00E03056"/>
    <w:rsid w:val="00E0309E"/>
    <w:rsid w:val="00E030AD"/>
    <w:rsid w:val="00E030ED"/>
    <w:rsid w:val="00E03112"/>
    <w:rsid w:val="00E0317F"/>
    <w:rsid w:val="00E031AE"/>
    <w:rsid w:val="00E032E1"/>
    <w:rsid w:val="00E034B9"/>
    <w:rsid w:val="00E0356F"/>
    <w:rsid w:val="00E03571"/>
    <w:rsid w:val="00E035AB"/>
    <w:rsid w:val="00E036D7"/>
    <w:rsid w:val="00E0371A"/>
    <w:rsid w:val="00E03803"/>
    <w:rsid w:val="00E038BC"/>
    <w:rsid w:val="00E03A3F"/>
    <w:rsid w:val="00E03B78"/>
    <w:rsid w:val="00E03B98"/>
    <w:rsid w:val="00E03BD8"/>
    <w:rsid w:val="00E03CF0"/>
    <w:rsid w:val="00E03D56"/>
    <w:rsid w:val="00E03DAE"/>
    <w:rsid w:val="00E03EC5"/>
    <w:rsid w:val="00E03F51"/>
    <w:rsid w:val="00E03F78"/>
    <w:rsid w:val="00E03FF1"/>
    <w:rsid w:val="00E04073"/>
    <w:rsid w:val="00E0411D"/>
    <w:rsid w:val="00E04153"/>
    <w:rsid w:val="00E041E7"/>
    <w:rsid w:val="00E0422B"/>
    <w:rsid w:val="00E043A2"/>
    <w:rsid w:val="00E043FA"/>
    <w:rsid w:val="00E044B6"/>
    <w:rsid w:val="00E044B9"/>
    <w:rsid w:val="00E04553"/>
    <w:rsid w:val="00E0463F"/>
    <w:rsid w:val="00E04667"/>
    <w:rsid w:val="00E046DF"/>
    <w:rsid w:val="00E047E2"/>
    <w:rsid w:val="00E04875"/>
    <w:rsid w:val="00E0489E"/>
    <w:rsid w:val="00E04ACA"/>
    <w:rsid w:val="00E04C39"/>
    <w:rsid w:val="00E04CD2"/>
    <w:rsid w:val="00E04DBC"/>
    <w:rsid w:val="00E04EB3"/>
    <w:rsid w:val="00E04EB4"/>
    <w:rsid w:val="00E04EF4"/>
    <w:rsid w:val="00E04F16"/>
    <w:rsid w:val="00E04F1E"/>
    <w:rsid w:val="00E04F56"/>
    <w:rsid w:val="00E04F84"/>
    <w:rsid w:val="00E04F9E"/>
    <w:rsid w:val="00E04FAC"/>
    <w:rsid w:val="00E04FD4"/>
    <w:rsid w:val="00E050A9"/>
    <w:rsid w:val="00E05243"/>
    <w:rsid w:val="00E0527C"/>
    <w:rsid w:val="00E0529F"/>
    <w:rsid w:val="00E052C5"/>
    <w:rsid w:val="00E053F7"/>
    <w:rsid w:val="00E05472"/>
    <w:rsid w:val="00E055B1"/>
    <w:rsid w:val="00E055F4"/>
    <w:rsid w:val="00E05632"/>
    <w:rsid w:val="00E056DC"/>
    <w:rsid w:val="00E05731"/>
    <w:rsid w:val="00E057D2"/>
    <w:rsid w:val="00E057ED"/>
    <w:rsid w:val="00E05948"/>
    <w:rsid w:val="00E05A4F"/>
    <w:rsid w:val="00E05A58"/>
    <w:rsid w:val="00E05A63"/>
    <w:rsid w:val="00E05B93"/>
    <w:rsid w:val="00E05BA7"/>
    <w:rsid w:val="00E05CBF"/>
    <w:rsid w:val="00E05D9A"/>
    <w:rsid w:val="00E05DE7"/>
    <w:rsid w:val="00E05E41"/>
    <w:rsid w:val="00E05EB6"/>
    <w:rsid w:val="00E05F74"/>
    <w:rsid w:val="00E0602C"/>
    <w:rsid w:val="00E063A6"/>
    <w:rsid w:val="00E063E0"/>
    <w:rsid w:val="00E063E6"/>
    <w:rsid w:val="00E06475"/>
    <w:rsid w:val="00E064DA"/>
    <w:rsid w:val="00E06581"/>
    <w:rsid w:val="00E06583"/>
    <w:rsid w:val="00E0681D"/>
    <w:rsid w:val="00E068EA"/>
    <w:rsid w:val="00E0693E"/>
    <w:rsid w:val="00E069D9"/>
    <w:rsid w:val="00E06A52"/>
    <w:rsid w:val="00E06A82"/>
    <w:rsid w:val="00E06B46"/>
    <w:rsid w:val="00E06B91"/>
    <w:rsid w:val="00E06BA4"/>
    <w:rsid w:val="00E06C12"/>
    <w:rsid w:val="00E06CCE"/>
    <w:rsid w:val="00E06CEE"/>
    <w:rsid w:val="00E06CFA"/>
    <w:rsid w:val="00E06FA9"/>
    <w:rsid w:val="00E070AA"/>
    <w:rsid w:val="00E07100"/>
    <w:rsid w:val="00E07114"/>
    <w:rsid w:val="00E072CC"/>
    <w:rsid w:val="00E0735D"/>
    <w:rsid w:val="00E073A3"/>
    <w:rsid w:val="00E0745B"/>
    <w:rsid w:val="00E074C6"/>
    <w:rsid w:val="00E075EA"/>
    <w:rsid w:val="00E07793"/>
    <w:rsid w:val="00E078F2"/>
    <w:rsid w:val="00E07A39"/>
    <w:rsid w:val="00E07BB3"/>
    <w:rsid w:val="00E07BD0"/>
    <w:rsid w:val="00E07C27"/>
    <w:rsid w:val="00E07C49"/>
    <w:rsid w:val="00E07CCB"/>
    <w:rsid w:val="00E07CF3"/>
    <w:rsid w:val="00E07DAC"/>
    <w:rsid w:val="00E07DAD"/>
    <w:rsid w:val="00E07E29"/>
    <w:rsid w:val="00E07EDF"/>
    <w:rsid w:val="00E07EED"/>
    <w:rsid w:val="00E07F0B"/>
    <w:rsid w:val="00E07FD4"/>
    <w:rsid w:val="00E07FE2"/>
    <w:rsid w:val="00E10060"/>
    <w:rsid w:val="00E1009A"/>
    <w:rsid w:val="00E100A2"/>
    <w:rsid w:val="00E100B0"/>
    <w:rsid w:val="00E10117"/>
    <w:rsid w:val="00E10225"/>
    <w:rsid w:val="00E1032B"/>
    <w:rsid w:val="00E1038C"/>
    <w:rsid w:val="00E103BC"/>
    <w:rsid w:val="00E10435"/>
    <w:rsid w:val="00E10557"/>
    <w:rsid w:val="00E105C5"/>
    <w:rsid w:val="00E105CF"/>
    <w:rsid w:val="00E10637"/>
    <w:rsid w:val="00E10690"/>
    <w:rsid w:val="00E1073D"/>
    <w:rsid w:val="00E107D6"/>
    <w:rsid w:val="00E107D7"/>
    <w:rsid w:val="00E107DD"/>
    <w:rsid w:val="00E10910"/>
    <w:rsid w:val="00E10C2A"/>
    <w:rsid w:val="00E10CBF"/>
    <w:rsid w:val="00E10CFE"/>
    <w:rsid w:val="00E10D1C"/>
    <w:rsid w:val="00E10D32"/>
    <w:rsid w:val="00E10D73"/>
    <w:rsid w:val="00E10E22"/>
    <w:rsid w:val="00E10E3A"/>
    <w:rsid w:val="00E10E4E"/>
    <w:rsid w:val="00E10F31"/>
    <w:rsid w:val="00E110C7"/>
    <w:rsid w:val="00E111B2"/>
    <w:rsid w:val="00E11380"/>
    <w:rsid w:val="00E113E5"/>
    <w:rsid w:val="00E11447"/>
    <w:rsid w:val="00E114D6"/>
    <w:rsid w:val="00E1151B"/>
    <w:rsid w:val="00E11546"/>
    <w:rsid w:val="00E11586"/>
    <w:rsid w:val="00E11701"/>
    <w:rsid w:val="00E11732"/>
    <w:rsid w:val="00E11821"/>
    <w:rsid w:val="00E11863"/>
    <w:rsid w:val="00E118D7"/>
    <w:rsid w:val="00E1196D"/>
    <w:rsid w:val="00E11A0B"/>
    <w:rsid w:val="00E11CA0"/>
    <w:rsid w:val="00E11E36"/>
    <w:rsid w:val="00E11E3B"/>
    <w:rsid w:val="00E11F32"/>
    <w:rsid w:val="00E11F35"/>
    <w:rsid w:val="00E120CF"/>
    <w:rsid w:val="00E120FB"/>
    <w:rsid w:val="00E122B3"/>
    <w:rsid w:val="00E12333"/>
    <w:rsid w:val="00E1234D"/>
    <w:rsid w:val="00E124E0"/>
    <w:rsid w:val="00E1254C"/>
    <w:rsid w:val="00E1257F"/>
    <w:rsid w:val="00E1282A"/>
    <w:rsid w:val="00E12971"/>
    <w:rsid w:val="00E129AB"/>
    <w:rsid w:val="00E12AF7"/>
    <w:rsid w:val="00E12B9D"/>
    <w:rsid w:val="00E12E66"/>
    <w:rsid w:val="00E12EF9"/>
    <w:rsid w:val="00E12F9C"/>
    <w:rsid w:val="00E12FC2"/>
    <w:rsid w:val="00E13020"/>
    <w:rsid w:val="00E13090"/>
    <w:rsid w:val="00E1312B"/>
    <w:rsid w:val="00E13137"/>
    <w:rsid w:val="00E131CD"/>
    <w:rsid w:val="00E1343B"/>
    <w:rsid w:val="00E135F2"/>
    <w:rsid w:val="00E1362A"/>
    <w:rsid w:val="00E1363A"/>
    <w:rsid w:val="00E13724"/>
    <w:rsid w:val="00E1373C"/>
    <w:rsid w:val="00E13889"/>
    <w:rsid w:val="00E138E8"/>
    <w:rsid w:val="00E13985"/>
    <w:rsid w:val="00E13A70"/>
    <w:rsid w:val="00E13BF5"/>
    <w:rsid w:val="00E13C80"/>
    <w:rsid w:val="00E13CB5"/>
    <w:rsid w:val="00E13D90"/>
    <w:rsid w:val="00E13DBD"/>
    <w:rsid w:val="00E13E26"/>
    <w:rsid w:val="00E14000"/>
    <w:rsid w:val="00E14047"/>
    <w:rsid w:val="00E140B3"/>
    <w:rsid w:val="00E140E4"/>
    <w:rsid w:val="00E140EC"/>
    <w:rsid w:val="00E140F8"/>
    <w:rsid w:val="00E1415E"/>
    <w:rsid w:val="00E14230"/>
    <w:rsid w:val="00E1425E"/>
    <w:rsid w:val="00E142AF"/>
    <w:rsid w:val="00E142F7"/>
    <w:rsid w:val="00E14384"/>
    <w:rsid w:val="00E144FF"/>
    <w:rsid w:val="00E1469E"/>
    <w:rsid w:val="00E146C5"/>
    <w:rsid w:val="00E14723"/>
    <w:rsid w:val="00E14748"/>
    <w:rsid w:val="00E14799"/>
    <w:rsid w:val="00E147FE"/>
    <w:rsid w:val="00E14839"/>
    <w:rsid w:val="00E14945"/>
    <w:rsid w:val="00E1496D"/>
    <w:rsid w:val="00E149CC"/>
    <w:rsid w:val="00E14A26"/>
    <w:rsid w:val="00E14A8D"/>
    <w:rsid w:val="00E14AA1"/>
    <w:rsid w:val="00E14BF3"/>
    <w:rsid w:val="00E14C1E"/>
    <w:rsid w:val="00E14C79"/>
    <w:rsid w:val="00E14CDC"/>
    <w:rsid w:val="00E14CEB"/>
    <w:rsid w:val="00E14D8A"/>
    <w:rsid w:val="00E14EB1"/>
    <w:rsid w:val="00E14EC6"/>
    <w:rsid w:val="00E14EF2"/>
    <w:rsid w:val="00E14FAE"/>
    <w:rsid w:val="00E150BD"/>
    <w:rsid w:val="00E1515C"/>
    <w:rsid w:val="00E151DD"/>
    <w:rsid w:val="00E152BC"/>
    <w:rsid w:val="00E15364"/>
    <w:rsid w:val="00E153B5"/>
    <w:rsid w:val="00E155BD"/>
    <w:rsid w:val="00E156B5"/>
    <w:rsid w:val="00E1573F"/>
    <w:rsid w:val="00E1575C"/>
    <w:rsid w:val="00E15852"/>
    <w:rsid w:val="00E1585C"/>
    <w:rsid w:val="00E1587B"/>
    <w:rsid w:val="00E158B9"/>
    <w:rsid w:val="00E15918"/>
    <w:rsid w:val="00E1599A"/>
    <w:rsid w:val="00E15B01"/>
    <w:rsid w:val="00E15C1C"/>
    <w:rsid w:val="00E15C20"/>
    <w:rsid w:val="00E15DEB"/>
    <w:rsid w:val="00E15F27"/>
    <w:rsid w:val="00E15FD8"/>
    <w:rsid w:val="00E15FE4"/>
    <w:rsid w:val="00E1607E"/>
    <w:rsid w:val="00E160DA"/>
    <w:rsid w:val="00E16167"/>
    <w:rsid w:val="00E161C4"/>
    <w:rsid w:val="00E161E2"/>
    <w:rsid w:val="00E16208"/>
    <w:rsid w:val="00E162B5"/>
    <w:rsid w:val="00E162E6"/>
    <w:rsid w:val="00E16316"/>
    <w:rsid w:val="00E16350"/>
    <w:rsid w:val="00E163D2"/>
    <w:rsid w:val="00E16410"/>
    <w:rsid w:val="00E1644A"/>
    <w:rsid w:val="00E16456"/>
    <w:rsid w:val="00E1648F"/>
    <w:rsid w:val="00E16552"/>
    <w:rsid w:val="00E16795"/>
    <w:rsid w:val="00E16809"/>
    <w:rsid w:val="00E16817"/>
    <w:rsid w:val="00E16A19"/>
    <w:rsid w:val="00E16A45"/>
    <w:rsid w:val="00E16AA5"/>
    <w:rsid w:val="00E16B84"/>
    <w:rsid w:val="00E16B95"/>
    <w:rsid w:val="00E16BE5"/>
    <w:rsid w:val="00E16CA9"/>
    <w:rsid w:val="00E16CEC"/>
    <w:rsid w:val="00E16D02"/>
    <w:rsid w:val="00E16D34"/>
    <w:rsid w:val="00E16DC5"/>
    <w:rsid w:val="00E16E14"/>
    <w:rsid w:val="00E16E17"/>
    <w:rsid w:val="00E16ECE"/>
    <w:rsid w:val="00E1715F"/>
    <w:rsid w:val="00E17374"/>
    <w:rsid w:val="00E1747A"/>
    <w:rsid w:val="00E174F5"/>
    <w:rsid w:val="00E17507"/>
    <w:rsid w:val="00E17555"/>
    <w:rsid w:val="00E176B1"/>
    <w:rsid w:val="00E176E8"/>
    <w:rsid w:val="00E17793"/>
    <w:rsid w:val="00E177A4"/>
    <w:rsid w:val="00E17837"/>
    <w:rsid w:val="00E178EB"/>
    <w:rsid w:val="00E17B37"/>
    <w:rsid w:val="00E17B52"/>
    <w:rsid w:val="00E17B99"/>
    <w:rsid w:val="00E17BC6"/>
    <w:rsid w:val="00E17BED"/>
    <w:rsid w:val="00E17C2C"/>
    <w:rsid w:val="00E17D86"/>
    <w:rsid w:val="00E17E4A"/>
    <w:rsid w:val="00E17EEC"/>
    <w:rsid w:val="00E17F20"/>
    <w:rsid w:val="00E17FAA"/>
    <w:rsid w:val="00E2000B"/>
    <w:rsid w:val="00E2003E"/>
    <w:rsid w:val="00E2055B"/>
    <w:rsid w:val="00E205CE"/>
    <w:rsid w:val="00E2064A"/>
    <w:rsid w:val="00E2073C"/>
    <w:rsid w:val="00E20758"/>
    <w:rsid w:val="00E20810"/>
    <w:rsid w:val="00E208BB"/>
    <w:rsid w:val="00E20B65"/>
    <w:rsid w:val="00E20BA6"/>
    <w:rsid w:val="00E20C60"/>
    <w:rsid w:val="00E20DFE"/>
    <w:rsid w:val="00E20ECD"/>
    <w:rsid w:val="00E20F14"/>
    <w:rsid w:val="00E20F24"/>
    <w:rsid w:val="00E20F48"/>
    <w:rsid w:val="00E21082"/>
    <w:rsid w:val="00E210B9"/>
    <w:rsid w:val="00E21120"/>
    <w:rsid w:val="00E2118F"/>
    <w:rsid w:val="00E213AD"/>
    <w:rsid w:val="00E213E1"/>
    <w:rsid w:val="00E213F8"/>
    <w:rsid w:val="00E21407"/>
    <w:rsid w:val="00E21431"/>
    <w:rsid w:val="00E214A4"/>
    <w:rsid w:val="00E214AC"/>
    <w:rsid w:val="00E21659"/>
    <w:rsid w:val="00E216A6"/>
    <w:rsid w:val="00E21704"/>
    <w:rsid w:val="00E2177A"/>
    <w:rsid w:val="00E218B6"/>
    <w:rsid w:val="00E2190C"/>
    <w:rsid w:val="00E2191E"/>
    <w:rsid w:val="00E2193F"/>
    <w:rsid w:val="00E21ACC"/>
    <w:rsid w:val="00E21B84"/>
    <w:rsid w:val="00E21C0E"/>
    <w:rsid w:val="00E21C6A"/>
    <w:rsid w:val="00E21E07"/>
    <w:rsid w:val="00E21E37"/>
    <w:rsid w:val="00E21EC9"/>
    <w:rsid w:val="00E21F28"/>
    <w:rsid w:val="00E21F3D"/>
    <w:rsid w:val="00E21F86"/>
    <w:rsid w:val="00E2211D"/>
    <w:rsid w:val="00E2214C"/>
    <w:rsid w:val="00E221C8"/>
    <w:rsid w:val="00E22219"/>
    <w:rsid w:val="00E2224B"/>
    <w:rsid w:val="00E22251"/>
    <w:rsid w:val="00E22288"/>
    <w:rsid w:val="00E2240B"/>
    <w:rsid w:val="00E22439"/>
    <w:rsid w:val="00E22499"/>
    <w:rsid w:val="00E22532"/>
    <w:rsid w:val="00E225C5"/>
    <w:rsid w:val="00E22686"/>
    <w:rsid w:val="00E226A3"/>
    <w:rsid w:val="00E22709"/>
    <w:rsid w:val="00E2285E"/>
    <w:rsid w:val="00E228A9"/>
    <w:rsid w:val="00E228C4"/>
    <w:rsid w:val="00E22920"/>
    <w:rsid w:val="00E22973"/>
    <w:rsid w:val="00E22975"/>
    <w:rsid w:val="00E229F8"/>
    <w:rsid w:val="00E22A9C"/>
    <w:rsid w:val="00E22B87"/>
    <w:rsid w:val="00E22C5B"/>
    <w:rsid w:val="00E22D2F"/>
    <w:rsid w:val="00E22D61"/>
    <w:rsid w:val="00E22F36"/>
    <w:rsid w:val="00E22F5B"/>
    <w:rsid w:val="00E22F96"/>
    <w:rsid w:val="00E22FFD"/>
    <w:rsid w:val="00E23117"/>
    <w:rsid w:val="00E23149"/>
    <w:rsid w:val="00E2319D"/>
    <w:rsid w:val="00E231A7"/>
    <w:rsid w:val="00E23210"/>
    <w:rsid w:val="00E2344F"/>
    <w:rsid w:val="00E2349C"/>
    <w:rsid w:val="00E2351F"/>
    <w:rsid w:val="00E23586"/>
    <w:rsid w:val="00E235D8"/>
    <w:rsid w:val="00E2364D"/>
    <w:rsid w:val="00E23653"/>
    <w:rsid w:val="00E23690"/>
    <w:rsid w:val="00E236B0"/>
    <w:rsid w:val="00E2373A"/>
    <w:rsid w:val="00E23785"/>
    <w:rsid w:val="00E23857"/>
    <w:rsid w:val="00E23858"/>
    <w:rsid w:val="00E23894"/>
    <w:rsid w:val="00E23A06"/>
    <w:rsid w:val="00E23B00"/>
    <w:rsid w:val="00E23B1E"/>
    <w:rsid w:val="00E23BE6"/>
    <w:rsid w:val="00E23C52"/>
    <w:rsid w:val="00E23C58"/>
    <w:rsid w:val="00E23C6F"/>
    <w:rsid w:val="00E23D1D"/>
    <w:rsid w:val="00E23E12"/>
    <w:rsid w:val="00E23E3F"/>
    <w:rsid w:val="00E23F6B"/>
    <w:rsid w:val="00E23F9C"/>
    <w:rsid w:val="00E23FFA"/>
    <w:rsid w:val="00E2406B"/>
    <w:rsid w:val="00E24097"/>
    <w:rsid w:val="00E241B5"/>
    <w:rsid w:val="00E24321"/>
    <w:rsid w:val="00E245BE"/>
    <w:rsid w:val="00E24649"/>
    <w:rsid w:val="00E24695"/>
    <w:rsid w:val="00E247CD"/>
    <w:rsid w:val="00E247FD"/>
    <w:rsid w:val="00E24898"/>
    <w:rsid w:val="00E2490F"/>
    <w:rsid w:val="00E24A62"/>
    <w:rsid w:val="00E24AA4"/>
    <w:rsid w:val="00E24B8D"/>
    <w:rsid w:val="00E24BA9"/>
    <w:rsid w:val="00E24BE9"/>
    <w:rsid w:val="00E24C63"/>
    <w:rsid w:val="00E24C97"/>
    <w:rsid w:val="00E24CEB"/>
    <w:rsid w:val="00E24D4E"/>
    <w:rsid w:val="00E24D81"/>
    <w:rsid w:val="00E24E7B"/>
    <w:rsid w:val="00E2504A"/>
    <w:rsid w:val="00E25095"/>
    <w:rsid w:val="00E250A9"/>
    <w:rsid w:val="00E250B1"/>
    <w:rsid w:val="00E25190"/>
    <w:rsid w:val="00E2531C"/>
    <w:rsid w:val="00E2534B"/>
    <w:rsid w:val="00E2542E"/>
    <w:rsid w:val="00E25456"/>
    <w:rsid w:val="00E254AE"/>
    <w:rsid w:val="00E25632"/>
    <w:rsid w:val="00E25658"/>
    <w:rsid w:val="00E25686"/>
    <w:rsid w:val="00E25868"/>
    <w:rsid w:val="00E2593C"/>
    <w:rsid w:val="00E2595C"/>
    <w:rsid w:val="00E25AFA"/>
    <w:rsid w:val="00E25B6A"/>
    <w:rsid w:val="00E25BE4"/>
    <w:rsid w:val="00E25C3B"/>
    <w:rsid w:val="00E25C55"/>
    <w:rsid w:val="00E25D62"/>
    <w:rsid w:val="00E25DB6"/>
    <w:rsid w:val="00E25DDC"/>
    <w:rsid w:val="00E25EA5"/>
    <w:rsid w:val="00E25ECE"/>
    <w:rsid w:val="00E25F2D"/>
    <w:rsid w:val="00E25F7A"/>
    <w:rsid w:val="00E25FCC"/>
    <w:rsid w:val="00E2605F"/>
    <w:rsid w:val="00E2611F"/>
    <w:rsid w:val="00E26152"/>
    <w:rsid w:val="00E26163"/>
    <w:rsid w:val="00E26175"/>
    <w:rsid w:val="00E26176"/>
    <w:rsid w:val="00E26249"/>
    <w:rsid w:val="00E262F5"/>
    <w:rsid w:val="00E26346"/>
    <w:rsid w:val="00E26398"/>
    <w:rsid w:val="00E263B0"/>
    <w:rsid w:val="00E26466"/>
    <w:rsid w:val="00E2646F"/>
    <w:rsid w:val="00E264CF"/>
    <w:rsid w:val="00E264E2"/>
    <w:rsid w:val="00E26591"/>
    <w:rsid w:val="00E2662F"/>
    <w:rsid w:val="00E2664B"/>
    <w:rsid w:val="00E26651"/>
    <w:rsid w:val="00E26683"/>
    <w:rsid w:val="00E266AE"/>
    <w:rsid w:val="00E2681D"/>
    <w:rsid w:val="00E26882"/>
    <w:rsid w:val="00E26BAA"/>
    <w:rsid w:val="00E26BB2"/>
    <w:rsid w:val="00E26C44"/>
    <w:rsid w:val="00E26C93"/>
    <w:rsid w:val="00E26DAB"/>
    <w:rsid w:val="00E26EC7"/>
    <w:rsid w:val="00E26EC8"/>
    <w:rsid w:val="00E26EF7"/>
    <w:rsid w:val="00E26FDD"/>
    <w:rsid w:val="00E2704F"/>
    <w:rsid w:val="00E27115"/>
    <w:rsid w:val="00E2712A"/>
    <w:rsid w:val="00E27155"/>
    <w:rsid w:val="00E271ED"/>
    <w:rsid w:val="00E27215"/>
    <w:rsid w:val="00E2725C"/>
    <w:rsid w:val="00E27284"/>
    <w:rsid w:val="00E272EE"/>
    <w:rsid w:val="00E27318"/>
    <w:rsid w:val="00E27331"/>
    <w:rsid w:val="00E2749B"/>
    <w:rsid w:val="00E274E3"/>
    <w:rsid w:val="00E275F7"/>
    <w:rsid w:val="00E27645"/>
    <w:rsid w:val="00E276B6"/>
    <w:rsid w:val="00E27718"/>
    <w:rsid w:val="00E27753"/>
    <w:rsid w:val="00E278BF"/>
    <w:rsid w:val="00E27918"/>
    <w:rsid w:val="00E27932"/>
    <w:rsid w:val="00E27936"/>
    <w:rsid w:val="00E27989"/>
    <w:rsid w:val="00E279A6"/>
    <w:rsid w:val="00E279FA"/>
    <w:rsid w:val="00E27A62"/>
    <w:rsid w:val="00E28CC0"/>
    <w:rsid w:val="00E30091"/>
    <w:rsid w:val="00E30108"/>
    <w:rsid w:val="00E3011F"/>
    <w:rsid w:val="00E30140"/>
    <w:rsid w:val="00E30180"/>
    <w:rsid w:val="00E30258"/>
    <w:rsid w:val="00E3029E"/>
    <w:rsid w:val="00E30324"/>
    <w:rsid w:val="00E3053C"/>
    <w:rsid w:val="00E30578"/>
    <w:rsid w:val="00E305CB"/>
    <w:rsid w:val="00E3091E"/>
    <w:rsid w:val="00E3095B"/>
    <w:rsid w:val="00E30A91"/>
    <w:rsid w:val="00E30AE9"/>
    <w:rsid w:val="00E30C31"/>
    <w:rsid w:val="00E30D3B"/>
    <w:rsid w:val="00E30E46"/>
    <w:rsid w:val="00E31002"/>
    <w:rsid w:val="00E3136F"/>
    <w:rsid w:val="00E3142D"/>
    <w:rsid w:val="00E314A5"/>
    <w:rsid w:val="00E315D5"/>
    <w:rsid w:val="00E315DE"/>
    <w:rsid w:val="00E31707"/>
    <w:rsid w:val="00E31860"/>
    <w:rsid w:val="00E319C8"/>
    <w:rsid w:val="00E319E4"/>
    <w:rsid w:val="00E31AA1"/>
    <w:rsid w:val="00E31AA9"/>
    <w:rsid w:val="00E31B31"/>
    <w:rsid w:val="00E31B9D"/>
    <w:rsid w:val="00E31C33"/>
    <w:rsid w:val="00E31CEF"/>
    <w:rsid w:val="00E31EC1"/>
    <w:rsid w:val="00E31F76"/>
    <w:rsid w:val="00E31F8A"/>
    <w:rsid w:val="00E32143"/>
    <w:rsid w:val="00E32154"/>
    <w:rsid w:val="00E3219F"/>
    <w:rsid w:val="00E3221A"/>
    <w:rsid w:val="00E3233A"/>
    <w:rsid w:val="00E32377"/>
    <w:rsid w:val="00E325EB"/>
    <w:rsid w:val="00E32705"/>
    <w:rsid w:val="00E3274D"/>
    <w:rsid w:val="00E327A8"/>
    <w:rsid w:val="00E32884"/>
    <w:rsid w:val="00E32A6C"/>
    <w:rsid w:val="00E32B55"/>
    <w:rsid w:val="00E32B67"/>
    <w:rsid w:val="00E32B6F"/>
    <w:rsid w:val="00E32BE4"/>
    <w:rsid w:val="00E32C06"/>
    <w:rsid w:val="00E32C2C"/>
    <w:rsid w:val="00E32C91"/>
    <w:rsid w:val="00E32D8C"/>
    <w:rsid w:val="00E32EA2"/>
    <w:rsid w:val="00E32F93"/>
    <w:rsid w:val="00E32FBB"/>
    <w:rsid w:val="00E3303C"/>
    <w:rsid w:val="00E33065"/>
    <w:rsid w:val="00E3311B"/>
    <w:rsid w:val="00E331B1"/>
    <w:rsid w:val="00E332BB"/>
    <w:rsid w:val="00E332CE"/>
    <w:rsid w:val="00E3344C"/>
    <w:rsid w:val="00E334E7"/>
    <w:rsid w:val="00E33630"/>
    <w:rsid w:val="00E33799"/>
    <w:rsid w:val="00E337C9"/>
    <w:rsid w:val="00E33852"/>
    <w:rsid w:val="00E3386C"/>
    <w:rsid w:val="00E33A42"/>
    <w:rsid w:val="00E33B22"/>
    <w:rsid w:val="00E33B47"/>
    <w:rsid w:val="00E33D38"/>
    <w:rsid w:val="00E33D44"/>
    <w:rsid w:val="00E33F99"/>
    <w:rsid w:val="00E33FC7"/>
    <w:rsid w:val="00E33FED"/>
    <w:rsid w:val="00E34129"/>
    <w:rsid w:val="00E34161"/>
    <w:rsid w:val="00E341B3"/>
    <w:rsid w:val="00E3422E"/>
    <w:rsid w:val="00E34252"/>
    <w:rsid w:val="00E34280"/>
    <w:rsid w:val="00E342A8"/>
    <w:rsid w:val="00E34308"/>
    <w:rsid w:val="00E3449E"/>
    <w:rsid w:val="00E344A1"/>
    <w:rsid w:val="00E3457E"/>
    <w:rsid w:val="00E345B0"/>
    <w:rsid w:val="00E345B1"/>
    <w:rsid w:val="00E3460A"/>
    <w:rsid w:val="00E34690"/>
    <w:rsid w:val="00E3488B"/>
    <w:rsid w:val="00E34973"/>
    <w:rsid w:val="00E349C6"/>
    <w:rsid w:val="00E34B12"/>
    <w:rsid w:val="00E34B22"/>
    <w:rsid w:val="00E34B23"/>
    <w:rsid w:val="00E34B7F"/>
    <w:rsid w:val="00E34BF4"/>
    <w:rsid w:val="00E34CF6"/>
    <w:rsid w:val="00E34FEF"/>
    <w:rsid w:val="00E35042"/>
    <w:rsid w:val="00E350F3"/>
    <w:rsid w:val="00E35125"/>
    <w:rsid w:val="00E352B1"/>
    <w:rsid w:val="00E352C0"/>
    <w:rsid w:val="00E352CD"/>
    <w:rsid w:val="00E352E9"/>
    <w:rsid w:val="00E353CA"/>
    <w:rsid w:val="00E354CB"/>
    <w:rsid w:val="00E35511"/>
    <w:rsid w:val="00E35539"/>
    <w:rsid w:val="00E35547"/>
    <w:rsid w:val="00E355D2"/>
    <w:rsid w:val="00E35653"/>
    <w:rsid w:val="00E356C3"/>
    <w:rsid w:val="00E356DE"/>
    <w:rsid w:val="00E356E8"/>
    <w:rsid w:val="00E35704"/>
    <w:rsid w:val="00E357F9"/>
    <w:rsid w:val="00E35A9E"/>
    <w:rsid w:val="00E35C47"/>
    <w:rsid w:val="00E35C99"/>
    <w:rsid w:val="00E35CD5"/>
    <w:rsid w:val="00E35D33"/>
    <w:rsid w:val="00E35D4B"/>
    <w:rsid w:val="00E35E7C"/>
    <w:rsid w:val="00E35E84"/>
    <w:rsid w:val="00E35F3A"/>
    <w:rsid w:val="00E35F6C"/>
    <w:rsid w:val="00E360C5"/>
    <w:rsid w:val="00E36116"/>
    <w:rsid w:val="00E36230"/>
    <w:rsid w:val="00E363BB"/>
    <w:rsid w:val="00E364A5"/>
    <w:rsid w:val="00E364F6"/>
    <w:rsid w:val="00E3677C"/>
    <w:rsid w:val="00E36826"/>
    <w:rsid w:val="00E3686B"/>
    <w:rsid w:val="00E368E7"/>
    <w:rsid w:val="00E369BF"/>
    <w:rsid w:val="00E36A97"/>
    <w:rsid w:val="00E36A9B"/>
    <w:rsid w:val="00E36B22"/>
    <w:rsid w:val="00E36C4E"/>
    <w:rsid w:val="00E36DB5"/>
    <w:rsid w:val="00E36F09"/>
    <w:rsid w:val="00E36FDB"/>
    <w:rsid w:val="00E3703B"/>
    <w:rsid w:val="00E37048"/>
    <w:rsid w:val="00E370C8"/>
    <w:rsid w:val="00E3715D"/>
    <w:rsid w:val="00E371F8"/>
    <w:rsid w:val="00E3722E"/>
    <w:rsid w:val="00E37299"/>
    <w:rsid w:val="00E372AC"/>
    <w:rsid w:val="00E372B1"/>
    <w:rsid w:val="00E372C1"/>
    <w:rsid w:val="00E372CA"/>
    <w:rsid w:val="00E372F3"/>
    <w:rsid w:val="00E3730B"/>
    <w:rsid w:val="00E37337"/>
    <w:rsid w:val="00E373BE"/>
    <w:rsid w:val="00E3761D"/>
    <w:rsid w:val="00E376A0"/>
    <w:rsid w:val="00E377D3"/>
    <w:rsid w:val="00E377FF"/>
    <w:rsid w:val="00E37898"/>
    <w:rsid w:val="00E3789E"/>
    <w:rsid w:val="00E37A16"/>
    <w:rsid w:val="00E37A3A"/>
    <w:rsid w:val="00E37A6A"/>
    <w:rsid w:val="00E37B12"/>
    <w:rsid w:val="00E37C65"/>
    <w:rsid w:val="00E37CE3"/>
    <w:rsid w:val="00E37F0D"/>
    <w:rsid w:val="00E37F19"/>
    <w:rsid w:val="00E37F64"/>
    <w:rsid w:val="00E37F79"/>
    <w:rsid w:val="00E37FFA"/>
    <w:rsid w:val="00E4007B"/>
    <w:rsid w:val="00E400C0"/>
    <w:rsid w:val="00E40190"/>
    <w:rsid w:val="00E40292"/>
    <w:rsid w:val="00E4038C"/>
    <w:rsid w:val="00E4045C"/>
    <w:rsid w:val="00E40480"/>
    <w:rsid w:val="00E40502"/>
    <w:rsid w:val="00E40505"/>
    <w:rsid w:val="00E40557"/>
    <w:rsid w:val="00E405C3"/>
    <w:rsid w:val="00E40705"/>
    <w:rsid w:val="00E40783"/>
    <w:rsid w:val="00E40790"/>
    <w:rsid w:val="00E40802"/>
    <w:rsid w:val="00E40946"/>
    <w:rsid w:val="00E409D1"/>
    <w:rsid w:val="00E40A3A"/>
    <w:rsid w:val="00E40ABD"/>
    <w:rsid w:val="00E40B36"/>
    <w:rsid w:val="00E40B90"/>
    <w:rsid w:val="00E40C2A"/>
    <w:rsid w:val="00E40C8C"/>
    <w:rsid w:val="00E40ED1"/>
    <w:rsid w:val="00E40F98"/>
    <w:rsid w:val="00E4105F"/>
    <w:rsid w:val="00E41062"/>
    <w:rsid w:val="00E41064"/>
    <w:rsid w:val="00E4106C"/>
    <w:rsid w:val="00E411C9"/>
    <w:rsid w:val="00E411DC"/>
    <w:rsid w:val="00E41225"/>
    <w:rsid w:val="00E41239"/>
    <w:rsid w:val="00E412FB"/>
    <w:rsid w:val="00E412FF"/>
    <w:rsid w:val="00E4130B"/>
    <w:rsid w:val="00E4132F"/>
    <w:rsid w:val="00E41356"/>
    <w:rsid w:val="00E413E7"/>
    <w:rsid w:val="00E41433"/>
    <w:rsid w:val="00E41549"/>
    <w:rsid w:val="00E41622"/>
    <w:rsid w:val="00E4163F"/>
    <w:rsid w:val="00E41794"/>
    <w:rsid w:val="00E4190F"/>
    <w:rsid w:val="00E4195A"/>
    <w:rsid w:val="00E4197A"/>
    <w:rsid w:val="00E41A0D"/>
    <w:rsid w:val="00E41B98"/>
    <w:rsid w:val="00E41BDD"/>
    <w:rsid w:val="00E41C86"/>
    <w:rsid w:val="00E41D6C"/>
    <w:rsid w:val="00E41E94"/>
    <w:rsid w:val="00E41F3F"/>
    <w:rsid w:val="00E420FD"/>
    <w:rsid w:val="00E42153"/>
    <w:rsid w:val="00E42192"/>
    <w:rsid w:val="00E421DF"/>
    <w:rsid w:val="00E42223"/>
    <w:rsid w:val="00E422FD"/>
    <w:rsid w:val="00E42335"/>
    <w:rsid w:val="00E423EC"/>
    <w:rsid w:val="00E42476"/>
    <w:rsid w:val="00E42506"/>
    <w:rsid w:val="00E425B6"/>
    <w:rsid w:val="00E42662"/>
    <w:rsid w:val="00E42685"/>
    <w:rsid w:val="00E4273B"/>
    <w:rsid w:val="00E42743"/>
    <w:rsid w:val="00E427B2"/>
    <w:rsid w:val="00E427D8"/>
    <w:rsid w:val="00E42808"/>
    <w:rsid w:val="00E42882"/>
    <w:rsid w:val="00E428AB"/>
    <w:rsid w:val="00E42A66"/>
    <w:rsid w:val="00E42A6F"/>
    <w:rsid w:val="00E42B51"/>
    <w:rsid w:val="00E42B7D"/>
    <w:rsid w:val="00E42BAA"/>
    <w:rsid w:val="00E42CC2"/>
    <w:rsid w:val="00E42D6B"/>
    <w:rsid w:val="00E42EE4"/>
    <w:rsid w:val="00E42FB3"/>
    <w:rsid w:val="00E42FC3"/>
    <w:rsid w:val="00E42FD7"/>
    <w:rsid w:val="00E4304A"/>
    <w:rsid w:val="00E43106"/>
    <w:rsid w:val="00E43110"/>
    <w:rsid w:val="00E43127"/>
    <w:rsid w:val="00E43163"/>
    <w:rsid w:val="00E43248"/>
    <w:rsid w:val="00E43289"/>
    <w:rsid w:val="00E4335A"/>
    <w:rsid w:val="00E434A6"/>
    <w:rsid w:val="00E435CB"/>
    <w:rsid w:val="00E437BF"/>
    <w:rsid w:val="00E43875"/>
    <w:rsid w:val="00E43B31"/>
    <w:rsid w:val="00E43B35"/>
    <w:rsid w:val="00E43B77"/>
    <w:rsid w:val="00E43BF3"/>
    <w:rsid w:val="00E43C33"/>
    <w:rsid w:val="00E43C71"/>
    <w:rsid w:val="00E43F95"/>
    <w:rsid w:val="00E4400A"/>
    <w:rsid w:val="00E44054"/>
    <w:rsid w:val="00E44077"/>
    <w:rsid w:val="00E440EE"/>
    <w:rsid w:val="00E4411A"/>
    <w:rsid w:val="00E4414C"/>
    <w:rsid w:val="00E441AB"/>
    <w:rsid w:val="00E44217"/>
    <w:rsid w:val="00E44340"/>
    <w:rsid w:val="00E444DB"/>
    <w:rsid w:val="00E4450A"/>
    <w:rsid w:val="00E44570"/>
    <w:rsid w:val="00E445FF"/>
    <w:rsid w:val="00E446AA"/>
    <w:rsid w:val="00E447A0"/>
    <w:rsid w:val="00E447B3"/>
    <w:rsid w:val="00E447EC"/>
    <w:rsid w:val="00E4483B"/>
    <w:rsid w:val="00E4484A"/>
    <w:rsid w:val="00E44865"/>
    <w:rsid w:val="00E4487B"/>
    <w:rsid w:val="00E44B2E"/>
    <w:rsid w:val="00E44B59"/>
    <w:rsid w:val="00E44DF1"/>
    <w:rsid w:val="00E44EAE"/>
    <w:rsid w:val="00E44EB5"/>
    <w:rsid w:val="00E44F20"/>
    <w:rsid w:val="00E450B7"/>
    <w:rsid w:val="00E45146"/>
    <w:rsid w:val="00E45147"/>
    <w:rsid w:val="00E451AD"/>
    <w:rsid w:val="00E4524E"/>
    <w:rsid w:val="00E4525D"/>
    <w:rsid w:val="00E452D0"/>
    <w:rsid w:val="00E45319"/>
    <w:rsid w:val="00E4537E"/>
    <w:rsid w:val="00E45416"/>
    <w:rsid w:val="00E4544F"/>
    <w:rsid w:val="00E454BB"/>
    <w:rsid w:val="00E45508"/>
    <w:rsid w:val="00E455A1"/>
    <w:rsid w:val="00E455D1"/>
    <w:rsid w:val="00E4563A"/>
    <w:rsid w:val="00E45655"/>
    <w:rsid w:val="00E45658"/>
    <w:rsid w:val="00E457B9"/>
    <w:rsid w:val="00E45800"/>
    <w:rsid w:val="00E458C9"/>
    <w:rsid w:val="00E4595B"/>
    <w:rsid w:val="00E45967"/>
    <w:rsid w:val="00E45A69"/>
    <w:rsid w:val="00E45BFE"/>
    <w:rsid w:val="00E45CA0"/>
    <w:rsid w:val="00E45CB5"/>
    <w:rsid w:val="00E45D66"/>
    <w:rsid w:val="00E45D6D"/>
    <w:rsid w:val="00E45EDF"/>
    <w:rsid w:val="00E45FB4"/>
    <w:rsid w:val="00E45FE1"/>
    <w:rsid w:val="00E45FFB"/>
    <w:rsid w:val="00E460B1"/>
    <w:rsid w:val="00E460C2"/>
    <w:rsid w:val="00E46138"/>
    <w:rsid w:val="00E461E0"/>
    <w:rsid w:val="00E461E5"/>
    <w:rsid w:val="00E46230"/>
    <w:rsid w:val="00E46299"/>
    <w:rsid w:val="00E46301"/>
    <w:rsid w:val="00E4630D"/>
    <w:rsid w:val="00E463CF"/>
    <w:rsid w:val="00E463E7"/>
    <w:rsid w:val="00E46420"/>
    <w:rsid w:val="00E4646A"/>
    <w:rsid w:val="00E464A2"/>
    <w:rsid w:val="00E464B1"/>
    <w:rsid w:val="00E464DC"/>
    <w:rsid w:val="00E4650B"/>
    <w:rsid w:val="00E4651B"/>
    <w:rsid w:val="00E466FD"/>
    <w:rsid w:val="00E4677F"/>
    <w:rsid w:val="00E467D8"/>
    <w:rsid w:val="00E467F2"/>
    <w:rsid w:val="00E468F5"/>
    <w:rsid w:val="00E46901"/>
    <w:rsid w:val="00E46902"/>
    <w:rsid w:val="00E46A29"/>
    <w:rsid w:val="00E46A6D"/>
    <w:rsid w:val="00E46A9B"/>
    <w:rsid w:val="00E46AD3"/>
    <w:rsid w:val="00E46D1E"/>
    <w:rsid w:val="00E46D88"/>
    <w:rsid w:val="00E46DF7"/>
    <w:rsid w:val="00E46E69"/>
    <w:rsid w:val="00E46E7C"/>
    <w:rsid w:val="00E46EA7"/>
    <w:rsid w:val="00E46EB4"/>
    <w:rsid w:val="00E46F16"/>
    <w:rsid w:val="00E47047"/>
    <w:rsid w:val="00E47162"/>
    <w:rsid w:val="00E47163"/>
    <w:rsid w:val="00E471A9"/>
    <w:rsid w:val="00E47203"/>
    <w:rsid w:val="00E4721C"/>
    <w:rsid w:val="00E4729A"/>
    <w:rsid w:val="00E472AE"/>
    <w:rsid w:val="00E47375"/>
    <w:rsid w:val="00E47388"/>
    <w:rsid w:val="00E47501"/>
    <w:rsid w:val="00E47504"/>
    <w:rsid w:val="00E4757C"/>
    <w:rsid w:val="00E4759E"/>
    <w:rsid w:val="00E475A6"/>
    <w:rsid w:val="00E4769D"/>
    <w:rsid w:val="00E476F9"/>
    <w:rsid w:val="00E47773"/>
    <w:rsid w:val="00E477AF"/>
    <w:rsid w:val="00E477C3"/>
    <w:rsid w:val="00E4791C"/>
    <w:rsid w:val="00E4797B"/>
    <w:rsid w:val="00E47ACF"/>
    <w:rsid w:val="00E47CBA"/>
    <w:rsid w:val="00E47CFB"/>
    <w:rsid w:val="00E47D8E"/>
    <w:rsid w:val="00E47D96"/>
    <w:rsid w:val="00E47DDF"/>
    <w:rsid w:val="00E47E83"/>
    <w:rsid w:val="00E47E9A"/>
    <w:rsid w:val="00E47F24"/>
    <w:rsid w:val="00E47F9F"/>
    <w:rsid w:val="00E47FC3"/>
    <w:rsid w:val="00E50014"/>
    <w:rsid w:val="00E50165"/>
    <w:rsid w:val="00E50178"/>
    <w:rsid w:val="00E501A8"/>
    <w:rsid w:val="00E5023E"/>
    <w:rsid w:val="00E502BC"/>
    <w:rsid w:val="00E502F9"/>
    <w:rsid w:val="00E50342"/>
    <w:rsid w:val="00E5036B"/>
    <w:rsid w:val="00E50441"/>
    <w:rsid w:val="00E504C1"/>
    <w:rsid w:val="00E504E9"/>
    <w:rsid w:val="00E50568"/>
    <w:rsid w:val="00E5060A"/>
    <w:rsid w:val="00E50713"/>
    <w:rsid w:val="00E5077B"/>
    <w:rsid w:val="00E50807"/>
    <w:rsid w:val="00E50861"/>
    <w:rsid w:val="00E508F5"/>
    <w:rsid w:val="00E50946"/>
    <w:rsid w:val="00E50ABD"/>
    <w:rsid w:val="00E50AEB"/>
    <w:rsid w:val="00E50BCB"/>
    <w:rsid w:val="00E50BDB"/>
    <w:rsid w:val="00E50D0F"/>
    <w:rsid w:val="00E50DD8"/>
    <w:rsid w:val="00E50F22"/>
    <w:rsid w:val="00E510AD"/>
    <w:rsid w:val="00E51167"/>
    <w:rsid w:val="00E51189"/>
    <w:rsid w:val="00E511AA"/>
    <w:rsid w:val="00E5122D"/>
    <w:rsid w:val="00E51297"/>
    <w:rsid w:val="00E512B0"/>
    <w:rsid w:val="00E5134A"/>
    <w:rsid w:val="00E513DF"/>
    <w:rsid w:val="00E5146B"/>
    <w:rsid w:val="00E5147D"/>
    <w:rsid w:val="00E51511"/>
    <w:rsid w:val="00E51531"/>
    <w:rsid w:val="00E5157B"/>
    <w:rsid w:val="00E515A5"/>
    <w:rsid w:val="00E51771"/>
    <w:rsid w:val="00E5179C"/>
    <w:rsid w:val="00E518DC"/>
    <w:rsid w:val="00E5192C"/>
    <w:rsid w:val="00E51B8E"/>
    <w:rsid w:val="00E51C09"/>
    <w:rsid w:val="00E51CDD"/>
    <w:rsid w:val="00E51DB6"/>
    <w:rsid w:val="00E51E1A"/>
    <w:rsid w:val="00E51E3B"/>
    <w:rsid w:val="00E51EB6"/>
    <w:rsid w:val="00E51F0D"/>
    <w:rsid w:val="00E5209F"/>
    <w:rsid w:val="00E5216E"/>
    <w:rsid w:val="00E52340"/>
    <w:rsid w:val="00E52397"/>
    <w:rsid w:val="00E52591"/>
    <w:rsid w:val="00E52599"/>
    <w:rsid w:val="00E52617"/>
    <w:rsid w:val="00E52618"/>
    <w:rsid w:val="00E526E6"/>
    <w:rsid w:val="00E526F7"/>
    <w:rsid w:val="00E5270B"/>
    <w:rsid w:val="00E5276B"/>
    <w:rsid w:val="00E52799"/>
    <w:rsid w:val="00E52824"/>
    <w:rsid w:val="00E5283B"/>
    <w:rsid w:val="00E52A7A"/>
    <w:rsid w:val="00E52ACA"/>
    <w:rsid w:val="00E52CA5"/>
    <w:rsid w:val="00E52CAB"/>
    <w:rsid w:val="00E52CE9"/>
    <w:rsid w:val="00E52DA7"/>
    <w:rsid w:val="00E52E08"/>
    <w:rsid w:val="00E52E0D"/>
    <w:rsid w:val="00E52E41"/>
    <w:rsid w:val="00E52E6F"/>
    <w:rsid w:val="00E52F73"/>
    <w:rsid w:val="00E52FBF"/>
    <w:rsid w:val="00E5314A"/>
    <w:rsid w:val="00E53191"/>
    <w:rsid w:val="00E53212"/>
    <w:rsid w:val="00E53522"/>
    <w:rsid w:val="00E53658"/>
    <w:rsid w:val="00E536D5"/>
    <w:rsid w:val="00E538FA"/>
    <w:rsid w:val="00E53977"/>
    <w:rsid w:val="00E53A4B"/>
    <w:rsid w:val="00E53AC3"/>
    <w:rsid w:val="00E53AE9"/>
    <w:rsid w:val="00E53B8D"/>
    <w:rsid w:val="00E53DA0"/>
    <w:rsid w:val="00E53E62"/>
    <w:rsid w:val="00E53F53"/>
    <w:rsid w:val="00E53FAA"/>
    <w:rsid w:val="00E54056"/>
    <w:rsid w:val="00E54099"/>
    <w:rsid w:val="00E54144"/>
    <w:rsid w:val="00E541A3"/>
    <w:rsid w:val="00E541C7"/>
    <w:rsid w:val="00E541F5"/>
    <w:rsid w:val="00E54353"/>
    <w:rsid w:val="00E543BC"/>
    <w:rsid w:val="00E54457"/>
    <w:rsid w:val="00E5459A"/>
    <w:rsid w:val="00E546DB"/>
    <w:rsid w:val="00E54876"/>
    <w:rsid w:val="00E5487C"/>
    <w:rsid w:val="00E5491C"/>
    <w:rsid w:val="00E54999"/>
    <w:rsid w:val="00E54A10"/>
    <w:rsid w:val="00E54A8A"/>
    <w:rsid w:val="00E54B0C"/>
    <w:rsid w:val="00E54BE2"/>
    <w:rsid w:val="00E54CBC"/>
    <w:rsid w:val="00E54CCB"/>
    <w:rsid w:val="00E54D50"/>
    <w:rsid w:val="00E54DC9"/>
    <w:rsid w:val="00E54E43"/>
    <w:rsid w:val="00E54F19"/>
    <w:rsid w:val="00E54F96"/>
    <w:rsid w:val="00E550E0"/>
    <w:rsid w:val="00E5535D"/>
    <w:rsid w:val="00E55619"/>
    <w:rsid w:val="00E5564B"/>
    <w:rsid w:val="00E55662"/>
    <w:rsid w:val="00E5574D"/>
    <w:rsid w:val="00E5575D"/>
    <w:rsid w:val="00E557B1"/>
    <w:rsid w:val="00E557D9"/>
    <w:rsid w:val="00E55838"/>
    <w:rsid w:val="00E55874"/>
    <w:rsid w:val="00E55878"/>
    <w:rsid w:val="00E558B1"/>
    <w:rsid w:val="00E558F8"/>
    <w:rsid w:val="00E5592A"/>
    <w:rsid w:val="00E55979"/>
    <w:rsid w:val="00E559AE"/>
    <w:rsid w:val="00E55A53"/>
    <w:rsid w:val="00E55BC9"/>
    <w:rsid w:val="00E55D38"/>
    <w:rsid w:val="00E55E3D"/>
    <w:rsid w:val="00E55F0A"/>
    <w:rsid w:val="00E55F75"/>
    <w:rsid w:val="00E55F92"/>
    <w:rsid w:val="00E560A6"/>
    <w:rsid w:val="00E560E4"/>
    <w:rsid w:val="00E56103"/>
    <w:rsid w:val="00E56226"/>
    <w:rsid w:val="00E562B0"/>
    <w:rsid w:val="00E5630F"/>
    <w:rsid w:val="00E5639C"/>
    <w:rsid w:val="00E563E1"/>
    <w:rsid w:val="00E565BD"/>
    <w:rsid w:val="00E5663E"/>
    <w:rsid w:val="00E566D3"/>
    <w:rsid w:val="00E566EB"/>
    <w:rsid w:val="00E5678A"/>
    <w:rsid w:val="00E568E6"/>
    <w:rsid w:val="00E5692F"/>
    <w:rsid w:val="00E5697C"/>
    <w:rsid w:val="00E56BB3"/>
    <w:rsid w:val="00E56BB8"/>
    <w:rsid w:val="00E56BE8"/>
    <w:rsid w:val="00E56BF4"/>
    <w:rsid w:val="00E56C0A"/>
    <w:rsid w:val="00E56C10"/>
    <w:rsid w:val="00E56C7E"/>
    <w:rsid w:val="00E56D40"/>
    <w:rsid w:val="00E56E91"/>
    <w:rsid w:val="00E56EB7"/>
    <w:rsid w:val="00E56EEB"/>
    <w:rsid w:val="00E5701C"/>
    <w:rsid w:val="00E571C1"/>
    <w:rsid w:val="00E573D1"/>
    <w:rsid w:val="00E574EA"/>
    <w:rsid w:val="00E57547"/>
    <w:rsid w:val="00E5756C"/>
    <w:rsid w:val="00E575C3"/>
    <w:rsid w:val="00E576D8"/>
    <w:rsid w:val="00E5778B"/>
    <w:rsid w:val="00E57818"/>
    <w:rsid w:val="00E578FC"/>
    <w:rsid w:val="00E57915"/>
    <w:rsid w:val="00E57A11"/>
    <w:rsid w:val="00E57B47"/>
    <w:rsid w:val="00E57B5C"/>
    <w:rsid w:val="00E57CD3"/>
    <w:rsid w:val="00E57CF1"/>
    <w:rsid w:val="00E57CFF"/>
    <w:rsid w:val="00E57D05"/>
    <w:rsid w:val="00E57FED"/>
    <w:rsid w:val="00E60111"/>
    <w:rsid w:val="00E6015A"/>
    <w:rsid w:val="00E6028F"/>
    <w:rsid w:val="00E602D8"/>
    <w:rsid w:val="00E60381"/>
    <w:rsid w:val="00E60394"/>
    <w:rsid w:val="00E603AF"/>
    <w:rsid w:val="00E60410"/>
    <w:rsid w:val="00E6048B"/>
    <w:rsid w:val="00E60543"/>
    <w:rsid w:val="00E605A2"/>
    <w:rsid w:val="00E60671"/>
    <w:rsid w:val="00E607AE"/>
    <w:rsid w:val="00E607D5"/>
    <w:rsid w:val="00E608D1"/>
    <w:rsid w:val="00E60914"/>
    <w:rsid w:val="00E60949"/>
    <w:rsid w:val="00E60991"/>
    <w:rsid w:val="00E609DC"/>
    <w:rsid w:val="00E60B6C"/>
    <w:rsid w:val="00E60BF5"/>
    <w:rsid w:val="00E60CCE"/>
    <w:rsid w:val="00E60DBE"/>
    <w:rsid w:val="00E60DF1"/>
    <w:rsid w:val="00E60DFA"/>
    <w:rsid w:val="00E60E52"/>
    <w:rsid w:val="00E60EA3"/>
    <w:rsid w:val="00E60F85"/>
    <w:rsid w:val="00E60FB1"/>
    <w:rsid w:val="00E6101B"/>
    <w:rsid w:val="00E61075"/>
    <w:rsid w:val="00E61095"/>
    <w:rsid w:val="00E610AF"/>
    <w:rsid w:val="00E611EB"/>
    <w:rsid w:val="00E6125C"/>
    <w:rsid w:val="00E61332"/>
    <w:rsid w:val="00E613A3"/>
    <w:rsid w:val="00E613CB"/>
    <w:rsid w:val="00E613F1"/>
    <w:rsid w:val="00E61743"/>
    <w:rsid w:val="00E61992"/>
    <w:rsid w:val="00E61A8E"/>
    <w:rsid w:val="00E61A9D"/>
    <w:rsid w:val="00E61CDD"/>
    <w:rsid w:val="00E61D1F"/>
    <w:rsid w:val="00E61D40"/>
    <w:rsid w:val="00E61ECC"/>
    <w:rsid w:val="00E61F25"/>
    <w:rsid w:val="00E61FF8"/>
    <w:rsid w:val="00E62081"/>
    <w:rsid w:val="00E6212F"/>
    <w:rsid w:val="00E621E0"/>
    <w:rsid w:val="00E62255"/>
    <w:rsid w:val="00E6225D"/>
    <w:rsid w:val="00E622CB"/>
    <w:rsid w:val="00E62481"/>
    <w:rsid w:val="00E625A9"/>
    <w:rsid w:val="00E626B3"/>
    <w:rsid w:val="00E626D8"/>
    <w:rsid w:val="00E62749"/>
    <w:rsid w:val="00E62B04"/>
    <w:rsid w:val="00E62C21"/>
    <w:rsid w:val="00E62D20"/>
    <w:rsid w:val="00E62D25"/>
    <w:rsid w:val="00E62D9E"/>
    <w:rsid w:val="00E62DB3"/>
    <w:rsid w:val="00E62EB2"/>
    <w:rsid w:val="00E62EFB"/>
    <w:rsid w:val="00E62F28"/>
    <w:rsid w:val="00E62FD7"/>
    <w:rsid w:val="00E63004"/>
    <w:rsid w:val="00E6313B"/>
    <w:rsid w:val="00E631CC"/>
    <w:rsid w:val="00E631EA"/>
    <w:rsid w:val="00E63297"/>
    <w:rsid w:val="00E6335C"/>
    <w:rsid w:val="00E633AB"/>
    <w:rsid w:val="00E633C5"/>
    <w:rsid w:val="00E633F4"/>
    <w:rsid w:val="00E63455"/>
    <w:rsid w:val="00E63459"/>
    <w:rsid w:val="00E634BE"/>
    <w:rsid w:val="00E634C8"/>
    <w:rsid w:val="00E63516"/>
    <w:rsid w:val="00E6358C"/>
    <w:rsid w:val="00E63592"/>
    <w:rsid w:val="00E635C5"/>
    <w:rsid w:val="00E63620"/>
    <w:rsid w:val="00E63756"/>
    <w:rsid w:val="00E6388A"/>
    <w:rsid w:val="00E63A81"/>
    <w:rsid w:val="00E63ACB"/>
    <w:rsid w:val="00E63B6D"/>
    <w:rsid w:val="00E63BEE"/>
    <w:rsid w:val="00E63CA1"/>
    <w:rsid w:val="00E63DF1"/>
    <w:rsid w:val="00E63ED9"/>
    <w:rsid w:val="00E63F30"/>
    <w:rsid w:val="00E63F9D"/>
    <w:rsid w:val="00E6407C"/>
    <w:rsid w:val="00E640E5"/>
    <w:rsid w:val="00E641C7"/>
    <w:rsid w:val="00E641C8"/>
    <w:rsid w:val="00E641E2"/>
    <w:rsid w:val="00E64258"/>
    <w:rsid w:val="00E6426F"/>
    <w:rsid w:val="00E64300"/>
    <w:rsid w:val="00E64372"/>
    <w:rsid w:val="00E643C2"/>
    <w:rsid w:val="00E6446E"/>
    <w:rsid w:val="00E644F8"/>
    <w:rsid w:val="00E64630"/>
    <w:rsid w:val="00E64659"/>
    <w:rsid w:val="00E6465F"/>
    <w:rsid w:val="00E64795"/>
    <w:rsid w:val="00E647DC"/>
    <w:rsid w:val="00E648A4"/>
    <w:rsid w:val="00E649FC"/>
    <w:rsid w:val="00E64A4C"/>
    <w:rsid w:val="00E64C4A"/>
    <w:rsid w:val="00E64C5C"/>
    <w:rsid w:val="00E64CBE"/>
    <w:rsid w:val="00E64DED"/>
    <w:rsid w:val="00E64E4E"/>
    <w:rsid w:val="00E64EB2"/>
    <w:rsid w:val="00E64ECF"/>
    <w:rsid w:val="00E64FEE"/>
    <w:rsid w:val="00E65199"/>
    <w:rsid w:val="00E6524B"/>
    <w:rsid w:val="00E65253"/>
    <w:rsid w:val="00E653BC"/>
    <w:rsid w:val="00E6543D"/>
    <w:rsid w:val="00E654EE"/>
    <w:rsid w:val="00E655F5"/>
    <w:rsid w:val="00E656D5"/>
    <w:rsid w:val="00E65712"/>
    <w:rsid w:val="00E6571C"/>
    <w:rsid w:val="00E65753"/>
    <w:rsid w:val="00E65937"/>
    <w:rsid w:val="00E65AF2"/>
    <w:rsid w:val="00E65B09"/>
    <w:rsid w:val="00E65BEF"/>
    <w:rsid w:val="00E65C93"/>
    <w:rsid w:val="00E65CA1"/>
    <w:rsid w:val="00E65CCC"/>
    <w:rsid w:val="00E65CF1"/>
    <w:rsid w:val="00E65D57"/>
    <w:rsid w:val="00E65DB3"/>
    <w:rsid w:val="00E65E14"/>
    <w:rsid w:val="00E65E6B"/>
    <w:rsid w:val="00E65F22"/>
    <w:rsid w:val="00E66030"/>
    <w:rsid w:val="00E6606C"/>
    <w:rsid w:val="00E66126"/>
    <w:rsid w:val="00E661A4"/>
    <w:rsid w:val="00E661B3"/>
    <w:rsid w:val="00E661ED"/>
    <w:rsid w:val="00E662F7"/>
    <w:rsid w:val="00E66346"/>
    <w:rsid w:val="00E664D7"/>
    <w:rsid w:val="00E6652A"/>
    <w:rsid w:val="00E6652B"/>
    <w:rsid w:val="00E66545"/>
    <w:rsid w:val="00E66546"/>
    <w:rsid w:val="00E6656A"/>
    <w:rsid w:val="00E66664"/>
    <w:rsid w:val="00E66670"/>
    <w:rsid w:val="00E66672"/>
    <w:rsid w:val="00E66723"/>
    <w:rsid w:val="00E667A8"/>
    <w:rsid w:val="00E667C1"/>
    <w:rsid w:val="00E66937"/>
    <w:rsid w:val="00E66974"/>
    <w:rsid w:val="00E66A24"/>
    <w:rsid w:val="00E66A66"/>
    <w:rsid w:val="00E66A7C"/>
    <w:rsid w:val="00E66BA0"/>
    <w:rsid w:val="00E66CEE"/>
    <w:rsid w:val="00E66D33"/>
    <w:rsid w:val="00E66E60"/>
    <w:rsid w:val="00E66EA6"/>
    <w:rsid w:val="00E66FB1"/>
    <w:rsid w:val="00E66FC2"/>
    <w:rsid w:val="00E66FDE"/>
    <w:rsid w:val="00E6700E"/>
    <w:rsid w:val="00E67264"/>
    <w:rsid w:val="00E67274"/>
    <w:rsid w:val="00E67359"/>
    <w:rsid w:val="00E67490"/>
    <w:rsid w:val="00E67520"/>
    <w:rsid w:val="00E67823"/>
    <w:rsid w:val="00E67852"/>
    <w:rsid w:val="00E6786B"/>
    <w:rsid w:val="00E678DB"/>
    <w:rsid w:val="00E67921"/>
    <w:rsid w:val="00E6797D"/>
    <w:rsid w:val="00E679A7"/>
    <w:rsid w:val="00E67A48"/>
    <w:rsid w:val="00E67A60"/>
    <w:rsid w:val="00E67B0A"/>
    <w:rsid w:val="00E67B1E"/>
    <w:rsid w:val="00E67DAF"/>
    <w:rsid w:val="00E67DDB"/>
    <w:rsid w:val="00E67E06"/>
    <w:rsid w:val="00E67E1C"/>
    <w:rsid w:val="00E67E94"/>
    <w:rsid w:val="00E67EB9"/>
    <w:rsid w:val="00E67ED5"/>
    <w:rsid w:val="00E67F67"/>
    <w:rsid w:val="00E67F9A"/>
    <w:rsid w:val="00E6A2A8"/>
    <w:rsid w:val="00E7001B"/>
    <w:rsid w:val="00E70091"/>
    <w:rsid w:val="00E70127"/>
    <w:rsid w:val="00E70212"/>
    <w:rsid w:val="00E70320"/>
    <w:rsid w:val="00E70385"/>
    <w:rsid w:val="00E70397"/>
    <w:rsid w:val="00E703A8"/>
    <w:rsid w:val="00E703AD"/>
    <w:rsid w:val="00E703BF"/>
    <w:rsid w:val="00E703D3"/>
    <w:rsid w:val="00E7041C"/>
    <w:rsid w:val="00E7042D"/>
    <w:rsid w:val="00E70442"/>
    <w:rsid w:val="00E7046C"/>
    <w:rsid w:val="00E705B2"/>
    <w:rsid w:val="00E70690"/>
    <w:rsid w:val="00E7070F"/>
    <w:rsid w:val="00E70798"/>
    <w:rsid w:val="00E708A2"/>
    <w:rsid w:val="00E709B4"/>
    <w:rsid w:val="00E709DB"/>
    <w:rsid w:val="00E70A02"/>
    <w:rsid w:val="00E70A51"/>
    <w:rsid w:val="00E70B27"/>
    <w:rsid w:val="00E70B5D"/>
    <w:rsid w:val="00E70B67"/>
    <w:rsid w:val="00E70BE0"/>
    <w:rsid w:val="00E70C84"/>
    <w:rsid w:val="00E70D8D"/>
    <w:rsid w:val="00E70E3B"/>
    <w:rsid w:val="00E70E3E"/>
    <w:rsid w:val="00E70F1A"/>
    <w:rsid w:val="00E70F83"/>
    <w:rsid w:val="00E70F8A"/>
    <w:rsid w:val="00E70FA1"/>
    <w:rsid w:val="00E70FA7"/>
    <w:rsid w:val="00E7107D"/>
    <w:rsid w:val="00E7109B"/>
    <w:rsid w:val="00E710F3"/>
    <w:rsid w:val="00E71188"/>
    <w:rsid w:val="00E71242"/>
    <w:rsid w:val="00E712B2"/>
    <w:rsid w:val="00E713B2"/>
    <w:rsid w:val="00E7149D"/>
    <w:rsid w:val="00E716B8"/>
    <w:rsid w:val="00E718DC"/>
    <w:rsid w:val="00E7199F"/>
    <w:rsid w:val="00E719C0"/>
    <w:rsid w:val="00E71AA9"/>
    <w:rsid w:val="00E71AB8"/>
    <w:rsid w:val="00E71B31"/>
    <w:rsid w:val="00E71B98"/>
    <w:rsid w:val="00E71BC8"/>
    <w:rsid w:val="00E71BCB"/>
    <w:rsid w:val="00E71BD4"/>
    <w:rsid w:val="00E71C01"/>
    <w:rsid w:val="00E71C54"/>
    <w:rsid w:val="00E71CC2"/>
    <w:rsid w:val="00E71DCA"/>
    <w:rsid w:val="00E71DF4"/>
    <w:rsid w:val="00E71FD3"/>
    <w:rsid w:val="00E720A5"/>
    <w:rsid w:val="00E721CC"/>
    <w:rsid w:val="00E7227A"/>
    <w:rsid w:val="00E72372"/>
    <w:rsid w:val="00E7240F"/>
    <w:rsid w:val="00E7243B"/>
    <w:rsid w:val="00E7247F"/>
    <w:rsid w:val="00E724EB"/>
    <w:rsid w:val="00E725D2"/>
    <w:rsid w:val="00E72645"/>
    <w:rsid w:val="00E72662"/>
    <w:rsid w:val="00E727C9"/>
    <w:rsid w:val="00E72886"/>
    <w:rsid w:val="00E72930"/>
    <w:rsid w:val="00E72978"/>
    <w:rsid w:val="00E72A74"/>
    <w:rsid w:val="00E72B25"/>
    <w:rsid w:val="00E72B87"/>
    <w:rsid w:val="00E72BA5"/>
    <w:rsid w:val="00E72BFF"/>
    <w:rsid w:val="00E72EB1"/>
    <w:rsid w:val="00E72EF7"/>
    <w:rsid w:val="00E72F49"/>
    <w:rsid w:val="00E72FBC"/>
    <w:rsid w:val="00E72FF5"/>
    <w:rsid w:val="00E730A1"/>
    <w:rsid w:val="00E73119"/>
    <w:rsid w:val="00E73158"/>
    <w:rsid w:val="00E73214"/>
    <w:rsid w:val="00E7321F"/>
    <w:rsid w:val="00E73310"/>
    <w:rsid w:val="00E7342B"/>
    <w:rsid w:val="00E734AF"/>
    <w:rsid w:val="00E7350C"/>
    <w:rsid w:val="00E73527"/>
    <w:rsid w:val="00E735E1"/>
    <w:rsid w:val="00E73673"/>
    <w:rsid w:val="00E73689"/>
    <w:rsid w:val="00E73781"/>
    <w:rsid w:val="00E73961"/>
    <w:rsid w:val="00E73995"/>
    <w:rsid w:val="00E73AB9"/>
    <w:rsid w:val="00E73AF5"/>
    <w:rsid w:val="00E73C0B"/>
    <w:rsid w:val="00E73C32"/>
    <w:rsid w:val="00E73D14"/>
    <w:rsid w:val="00E73E56"/>
    <w:rsid w:val="00E73F15"/>
    <w:rsid w:val="00E73F6A"/>
    <w:rsid w:val="00E74049"/>
    <w:rsid w:val="00E741FE"/>
    <w:rsid w:val="00E74320"/>
    <w:rsid w:val="00E7437B"/>
    <w:rsid w:val="00E74556"/>
    <w:rsid w:val="00E746F1"/>
    <w:rsid w:val="00E7488B"/>
    <w:rsid w:val="00E749B6"/>
    <w:rsid w:val="00E74B3D"/>
    <w:rsid w:val="00E74B62"/>
    <w:rsid w:val="00E74BCA"/>
    <w:rsid w:val="00E74D31"/>
    <w:rsid w:val="00E74DFB"/>
    <w:rsid w:val="00E74DFF"/>
    <w:rsid w:val="00E74E2C"/>
    <w:rsid w:val="00E74E6C"/>
    <w:rsid w:val="00E74E93"/>
    <w:rsid w:val="00E74EB8"/>
    <w:rsid w:val="00E74EEA"/>
    <w:rsid w:val="00E75044"/>
    <w:rsid w:val="00E75198"/>
    <w:rsid w:val="00E751B4"/>
    <w:rsid w:val="00E75277"/>
    <w:rsid w:val="00E75289"/>
    <w:rsid w:val="00E75347"/>
    <w:rsid w:val="00E75598"/>
    <w:rsid w:val="00E75677"/>
    <w:rsid w:val="00E75709"/>
    <w:rsid w:val="00E7574A"/>
    <w:rsid w:val="00E757C7"/>
    <w:rsid w:val="00E758B4"/>
    <w:rsid w:val="00E75A8F"/>
    <w:rsid w:val="00E75ACC"/>
    <w:rsid w:val="00E75BBD"/>
    <w:rsid w:val="00E75BEE"/>
    <w:rsid w:val="00E75E46"/>
    <w:rsid w:val="00E75F09"/>
    <w:rsid w:val="00E75F4C"/>
    <w:rsid w:val="00E76042"/>
    <w:rsid w:val="00E76101"/>
    <w:rsid w:val="00E76148"/>
    <w:rsid w:val="00E7615E"/>
    <w:rsid w:val="00E76181"/>
    <w:rsid w:val="00E76263"/>
    <w:rsid w:val="00E76386"/>
    <w:rsid w:val="00E76468"/>
    <w:rsid w:val="00E76497"/>
    <w:rsid w:val="00E76533"/>
    <w:rsid w:val="00E7664D"/>
    <w:rsid w:val="00E7672A"/>
    <w:rsid w:val="00E76835"/>
    <w:rsid w:val="00E768FE"/>
    <w:rsid w:val="00E769B0"/>
    <w:rsid w:val="00E76A76"/>
    <w:rsid w:val="00E76A81"/>
    <w:rsid w:val="00E76A84"/>
    <w:rsid w:val="00E76AC9"/>
    <w:rsid w:val="00E76B71"/>
    <w:rsid w:val="00E76BB8"/>
    <w:rsid w:val="00E76C1D"/>
    <w:rsid w:val="00E76C9B"/>
    <w:rsid w:val="00E76CC8"/>
    <w:rsid w:val="00E76CCD"/>
    <w:rsid w:val="00E76D90"/>
    <w:rsid w:val="00E76DA4"/>
    <w:rsid w:val="00E76E7A"/>
    <w:rsid w:val="00E76F2D"/>
    <w:rsid w:val="00E77008"/>
    <w:rsid w:val="00E771C0"/>
    <w:rsid w:val="00E772FD"/>
    <w:rsid w:val="00E77417"/>
    <w:rsid w:val="00E774AE"/>
    <w:rsid w:val="00E77656"/>
    <w:rsid w:val="00E77660"/>
    <w:rsid w:val="00E776A5"/>
    <w:rsid w:val="00E7772A"/>
    <w:rsid w:val="00E77743"/>
    <w:rsid w:val="00E77771"/>
    <w:rsid w:val="00E777C2"/>
    <w:rsid w:val="00E777C7"/>
    <w:rsid w:val="00E779E9"/>
    <w:rsid w:val="00E77AFA"/>
    <w:rsid w:val="00E77B5C"/>
    <w:rsid w:val="00E77BA8"/>
    <w:rsid w:val="00E77C72"/>
    <w:rsid w:val="00E77D48"/>
    <w:rsid w:val="00E77E38"/>
    <w:rsid w:val="00E77E4F"/>
    <w:rsid w:val="00E77E98"/>
    <w:rsid w:val="00E77EB7"/>
    <w:rsid w:val="00E77F2E"/>
    <w:rsid w:val="00E7F24A"/>
    <w:rsid w:val="00E8000B"/>
    <w:rsid w:val="00E8007B"/>
    <w:rsid w:val="00E8022A"/>
    <w:rsid w:val="00E80252"/>
    <w:rsid w:val="00E8026C"/>
    <w:rsid w:val="00E802DA"/>
    <w:rsid w:val="00E80302"/>
    <w:rsid w:val="00E80348"/>
    <w:rsid w:val="00E80350"/>
    <w:rsid w:val="00E80360"/>
    <w:rsid w:val="00E803B2"/>
    <w:rsid w:val="00E80429"/>
    <w:rsid w:val="00E80435"/>
    <w:rsid w:val="00E8049F"/>
    <w:rsid w:val="00E8050F"/>
    <w:rsid w:val="00E8054B"/>
    <w:rsid w:val="00E80566"/>
    <w:rsid w:val="00E8056E"/>
    <w:rsid w:val="00E805AA"/>
    <w:rsid w:val="00E806B4"/>
    <w:rsid w:val="00E80727"/>
    <w:rsid w:val="00E80765"/>
    <w:rsid w:val="00E807A2"/>
    <w:rsid w:val="00E80806"/>
    <w:rsid w:val="00E80823"/>
    <w:rsid w:val="00E80A4F"/>
    <w:rsid w:val="00E80B46"/>
    <w:rsid w:val="00E80B92"/>
    <w:rsid w:val="00E80C87"/>
    <w:rsid w:val="00E80CE8"/>
    <w:rsid w:val="00E80E07"/>
    <w:rsid w:val="00E80E69"/>
    <w:rsid w:val="00E810F3"/>
    <w:rsid w:val="00E8111E"/>
    <w:rsid w:val="00E81271"/>
    <w:rsid w:val="00E812ED"/>
    <w:rsid w:val="00E8132D"/>
    <w:rsid w:val="00E8135F"/>
    <w:rsid w:val="00E8141F"/>
    <w:rsid w:val="00E81488"/>
    <w:rsid w:val="00E814D4"/>
    <w:rsid w:val="00E8156C"/>
    <w:rsid w:val="00E815E5"/>
    <w:rsid w:val="00E81696"/>
    <w:rsid w:val="00E81898"/>
    <w:rsid w:val="00E8194B"/>
    <w:rsid w:val="00E819B7"/>
    <w:rsid w:val="00E81B23"/>
    <w:rsid w:val="00E81BCA"/>
    <w:rsid w:val="00E81C32"/>
    <w:rsid w:val="00E81C71"/>
    <w:rsid w:val="00E81F17"/>
    <w:rsid w:val="00E81F1A"/>
    <w:rsid w:val="00E82132"/>
    <w:rsid w:val="00E82349"/>
    <w:rsid w:val="00E82354"/>
    <w:rsid w:val="00E82398"/>
    <w:rsid w:val="00E8240D"/>
    <w:rsid w:val="00E825BE"/>
    <w:rsid w:val="00E82614"/>
    <w:rsid w:val="00E8268D"/>
    <w:rsid w:val="00E82779"/>
    <w:rsid w:val="00E82794"/>
    <w:rsid w:val="00E82811"/>
    <w:rsid w:val="00E82895"/>
    <w:rsid w:val="00E828A9"/>
    <w:rsid w:val="00E828EE"/>
    <w:rsid w:val="00E829B2"/>
    <w:rsid w:val="00E82A2E"/>
    <w:rsid w:val="00E82A32"/>
    <w:rsid w:val="00E82B82"/>
    <w:rsid w:val="00E82C83"/>
    <w:rsid w:val="00E82D51"/>
    <w:rsid w:val="00E82DA2"/>
    <w:rsid w:val="00E82E0C"/>
    <w:rsid w:val="00E82E26"/>
    <w:rsid w:val="00E82E56"/>
    <w:rsid w:val="00E82EF5"/>
    <w:rsid w:val="00E82F54"/>
    <w:rsid w:val="00E82F8F"/>
    <w:rsid w:val="00E83158"/>
    <w:rsid w:val="00E831D8"/>
    <w:rsid w:val="00E831EF"/>
    <w:rsid w:val="00E8327B"/>
    <w:rsid w:val="00E8329F"/>
    <w:rsid w:val="00E832D9"/>
    <w:rsid w:val="00E83376"/>
    <w:rsid w:val="00E8337D"/>
    <w:rsid w:val="00E834E1"/>
    <w:rsid w:val="00E834F6"/>
    <w:rsid w:val="00E8353C"/>
    <w:rsid w:val="00E835AE"/>
    <w:rsid w:val="00E835C6"/>
    <w:rsid w:val="00E8369E"/>
    <w:rsid w:val="00E836B0"/>
    <w:rsid w:val="00E83735"/>
    <w:rsid w:val="00E8378F"/>
    <w:rsid w:val="00E8385F"/>
    <w:rsid w:val="00E8387F"/>
    <w:rsid w:val="00E83950"/>
    <w:rsid w:val="00E83B66"/>
    <w:rsid w:val="00E83BF4"/>
    <w:rsid w:val="00E83C1C"/>
    <w:rsid w:val="00E83C4B"/>
    <w:rsid w:val="00E83C90"/>
    <w:rsid w:val="00E83CE7"/>
    <w:rsid w:val="00E83E00"/>
    <w:rsid w:val="00E83E49"/>
    <w:rsid w:val="00E83E77"/>
    <w:rsid w:val="00E83E7B"/>
    <w:rsid w:val="00E83E7D"/>
    <w:rsid w:val="00E83FB0"/>
    <w:rsid w:val="00E84045"/>
    <w:rsid w:val="00E840DF"/>
    <w:rsid w:val="00E8416B"/>
    <w:rsid w:val="00E841C2"/>
    <w:rsid w:val="00E841FB"/>
    <w:rsid w:val="00E84221"/>
    <w:rsid w:val="00E84241"/>
    <w:rsid w:val="00E8430C"/>
    <w:rsid w:val="00E84327"/>
    <w:rsid w:val="00E84409"/>
    <w:rsid w:val="00E84517"/>
    <w:rsid w:val="00E8452C"/>
    <w:rsid w:val="00E84596"/>
    <w:rsid w:val="00E8461E"/>
    <w:rsid w:val="00E84702"/>
    <w:rsid w:val="00E847C4"/>
    <w:rsid w:val="00E84915"/>
    <w:rsid w:val="00E8493C"/>
    <w:rsid w:val="00E84940"/>
    <w:rsid w:val="00E84952"/>
    <w:rsid w:val="00E84992"/>
    <w:rsid w:val="00E849CD"/>
    <w:rsid w:val="00E84A08"/>
    <w:rsid w:val="00E84A51"/>
    <w:rsid w:val="00E84AB0"/>
    <w:rsid w:val="00E84BB2"/>
    <w:rsid w:val="00E84BDC"/>
    <w:rsid w:val="00E84CCC"/>
    <w:rsid w:val="00E84DF1"/>
    <w:rsid w:val="00E84DF8"/>
    <w:rsid w:val="00E84E80"/>
    <w:rsid w:val="00E84E9F"/>
    <w:rsid w:val="00E84EF3"/>
    <w:rsid w:val="00E84F0E"/>
    <w:rsid w:val="00E84F1C"/>
    <w:rsid w:val="00E8501C"/>
    <w:rsid w:val="00E850A9"/>
    <w:rsid w:val="00E8514F"/>
    <w:rsid w:val="00E851A2"/>
    <w:rsid w:val="00E851E6"/>
    <w:rsid w:val="00E85237"/>
    <w:rsid w:val="00E852AF"/>
    <w:rsid w:val="00E8531C"/>
    <w:rsid w:val="00E853D1"/>
    <w:rsid w:val="00E854AB"/>
    <w:rsid w:val="00E85506"/>
    <w:rsid w:val="00E8553E"/>
    <w:rsid w:val="00E8569A"/>
    <w:rsid w:val="00E856C0"/>
    <w:rsid w:val="00E856ED"/>
    <w:rsid w:val="00E85756"/>
    <w:rsid w:val="00E857C3"/>
    <w:rsid w:val="00E857EC"/>
    <w:rsid w:val="00E85943"/>
    <w:rsid w:val="00E859A5"/>
    <w:rsid w:val="00E85A14"/>
    <w:rsid w:val="00E85AC7"/>
    <w:rsid w:val="00E85C44"/>
    <w:rsid w:val="00E85C7E"/>
    <w:rsid w:val="00E85D7D"/>
    <w:rsid w:val="00E85D9C"/>
    <w:rsid w:val="00E85EED"/>
    <w:rsid w:val="00E85F5E"/>
    <w:rsid w:val="00E860A4"/>
    <w:rsid w:val="00E860BC"/>
    <w:rsid w:val="00E8624E"/>
    <w:rsid w:val="00E8625A"/>
    <w:rsid w:val="00E86315"/>
    <w:rsid w:val="00E86385"/>
    <w:rsid w:val="00E863AB"/>
    <w:rsid w:val="00E8641E"/>
    <w:rsid w:val="00E864BB"/>
    <w:rsid w:val="00E8651C"/>
    <w:rsid w:val="00E86692"/>
    <w:rsid w:val="00E8679C"/>
    <w:rsid w:val="00E867A9"/>
    <w:rsid w:val="00E867D7"/>
    <w:rsid w:val="00E867E2"/>
    <w:rsid w:val="00E8685C"/>
    <w:rsid w:val="00E86934"/>
    <w:rsid w:val="00E86B14"/>
    <w:rsid w:val="00E86B1A"/>
    <w:rsid w:val="00E86B66"/>
    <w:rsid w:val="00E86BBF"/>
    <w:rsid w:val="00E86C60"/>
    <w:rsid w:val="00E86DCC"/>
    <w:rsid w:val="00E86E59"/>
    <w:rsid w:val="00E86E95"/>
    <w:rsid w:val="00E86F7D"/>
    <w:rsid w:val="00E86F81"/>
    <w:rsid w:val="00E86FD8"/>
    <w:rsid w:val="00E87042"/>
    <w:rsid w:val="00E870F2"/>
    <w:rsid w:val="00E87110"/>
    <w:rsid w:val="00E87235"/>
    <w:rsid w:val="00E87251"/>
    <w:rsid w:val="00E872F8"/>
    <w:rsid w:val="00E872F9"/>
    <w:rsid w:val="00E87379"/>
    <w:rsid w:val="00E873B2"/>
    <w:rsid w:val="00E874DC"/>
    <w:rsid w:val="00E874EB"/>
    <w:rsid w:val="00E87623"/>
    <w:rsid w:val="00E87850"/>
    <w:rsid w:val="00E8785D"/>
    <w:rsid w:val="00E878C2"/>
    <w:rsid w:val="00E878C7"/>
    <w:rsid w:val="00E878E9"/>
    <w:rsid w:val="00E878ED"/>
    <w:rsid w:val="00E878F6"/>
    <w:rsid w:val="00E8797D"/>
    <w:rsid w:val="00E879D3"/>
    <w:rsid w:val="00E87A5B"/>
    <w:rsid w:val="00E87A7C"/>
    <w:rsid w:val="00E87A8B"/>
    <w:rsid w:val="00E87AFF"/>
    <w:rsid w:val="00E87B2F"/>
    <w:rsid w:val="00E87BBD"/>
    <w:rsid w:val="00E87CF3"/>
    <w:rsid w:val="00E87E41"/>
    <w:rsid w:val="00E87E5D"/>
    <w:rsid w:val="00E87EE6"/>
    <w:rsid w:val="00E87EE7"/>
    <w:rsid w:val="00E90050"/>
    <w:rsid w:val="00E90055"/>
    <w:rsid w:val="00E9010A"/>
    <w:rsid w:val="00E90110"/>
    <w:rsid w:val="00E90193"/>
    <w:rsid w:val="00E901B1"/>
    <w:rsid w:val="00E90297"/>
    <w:rsid w:val="00E902B5"/>
    <w:rsid w:val="00E902C5"/>
    <w:rsid w:val="00E90310"/>
    <w:rsid w:val="00E903B8"/>
    <w:rsid w:val="00E9045D"/>
    <w:rsid w:val="00E904A3"/>
    <w:rsid w:val="00E904AD"/>
    <w:rsid w:val="00E9052D"/>
    <w:rsid w:val="00E905DB"/>
    <w:rsid w:val="00E9066D"/>
    <w:rsid w:val="00E90726"/>
    <w:rsid w:val="00E9075E"/>
    <w:rsid w:val="00E90773"/>
    <w:rsid w:val="00E907C0"/>
    <w:rsid w:val="00E907FC"/>
    <w:rsid w:val="00E90878"/>
    <w:rsid w:val="00E90894"/>
    <w:rsid w:val="00E90898"/>
    <w:rsid w:val="00E908D9"/>
    <w:rsid w:val="00E909C7"/>
    <w:rsid w:val="00E909D0"/>
    <w:rsid w:val="00E90A00"/>
    <w:rsid w:val="00E90A01"/>
    <w:rsid w:val="00E90C65"/>
    <w:rsid w:val="00E90CCC"/>
    <w:rsid w:val="00E90CED"/>
    <w:rsid w:val="00E9101C"/>
    <w:rsid w:val="00E91116"/>
    <w:rsid w:val="00E91127"/>
    <w:rsid w:val="00E9112B"/>
    <w:rsid w:val="00E91147"/>
    <w:rsid w:val="00E9122D"/>
    <w:rsid w:val="00E91331"/>
    <w:rsid w:val="00E91394"/>
    <w:rsid w:val="00E913C1"/>
    <w:rsid w:val="00E91440"/>
    <w:rsid w:val="00E915BC"/>
    <w:rsid w:val="00E915E0"/>
    <w:rsid w:val="00E91640"/>
    <w:rsid w:val="00E9169B"/>
    <w:rsid w:val="00E916C1"/>
    <w:rsid w:val="00E9183C"/>
    <w:rsid w:val="00E918C3"/>
    <w:rsid w:val="00E91A26"/>
    <w:rsid w:val="00E91B43"/>
    <w:rsid w:val="00E91CF9"/>
    <w:rsid w:val="00E91D72"/>
    <w:rsid w:val="00E91E4D"/>
    <w:rsid w:val="00E91EB6"/>
    <w:rsid w:val="00E92007"/>
    <w:rsid w:val="00E9202C"/>
    <w:rsid w:val="00E9208C"/>
    <w:rsid w:val="00E92329"/>
    <w:rsid w:val="00E923C4"/>
    <w:rsid w:val="00E9243F"/>
    <w:rsid w:val="00E924EE"/>
    <w:rsid w:val="00E9257D"/>
    <w:rsid w:val="00E92595"/>
    <w:rsid w:val="00E9261C"/>
    <w:rsid w:val="00E926DE"/>
    <w:rsid w:val="00E92735"/>
    <w:rsid w:val="00E9283E"/>
    <w:rsid w:val="00E92876"/>
    <w:rsid w:val="00E928A5"/>
    <w:rsid w:val="00E928EE"/>
    <w:rsid w:val="00E92922"/>
    <w:rsid w:val="00E92993"/>
    <w:rsid w:val="00E92998"/>
    <w:rsid w:val="00E929D6"/>
    <w:rsid w:val="00E92A0E"/>
    <w:rsid w:val="00E92B42"/>
    <w:rsid w:val="00E92B49"/>
    <w:rsid w:val="00E92BC4"/>
    <w:rsid w:val="00E92C99"/>
    <w:rsid w:val="00E92E2B"/>
    <w:rsid w:val="00E92F0E"/>
    <w:rsid w:val="00E92F7D"/>
    <w:rsid w:val="00E92F81"/>
    <w:rsid w:val="00E92F87"/>
    <w:rsid w:val="00E92FAC"/>
    <w:rsid w:val="00E9307F"/>
    <w:rsid w:val="00E93292"/>
    <w:rsid w:val="00E9335F"/>
    <w:rsid w:val="00E933B6"/>
    <w:rsid w:val="00E933E6"/>
    <w:rsid w:val="00E9353A"/>
    <w:rsid w:val="00E93591"/>
    <w:rsid w:val="00E935C2"/>
    <w:rsid w:val="00E935E6"/>
    <w:rsid w:val="00E936CE"/>
    <w:rsid w:val="00E937A4"/>
    <w:rsid w:val="00E937B2"/>
    <w:rsid w:val="00E93886"/>
    <w:rsid w:val="00E938A8"/>
    <w:rsid w:val="00E938E9"/>
    <w:rsid w:val="00E93904"/>
    <w:rsid w:val="00E939B4"/>
    <w:rsid w:val="00E93AC6"/>
    <w:rsid w:val="00E93B21"/>
    <w:rsid w:val="00E93B60"/>
    <w:rsid w:val="00E93C6C"/>
    <w:rsid w:val="00E93D03"/>
    <w:rsid w:val="00E93D0E"/>
    <w:rsid w:val="00E93D16"/>
    <w:rsid w:val="00E93D80"/>
    <w:rsid w:val="00E93F2D"/>
    <w:rsid w:val="00E93F8E"/>
    <w:rsid w:val="00E9401E"/>
    <w:rsid w:val="00E9408E"/>
    <w:rsid w:val="00E942A7"/>
    <w:rsid w:val="00E9431A"/>
    <w:rsid w:val="00E94323"/>
    <w:rsid w:val="00E94474"/>
    <w:rsid w:val="00E9448C"/>
    <w:rsid w:val="00E9449F"/>
    <w:rsid w:val="00E944D1"/>
    <w:rsid w:val="00E94668"/>
    <w:rsid w:val="00E947E6"/>
    <w:rsid w:val="00E94A40"/>
    <w:rsid w:val="00E94A88"/>
    <w:rsid w:val="00E94AAF"/>
    <w:rsid w:val="00E94AB5"/>
    <w:rsid w:val="00E94CA9"/>
    <w:rsid w:val="00E94D61"/>
    <w:rsid w:val="00E94E06"/>
    <w:rsid w:val="00E94FAE"/>
    <w:rsid w:val="00E95076"/>
    <w:rsid w:val="00E950A5"/>
    <w:rsid w:val="00E951B7"/>
    <w:rsid w:val="00E95201"/>
    <w:rsid w:val="00E9522D"/>
    <w:rsid w:val="00E95242"/>
    <w:rsid w:val="00E95256"/>
    <w:rsid w:val="00E95333"/>
    <w:rsid w:val="00E953AB"/>
    <w:rsid w:val="00E95489"/>
    <w:rsid w:val="00E954F1"/>
    <w:rsid w:val="00E956A8"/>
    <w:rsid w:val="00E956CA"/>
    <w:rsid w:val="00E956D5"/>
    <w:rsid w:val="00E956FA"/>
    <w:rsid w:val="00E957AF"/>
    <w:rsid w:val="00E957BB"/>
    <w:rsid w:val="00E95880"/>
    <w:rsid w:val="00E958B4"/>
    <w:rsid w:val="00E95943"/>
    <w:rsid w:val="00E9595F"/>
    <w:rsid w:val="00E959FE"/>
    <w:rsid w:val="00E95BA5"/>
    <w:rsid w:val="00E95CB3"/>
    <w:rsid w:val="00E95CFA"/>
    <w:rsid w:val="00E95D14"/>
    <w:rsid w:val="00E95D2D"/>
    <w:rsid w:val="00E95DF5"/>
    <w:rsid w:val="00E95EEA"/>
    <w:rsid w:val="00E962A8"/>
    <w:rsid w:val="00E962A9"/>
    <w:rsid w:val="00E9638E"/>
    <w:rsid w:val="00E96449"/>
    <w:rsid w:val="00E96484"/>
    <w:rsid w:val="00E9648A"/>
    <w:rsid w:val="00E9649F"/>
    <w:rsid w:val="00E9652B"/>
    <w:rsid w:val="00E965A2"/>
    <w:rsid w:val="00E9661D"/>
    <w:rsid w:val="00E967CF"/>
    <w:rsid w:val="00E96891"/>
    <w:rsid w:val="00E968AB"/>
    <w:rsid w:val="00E96956"/>
    <w:rsid w:val="00E969EA"/>
    <w:rsid w:val="00E96A38"/>
    <w:rsid w:val="00E96AB6"/>
    <w:rsid w:val="00E96AC8"/>
    <w:rsid w:val="00E96BA7"/>
    <w:rsid w:val="00E96C9A"/>
    <w:rsid w:val="00E96CD4"/>
    <w:rsid w:val="00E96D89"/>
    <w:rsid w:val="00E96D9F"/>
    <w:rsid w:val="00E96E25"/>
    <w:rsid w:val="00E96EEB"/>
    <w:rsid w:val="00E96FA6"/>
    <w:rsid w:val="00E96FDB"/>
    <w:rsid w:val="00E97074"/>
    <w:rsid w:val="00E971C7"/>
    <w:rsid w:val="00E97293"/>
    <w:rsid w:val="00E97368"/>
    <w:rsid w:val="00E9736B"/>
    <w:rsid w:val="00E97393"/>
    <w:rsid w:val="00E974FE"/>
    <w:rsid w:val="00E97571"/>
    <w:rsid w:val="00E975BC"/>
    <w:rsid w:val="00E9766F"/>
    <w:rsid w:val="00E976FE"/>
    <w:rsid w:val="00E97717"/>
    <w:rsid w:val="00E97741"/>
    <w:rsid w:val="00E977F7"/>
    <w:rsid w:val="00E97A2B"/>
    <w:rsid w:val="00E97B00"/>
    <w:rsid w:val="00E97B10"/>
    <w:rsid w:val="00E97D41"/>
    <w:rsid w:val="00E97D79"/>
    <w:rsid w:val="00E97D81"/>
    <w:rsid w:val="00E97DF9"/>
    <w:rsid w:val="00E97E4F"/>
    <w:rsid w:val="00E97F15"/>
    <w:rsid w:val="00E97F56"/>
    <w:rsid w:val="00EA00B3"/>
    <w:rsid w:val="00EA00D9"/>
    <w:rsid w:val="00EA00F1"/>
    <w:rsid w:val="00EA0131"/>
    <w:rsid w:val="00EA015D"/>
    <w:rsid w:val="00EA018C"/>
    <w:rsid w:val="00EA01B9"/>
    <w:rsid w:val="00EA01F6"/>
    <w:rsid w:val="00EA0218"/>
    <w:rsid w:val="00EA02D2"/>
    <w:rsid w:val="00EA02F1"/>
    <w:rsid w:val="00EA047E"/>
    <w:rsid w:val="00EA04AB"/>
    <w:rsid w:val="00EA05B4"/>
    <w:rsid w:val="00EA06B1"/>
    <w:rsid w:val="00EA0802"/>
    <w:rsid w:val="00EA08C5"/>
    <w:rsid w:val="00EA08D9"/>
    <w:rsid w:val="00EA0B19"/>
    <w:rsid w:val="00EA0C90"/>
    <w:rsid w:val="00EA0D1A"/>
    <w:rsid w:val="00EA0D36"/>
    <w:rsid w:val="00EA0D9E"/>
    <w:rsid w:val="00EA0DA6"/>
    <w:rsid w:val="00EA0F8B"/>
    <w:rsid w:val="00EA0FBC"/>
    <w:rsid w:val="00EA0FD7"/>
    <w:rsid w:val="00EA1140"/>
    <w:rsid w:val="00EA119A"/>
    <w:rsid w:val="00EA11B0"/>
    <w:rsid w:val="00EA11B6"/>
    <w:rsid w:val="00EA123D"/>
    <w:rsid w:val="00EA13C3"/>
    <w:rsid w:val="00EA1578"/>
    <w:rsid w:val="00EA159A"/>
    <w:rsid w:val="00EA175D"/>
    <w:rsid w:val="00EA1764"/>
    <w:rsid w:val="00EA1818"/>
    <w:rsid w:val="00EA182D"/>
    <w:rsid w:val="00EA183F"/>
    <w:rsid w:val="00EA1847"/>
    <w:rsid w:val="00EA18A2"/>
    <w:rsid w:val="00EA18D6"/>
    <w:rsid w:val="00EA191B"/>
    <w:rsid w:val="00EA1966"/>
    <w:rsid w:val="00EA1967"/>
    <w:rsid w:val="00EA1999"/>
    <w:rsid w:val="00EA1AD2"/>
    <w:rsid w:val="00EA1AD3"/>
    <w:rsid w:val="00EA1CE6"/>
    <w:rsid w:val="00EA1E01"/>
    <w:rsid w:val="00EA1E2C"/>
    <w:rsid w:val="00EA1F3B"/>
    <w:rsid w:val="00EA1FAE"/>
    <w:rsid w:val="00EA1FF7"/>
    <w:rsid w:val="00EA2006"/>
    <w:rsid w:val="00EA205E"/>
    <w:rsid w:val="00EA20B7"/>
    <w:rsid w:val="00EA213D"/>
    <w:rsid w:val="00EA2168"/>
    <w:rsid w:val="00EA21C6"/>
    <w:rsid w:val="00EA22BE"/>
    <w:rsid w:val="00EA22E8"/>
    <w:rsid w:val="00EA2329"/>
    <w:rsid w:val="00EA2349"/>
    <w:rsid w:val="00EA259C"/>
    <w:rsid w:val="00EA25CB"/>
    <w:rsid w:val="00EA25FF"/>
    <w:rsid w:val="00EA260A"/>
    <w:rsid w:val="00EA26DD"/>
    <w:rsid w:val="00EA26F7"/>
    <w:rsid w:val="00EA277D"/>
    <w:rsid w:val="00EA27C9"/>
    <w:rsid w:val="00EA27E9"/>
    <w:rsid w:val="00EA2860"/>
    <w:rsid w:val="00EA287D"/>
    <w:rsid w:val="00EA2981"/>
    <w:rsid w:val="00EA2B08"/>
    <w:rsid w:val="00EA2B57"/>
    <w:rsid w:val="00EA2BB0"/>
    <w:rsid w:val="00EA2C75"/>
    <w:rsid w:val="00EA2C77"/>
    <w:rsid w:val="00EA2D59"/>
    <w:rsid w:val="00EA2D76"/>
    <w:rsid w:val="00EA2E1D"/>
    <w:rsid w:val="00EA3011"/>
    <w:rsid w:val="00EA3091"/>
    <w:rsid w:val="00EA3199"/>
    <w:rsid w:val="00EA31A4"/>
    <w:rsid w:val="00EA31B6"/>
    <w:rsid w:val="00EA327F"/>
    <w:rsid w:val="00EA3280"/>
    <w:rsid w:val="00EA3315"/>
    <w:rsid w:val="00EA33D7"/>
    <w:rsid w:val="00EA3421"/>
    <w:rsid w:val="00EA3612"/>
    <w:rsid w:val="00EA3646"/>
    <w:rsid w:val="00EA364D"/>
    <w:rsid w:val="00EA371A"/>
    <w:rsid w:val="00EA372F"/>
    <w:rsid w:val="00EA3759"/>
    <w:rsid w:val="00EA37A4"/>
    <w:rsid w:val="00EA37D1"/>
    <w:rsid w:val="00EA37DA"/>
    <w:rsid w:val="00EA37DD"/>
    <w:rsid w:val="00EA3892"/>
    <w:rsid w:val="00EA38BB"/>
    <w:rsid w:val="00EA38F2"/>
    <w:rsid w:val="00EA3903"/>
    <w:rsid w:val="00EA3A02"/>
    <w:rsid w:val="00EA3A4B"/>
    <w:rsid w:val="00EA3A6C"/>
    <w:rsid w:val="00EA3BFB"/>
    <w:rsid w:val="00EA3BFF"/>
    <w:rsid w:val="00EA3D25"/>
    <w:rsid w:val="00EA3E2E"/>
    <w:rsid w:val="00EA3E8C"/>
    <w:rsid w:val="00EA409C"/>
    <w:rsid w:val="00EA41D0"/>
    <w:rsid w:val="00EA41E9"/>
    <w:rsid w:val="00EA42CC"/>
    <w:rsid w:val="00EA4372"/>
    <w:rsid w:val="00EA4396"/>
    <w:rsid w:val="00EA449B"/>
    <w:rsid w:val="00EA479D"/>
    <w:rsid w:val="00EA47CE"/>
    <w:rsid w:val="00EA497A"/>
    <w:rsid w:val="00EA4A63"/>
    <w:rsid w:val="00EA4A92"/>
    <w:rsid w:val="00EA4AA5"/>
    <w:rsid w:val="00EA4B6B"/>
    <w:rsid w:val="00EA4C55"/>
    <w:rsid w:val="00EA4CD1"/>
    <w:rsid w:val="00EA4E09"/>
    <w:rsid w:val="00EA4E43"/>
    <w:rsid w:val="00EA4E53"/>
    <w:rsid w:val="00EA4E5E"/>
    <w:rsid w:val="00EA4E63"/>
    <w:rsid w:val="00EA4F99"/>
    <w:rsid w:val="00EA4FA6"/>
    <w:rsid w:val="00EA5017"/>
    <w:rsid w:val="00EA5104"/>
    <w:rsid w:val="00EA5131"/>
    <w:rsid w:val="00EA5223"/>
    <w:rsid w:val="00EA524C"/>
    <w:rsid w:val="00EA5280"/>
    <w:rsid w:val="00EA52B0"/>
    <w:rsid w:val="00EA52BD"/>
    <w:rsid w:val="00EA53E8"/>
    <w:rsid w:val="00EA53FA"/>
    <w:rsid w:val="00EA548C"/>
    <w:rsid w:val="00EA54A9"/>
    <w:rsid w:val="00EA5532"/>
    <w:rsid w:val="00EA573E"/>
    <w:rsid w:val="00EA5769"/>
    <w:rsid w:val="00EA58A5"/>
    <w:rsid w:val="00EA58F6"/>
    <w:rsid w:val="00EA5C29"/>
    <w:rsid w:val="00EA5C4E"/>
    <w:rsid w:val="00EA5CDE"/>
    <w:rsid w:val="00EA5D1E"/>
    <w:rsid w:val="00EA5D76"/>
    <w:rsid w:val="00EA5F87"/>
    <w:rsid w:val="00EA602D"/>
    <w:rsid w:val="00EA6090"/>
    <w:rsid w:val="00EA6127"/>
    <w:rsid w:val="00EA6133"/>
    <w:rsid w:val="00EA623C"/>
    <w:rsid w:val="00EA624D"/>
    <w:rsid w:val="00EA6255"/>
    <w:rsid w:val="00EA6274"/>
    <w:rsid w:val="00EA62E7"/>
    <w:rsid w:val="00EA636C"/>
    <w:rsid w:val="00EA63F8"/>
    <w:rsid w:val="00EA6666"/>
    <w:rsid w:val="00EA6760"/>
    <w:rsid w:val="00EA67C8"/>
    <w:rsid w:val="00EA67FC"/>
    <w:rsid w:val="00EA6808"/>
    <w:rsid w:val="00EA686A"/>
    <w:rsid w:val="00EA6BAC"/>
    <w:rsid w:val="00EA6BDA"/>
    <w:rsid w:val="00EA6BF9"/>
    <w:rsid w:val="00EA6C09"/>
    <w:rsid w:val="00EA6CB7"/>
    <w:rsid w:val="00EA6D2F"/>
    <w:rsid w:val="00EA6D45"/>
    <w:rsid w:val="00EA6D5B"/>
    <w:rsid w:val="00EA6D66"/>
    <w:rsid w:val="00EA6DB1"/>
    <w:rsid w:val="00EA6E2F"/>
    <w:rsid w:val="00EA6EA8"/>
    <w:rsid w:val="00EA6F84"/>
    <w:rsid w:val="00EA6FA0"/>
    <w:rsid w:val="00EA6FA9"/>
    <w:rsid w:val="00EA7059"/>
    <w:rsid w:val="00EA70B6"/>
    <w:rsid w:val="00EA7165"/>
    <w:rsid w:val="00EA71A8"/>
    <w:rsid w:val="00EA7220"/>
    <w:rsid w:val="00EA72D8"/>
    <w:rsid w:val="00EA73D9"/>
    <w:rsid w:val="00EA74C3"/>
    <w:rsid w:val="00EA750D"/>
    <w:rsid w:val="00EA7595"/>
    <w:rsid w:val="00EA75A2"/>
    <w:rsid w:val="00EA7668"/>
    <w:rsid w:val="00EA7761"/>
    <w:rsid w:val="00EA77AF"/>
    <w:rsid w:val="00EA77F7"/>
    <w:rsid w:val="00EA780B"/>
    <w:rsid w:val="00EA78FA"/>
    <w:rsid w:val="00EA798D"/>
    <w:rsid w:val="00EA79AA"/>
    <w:rsid w:val="00EA7A49"/>
    <w:rsid w:val="00EA7AE0"/>
    <w:rsid w:val="00EA7B34"/>
    <w:rsid w:val="00EA7BF8"/>
    <w:rsid w:val="00EA7C47"/>
    <w:rsid w:val="00EA7C88"/>
    <w:rsid w:val="00EA7C9B"/>
    <w:rsid w:val="00EA7D7C"/>
    <w:rsid w:val="00EA7E55"/>
    <w:rsid w:val="00EA7EE7"/>
    <w:rsid w:val="00EA7F8E"/>
    <w:rsid w:val="00EA7FB1"/>
    <w:rsid w:val="00EB0116"/>
    <w:rsid w:val="00EB0184"/>
    <w:rsid w:val="00EB0195"/>
    <w:rsid w:val="00EB01AB"/>
    <w:rsid w:val="00EB029C"/>
    <w:rsid w:val="00EB02E7"/>
    <w:rsid w:val="00EB0322"/>
    <w:rsid w:val="00EB0383"/>
    <w:rsid w:val="00EB046E"/>
    <w:rsid w:val="00EB0575"/>
    <w:rsid w:val="00EB059D"/>
    <w:rsid w:val="00EB0605"/>
    <w:rsid w:val="00EB0638"/>
    <w:rsid w:val="00EB0641"/>
    <w:rsid w:val="00EB0718"/>
    <w:rsid w:val="00EB071E"/>
    <w:rsid w:val="00EB073A"/>
    <w:rsid w:val="00EB080A"/>
    <w:rsid w:val="00EB081D"/>
    <w:rsid w:val="00EB08C6"/>
    <w:rsid w:val="00EB09A0"/>
    <w:rsid w:val="00EB0A1E"/>
    <w:rsid w:val="00EB0A1F"/>
    <w:rsid w:val="00EB0AC6"/>
    <w:rsid w:val="00EB0AE2"/>
    <w:rsid w:val="00EB0B48"/>
    <w:rsid w:val="00EB0E89"/>
    <w:rsid w:val="00EB0F0E"/>
    <w:rsid w:val="00EB0F11"/>
    <w:rsid w:val="00EB0F14"/>
    <w:rsid w:val="00EB0FE5"/>
    <w:rsid w:val="00EB1059"/>
    <w:rsid w:val="00EB10AF"/>
    <w:rsid w:val="00EB10BA"/>
    <w:rsid w:val="00EB1108"/>
    <w:rsid w:val="00EB1205"/>
    <w:rsid w:val="00EB121C"/>
    <w:rsid w:val="00EB1228"/>
    <w:rsid w:val="00EB12D3"/>
    <w:rsid w:val="00EB12F5"/>
    <w:rsid w:val="00EB1365"/>
    <w:rsid w:val="00EB1387"/>
    <w:rsid w:val="00EB14D3"/>
    <w:rsid w:val="00EB14F6"/>
    <w:rsid w:val="00EB1576"/>
    <w:rsid w:val="00EB159C"/>
    <w:rsid w:val="00EB1600"/>
    <w:rsid w:val="00EB1657"/>
    <w:rsid w:val="00EB17B9"/>
    <w:rsid w:val="00EB18D0"/>
    <w:rsid w:val="00EB1A31"/>
    <w:rsid w:val="00EB1A9D"/>
    <w:rsid w:val="00EB1B34"/>
    <w:rsid w:val="00EB1BE9"/>
    <w:rsid w:val="00EB1C87"/>
    <w:rsid w:val="00EB1D01"/>
    <w:rsid w:val="00EB1D8E"/>
    <w:rsid w:val="00EB1DDD"/>
    <w:rsid w:val="00EB1E77"/>
    <w:rsid w:val="00EB1E90"/>
    <w:rsid w:val="00EB1EE3"/>
    <w:rsid w:val="00EB1FF4"/>
    <w:rsid w:val="00EB220E"/>
    <w:rsid w:val="00EB2221"/>
    <w:rsid w:val="00EB22FF"/>
    <w:rsid w:val="00EB2317"/>
    <w:rsid w:val="00EB2338"/>
    <w:rsid w:val="00EB23C6"/>
    <w:rsid w:val="00EB2458"/>
    <w:rsid w:val="00EB2737"/>
    <w:rsid w:val="00EB2811"/>
    <w:rsid w:val="00EB28CF"/>
    <w:rsid w:val="00EB2923"/>
    <w:rsid w:val="00EB2952"/>
    <w:rsid w:val="00EB2966"/>
    <w:rsid w:val="00EB29C9"/>
    <w:rsid w:val="00EB2B3E"/>
    <w:rsid w:val="00EB2F7F"/>
    <w:rsid w:val="00EB2FBE"/>
    <w:rsid w:val="00EB3011"/>
    <w:rsid w:val="00EB3095"/>
    <w:rsid w:val="00EB30C5"/>
    <w:rsid w:val="00EB30E0"/>
    <w:rsid w:val="00EB3100"/>
    <w:rsid w:val="00EB3153"/>
    <w:rsid w:val="00EB3218"/>
    <w:rsid w:val="00EB3223"/>
    <w:rsid w:val="00EB3227"/>
    <w:rsid w:val="00EB32A0"/>
    <w:rsid w:val="00EB334F"/>
    <w:rsid w:val="00EB33D9"/>
    <w:rsid w:val="00EB3438"/>
    <w:rsid w:val="00EB3562"/>
    <w:rsid w:val="00EB35A7"/>
    <w:rsid w:val="00EB3686"/>
    <w:rsid w:val="00EB36BD"/>
    <w:rsid w:val="00EB372D"/>
    <w:rsid w:val="00EB377A"/>
    <w:rsid w:val="00EB3972"/>
    <w:rsid w:val="00EB3994"/>
    <w:rsid w:val="00EB3A56"/>
    <w:rsid w:val="00EB3B89"/>
    <w:rsid w:val="00EB3B99"/>
    <w:rsid w:val="00EB3DA1"/>
    <w:rsid w:val="00EB3DB2"/>
    <w:rsid w:val="00EB3DC0"/>
    <w:rsid w:val="00EB3DCE"/>
    <w:rsid w:val="00EB3EA7"/>
    <w:rsid w:val="00EB3F3D"/>
    <w:rsid w:val="00EB3F48"/>
    <w:rsid w:val="00EB4033"/>
    <w:rsid w:val="00EB40ED"/>
    <w:rsid w:val="00EB4103"/>
    <w:rsid w:val="00EB41D4"/>
    <w:rsid w:val="00EB41E4"/>
    <w:rsid w:val="00EB424E"/>
    <w:rsid w:val="00EB4439"/>
    <w:rsid w:val="00EB45E2"/>
    <w:rsid w:val="00EB4614"/>
    <w:rsid w:val="00EB46D2"/>
    <w:rsid w:val="00EB4788"/>
    <w:rsid w:val="00EB47E6"/>
    <w:rsid w:val="00EB47FC"/>
    <w:rsid w:val="00EB4872"/>
    <w:rsid w:val="00EB490D"/>
    <w:rsid w:val="00EB4969"/>
    <w:rsid w:val="00EB4972"/>
    <w:rsid w:val="00EB4A50"/>
    <w:rsid w:val="00EB4B5A"/>
    <w:rsid w:val="00EB4BC7"/>
    <w:rsid w:val="00EB4C08"/>
    <w:rsid w:val="00EB4CF8"/>
    <w:rsid w:val="00EB4D67"/>
    <w:rsid w:val="00EB4D69"/>
    <w:rsid w:val="00EB4E2E"/>
    <w:rsid w:val="00EB4F0C"/>
    <w:rsid w:val="00EB500A"/>
    <w:rsid w:val="00EB50E6"/>
    <w:rsid w:val="00EB511F"/>
    <w:rsid w:val="00EB517E"/>
    <w:rsid w:val="00EB5289"/>
    <w:rsid w:val="00EB52FF"/>
    <w:rsid w:val="00EB536A"/>
    <w:rsid w:val="00EB54A5"/>
    <w:rsid w:val="00EB54EE"/>
    <w:rsid w:val="00EB5521"/>
    <w:rsid w:val="00EB5699"/>
    <w:rsid w:val="00EB56AC"/>
    <w:rsid w:val="00EB56C2"/>
    <w:rsid w:val="00EB57BC"/>
    <w:rsid w:val="00EB58A9"/>
    <w:rsid w:val="00EB594E"/>
    <w:rsid w:val="00EB5AF8"/>
    <w:rsid w:val="00EB5B1F"/>
    <w:rsid w:val="00EB5B53"/>
    <w:rsid w:val="00EB5C3A"/>
    <w:rsid w:val="00EB5CA2"/>
    <w:rsid w:val="00EB5DAA"/>
    <w:rsid w:val="00EB5E21"/>
    <w:rsid w:val="00EB5E30"/>
    <w:rsid w:val="00EB5F29"/>
    <w:rsid w:val="00EB60C3"/>
    <w:rsid w:val="00EB61C6"/>
    <w:rsid w:val="00EB6231"/>
    <w:rsid w:val="00EB632E"/>
    <w:rsid w:val="00EB6350"/>
    <w:rsid w:val="00EB638F"/>
    <w:rsid w:val="00EB649B"/>
    <w:rsid w:val="00EB64D4"/>
    <w:rsid w:val="00EB64FD"/>
    <w:rsid w:val="00EB6521"/>
    <w:rsid w:val="00EB66E3"/>
    <w:rsid w:val="00EB66E9"/>
    <w:rsid w:val="00EB6729"/>
    <w:rsid w:val="00EB67DF"/>
    <w:rsid w:val="00EB6845"/>
    <w:rsid w:val="00EB6B8C"/>
    <w:rsid w:val="00EB6C59"/>
    <w:rsid w:val="00EB6C8A"/>
    <w:rsid w:val="00EB6C91"/>
    <w:rsid w:val="00EB6CD2"/>
    <w:rsid w:val="00EB6E04"/>
    <w:rsid w:val="00EB6E47"/>
    <w:rsid w:val="00EB6EFF"/>
    <w:rsid w:val="00EB6F33"/>
    <w:rsid w:val="00EB6F3A"/>
    <w:rsid w:val="00EB7104"/>
    <w:rsid w:val="00EB717E"/>
    <w:rsid w:val="00EB724B"/>
    <w:rsid w:val="00EB7275"/>
    <w:rsid w:val="00EB72E7"/>
    <w:rsid w:val="00EB730E"/>
    <w:rsid w:val="00EB7414"/>
    <w:rsid w:val="00EB74F3"/>
    <w:rsid w:val="00EB751B"/>
    <w:rsid w:val="00EB7529"/>
    <w:rsid w:val="00EB75EC"/>
    <w:rsid w:val="00EB7604"/>
    <w:rsid w:val="00EB764A"/>
    <w:rsid w:val="00EB7650"/>
    <w:rsid w:val="00EB7670"/>
    <w:rsid w:val="00EB767C"/>
    <w:rsid w:val="00EB7692"/>
    <w:rsid w:val="00EB76C7"/>
    <w:rsid w:val="00EB7741"/>
    <w:rsid w:val="00EB774D"/>
    <w:rsid w:val="00EB7799"/>
    <w:rsid w:val="00EB77C2"/>
    <w:rsid w:val="00EB7844"/>
    <w:rsid w:val="00EB784B"/>
    <w:rsid w:val="00EB78D4"/>
    <w:rsid w:val="00EB7A07"/>
    <w:rsid w:val="00EB7A8E"/>
    <w:rsid w:val="00EB7A99"/>
    <w:rsid w:val="00EB7AC5"/>
    <w:rsid w:val="00EB7B57"/>
    <w:rsid w:val="00EB7C58"/>
    <w:rsid w:val="00EB7DFD"/>
    <w:rsid w:val="00EB7E70"/>
    <w:rsid w:val="00EB7E74"/>
    <w:rsid w:val="00EB7F4D"/>
    <w:rsid w:val="00EC00A6"/>
    <w:rsid w:val="00EC00C4"/>
    <w:rsid w:val="00EC016E"/>
    <w:rsid w:val="00EC0347"/>
    <w:rsid w:val="00EC0409"/>
    <w:rsid w:val="00EC041D"/>
    <w:rsid w:val="00EC0452"/>
    <w:rsid w:val="00EC04C2"/>
    <w:rsid w:val="00EC0545"/>
    <w:rsid w:val="00EC05E7"/>
    <w:rsid w:val="00EC06E6"/>
    <w:rsid w:val="00EC07A6"/>
    <w:rsid w:val="00EC0871"/>
    <w:rsid w:val="00EC08EC"/>
    <w:rsid w:val="00EC08FB"/>
    <w:rsid w:val="00EC090B"/>
    <w:rsid w:val="00EC0947"/>
    <w:rsid w:val="00EC0B33"/>
    <w:rsid w:val="00EC0B64"/>
    <w:rsid w:val="00EC0BA7"/>
    <w:rsid w:val="00EC0BCF"/>
    <w:rsid w:val="00EC0C10"/>
    <w:rsid w:val="00EC0C22"/>
    <w:rsid w:val="00EC0C52"/>
    <w:rsid w:val="00EC0D76"/>
    <w:rsid w:val="00EC0EDF"/>
    <w:rsid w:val="00EC0EE7"/>
    <w:rsid w:val="00EC0F49"/>
    <w:rsid w:val="00EC0FE5"/>
    <w:rsid w:val="00EC1150"/>
    <w:rsid w:val="00EC118E"/>
    <w:rsid w:val="00EC13B7"/>
    <w:rsid w:val="00EC13D5"/>
    <w:rsid w:val="00EC1465"/>
    <w:rsid w:val="00EC14BF"/>
    <w:rsid w:val="00EC15CF"/>
    <w:rsid w:val="00EC18D5"/>
    <w:rsid w:val="00EC195B"/>
    <w:rsid w:val="00EC19F7"/>
    <w:rsid w:val="00EC1AC9"/>
    <w:rsid w:val="00EC1AD0"/>
    <w:rsid w:val="00EC1AD6"/>
    <w:rsid w:val="00EC1C0B"/>
    <w:rsid w:val="00EC1D0E"/>
    <w:rsid w:val="00EC1D54"/>
    <w:rsid w:val="00EC1D7E"/>
    <w:rsid w:val="00EC1E96"/>
    <w:rsid w:val="00EC1EEE"/>
    <w:rsid w:val="00EC1F03"/>
    <w:rsid w:val="00EC1F8E"/>
    <w:rsid w:val="00EC2023"/>
    <w:rsid w:val="00EC2036"/>
    <w:rsid w:val="00EC2049"/>
    <w:rsid w:val="00EC207C"/>
    <w:rsid w:val="00EC2126"/>
    <w:rsid w:val="00EC2169"/>
    <w:rsid w:val="00EC2225"/>
    <w:rsid w:val="00EC22D8"/>
    <w:rsid w:val="00EC22EB"/>
    <w:rsid w:val="00EC22F0"/>
    <w:rsid w:val="00EC2344"/>
    <w:rsid w:val="00EC24A8"/>
    <w:rsid w:val="00EC24DF"/>
    <w:rsid w:val="00EC2513"/>
    <w:rsid w:val="00EC2544"/>
    <w:rsid w:val="00EC2546"/>
    <w:rsid w:val="00EC25AB"/>
    <w:rsid w:val="00EC25B3"/>
    <w:rsid w:val="00EC2610"/>
    <w:rsid w:val="00EC26F1"/>
    <w:rsid w:val="00EC27B2"/>
    <w:rsid w:val="00EC27B7"/>
    <w:rsid w:val="00EC28A0"/>
    <w:rsid w:val="00EC28DD"/>
    <w:rsid w:val="00EC297F"/>
    <w:rsid w:val="00EC29A8"/>
    <w:rsid w:val="00EC2A64"/>
    <w:rsid w:val="00EC2B70"/>
    <w:rsid w:val="00EC2C1D"/>
    <w:rsid w:val="00EC2CC1"/>
    <w:rsid w:val="00EC2E1A"/>
    <w:rsid w:val="00EC2E37"/>
    <w:rsid w:val="00EC2EE2"/>
    <w:rsid w:val="00EC2F79"/>
    <w:rsid w:val="00EC2FCE"/>
    <w:rsid w:val="00EC3109"/>
    <w:rsid w:val="00EC323B"/>
    <w:rsid w:val="00EC33E6"/>
    <w:rsid w:val="00EC3499"/>
    <w:rsid w:val="00EC3516"/>
    <w:rsid w:val="00EC3627"/>
    <w:rsid w:val="00EC36F8"/>
    <w:rsid w:val="00EC382B"/>
    <w:rsid w:val="00EC3913"/>
    <w:rsid w:val="00EC3A1B"/>
    <w:rsid w:val="00EC3B28"/>
    <w:rsid w:val="00EC3BD5"/>
    <w:rsid w:val="00EC3CD3"/>
    <w:rsid w:val="00EC3CEC"/>
    <w:rsid w:val="00EC3D25"/>
    <w:rsid w:val="00EC3DA0"/>
    <w:rsid w:val="00EC3DB5"/>
    <w:rsid w:val="00EC3DBC"/>
    <w:rsid w:val="00EC3E52"/>
    <w:rsid w:val="00EC3F11"/>
    <w:rsid w:val="00EC3F7F"/>
    <w:rsid w:val="00EC3FD3"/>
    <w:rsid w:val="00EC403A"/>
    <w:rsid w:val="00EC407B"/>
    <w:rsid w:val="00EC40D3"/>
    <w:rsid w:val="00EC41B7"/>
    <w:rsid w:val="00EC41EB"/>
    <w:rsid w:val="00EC43D4"/>
    <w:rsid w:val="00EC4414"/>
    <w:rsid w:val="00EC443C"/>
    <w:rsid w:val="00EC4466"/>
    <w:rsid w:val="00EC446F"/>
    <w:rsid w:val="00EC4560"/>
    <w:rsid w:val="00EC4562"/>
    <w:rsid w:val="00EC45D4"/>
    <w:rsid w:val="00EC47A3"/>
    <w:rsid w:val="00EC4866"/>
    <w:rsid w:val="00EC491E"/>
    <w:rsid w:val="00EC4932"/>
    <w:rsid w:val="00EC4981"/>
    <w:rsid w:val="00EC4AC7"/>
    <w:rsid w:val="00EC4ACD"/>
    <w:rsid w:val="00EC4B17"/>
    <w:rsid w:val="00EC4B30"/>
    <w:rsid w:val="00EC4C1E"/>
    <w:rsid w:val="00EC4C29"/>
    <w:rsid w:val="00EC4C92"/>
    <w:rsid w:val="00EC4D5E"/>
    <w:rsid w:val="00EC4D8D"/>
    <w:rsid w:val="00EC4E21"/>
    <w:rsid w:val="00EC4E40"/>
    <w:rsid w:val="00EC4F23"/>
    <w:rsid w:val="00EC4F65"/>
    <w:rsid w:val="00EC4FB2"/>
    <w:rsid w:val="00EC4FFF"/>
    <w:rsid w:val="00EC5055"/>
    <w:rsid w:val="00EC5288"/>
    <w:rsid w:val="00EC52D6"/>
    <w:rsid w:val="00EC5302"/>
    <w:rsid w:val="00EC547B"/>
    <w:rsid w:val="00EC548B"/>
    <w:rsid w:val="00EC55F2"/>
    <w:rsid w:val="00EC5605"/>
    <w:rsid w:val="00EC56C7"/>
    <w:rsid w:val="00EC57E9"/>
    <w:rsid w:val="00EC5813"/>
    <w:rsid w:val="00EC5971"/>
    <w:rsid w:val="00EC5A2F"/>
    <w:rsid w:val="00EC5CD7"/>
    <w:rsid w:val="00EC5D05"/>
    <w:rsid w:val="00EC5D12"/>
    <w:rsid w:val="00EC5D2D"/>
    <w:rsid w:val="00EC5D42"/>
    <w:rsid w:val="00EC5D77"/>
    <w:rsid w:val="00EC5D7D"/>
    <w:rsid w:val="00EC5F6C"/>
    <w:rsid w:val="00EC5F84"/>
    <w:rsid w:val="00EC5FCC"/>
    <w:rsid w:val="00EC6044"/>
    <w:rsid w:val="00EC604D"/>
    <w:rsid w:val="00EC607E"/>
    <w:rsid w:val="00EC609C"/>
    <w:rsid w:val="00EC60A0"/>
    <w:rsid w:val="00EC620E"/>
    <w:rsid w:val="00EC6243"/>
    <w:rsid w:val="00EC6254"/>
    <w:rsid w:val="00EC63C1"/>
    <w:rsid w:val="00EC63F0"/>
    <w:rsid w:val="00EC64D7"/>
    <w:rsid w:val="00EC6503"/>
    <w:rsid w:val="00EC6540"/>
    <w:rsid w:val="00EC65EC"/>
    <w:rsid w:val="00EC6656"/>
    <w:rsid w:val="00EC6700"/>
    <w:rsid w:val="00EC6743"/>
    <w:rsid w:val="00EC67CC"/>
    <w:rsid w:val="00EC6806"/>
    <w:rsid w:val="00EC68C6"/>
    <w:rsid w:val="00EC6963"/>
    <w:rsid w:val="00EC69C2"/>
    <w:rsid w:val="00EC69F0"/>
    <w:rsid w:val="00EC6BCF"/>
    <w:rsid w:val="00EC6C58"/>
    <w:rsid w:val="00EC6CC6"/>
    <w:rsid w:val="00EC6D4C"/>
    <w:rsid w:val="00EC6E7C"/>
    <w:rsid w:val="00EC6F4A"/>
    <w:rsid w:val="00EC6F63"/>
    <w:rsid w:val="00EC6FCD"/>
    <w:rsid w:val="00EC7043"/>
    <w:rsid w:val="00EC7105"/>
    <w:rsid w:val="00EC710B"/>
    <w:rsid w:val="00EC713B"/>
    <w:rsid w:val="00EC7143"/>
    <w:rsid w:val="00EC7190"/>
    <w:rsid w:val="00EC71E4"/>
    <w:rsid w:val="00EC726F"/>
    <w:rsid w:val="00EC72D3"/>
    <w:rsid w:val="00EC738E"/>
    <w:rsid w:val="00EC74E5"/>
    <w:rsid w:val="00EC7542"/>
    <w:rsid w:val="00EC7589"/>
    <w:rsid w:val="00EC75B6"/>
    <w:rsid w:val="00EC7804"/>
    <w:rsid w:val="00EC7874"/>
    <w:rsid w:val="00EC7920"/>
    <w:rsid w:val="00EC7954"/>
    <w:rsid w:val="00EC79BC"/>
    <w:rsid w:val="00EC7A95"/>
    <w:rsid w:val="00EC7C41"/>
    <w:rsid w:val="00EC7CBD"/>
    <w:rsid w:val="00EC7D21"/>
    <w:rsid w:val="00EC7DCA"/>
    <w:rsid w:val="00EC7DE4"/>
    <w:rsid w:val="00EC7E29"/>
    <w:rsid w:val="00EC7E43"/>
    <w:rsid w:val="00EC7E85"/>
    <w:rsid w:val="00EC7F40"/>
    <w:rsid w:val="00ED0077"/>
    <w:rsid w:val="00ED0250"/>
    <w:rsid w:val="00ED0368"/>
    <w:rsid w:val="00ED0440"/>
    <w:rsid w:val="00ED04DF"/>
    <w:rsid w:val="00ED04ED"/>
    <w:rsid w:val="00ED0508"/>
    <w:rsid w:val="00ED0543"/>
    <w:rsid w:val="00ED06B7"/>
    <w:rsid w:val="00ED06C7"/>
    <w:rsid w:val="00ED083A"/>
    <w:rsid w:val="00ED0840"/>
    <w:rsid w:val="00ED0880"/>
    <w:rsid w:val="00ED0889"/>
    <w:rsid w:val="00ED09C1"/>
    <w:rsid w:val="00ED0A65"/>
    <w:rsid w:val="00ED0A91"/>
    <w:rsid w:val="00ED0AA2"/>
    <w:rsid w:val="00ED0CDC"/>
    <w:rsid w:val="00ED0D62"/>
    <w:rsid w:val="00ED0E2B"/>
    <w:rsid w:val="00ED0E5D"/>
    <w:rsid w:val="00ED0E9F"/>
    <w:rsid w:val="00ED0F0C"/>
    <w:rsid w:val="00ED0F6E"/>
    <w:rsid w:val="00ED0FEC"/>
    <w:rsid w:val="00ED10C6"/>
    <w:rsid w:val="00ED11AA"/>
    <w:rsid w:val="00ED12A6"/>
    <w:rsid w:val="00ED12B9"/>
    <w:rsid w:val="00ED12E1"/>
    <w:rsid w:val="00ED1311"/>
    <w:rsid w:val="00ED1358"/>
    <w:rsid w:val="00ED14D5"/>
    <w:rsid w:val="00ED1502"/>
    <w:rsid w:val="00ED1507"/>
    <w:rsid w:val="00ED1530"/>
    <w:rsid w:val="00ED16D2"/>
    <w:rsid w:val="00ED16D8"/>
    <w:rsid w:val="00ED171D"/>
    <w:rsid w:val="00ED179C"/>
    <w:rsid w:val="00ED17E8"/>
    <w:rsid w:val="00ED18B5"/>
    <w:rsid w:val="00ED18C9"/>
    <w:rsid w:val="00ED191C"/>
    <w:rsid w:val="00ED194F"/>
    <w:rsid w:val="00ED195D"/>
    <w:rsid w:val="00ED19F7"/>
    <w:rsid w:val="00ED1A6A"/>
    <w:rsid w:val="00ED1C3D"/>
    <w:rsid w:val="00ED1D0A"/>
    <w:rsid w:val="00ED1DB6"/>
    <w:rsid w:val="00ED1E79"/>
    <w:rsid w:val="00ED1F24"/>
    <w:rsid w:val="00ED2033"/>
    <w:rsid w:val="00ED20A6"/>
    <w:rsid w:val="00ED20BC"/>
    <w:rsid w:val="00ED20FD"/>
    <w:rsid w:val="00ED21E7"/>
    <w:rsid w:val="00ED2203"/>
    <w:rsid w:val="00ED2235"/>
    <w:rsid w:val="00ED2325"/>
    <w:rsid w:val="00ED237D"/>
    <w:rsid w:val="00ED23C0"/>
    <w:rsid w:val="00ED2433"/>
    <w:rsid w:val="00ED2490"/>
    <w:rsid w:val="00ED24D1"/>
    <w:rsid w:val="00ED2543"/>
    <w:rsid w:val="00ED26B8"/>
    <w:rsid w:val="00ED27D3"/>
    <w:rsid w:val="00ED2843"/>
    <w:rsid w:val="00ED2845"/>
    <w:rsid w:val="00ED28E7"/>
    <w:rsid w:val="00ED2B75"/>
    <w:rsid w:val="00ED2BAE"/>
    <w:rsid w:val="00ED2D76"/>
    <w:rsid w:val="00ED2D96"/>
    <w:rsid w:val="00ED2DD7"/>
    <w:rsid w:val="00ED2DEB"/>
    <w:rsid w:val="00ED2E95"/>
    <w:rsid w:val="00ED2F2D"/>
    <w:rsid w:val="00ED3006"/>
    <w:rsid w:val="00ED3023"/>
    <w:rsid w:val="00ED3073"/>
    <w:rsid w:val="00ED309E"/>
    <w:rsid w:val="00ED30AF"/>
    <w:rsid w:val="00ED3113"/>
    <w:rsid w:val="00ED312D"/>
    <w:rsid w:val="00ED313F"/>
    <w:rsid w:val="00ED3211"/>
    <w:rsid w:val="00ED322F"/>
    <w:rsid w:val="00ED3258"/>
    <w:rsid w:val="00ED32B9"/>
    <w:rsid w:val="00ED3307"/>
    <w:rsid w:val="00ED330E"/>
    <w:rsid w:val="00ED333E"/>
    <w:rsid w:val="00ED3403"/>
    <w:rsid w:val="00ED351B"/>
    <w:rsid w:val="00ED3565"/>
    <w:rsid w:val="00ED3663"/>
    <w:rsid w:val="00ED37B5"/>
    <w:rsid w:val="00ED38AF"/>
    <w:rsid w:val="00ED38CB"/>
    <w:rsid w:val="00ED38D6"/>
    <w:rsid w:val="00ED39F3"/>
    <w:rsid w:val="00ED39F5"/>
    <w:rsid w:val="00ED3A22"/>
    <w:rsid w:val="00ED3B93"/>
    <w:rsid w:val="00ED3C4B"/>
    <w:rsid w:val="00ED3CEE"/>
    <w:rsid w:val="00ED3D0C"/>
    <w:rsid w:val="00ED3D21"/>
    <w:rsid w:val="00ED3D7E"/>
    <w:rsid w:val="00ED3D9A"/>
    <w:rsid w:val="00ED3F0A"/>
    <w:rsid w:val="00ED4065"/>
    <w:rsid w:val="00ED40DD"/>
    <w:rsid w:val="00ED42F8"/>
    <w:rsid w:val="00ED4325"/>
    <w:rsid w:val="00ED4380"/>
    <w:rsid w:val="00ED4392"/>
    <w:rsid w:val="00ED43AE"/>
    <w:rsid w:val="00ED4451"/>
    <w:rsid w:val="00ED4528"/>
    <w:rsid w:val="00ED458E"/>
    <w:rsid w:val="00ED45A0"/>
    <w:rsid w:val="00ED45AF"/>
    <w:rsid w:val="00ED45B6"/>
    <w:rsid w:val="00ED46E9"/>
    <w:rsid w:val="00ED4781"/>
    <w:rsid w:val="00ED479B"/>
    <w:rsid w:val="00ED493A"/>
    <w:rsid w:val="00ED495B"/>
    <w:rsid w:val="00ED4A77"/>
    <w:rsid w:val="00ED4A9C"/>
    <w:rsid w:val="00ED4B7E"/>
    <w:rsid w:val="00ED4DB8"/>
    <w:rsid w:val="00ED4F33"/>
    <w:rsid w:val="00ED4F36"/>
    <w:rsid w:val="00ED4FD6"/>
    <w:rsid w:val="00ED5041"/>
    <w:rsid w:val="00ED5048"/>
    <w:rsid w:val="00ED50B2"/>
    <w:rsid w:val="00ED529A"/>
    <w:rsid w:val="00ED53EC"/>
    <w:rsid w:val="00ED550E"/>
    <w:rsid w:val="00ED5528"/>
    <w:rsid w:val="00ED5564"/>
    <w:rsid w:val="00ED56F6"/>
    <w:rsid w:val="00ED58D4"/>
    <w:rsid w:val="00ED5941"/>
    <w:rsid w:val="00ED5A2C"/>
    <w:rsid w:val="00ED5B1E"/>
    <w:rsid w:val="00ED5C35"/>
    <w:rsid w:val="00ED5C3F"/>
    <w:rsid w:val="00ED5C56"/>
    <w:rsid w:val="00ED5CBE"/>
    <w:rsid w:val="00ED5D63"/>
    <w:rsid w:val="00ED5DD4"/>
    <w:rsid w:val="00ED5E42"/>
    <w:rsid w:val="00ED6033"/>
    <w:rsid w:val="00ED6062"/>
    <w:rsid w:val="00ED60CD"/>
    <w:rsid w:val="00ED61AE"/>
    <w:rsid w:val="00ED6312"/>
    <w:rsid w:val="00ED63B7"/>
    <w:rsid w:val="00ED641A"/>
    <w:rsid w:val="00ED6513"/>
    <w:rsid w:val="00ED6531"/>
    <w:rsid w:val="00ED6605"/>
    <w:rsid w:val="00ED664A"/>
    <w:rsid w:val="00ED666D"/>
    <w:rsid w:val="00ED680C"/>
    <w:rsid w:val="00ED6817"/>
    <w:rsid w:val="00ED683E"/>
    <w:rsid w:val="00ED6891"/>
    <w:rsid w:val="00ED6947"/>
    <w:rsid w:val="00ED694B"/>
    <w:rsid w:val="00ED69BC"/>
    <w:rsid w:val="00ED69C2"/>
    <w:rsid w:val="00ED6A48"/>
    <w:rsid w:val="00ED6A8E"/>
    <w:rsid w:val="00ED6AFF"/>
    <w:rsid w:val="00ED6BB7"/>
    <w:rsid w:val="00ED6BBA"/>
    <w:rsid w:val="00ED6C21"/>
    <w:rsid w:val="00ED6D5D"/>
    <w:rsid w:val="00ED6DDD"/>
    <w:rsid w:val="00ED6DF5"/>
    <w:rsid w:val="00ED6EC3"/>
    <w:rsid w:val="00ED6ED7"/>
    <w:rsid w:val="00ED6F89"/>
    <w:rsid w:val="00ED6FCC"/>
    <w:rsid w:val="00ED7050"/>
    <w:rsid w:val="00ED7093"/>
    <w:rsid w:val="00ED7144"/>
    <w:rsid w:val="00ED726E"/>
    <w:rsid w:val="00ED727C"/>
    <w:rsid w:val="00ED743F"/>
    <w:rsid w:val="00ED74B7"/>
    <w:rsid w:val="00ED75CD"/>
    <w:rsid w:val="00ED75DB"/>
    <w:rsid w:val="00ED763F"/>
    <w:rsid w:val="00ED7669"/>
    <w:rsid w:val="00ED7680"/>
    <w:rsid w:val="00ED78FD"/>
    <w:rsid w:val="00ED7CBA"/>
    <w:rsid w:val="00ED7CFD"/>
    <w:rsid w:val="00ED7D16"/>
    <w:rsid w:val="00ED7D4D"/>
    <w:rsid w:val="00ED7D62"/>
    <w:rsid w:val="00ED7DA1"/>
    <w:rsid w:val="00ED7EDB"/>
    <w:rsid w:val="00ED7F57"/>
    <w:rsid w:val="00ED7F80"/>
    <w:rsid w:val="00ED7F82"/>
    <w:rsid w:val="00EE00D8"/>
    <w:rsid w:val="00EE011D"/>
    <w:rsid w:val="00EE015A"/>
    <w:rsid w:val="00EE01C8"/>
    <w:rsid w:val="00EE0215"/>
    <w:rsid w:val="00EE0229"/>
    <w:rsid w:val="00EE0255"/>
    <w:rsid w:val="00EE03B7"/>
    <w:rsid w:val="00EE041E"/>
    <w:rsid w:val="00EE0553"/>
    <w:rsid w:val="00EE05E0"/>
    <w:rsid w:val="00EE073C"/>
    <w:rsid w:val="00EE0832"/>
    <w:rsid w:val="00EE0B0B"/>
    <w:rsid w:val="00EE0C03"/>
    <w:rsid w:val="00EE0C2F"/>
    <w:rsid w:val="00EE0C91"/>
    <w:rsid w:val="00EE0D0C"/>
    <w:rsid w:val="00EE0E54"/>
    <w:rsid w:val="00EE0ED0"/>
    <w:rsid w:val="00EE0EF6"/>
    <w:rsid w:val="00EE0F93"/>
    <w:rsid w:val="00EE102E"/>
    <w:rsid w:val="00EE105E"/>
    <w:rsid w:val="00EE10DF"/>
    <w:rsid w:val="00EE118D"/>
    <w:rsid w:val="00EE11C6"/>
    <w:rsid w:val="00EE1210"/>
    <w:rsid w:val="00EE1304"/>
    <w:rsid w:val="00EE1432"/>
    <w:rsid w:val="00EE146A"/>
    <w:rsid w:val="00EE15D5"/>
    <w:rsid w:val="00EE16D3"/>
    <w:rsid w:val="00EE177C"/>
    <w:rsid w:val="00EE17A5"/>
    <w:rsid w:val="00EE1871"/>
    <w:rsid w:val="00EE1875"/>
    <w:rsid w:val="00EE19FC"/>
    <w:rsid w:val="00EE1A38"/>
    <w:rsid w:val="00EE1AD6"/>
    <w:rsid w:val="00EE1ADD"/>
    <w:rsid w:val="00EE1AF3"/>
    <w:rsid w:val="00EE1B6F"/>
    <w:rsid w:val="00EE1B81"/>
    <w:rsid w:val="00EE1BDB"/>
    <w:rsid w:val="00EE1C29"/>
    <w:rsid w:val="00EE1CC7"/>
    <w:rsid w:val="00EE1D79"/>
    <w:rsid w:val="00EE1EB7"/>
    <w:rsid w:val="00EE1F51"/>
    <w:rsid w:val="00EE205A"/>
    <w:rsid w:val="00EE2073"/>
    <w:rsid w:val="00EE2214"/>
    <w:rsid w:val="00EE2316"/>
    <w:rsid w:val="00EE2391"/>
    <w:rsid w:val="00EE241C"/>
    <w:rsid w:val="00EE2451"/>
    <w:rsid w:val="00EE24AF"/>
    <w:rsid w:val="00EE26EA"/>
    <w:rsid w:val="00EE2729"/>
    <w:rsid w:val="00EE2791"/>
    <w:rsid w:val="00EE27FB"/>
    <w:rsid w:val="00EE2827"/>
    <w:rsid w:val="00EE293A"/>
    <w:rsid w:val="00EE2A22"/>
    <w:rsid w:val="00EE2A9C"/>
    <w:rsid w:val="00EE2AE4"/>
    <w:rsid w:val="00EE2D94"/>
    <w:rsid w:val="00EE2D98"/>
    <w:rsid w:val="00EE2E16"/>
    <w:rsid w:val="00EE2E9B"/>
    <w:rsid w:val="00EE2EDE"/>
    <w:rsid w:val="00EE2F09"/>
    <w:rsid w:val="00EE2FB0"/>
    <w:rsid w:val="00EE30B3"/>
    <w:rsid w:val="00EE3139"/>
    <w:rsid w:val="00EE31AA"/>
    <w:rsid w:val="00EE322B"/>
    <w:rsid w:val="00EE323E"/>
    <w:rsid w:val="00EE3310"/>
    <w:rsid w:val="00EE3385"/>
    <w:rsid w:val="00EE3451"/>
    <w:rsid w:val="00EE35C4"/>
    <w:rsid w:val="00EE367A"/>
    <w:rsid w:val="00EE36BD"/>
    <w:rsid w:val="00EE36CB"/>
    <w:rsid w:val="00EE3718"/>
    <w:rsid w:val="00EE37E9"/>
    <w:rsid w:val="00EE38D4"/>
    <w:rsid w:val="00EE3946"/>
    <w:rsid w:val="00EE39E0"/>
    <w:rsid w:val="00EE3A0F"/>
    <w:rsid w:val="00EE3AD6"/>
    <w:rsid w:val="00EE3C3F"/>
    <w:rsid w:val="00EE3CC1"/>
    <w:rsid w:val="00EE3D21"/>
    <w:rsid w:val="00EE3E8E"/>
    <w:rsid w:val="00EE3F02"/>
    <w:rsid w:val="00EE3F45"/>
    <w:rsid w:val="00EE3FA8"/>
    <w:rsid w:val="00EE3FE9"/>
    <w:rsid w:val="00EE4057"/>
    <w:rsid w:val="00EE4294"/>
    <w:rsid w:val="00EE42A3"/>
    <w:rsid w:val="00EE4312"/>
    <w:rsid w:val="00EE433C"/>
    <w:rsid w:val="00EE43FE"/>
    <w:rsid w:val="00EE4452"/>
    <w:rsid w:val="00EE44E4"/>
    <w:rsid w:val="00EE45B5"/>
    <w:rsid w:val="00EE46AF"/>
    <w:rsid w:val="00EE4776"/>
    <w:rsid w:val="00EE47A8"/>
    <w:rsid w:val="00EE47B1"/>
    <w:rsid w:val="00EE4833"/>
    <w:rsid w:val="00EE48A2"/>
    <w:rsid w:val="00EE4941"/>
    <w:rsid w:val="00EE4B01"/>
    <w:rsid w:val="00EE4B31"/>
    <w:rsid w:val="00EE4BBB"/>
    <w:rsid w:val="00EE4C18"/>
    <w:rsid w:val="00EE4CDF"/>
    <w:rsid w:val="00EE4D92"/>
    <w:rsid w:val="00EE4D9A"/>
    <w:rsid w:val="00EE4DEA"/>
    <w:rsid w:val="00EE4E25"/>
    <w:rsid w:val="00EE4E2C"/>
    <w:rsid w:val="00EE4F54"/>
    <w:rsid w:val="00EE50D0"/>
    <w:rsid w:val="00EE5107"/>
    <w:rsid w:val="00EE5111"/>
    <w:rsid w:val="00EE51A5"/>
    <w:rsid w:val="00EE51E3"/>
    <w:rsid w:val="00EE525C"/>
    <w:rsid w:val="00EE526B"/>
    <w:rsid w:val="00EE52DD"/>
    <w:rsid w:val="00EE52F7"/>
    <w:rsid w:val="00EE5404"/>
    <w:rsid w:val="00EE5516"/>
    <w:rsid w:val="00EE5596"/>
    <w:rsid w:val="00EE55E1"/>
    <w:rsid w:val="00EE5665"/>
    <w:rsid w:val="00EE5688"/>
    <w:rsid w:val="00EE571C"/>
    <w:rsid w:val="00EE5773"/>
    <w:rsid w:val="00EE5779"/>
    <w:rsid w:val="00EE57ED"/>
    <w:rsid w:val="00EE58F8"/>
    <w:rsid w:val="00EE5913"/>
    <w:rsid w:val="00EE5914"/>
    <w:rsid w:val="00EE5916"/>
    <w:rsid w:val="00EE59DF"/>
    <w:rsid w:val="00EE5A1A"/>
    <w:rsid w:val="00EE5A48"/>
    <w:rsid w:val="00EE5A96"/>
    <w:rsid w:val="00EE5B01"/>
    <w:rsid w:val="00EE5D35"/>
    <w:rsid w:val="00EE5D74"/>
    <w:rsid w:val="00EE5D7F"/>
    <w:rsid w:val="00EE5DA1"/>
    <w:rsid w:val="00EE5DE1"/>
    <w:rsid w:val="00EE5E14"/>
    <w:rsid w:val="00EE5E23"/>
    <w:rsid w:val="00EE5EA2"/>
    <w:rsid w:val="00EE60F4"/>
    <w:rsid w:val="00EE60FF"/>
    <w:rsid w:val="00EE6148"/>
    <w:rsid w:val="00EE614B"/>
    <w:rsid w:val="00EE61BA"/>
    <w:rsid w:val="00EE62C1"/>
    <w:rsid w:val="00EE633E"/>
    <w:rsid w:val="00EE63AA"/>
    <w:rsid w:val="00EE647C"/>
    <w:rsid w:val="00EE6490"/>
    <w:rsid w:val="00EE65E9"/>
    <w:rsid w:val="00EE6740"/>
    <w:rsid w:val="00EE67EF"/>
    <w:rsid w:val="00EE6832"/>
    <w:rsid w:val="00EE6930"/>
    <w:rsid w:val="00EE6991"/>
    <w:rsid w:val="00EE6999"/>
    <w:rsid w:val="00EE6B39"/>
    <w:rsid w:val="00EE6B4B"/>
    <w:rsid w:val="00EE6BC9"/>
    <w:rsid w:val="00EE6CBC"/>
    <w:rsid w:val="00EE6CD9"/>
    <w:rsid w:val="00EE6D44"/>
    <w:rsid w:val="00EE6DB9"/>
    <w:rsid w:val="00EE6DD1"/>
    <w:rsid w:val="00EE6E06"/>
    <w:rsid w:val="00EE6F5B"/>
    <w:rsid w:val="00EE6FA8"/>
    <w:rsid w:val="00EE6FBF"/>
    <w:rsid w:val="00EE726F"/>
    <w:rsid w:val="00EE7276"/>
    <w:rsid w:val="00EE7374"/>
    <w:rsid w:val="00EE7454"/>
    <w:rsid w:val="00EE7490"/>
    <w:rsid w:val="00EE74A8"/>
    <w:rsid w:val="00EE7600"/>
    <w:rsid w:val="00EE763B"/>
    <w:rsid w:val="00EE763D"/>
    <w:rsid w:val="00EE78A1"/>
    <w:rsid w:val="00EE78C0"/>
    <w:rsid w:val="00EE7925"/>
    <w:rsid w:val="00EE7A97"/>
    <w:rsid w:val="00EE7AFA"/>
    <w:rsid w:val="00EE7B0B"/>
    <w:rsid w:val="00EE7B5F"/>
    <w:rsid w:val="00EE7E3B"/>
    <w:rsid w:val="00EE7E48"/>
    <w:rsid w:val="00EE7F11"/>
    <w:rsid w:val="00EF00D6"/>
    <w:rsid w:val="00EF027B"/>
    <w:rsid w:val="00EF0397"/>
    <w:rsid w:val="00EF03CE"/>
    <w:rsid w:val="00EF043A"/>
    <w:rsid w:val="00EF0504"/>
    <w:rsid w:val="00EF062E"/>
    <w:rsid w:val="00EF072B"/>
    <w:rsid w:val="00EF076B"/>
    <w:rsid w:val="00EF07F0"/>
    <w:rsid w:val="00EF08A8"/>
    <w:rsid w:val="00EF09D1"/>
    <w:rsid w:val="00EF0A2F"/>
    <w:rsid w:val="00EF0AAF"/>
    <w:rsid w:val="00EF0B5A"/>
    <w:rsid w:val="00EF0C3E"/>
    <w:rsid w:val="00EF0C8D"/>
    <w:rsid w:val="00EF0C93"/>
    <w:rsid w:val="00EF0CF7"/>
    <w:rsid w:val="00EF0D4B"/>
    <w:rsid w:val="00EF0E69"/>
    <w:rsid w:val="00EF0F60"/>
    <w:rsid w:val="00EF0F98"/>
    <w:rsid w:val="00EF102B"/>
    <w:rsid w:val="00EF1049"/>
    <w:rsid w:val="00EF10A3"/>
    <w:rsid w:val="00EF114F"/>
    <w:rsid w:val="00EF1174"/>
    <w:rsid w:val="00EF11C4"/>
    <w:rsid w:val="00EF1237"/>
    <w:rsid w:val="00EF126B"/>
    <w:rsid w:val="00EF13D0"/>
    <w:rsid w:val="00EF147A"/>
    <w:rsid w:val="00EF1561"/>
    <w:rsid w:val="00EF15C5"/>
    <w:rsid w:val="00EF15E0"/>
    <w:rsid w:val="00EF1630"/>
    <w:rsid w:val="00EF1674"/>
    <w:rsid w:val="00EF16BD"/>
    <w:rsid w:val="00EF16DF"/>
    <w:rsid w:val="00EF18D3"/>
    <w:rsid w:val="00EF19E6"/>
    <w:rsid w:val="00EF19EB"/>
    <w:rsid w:val="00EF1A27"/>
    <w:rsid w:val="00EF1A6A"/>
    <w:rsid w:val="00EF1AAB"/>
    <w:rsid w:val="00EF1B30"/>
    <w:rsid w:val="00EF1B4E"/>
    <w:rsid w:val="00EF1BBD"/>
    <w:rsid w:val="00EF1C59"/>
    <w:rsid w:val="00EF1C9E"/>
    <w:rsid w:val="00EF1CD9"/>
    <w:rsid w:val="00EF1D23"/>
    <w:rsid w:val="00EF1D2E"/>
    <w:rsid w:val="00EF1D3D"/>
    <w:rsid w:val="00EF1D77"/>
    <w:rsid w:val="00EF1E2A"/>
    <w:rsid w:val="00EF1FB3"/>
    <w:rsid w:val="00EF2174"/>
    <w:rsid w:val="00EF21DA"/>
    <w:rsid w:val="00EF226A"/>
    <w:rsid w:val="00EF2428"/>
    <w:rsid w:val="00EF242E"/>
    <w:rsid w:val="00EF25CF"/>
    <w:rsid w:val="00EF273F"/>
    <w:rsid w:val="00EF274E"/>
    <w:rsid w:val="00EF2788"/>
    <w:rsid w:val="00EF27FC"/>
    <w:rsid w:val="00EF2834"/>
    <w:rsid w:val="00EF28A0"/>
    <w:rsid w:val="00EF291C"/>
    <w:rsid w:val="00EF299E"/>
    <w:rsid w:val="00EF2A3E"/>
    <w:rsid w:val="00EF2A63"/>
    <w:rsid w:val="00EF2A80"/>
    <w:rsid w:val="00EF2B05"/>
    <w:rsid w:val="00EF2B4E"/>
    <w:rsid w:val="00EF2CBB"/>
    <w:rsid w:val="00EF2D04"/>
    <w:rsid w:val="00EF2D1A"/>
    <w:rsid w:val="00EF2DA9"/>
    <w:rsid w:val="00EF2E03"/>
    <w:rsid w:val="00EF3068"/>
    <w:rsid w:val="00EF3234"/>
    <w:rsid w:val="00EF323F"/>
    <w:rsid w:val="00EF326C"/>
    <w:rsid w:val="00EF32D4"/>
    <w:rsid w:val="00EF35F8"/>
    <w:rsid w:val="00EF373D"/>
    <w:rsid w:val="00EF37DA"/>
    <w:rsid w:val="00EF3882"/>
    <w:rsid w:val="00EF3959"/>
    <w:rsid w:val="00EF3A66"/>
    <w:rsid w:val="00EF3B1B"/>
    <w:rsid w:val="00EF3B59"/>
    <w:rsid w:val="00EF3B97"/>
    <w:rsid w:val="00EF3B9A"/>
    <w:rsid w:val="00EF3C96"/>
    <w:rsid w:val="00EF3CA5"/>
    <w:rsid w:val="00EF3CAA"/>
    <w:rsid w:val="00EF3CF8"/>
    <w:rsid w:val="00EF3DD8"/>
    <w:rsid w:val="00EF3DEB"/>
    <w:rsid w:val="00EF3E7F"/>
    <w:rsid w:val="00EF3EA9"/>
    <w:rsid w:val="00EF3F06"/>
    <w:rsid w:val="00EF4060"/>
    <w:rsid w:val="00EF40D0"/>
    <w:rsid w:val="00EF40E8"/>
    <w:rsid w:val="00EF41D2"/>
    <w:rsid w:val="00EF4353"/>
    <w:rsid w:val="00EF4468"/>
    <w:rsid w:val="00EF4582"/>
    <w:rsid w:val="00EF4646"/>
    <w:rsid w:val="00EF464D"/>
    <w:rsid w:val="00EF46CA"/>
    <w:rsid w:val="00EF47F4"/>
    <w:rsid w:val="00EF488D"/>
    <w:rsid w:val="00EF48CE"/>
    <w:rsid w:val="00EF49D8"/>
    <w:rsid w:val="00EF4AFB"/>
    <w:rsid w:val="00EF4B02"/>
    <w:rsid w:val="00EF4C7F"/>
    <w:rsid w:val="00EF4CCB"/>
    <w:rsid w:val="00EF4DC5"/>
    <w:rsid w:val="00EF4F52"/>
    <w:rsid w:val="00EF4F53"/>
    <w:rsid w:val="00EF4F8F"/>
    <w:rsid w:val="00EF4FE8"/>
    <w:rsid w:val="00EF5054"/>
    <w:rsid w:val="00EF50D1"/>
    <w:rsid w:val="00EF5479"/>
    <w:rsid w:val="00EF5545"/>
    <w:rsid w:val="00EF55CC"/>
    <w:rsid w:val="00EF56E9"/>
    <w:rsid w:val="00EF57ED"/>
    <w:rsid w:val="00EF58A9"/>
    <w:rsid w:val="00EF58E3"/>
    <w:rsid w:val="00EF59D7"/>
    <w:rsid w:val="00EF5A2F"/>
    <w:rsid w:val="00EF5A82"/>
    <w:rsid w:val="00EF5B1B"/>
    <w:rsid w:val="00EF5B52"/>
    <w:rsid w:val="00EF5B7E"/>
    <w:rsid w:val="00EF5B93"/>
    <w:rsid w:val="00EF5BF2"/>
    <w:rsid w:val="00EF5BFF"/>
    <w:rsid w:val="00EF5C05"/>
    <w:rsid w:val="00EF5C3D"/>
    <w:rsid w:val="00EF5D2F"/>
    <w:rsid w:val="00EF5D7B"/>
    <w:rsid w:val="00EF5DB8"/>
    <w:rsid w:val="00EF5DF5"/>
    <w:rsid w:val="00EF5E4B"/>
    <w:rsid w:val="00EF5E66"/>
    <w:rsid w:val="00EF5E96"/>
    <w:rsid w:val="00EF5EBD"/>
    <w:rsid w:val="00EF5F36"/>
    <w:rsid w:val="00EF5FFA"/>
    <w:rsid w:val="00EF6019"/>
    <w:rsid w:val="00EF601C"/>
    <w:rsid w:val="00EF6108"/>
    <w:rsid w:val="00EF6192"/>
    <w:rsid w:val="00EF61C5"/>
    <w:rsid w:val="00EF61D3"/>
    <w:rsid w:val="00EF61FA"/>
    <w:rsid w:val="00EF621E"/>
    <w:rsid w:val="00EF63B1"/>
    <w:rsid w:val="00EF64C5"/>
    <w:rsid w:val="00EF65C0"/>
    <w:rsid w:val="00EF672C"/>
    <w:rsid w:val="00EF690A"/>
    <w:rsid w:val="00EF6992"/>
    <w:rsid w:val="00EF6BCE"/>
    <w:rsid w:val="00EF6BFD"/>
    <w:rsid w:val="00EF6C0A"/>
    <w:rsid w:val="00EF6C29"/>
    <w:rsid w:val="00EF6C3E"/>
    <w:rsid w:val="00EF6D42"/>
    <w:rsid w:val="00EF6E09"/>
    <w:rsid w:val="00EF6E69"/>
    <w:rsid w:val="00EF6EC5"/>
    <w:rsid w:val="00EF6F30"/>
    <w:rsid w:val="00EF7055"/>
    <w:rsid w:val="00EF7070"/>
    <w:rsid w:val="00EF7131"/>
    <w:rsid w:val="00EF7141"/>
    <w:rsid w:val="00EF71AC"/>
    <w:rsid w:val="00EF7410"/>
    <w:rsid w:val="00EF74B9"/>
    <w:rsid w:val="00EF7599"/>
    <w:rsid w:val="00EF7661"/>
    <w:rsid w:val="00EF7704"/>
    <w:rsid w:val="00EF78C8"/>
    <w:rsid w:val="00EF7961"/>
    <w:rsid w:val="00EF7A13"/>
    <w:rsid w:val="00EF7A4E"/>
    <w:rsid w:val="00EF7A95"/>
    <w:rsid w:val="00EF7B61"/>
    <w:rsid w:val="00EF7C3F"/>
    <w:rsid w:val="00EF7D01"/>
    <w:rsid w:val="00EF7D1A"/>
    <w:rsid w:val="00EF7DB2"/>
    <w:rsid w:val="00EF7E3C"/>
    <w:rsid w:val="00EF7E88"/>
    <w:rsid w:val="00EF7EE1"/>
    <w:rsid w:val="00EF7F38"/>
    <w:rsid w:val="00EF7FBA"/>
    <w:rsid w:val="00F00021"/>
    <w:rsid w:val="00F0006E"/>
    <w:rsid w:val="00F000E1"/>
    <w:rsid w:val="00F00225"/>
    <w:rsid w:val="00F00245"/>
    <w:rsid w:val="00F003EC"/>
    <w:rsid w:val="00F00495"/>
    <w:rsid w:val="00F00599"/>
    <w:rsid w:val="00F005A9"/>
    <w:rsid w:val="00F00681"/>
    <w:rsid w:val="00F00733"/>
    <w:rsid w:val="00F00818"/>
    <w:rsid w:val="00F008E6"/>
    <w:rsid w:val="00F00A23"/>
    <w:rsid w:val="00F00A37"/>
    <w:rsid w:val="00F00AA8"/>
    <w:rsid w:val="00F00AC0"/>
    <w:rsid w:val="00F00AD9"/>
    <w:rsid w:val="00F00ADF"/>
    <w:rsid w:val="00F00B37"/>
    <w:rsid w:val="00F00B53"/>
    <w:rsid w:val="00F00B9D"/>
    <w:rsid w:val="00F00C4D"/>
    <w:rsid w:val="00F00C77"/>
    <w:rsid w:val="00F00CB2"/>
    <w:rsid w:val="00F00D22"/>
    <w:rsid w:val="00F00DC4"/>
    <w:rsid w:val="00F00DCD"/>
    <w:rsid w:val="00F00E8F"/>
    <w:rsid w:val="00F00EED"/>
    <w:rsid w:val="00F00F0B"/>
    <w:rsid w:val="00F00FD3"/>
    <w:rsid w:val="00F01024"/>
    <w:rsid w:val="00F0116F"/>
    <w:rsid w:val="00F01262"/>
    <w:rsid w:val="00F012A2"/>
    <w:rsid w:val="00F012F2"/>
    <w:rsid w:val="00F0138B"/>
    <w:rsid w:val="00F0141B"/>
    <w:rsid w:val="00F0149A"/>
    <w:rsid w:val="00F014FC"/>
    <w:rsid w:val="00F01518"/>
    <w:rsid w:val="00F01920"/>
    <w:rsid w:val="00F01947"/>
    <w:rsid w:val="00F01966"/>
    <w:rsid w:val="00F01A14"/>
    <w:rsid w:val="00F01A8A"/>
    <w:rsid w:val="00F01AA8"/>
    <w:rsid w:val="00F01AAF"/>
    <w:rsid w:val="00F01AF4"/>
    <w:rsid w:val="00F01C60"/>
    <w:rsid w:val="00F01D68"/>
    <w:rsid w:val="00F01E36"/>
    <w:rsid w:val="00F01F4E"/>
    <w:rsid w:val="00F01F7E"/>
    <w:rsid w:val="00F01F93"/>
    <w:rsid w:val="00F01FBF"/>
    <w:rsid w:val="00F01FCB"/>
    <w:rsid w:val="00F020C2"/>
    <w:rsid w:val="00F02161"/>
    <w:rsid w:val="00F021EB"/>
    <w:rsid w:val="00F02280"/>
    <w:rsid w:val="00F022C2"/>
    <w:rsid w:val="00F0230E"/>
    <w:rsid w:val="00F023B6"/>
    <w:rsid w:val="00F023E4"/>
    <w:rsid w:val="00F02447"/>
    <w:rsid w:val="00F0244F"/>
    <w:rsid w:val="00F02691"/>
    <w:rsid w:val="00F026FD"/>
    <w:rsid w:val="00F0283C"/>
    <w:rsid w:val="00F02878"/>
    <w:rsid w:val="00F028BF"/>
    <w:rsid w:val="00F02973"/>
    <w:rsid w:val="00F02984"/>
    <w:rsid w:val="00F02985"/>
    <w:rsid w:val="00F029AC"/>
    <w:rsid w:val="00F02B6E"/>
    <w:rsid w:val="00F02C78"/>
    <w:rsid w:val="00F02CA2"/>
    <w:rsid w:val="00F02D7C"/>
    <w:rsid w:val="00F02E10"/>
    <w:rsid w:val="00F02E17"/>
    <w:rsid w:val="00F02E42"/>
    <w:rsid w:val="00F02EBF"/>
    <w:rsid w:val="00F02EE5"/>
    <w:rsid w:val="00F02EFE"/>
    <w:rsid w:val="00F02F15"/>
    <w:rsid w:val="00F02F64"/>
    <w:rsid w:val="00F02F6D"/>
    <w:rsid w:val="00F031CD"/>
    <w:rsid w:val="00F03390"/>
    <w:rsid w:val="00F033ED"/>
    <w:rsid w:val="00F033EE"/>
    <w:rsid w:val="00F03452"/>
    <w:rsid w:val="00F035C1"/>
    <w:rsid w:val="00F035F2"/>
    <w:rsid w:val="00F0360D"/>
    <w:rsid w:val="00F03654"/>
    <w:rsid w:val="00F037D5"/>
    <w:rsid w:val="00F037DA"/>
    <w:rsid w:val="00F03849"/>
    <w:rsid w:val="00F03926"/>
    <w:rsid w:val="00F03967"/>
    <w:rsid w:val="00F039B8"/>
    <w:rsid w:val="00F039C4"/>
    <w:rsid w:val="00F03AFF"/>
    <w:rsid w:val="00F03C5C"/>
    <w:rsid w:val="00F03D3A"/>
    <w:rsid w:val="00F03DC7"/>
    <w:rsid w:val="00F03DF8"/>
    <w:rsid w:val="00F03E7C"/>
    <w:rsid w:val="00F03E81"/>
    <w:rsid w:val="00F03F3F"/>
    <w:rsid w:val="00F03FED"/>
    <w:rsid w:val="00F0404C"/>
    <w:rsid w:val="00F040B3"/>
    <w:rsid w:val="00F0424B"/>
    <w:rsid w:val="00F04252"/>
    <w:rsid w:val="00F04402"/>
    <w:rsid w:val="00F0454B"/>
    <w:rsid w:val="00F04575"/>
    <w:rsid w:val="00F045A2"/>
    <w:rsid w:val="00F04624"/>
    <w:rsid w:val="00F0466A"/>
    <w:rsid w:val="00F04677"/>
    <w:rsid w:val="00F046EB"/>
    <w:rsid w:val="00F046FD"/>
    <w:rsid w:val="00F04729"/>
    <w:rsid w:val="00F04738"/>
    <w:rsid w:val="00F0475D"/>
    <w:rsid w:val="00F047EC"/>
    <w:rsid w:val="00F047FF"/>
    <w:rsid w:val="00F0488A"/>
    <w:rsid w:val="00F048D9"/>
    <w:rsid w:val="00F0492A"/>
    <w:rsid w:val="00F0494E"/>
    <w:rsid w:val="00F0496B"/>
    <w:rsid w:val="00F049C3"/>
    <w:rsid w:val="00F049DF"/>
    <w:rsid w:val="00F04A31"/>
    <w:rsid w:val="00F04A7D"/>
    <w:rsid w:val="00F04AEB"/>
    <w:rsid w:val="00F04CE0"/>
    <w:rsid w:val="00F04D22"/>
    <w:rsid w:val="00F04E87"/>
    <w:rsid w:val="00F04E9F"/>
    <w:rsid w:val="00F04FC3"/>
    <w:rsid w:val="00F0509D"/>
    <w:rsid w:val="00F05141"/>
    <w:rsid w:val="00F05185"/>
    <w:rsid w:val="00F0519B"/>
    <w:rsid w:val="00F051F0"/>
    <w:rsid w:val="00F05273"/>
    <w:rsid w:val="00F05310"/>
    <w:rsid w:val="00F05389"/>
    <w:rsid w:val="00F053A8"/>
    <w:rsid w:val="00F05476"/>
    <w:rsid w:val="00F054CB"/>
    <w:rsid w:val="00F054E8"/>
    <w:rsid w:val="00F0552C"/>
    <w:rsid w:val="00F0579F"/>
    <w:rsid w:val="00F057F8"/>
    <w:rsid w:val="00F0580E"/>
    <w:rsid w:val="00F05884"/>
    <w:rsid w:val="00F058A9"/>
    <w:rsid w:val="00F059B0"/>
    <w:rsid w:val="00F059BB"/>
    <w:rsid w:val="00F05A56"/>
    <w:rsid w:val="00F05A60"/>
    <w:rsid w:val="00F05AA0"/>
    <w:rsid w:val="00F05BEF"/>
    <w:rsid w:val="00F05C86"/>
    <w:rsid w:val="00F05C9B"/>
    <w:rsid w:val="00F05E54"/>
    <w:rsid w:val="00F05E8D"/>
    <w:rsid w:val="00F05F11"/>
    <w:rsid w:val="00F05F6F"/>
    <w:rsid w:val="00F05F8C"/>
    <w:rsid w:val="00F060C8"/>
    <w:rsid w:val="00F06148"/>
    <w:rsid w:val="00F061A6"/>
    <w:rsid w:val="00F061E0"/>
    <w:rsid w:val="00F062C0"/>
    <w:rsid w:val="00F063E0"/>
    <w:rsid w:val="00F063E2"/>
    <w:rsid w:val="00F06451"/>
    <w:rsid w:val="00F06457"/>
    <w:rsid w:val="00F06522"/>
    <w:rsid w:val="00F06540"/>
    <w:rsid w:val="00F06632"/>
    <w:rsid w:val="00F0663C"/>
    <w:rsid w:val="00F0667B"/>
    <w:rsid w:val="00F06729"/>
    <w:rsid w:val="00F067DC"/>
    <w:rsid w:val="00F06998"/>
    <w:rsid w:val="00F069BD"/>
    <w:rsid w:val="00F06A67"/>
    <w:rsid w:val="00F06ACD"/>
    <w:rsid w:val="00F06AD4"/>
    <w:rsid w:val="00F06B98"/>
    <w:rsid w:val="00F06C03"/>
    <w:rsid w:val="00F06D03"/>
    <w:rsid w:val="00F06E4B"/>
    <w:rsid w:val="00F07070"/>
    <w:rsid w:val="00F071F9"/>
    <w:rsid w:val="00F0726C"/>
    <w:rsid w:val="00F072A8"/>
    <w:rsid w:val="00F074E6"/>
    <w:rsid w:val="00F075CF"/>
    <w:rsid w:val="00F07623"/>
    <w:rsid w:val="00F076F6"/>
    <w:rsid w:val="00F0795D"/>
    <w:rsid w:val="00F07A66"/>
    <w:rsid w:val="00F07AC0"/>
    <w:rsid w:val="00F07AFD"/>
    <w:rsid w:val="00F07B54"/>
    <w:rsid w:val="00F07C22"/>
    <w:rsid w:val="00F07C34"/>
    <w:rsid w:val="00F07F9E"/>
    <w:rsid w:val="00F0AB87"/>
    <w:rsid w:val="00F10035"/>
    <w:rsid w:val="00F10086"/>
    <w:rsid w:val="00F10292"/>
    <w:rsid w:val="00F102E1"/>
    <w:rsid w:val="00F10366"/>
    <w:rsid w:val="00F10524"/>
    <w:rsid w:val="00F105DB"/>
    <w:rsid w:val="00F1063C"/>
    <w:rsid w:val="00F107E0"/>
    <w:rsid w:val="00F10861"/>
    <w:rsid w:val="00F10A06"/>
    <w:rsid w:val="00F10A3C"/>
    <w:rsid w:val="00F10AC0"/>
    <w:rsid w:val="00F10B0B"/>
    <w:rsid w:val="00F10C6B"/>
    <w:rsid w:val="00F10C94"/>
    <w:rsid w:val="00F10F3F"/>
    <w:rsid w:val="00F10F40"/>
    <w:rsid w:val="00F11104"/>
    <w:rsid w:val="00F11164"/>
    <w:rsid w:val="00F111C4"/>
    <w:rsid w:val="00F1130F"/>
    <w:rsid w:val="00F113DF"/>
    <w:rsid w:val="00F115EC"/>
    <w:rsid w:val="00F11865"/>
    <w:rsid w:val="00F11950"/>
    <w:rsid w:val="00F1196A"/>
    <w:rsid w:val="00F11A0B"/>
    <w:rsid w:val="00F11A1B"/>
    <w:rsid w:val="00F11A7F"/>
    <w:rsid w:val="00F11B19"/>
    <w:rsid w:val="00F11B3A"/>
    <w:rsid w:val="00F11B3B"/>
    <w:rsid w:val="00F11CFB"/>
    <w:rsid w:val="00F11DED"/>
    <w:rsid w:val="00F11E52"/>
    <w:rsid w:val="00F11EFA"/>
    <w:rsid w:val="00F11FB7"/>
    <w:rsid w:val="00F11FE0"/>
    <w:rsid w:val="00F11FEB"/>
    <w:rsid w:val="00F12037"/>
    <w:rsid w:val="00F120AF"/>
    <w:rsid w:val="00F12224"/>
    <w:rsid w:val="00F1234F"/>
    <w:rsid w:val="00F12412"/>
    <w:rsid w:val="00F12452"/>
    <w:rsid w:val="00F12544"/>
    <w:rsid w:val="00F12574"/>
    <w:rsid w:val="00F125AA"/>
    <w:rsid w:val="00F125C7"/>
    <w:rsid w:val="00F12605"/>
    <w:rsid w:val="00F12658"/>
    <w:rsid w:val="00F12673"/>
    <w:rsid w:val="00F12742"/>
    <w:rsid w:val="00F12745"/>
    <w:rsid w:val="00F12828"/>
    <w:rsid w:val="00F12867"/>
    <w:rsid w:val="00F12882"/>
    <w:rsid w:val="00F12910"/>
    <w:rsid w:val="00F12AF1"/>
    <w:rsid w:val="00F12C2F"/>
    <w:rsid w:val="00F12F2D"/>
    <w:rsid w:val="00F12F3A"/>
    <w:rsid w:val="00F130AF"/>
    <w:rsid w:val="00F132C7"/>
    <w:rsid w:val="00F13351"/>
    <w:rsid w:val="00F13371"/>
    <w:rsid w:val="00F133DE"/>
    <w:rsid w:val="00F13442"/>
    <w:rsid w:val="00F1363D"/>
    <w:rsid w:val="00F13643"/>
    <w:rsid w:val="00F13690"/>
    <w:rsid w:val="00F13779"/>
    <w:rsid w:val="00F13883"/>
    <w:rsid w:val="00F138EA"/>
    <w:rsid w:val="00F138F8"/>
    <w:rsid w:val="00F139CC"/>
    <w:rsid w:val="00F139DA"/>
    <w:rsid w:val="00F13AC8"/>
    <w:rsid w:val="00F13AE7"/>
    <w:rsid w:val="00F13B01"/>
    <w:rsid w:val="00F13B11"/>
    <w:rsid w:val="00F13B8F"/>
    <w:rsid w:val="00F13CE8"/>
    <w:rsid w:val="00F13E21"/>
    <w:rsid w:val="00F13E39"/>
    <w:rsid w:val="00F13E44"/>
    <w:rsid w:val="00F13F83"/>
    <w:rsid w:val="00F1405B"/>
    <w:rsid w:val="00F141FD"/>
    <w:rsid w:val="00F14219"/>
    <w:rsid w:val="00F143C0"/>
    <w:rsid w:val="00F1440A"/>
    <w:rsid w:val="00F1440C"/>
    <w:rsid w:val="00F144CC"/>
    <w:rsid w:val="00F144E2"/>
    <w:rsid w:val="00F14514"/>
    <w:rsid w:val="00F1451E"/>
    <w:rsid w:val="00F14665"/>
    <w:rsid w:val="00F14721"/>
    <w:rsid w:val="00F14802"/>
    <w:rsid w:val="00F1482B"/>
    <w:rsid w:val="00F148B3"/>
    <w:rsid w:val="00F1494A"/>
    <w:rsid w:val="00F149DC"/>
    <w:rsid w:val="00F14AD6"/>
    <w:rsid w:val="00F14BA6"/>
    <w:rsid w:val="00F14BD3"/>
    <w:rsid w:val="00F14D97"/>
    <w:rsid w:val="00F14DAE"/>
    <w:rsid w:val="00F14E8F"/>
    <w:rsid w:val="00F14F7F"/>
    <w:rsid w:val="00F15075"/>
    <w:rsid w:val="00F15080"/>
    <w:rsid w:val="00F150E0"/>
    <w:rsid w:val="00F1514B"/>
    <w:rsid w:val="00F15169"/>
    <w:rsid w:val="00F1523D"/>
    <w:rsid w:val="00F1527E"/>
    <w:rsid w:val="00F1529F"/>
    <w:rsid w:val="00F152BE"/>
    <w:rsid w:val="00F1534D"/>
    <w:rsid w:val="00F15442"/>
    <w:rsid w:val="00F15574"/>
    <w:rsid w:val="00F157F6"/>
    <w:rsid w:val="00F158C2"/>
    <w:rsid w:val="00F15953"/>
    <w:rsid w:val="00F15966"/>
    <w:rsid w:val="00F1596C"/>
    <w:rsid w:val="00F15A2B"/>
    <w:rsid w:val="00F15BB1"/>
    <w:rsid w:val="00F15C0F"/>
    <w:rsid w:val="00F15CEE"/>
    <w:rsid w:val="00F15D0F"/>
    <w:rsid w:val="00F15D11"/>
    <w:rsid w:val="00F15D74"/>
    <w:rsid w:val="00F15DB7"/>
    <w:rsid w:val="00F15E0E"/>
    <w:rsid w:val="00F15FCF"/>
    <w:rsid w:val="00F15FE2"/>
    <w:rsid w:val="00F16225"/>
    <w:rsid w:val="00F16227"/>
    <w:rsid w:val="00F162EC"/>
    <w:rsid w:val="00F163AF"/>
    <w:rsid w:val="00F16448"/>
    <w:rsid w:val="00F16454"/>
    <w:rsid w:val="00F1646E"/>
    <w:rsid w:val="00F164C5"/>
    <w:rsid w:val="00F164FF"/>
    <w:rsid w:val="00F16512"/>
    <w:rsid w:val="00F16746"/>
    <w:rsid w:val="00F167CC"/>
    <w:rsid w:val="00F167E6"/>
    <w:rsid w:val="00F167FA"/>
    <w:rsid w:val="00F1681B"/>
    <w:rsid w:val="00F1682C"/>
    <w:rsid w:val="00F16852"/>
    <w:rsid w:val="00F168EB"/>
    <w:rsid w:val="00F16915"/>
    <w:rsid w:val="00F16ADF"/>
    <w:rsid w:val="00F16BA4"/>
    <w:rsid w:val="00F16CAA"/>
    <w:rsid w:val="00F16CC2"/>
    <w:rsid w:val="00F16CE3"/>
    <w:rsid w:val="00F16D92"/>
    <w:rsid w:val="00F16E56"/>
    <w:rsid w:val="00F16E60"/>
    <w:rsid w:val="00F16E78"/>
    <w:rsid w:val="00F16EDF"/>
    <w:rsid w:val="00F1713E"/>
    <w:rsid w:val="00F171B6"/>
    <w:rsid w:val="00F17357"/>
    <w:rsid w:val="00F174E9"/>
    <w:rsid w:val="00F17532"/>
    <w:rsid w:val="00F1765B"/>
    <w:rsid w:val="00F176AB"/>
    <w:rsid w:val="00F1774A"/>
    <w:rsid w:val="00F17750"/>
    <w:rsid w:val="00F17799"/>
    <w:rsid w:val="00F177F2"/>
    <w:rsid w:val="00F17809"/>
    <w:rsid w:val="00F17827"/>
    <w:rsid w:val="00F1788E"/>
    <w:rsid w:val="00F17972"/>
    <w:rsid w:val="00F17B90"/>
    <w:rsid w:val="00F17BB8"/>
    <w:rsid w:val="00F17C1B"/>
    <w:rsid w:val="00F17C24"/>
    <w:rsid w:val="00F17D3C"/>
    <w:rsid w:val="00F17DF9"/>
    <w:rsid w:val="00F17DFA"/>
    <w:rsid w:val="00F20008"/>
    <w:rsid w:val="00F20106"/>
    <w:rsid w:val="00F20111"/>
    <w:rsid w:val="00F2018E"/>
    <w:rsid w:val="00F20201"/>
    <w:rsid w:val="00F2039A"/>
    <w:rsid w:val="00F20450"/>
    <w:rsid w:val="00F20462"/>
    <w:rsid w:val="00F204E8"/>
    <w:rsid w:val="00F205E3"/>
    <w:rsid w:val="00F2063A"/>
    <w:rsid w:val="00F20666"/>
    <w:rsid w:val="00F206BE"/>
    <w:rsid w:val="00F20831"/>
    <w:rsid w:val="00F209A9"/>
    <w:rsid w:val="00F209EB"/>
    <w:rsid w:val="00F209F6"/>
    <w:rsid w:val="00F20A5B"/>
    <w:rsid w:val="00F20B25"/>
    <w:rsid w:val="00F20CD9"/>
    <w:rsid w:val="00F20D8E"/>
    <w:rsid w:val="00F20DE8"/>
    <w:rsid w:val="00F20E28"/>
    <w:rsid w:val="00F20FDC"/>
    <w:rsid w:val="00F20FF0"/>
    <w:rsid w:val="00F20FF1"/>
    <w:rsid w:val="00F2100F"/>
    <w:rsid w:val="00F210F0"/>
    <w:rsid w:val="00F211BB"/>
    <w:rsid w:val="00F2142F"/>
    <w:rsid w:val="00F21479"/>
    <w:rsid w:val="00F21531"/>
    <w:rsid w:val="00F215DC"/>
    <w:rsid w:val="00F215EA"/>
    <w:rsid w:val="00F21668"/>
    <w:rsid w:val="00F2168B"/>
    <w:rsid w:val="00F216EE"/>
    <w:rsid w:val="00F21745"/>
    <w:rsid w:val="00F21836"/>
    <w:rsid w:val="00F21845"/>
    <w:rsid w:val="00F21884"/>
    <w:rsid w:val="00F218ED"/>
    <w:rsid w:val="00F218FC"/>
    <w:rsid w:val="00F21A53"/>
    <w:rsid w:val="00F21A6C"/>
    <w:rsid w:val="00F21C81"/>
    <w:rsid w:val="00F21CCA"/>
    <w:rsid w:val="00F21D77"/>
    <w:rsid w:val="00F21DA5"/>
    <w:rsid w:val="00F21E22"/>
    <w:rsid w:val="00F21E60"/>
    <w:rsid w:val="00F21EE9"/>
    <w:rsid w:val="00F21F4A"/>
    <w:rsid w:val="00F21FA2"/>
    <w:rsid w:val="00F2215D"/>
    <w:rsid w:val="00F222B8"/>
    <w:rsid w:val="00F2231D"/>
    <w:rsid w:val="00F224FD"/>
    <w:rsid w:val="00F22534"/>
    <w:rsid w:val="00F225D3"/>
    <w:rsid w:val="00F225FA"/>
    <w:rsid w:val="00F2261A"/>
    <w:rsid w:val="00F22665"/>
    <w:rsid w:val="00F22666"/>
    <w:rsid w:val="00F2267B"/>
    <w:rsid w:val="00F22740"/>
    <w:rsid w:val="00F2275C"/>
    <w:rsid w:val="00F228AB"/>
    <w:rsid w:val="00F22A5A"/>
    <w:rsid w:val="00F22AD2"/>
    <w:rsid w:val="00F22BA8"/>
    <w:rsid w:val="00F22C1F"/>
    <w:rsid w:val="00F22CEC"/>
    <w:rsid w:val="00F22D30"/>
    <w:rsid w:val="00F22E28"/>
    <w:rsid w:val="00F22F8E"/>
    <w:rsid w:val="00F23099"/>
    <w:rsid w:val="00F231D7"/>
    <w:rsid w:val="00F23207"/>
    <w:rsid w:val="00F23292"/>
    <w:rsid w:val="00F23355"/>
    <w:rsid w:val="00F2336C"/>
    <w:rsid w:val="00F23421"/>
    <w:rsid w:val="00F23435"/>
    <w:rsid w:val="00F23449"/>
    <w:rsid w:val="00F2345F"/>
    <w:rsid w:val="00F234F9"/>
    <w:rsid w:val="00F234FA"/>
    <w:rsid w:val="00F2362E"/>
    <w:rsid w:val="00F23729"/>
    <w:rsid w:val="00F2375E"/>
    <w:rsid w:val="00F23797"/>
    <w:rsid w:val="00F238F6"/>
    <w:rsid w:val="00F23962"/>
    <w:rsid w:val="00F23966"/>
    <w:rsid w:val="00F2396B"/>
    <w:rsid w:val="00F23AD9"/>
    <w:rsid w:val="00F23AF3"/>
    <w:rsid w:val="00F23B04"/>
    <w:rsid w:val="00F23BE0"/>
    <w:rsid w:val="00F23C01"/>
    <w:rsid w:val="00F23DB6"/>
    <w:rsid w:val="00F23DD1"/>
    <w:rsid w:val="00F23E14"/>
    <w:rsid w:val="00F23F06"/>
    <w:rsid w:val="00F23FD5"/>
    <w:rsid w:val="00F24140"/>
    <w:rsid w:val="00F2436B"/>
    <w:rsid w:val="00F243B2"/>
    <w:rsid w:val="00F24410"/>
    <w:rsid w:val="00F244A6"/>
    <w:rsid w:val="00F244C3"/>
    <w:rsid w:val="00F244E4"/>
    <w:rsid w:val="00F24532"/>
    <w:rsid w:val="00F2463F"/>
    <w:rsid w:val="00F246D3"/>
    <w:rsid w:val="00F2476D"/>
    <w:rsid w:val="00F248F6"/>
    <w:rsid w:val="00F24914"/>
    <w:rsid w:val="00F2491C"/>
    <w:rsid w:val="00F24B87"/>
    <w:rsid w:val="00F24C21"/>
    <w:rsid w:val="00F24CEF"/>
    <w:rsid w:val="00F24D91"/>
    <w:rsid w:val="00F24DF1"/>
    <w:rsid w:val="00F24F61"/>
    <w:rsid w:val="00F24F7E"/>
    <w:rsid w:val="00F24FDC"/>
    <w:rsid w:val="00F250A3"/>
    <w:rsid w:val="00F250EA"/>
    <w:rsid w:val="00F25123"/>
    <w:rsid w:val="00F2512F"/>
    <w:rsid w:val="00F25179"/>
    <w:rsid w:val="00F251E0"/>
    <w:rsid w:val="00F2522D"/>
    <w:rsid w:val="00F25245"/>
    <w:rsid w:val="00F25447"/>
    <w:rsid w:val="00F25630"/>
    <w:rsid w:val="00F25634"/>
    <w:rsid w:val="00F2569D"/>
    <w:rsid w:val="00F256AA"/>
    <w:rsid w:val="00F25762"/>
    <w:rsid w:val="00F2585C"/>
    <w:rsid w:val="00F25943"/>
    <w:rsid w:val="00F259AD"/>
    <w:rsid w:val="00F25A6A"/>
    <w:rsid w:val="00F25AC8"/>
    <w:rsid w:val="00F25B78"/>
    <w:rsid w:val="00F25B9C"/>
    <w:rsid w:val="00F25C2B"/>
    <w:rsid w:val="00F25CA0"/>
    <w:rsid w:val="00F25CE0"/>
    <w:rsid w:val="00F25D01"/>
    <w:rsid w:val="00F25D36"/>
    <w:rsid w:val="00F25E3F"/>
    <w:rsid w:val="00F25E6E"/>
    <w:rsid w:val="00F25F15"/>
    <w:rsid w:val="00F25F4A"/>
    <w:rsid w:val="00F25F80"/>
    <w:rsid w:val="00F2601B"/>
    <w:rsid w:val="00F2605F"/>
    <w:rsid w:val="00F2607B"/>
    <w:rsid w:val="00F26139"/>
    <w:rsid w:val="00F26146"/>
    <w:rsid w:val="00F2624F"/>
    <w:rsid w:val="00F2631C"/>
    <w:rsid w:val="00F26575"/>
    <w:rsid w:val="00F26579"/>
    <w:rsid w:val="00F26645"/>
    <w:rsid w:val="00F2666C"/>
    <w:rsid w:val="00F2668F"/>
    <w:rsid w:val="00F2692E"/>
    <w:rsid w:val="00F269D7"/>
    <w:rsid w:val="00F26A0F"/>
    <w:rsid w:val="00F26A5B"/>
    <w:rsid w:val="00F26AD3"/>
    <w:rsid w:val="00F26B2D"/>
    <w:rsid w:val="00F26B49"/>
    <w:rsid w:val="00F26B66"/>
    <w:rsid w:val="00F26B81"/>
    <w:rsid w:val="00F26BF9"/>
    <w:rsid w:val="00F26C53"/>
    <w:rsid w:val="00F26C76"/>
    <w:rsid w:val="00F26CA7"/>
    <w:rsid w:val="00F26E54"/>
    <w:rsid w:val="00F26E6B"/>
    <w:rsid w:val="00F26F50"/>
    <w:rsid w:val="00F26F78"/>
    <w:rsid w:val="00F26FB2"/>
    <w:rsid w:val="00F26FCF"/>
    <w:rsid w:val="00F27087"/>
    <w:rsid w:val="00F27098"/>
    <w:rsid w:val="00F27159"/>
    <w:rsid w:val="00F27312"/>
    <w:rsid w:val="00F27436"/>
    <w:rsid w:val="00F2757D"/>
    <w:rsid w:val="00F27686"/>
    <w:rsid w:val="00F27739"/>
    <w:rsid w:val="00F277CC"/>
    <w:rsid w:val="00F2780B"/>
    <w:rsid w:val="00F27964"/>
    <w:rsid w:val="00F27A23"/>
    <w:rsid w:val="00F27CE9"/>
    <w:rsid w:val="00F27D22"/>
    <w:rsid w:val="00F27D4E"/>
    <w:rsid w:val="00F27DB8"/>
    <w:rsid w:val="00F27E40"/>
    <w:rsid w:val="00F27E60"/>
    <w:rsid w:val="00F27E63"/>
    <w:rsid w:val="00F27E7C"/>
    <w:rsid w:val="00F27F99"/>
    <w:rsid w:val="00F27FB1"/>
    <w:rsid w:val="00F27FD6"/>
    <w:rsid w:val="00F30051"/>
    <w:rsid w:val="00F3005C"/>
    <w:rsid w:val="00F300C9"/>
    <w:rsid w:val="00F30100"/>
    <w:rsid w:val="00F30124"/>
    <w:rsid w:val="00F301A0"/>
    <w:rsid w:val="00F3026E"/>
    <w:rsid w:val="00F302D6"/>
    <w:rsid w:val="00F30305"/>
    <w:rsid w:val="00F303B4"/>
    <w:rsid w:val="00F30597"/>
    <w:rsid w:val="00F307DD"/>
    <w:rsid w:val="00F30A6E"/>
    <w:rsid w:val="00F30B31"/>
    <w:rsid w:val="00F30B54"/>
    <w:rsid w:val="00F30BDB"/>
    <w:rsid w:val="00F30C16"/>
    <w:rsid w:val="00F30CA3"/>
    <w:rsid w:val="00F30DE6"/>
    <w:rsid w:val="00F30DEC"/>
    <w:rsid w:val="00F30E10"/>
    <w:rsid w:val="00F30E1A"/>
    <w:rsid w:val="00F30F1A"/>
    <w:rsid w:val="00F30F79"/>
    <w:rsid w:val="00F310E5"/>
    <w:rsid w:val="00F3115B"/>
    <w:rsid w:val="00F3116E"/>
    <w:rsid w:val="00F31217"/>
    <w:rsid w:val="00F31333"/>
    <w:rsid w:val="00F314BC"/>
    <w:rsid w:val="00F31671"/>
    <w:rsid w:val="00F3176C"/>
    <w:rsid w:val="00F317DF"/>
    <w:rsid w:val="00F31905"/>
    <w:rsid w:val="00F31AA3"/>
    <w:rsid w:val="00F31B44"/>
    <w:rsid w:val="00F31B6B"/>
    <w:rsid w:val="00F31C05"/>
    <w:rsid w:val="00F31C90"/>
    <w:rsid w:val="00F31CCD"/>
    <w:rsid w:val="00F31D4E"/>
    <w:rsid w:val="00F31DAC"/>
    <w:rsid w:val="00F31E4E"/>
    <w:rsid w:val="00F31E63"/>
    <w:rsid w:val="00F31F1F"/>
    <w:rsid w:val="00F31F41"/>
    <w:rsid w:val="00F31F78"/>
    <w:rsid w:val="00F31FCF"/>
    <w:rsid w:val="00F32023"/>
    <w:rsid w:val="00F3214B"/>
    <w:rsid w:val="00F3215C"/>
    <w:rsid w:val="00F321C4"/>
    <w:rsid w:val="00F3228D"/>
    <w:rsid w:val="00F322F3"/>
    <w:rsid w:val="00F324A2"/>
    <w:rsid w:val="00F32513"/>
    <w:rsid w:val="00F3260D"/>
    <w:rsid w:val="00F32780"/>
    <w:rsid w:val="00F327D3"/>
    <w:rsid w:val="00F327D6"/>
    <w:rsid w:val="00F32800"/>
    <w:rsid w:val="00F328B4"/>
    <w:rsid w:val="00F329A9"/>
    <w:rsid w:val="00F32B42"/>
    <w:rsid w:val="00F32C14"/>
    <w:rsid w:val="00F32CC4"/>
    <w:rsid w:val="00F32DEC"/>
    <w:rsid w:val="00F32E15"/>
    <w:rsid w:val="00F32E60"/>
    <w:rsid w:val="00F32EE3"/>
    <w:rsid w:val="00F33044"/>
    <w:rsid w:val="00F3316D"/>
    <w:rsid w:val="00F33181"/>
    <w:rsid w:val="00F33335"/>
    <w:rsid w:val="00F3334B"/>
    <w:rsid w:val="00F3336C"/>
    <w:rsid w:val="00F3345C"/>
    <w:rsid w:val="00F33485"/>
    <w:rsid w:val="00F33494"/>
    <w:rsid w:val="00F3352F"/>
    <w:rsid w:val="00F3354F"/>
    <w:rsid w:val="00F33565"/>
    <w:rsid w:val="00F33573"/>
    <w:rsid w:val="00F336C8"/>
    <w:rsid w:val="00F33800"/>
    <w:rsid w:val="00F3382E"/>
    <w:rsid w:val="00F3390E"/>
    <w:rsid w:val="00F3392F"/>
    <w:rsid w:val="00F339D8"/>
    <w:rsid w:val="00F33A52"/>
    <w:rsid w:val="00F33A65"/>
    <w:rsid w:val="00F33B11"/>
    <w:rsid w:val="00F33B46"/>
    <w:rsid w:val="00F33B6E"/>
    <w:rsid w:val="00F33BD1"/>
    <w:rsid w:val="00F33C58"/>
    <w:rsid w:val="00F33C5A"/>
    <w:rsid w:val="00F33C5C"/>
    <w:rsid w:val="00F33C63"/>
    <w:rsid w:val="00F33D55"/>
    <w:rsid w:val="00F33D56"/>
    <w:rsid w:val="00F33DF4"/>
    <w:rsid w:val="00F33F29"/>
    <w:rsid w:val="00F33F4A"/>
    <w:rsid w:val="00F33F77"/>
    <w:rsid w:val="00F34009"/>
    <w:rsid w:val="00F3404A"/>
    <w:rsid w:val="00F340E1"/>
    <w:rsid w:val="00F34184"/>
    <w:rsid w:val="00F34224"/>
    <w:rsid w:val="00F3427B"/>
    <w:rsid w:val="00F34294"/>
    <w:rsid w:val="00F34308"/>
    <w:rsid w:val="00F34324"/>
    <w:rsid w:val="00F344DA"/>
    <w:rsid w:val="00F34540"/>
    <w:rsid w:val="00F345A8"/>
    <w:rsid w:val="00F34670"/>
    <w:rsid w:val="00F34679"/>
    <w:rsid w:val="00F34736"/>
    <w:rsid w:val="00F347E4"/>
    <w:rsid w:val="00F34AD3"/>
    <w:rsid w:val="00F34B47"/>
    <w:rsid w:val="00F34BA8"/>
    <w:rsid w:val="00F34BDE"/>
    <w:rsid w:val="00F34C53"/>
    <w:rsid w:val="00F34C6D"/>
    <w:rsid w:val="00F34CD7"/>
    <w:rsid w:val="00F34DD2"/>
    <w:rsid w:val="00F34FF5"/>
    <w:rsid w:val="00F352AD"/>
    <w:rsid w:val="00F35345"/>
    <w:rsid w:val="00F353B7"/>
    <w:rsid w:val="00F353E2"/>
    <w:rsid w:val="00F353EF"/>
    <w:rsid w:val="00F35461"/>
    <w:rsid w:val="00F354F6"/>
    <w:rsid w:val="00F3555E"/>
    <w:rsid w:val="00F35571"/>
    <w:rsid w:val="00F355F1"/>
    <w:rsid w:val="00F35613"/>
    <w:rsid w:val="00F356A7"/>
    <w:rsid w:val="00F356D9"/>
    <w:rsid w:val="00F35830"/>
    <w:rsid w:val="00F35856"/>
    <w:rsid w:val="00F3585D"/>
    <w:rsid w:val="00F358AE"/>
    <w:rsid w:val="00F35A87"/>
    <w:rsid w:val="00F35B24"/>
    <w:rsid w:val="00F35B49"/>
    <w:rsid w:val="00F35C49"/>
    <w:rsid w:val="00F35CB3"/>
    <w:rsid w:val="00F35D24"/>
    <w:rsid w:val="00F35D50"/>
    <w:rsid w:val="00F35D58"/>
    <w:rsid w:val="00F35E00"/>
    <w:rsid w:val="00F35FCD"/>
    <w:rsid w:val="00F360DD"/>
    <w:rsid w:val="00F36107"/>
    <w:rsid w:val="00F36144"/>
    <w:rsid w:val="00F36164"/>
    <w:rsid w:val="00F36305"/>
    <w:rsid w:val="00F36319"/>
    <w:rsid w:val="00F3632F"/>
    <w:rsid w:val="00F36348"/>
    <w:rsid w:val="00F363BC"/>
    <w:rsid w:val="00F363C8"/>
    <w:rsid w:val="00F36417"/>
    <w:rsid w:val="00F36495"/>
    <w:rsid w:val="00F3649E"/>
    <w:rsid w:val="00F364A6"/>
    <w:rsid w:val="00F36510"/>
    <w:rsid w:val="00F36611"/>
    <w:rsid w:val="00F36692"/>
    <w:rsid w:val="00F36824"/>
    <w:rsid w:val="00F36830"/>
    <w:rsid w:val="00F368BD"/>
    <w:rsid w:val="00F3691C"/>
    <w:rsid w:val="00F3692C"/>
    <w:rsid w:val="00F369E1"/>
    <w:rsid w:val="00F36A46"/>
    <w:rsid w:val="00F36A74"/>
    <w:rsid w:val="00F36B88"/>
    <w:rsid w:val="00F36C2B"/>
    <w:rsid w:val="00F36D54"/>
    <w:rsid w:val="00F36D56"/>
    <w:rsid w:val="00F36EC8"/>
    <w:rsid w:val="00F370C1"/>
    <w:rsid w:val="00F3711C"/>
    <w:rsid w:val="00F3721D"/>
    <w:rsid w:val="00F37255"/>
    <w:rsid w:val="00F372B4"/>
    <w:rsid w:val="00F3733B"/>
    <w:rsid w:val="00F37340"/>
    <w:rsid w:val="00F37428"/>
    <w:rsid w:val="00F37464"/>
    <w:rsid w:val="00F37519"/>
    <w:rsid w:val="00F37566"/>
    <w:rsid w:val="00F3762A"/>
    <w:rsid w:val="00F37661"/>
    <w:rsid w:val="00F3771F"/>
    <w:rsid w:val="00F37720"/>
    <w:rsid w:val="00F37731"/>
    <w:rsid w:val="00F3776B"/>
    <w:rsid w:val="00F378A6"/>
    <w:rsid w:val="00F37912"/>
    <w:rsid w:val="00F3793C"/>
    <w:rsid w:val="00F3796B"/>
    <w:rsid w:val="00F379E0"/>
    <w:rsid w:val="00F37A02"/>
    <w:rsid w:val="00F37A60"/>
    <w:rsid w:val="00F37A99"/>
    <w:rsid w:val="00F37AB4"/>
    <w:rsid w:val="00F37B6F"/>
    <w:rsid w:val="00F37B7D"/>
    <w:rsid w:val="00F37BDC"/>
    <w:rsid w:val="00F37BE3"/>
    <w:rsid w:val="00F37C12"/>
    <w:rsid w:val="00F37D1D"/>
    <w:rsid w:val="00F37EA8"/>
    <w:rsid w:val="00F37F8D"/>
    <w:rsid w:val="00F39FF7"/>
    <w:rsid w:val="00F4006A"/>
    <w:rsid w:val="00F400B9"/>
    <w:rsid w:val="00F400E1"/>
    <w:rsid w:val="00F40284"/>
    <w:rsid w:val="00F4035B"/>
    <w:rsid w:val="00F403D4"/>
    <w:rsid w:val="00F40513"/>
    <w:rsid w:val="00F40542"/>
    <w:rsid w:val="00F4056D"/>
    <w:rsid w:val="00F4060B"/>
    <w:rsid w:val="00F4065F"/>
    <w:rsid w:val="00F407B3"/>
    <w:rsid w:val="00F407ED"/>
    <w:rsid w:val="00F408B7"/>
    <w:rsid w:val="00F408D0"/>
    <w:rsid w:val="00F4092A"/>
    <w:rsid w:val="00F409F4"/>
    <w:rsid w:val="00F40A03"/>
    <w:rsid w:val="00F40A7E"/>
    <w:rsid w:val="00F40AAF"/>
    <w:rsid w:val="00F40B04"/>
    <w:rsid w:val="00F40B63"/>
    <w:rsid w:val="00F40C1D"/>
    <w:rsid w:val="00F40ED2"/>
    <w:rsid w:val="00F40F2B"/>
    <w:rsid w:val="00F410B8"/>
    <w:rsid w:val="00F4129D"/>
    <w:rsid w:val="00F412A1"/>
    <w:rsid w:val="00F4142F"/>
    <w:rsid w:val="00F414B3"/>
    <w:rsid w:val="00F4150B"/>
    <w:rsid w:val="00F4156C"/>
    <w:rsid w:val="00F415E4"/>
    <w:rsid w:val="00F41714"/>
    <w:rsid w:val="00F41766"/>
    <w:rsid w:val="00F4179E"/>
    <w:rsid w:val="00F417B4"/>
    <w:rsid w:val="00F41876"/>
    <w:rsid w:val="00F4194F"/>
    <w:rsid w:val="00F419EE"/>
    <w:rsid w:val="00F41A25"/>
    <w:rsid w:val="00F41A4D"/>
    <w:rsid w:val="00F41AA5"/>
    <w:rsid w:val="00F41B57"/>
    <w:rsid w:val="00F41B89"/>
    <w:rsid w:val="00F41C3D"/>
    <w:rsid w:val="00F41C48"/>
    <w:rsid w:val="00F41C8A"/>
    <w:rsid w:val="00F41D84"/>
    <w:rsid w:val="00F41FA2"/>
    <w:rsid w:val="00F41FEA"/>
    <w:rsid w:val="00F42035"/>
    <w:rsid w:val="00F42048"/>
    <w:rsid w:val="00F420C6"/>
    <w:rsid w:val="00F42134"/>
    <w:rsid w:val="00F4215F"/>
    <w:rsid w:val="00F42244"/>
    <w:rsid w:val="00F4228D"/>
    <w:rsid w:val="00F42454"/>
    <w:rsid w:val="00F424C7"/>
    <w:rsid w:val="00F42570"/>
    <w:rsid w:val="00F42669"/>
    <w:rsid w:val="00F426C6"/>
    <w:rsid w:val="00F42705"/>
    <w:rsid w:val="00F4289E"/>
    <w:rsid w:val="00F42AA5"/>
    <w:rsid w:val="00F42AD6"/>
    <w:rsid w:val="00F42B31"/>
    <w:rsid w:val="00F42B55"/>
    <w:rsid w:val="00F42B68"/>
    <w:rsid w:val="00F42D0B"/>
    <w:rsid w:val="00F42F68"/>
    <w:rsid w:val="00F42F99"/>
    <w:rsid w:val="00F430B8"/>
    <w:rsid w:val="00F4313C"/>
    <w:rsid w:val="00F431BD"/>
    <w:rsid w:val="00F4327B"/>
    <w:rsid w:val="00F4329F"/>
    <w:rsid w:val="00F432DA"/>
    <w:rsid w:val="00F4331B"/>
    <w:rsid w:val="00F43328"/>
    <w:rsid w:val="00F43393"/>
    <w:rsid w:val="00F43422"/>
    <w:rsid w:val="00F43450"/>
    <w:rsid w:val="00F4362F"/>
    <w:rsid w:val="00F43668"/>
    <w:rsid w:val="00F436A7"/>
    <w:rsid w:val="00F43713"/>
    <w:rsid w:val="00F43786"/>
    <w:rsid w:val="00F437BC"/>
    <w:rsid w:val="00F438A9"/>
    <w:rsid w:val="00F438F3"/>
    <w:rsid w:val="00F439DF"/>
    <w:rsid w:val="00F43A99"/>
    <w:rsid w:val="00F43ACB"/>
    <w:rsid w:val="00F43C21"/>
    <w:rsid w:val="00F43C81"/>
    <w:rsid w:val="00F43CD3"/>
    <w:rsid w:val="00F43E0C"/>
    <w:rsid w:val="00F43F3C"/>
    <w:rsid w:val="00F43F73"/>
    <w:rsid w:val="00F4401E"/>
    <w:rsid w:val="00F4408D"/>
    <w:rsid w:val="00F4408F"/>
    <w:rsid w:val="00F44187"/>
    <w:rsid w:val="00F442BD"/>
    <w:rsid w:val="00F442EF"/>
    <w:rsid w:val="00F44501"/>
    <w:rsid w:val="00F44536"/>
    <w:rsid w:val="00F44568"/>
    <w:rsid w:val="00F445EF"/>
    <w:rsid w:val="00F446C4"/>
    <w:rsid w:val="00F4486F"/>
    <w:rsid w:val="00F448C4"/>
    <w:rsid w:val="00F4492C"/>
    <w:rsid w:val="00F44957"/>
    <w:rsid w:val="00F44A2B"/>
    <w:rsid w:val="00F44AAC"/>
    <w:rsid w:val="00F44CC4"/>
    <w:rsid w:val="00F44D2C"/>
    <w:rsid w:val="00F44D4A"/>
    <w:rsid w:val="00F44D82"/>
    <w:rsid w:val="00F44DF0"/>
    <w:rsid w:val="00F44EA1"/>
    <w:rsid w:val="00F44EF9"/>
    <w:rsid w:val="00F44FF1"/>
    <w:rsid w:val="00F45037"/>
    <w:rsid w:val="00F450C7"/>
    <w:rsid w:val="00F45117"/>
    <w:rsid w:val="00F45179"/>
    <w:rsid w:val="00F4523B"/>
    <w:rsid w:val="00F452F8"/>
    <w:rsid w:val="00F45310"/>
    <w:rsid w:val="00F4535A"/>
    <w:rsid w:val="00F45378"/>
    <w:rsid w:val="00F4549D"/>
    <w:rsid w:val="00F454B4"/>
    <w:rsid w:val="00F45515"/>
    <w:rsid w:val="00F4562B"/>
    <w:rsid w:val="00F45811"/>
    <w:rsid w:val="00F45857"/>
    <w:rsid w:val="00F45890"/>
    <w:rsid w:val="00F458FB"/>
    <w:rsid w:val="00F4594C"/>
    <w:rsid w:val="00F459BC"/>
    <w:rsid w:val="00F45B20"/>
    <w:rsid w:val="00F45D39"/>
    <w:rsid w:val="00F45DDF"/>
    <w:rsid w:val="00F45E0E"/>
    <w:rsid w:val="00F45EB4"/>
    <w:rsid w:val="00F460BF"/>
    <w:rsid w:val="00F460DC"/>
    <w:rsid w:val="00F460F3"/>
    <w:rsid w:val="00F4613D"/>
    <w:rsid w:val="00F46169"/>
    <w:rsid w:val="00F46204"/>
    <w:rsid w:val="00F46389"/>
    <w:rsid w:val="00F463F4"/>
    <w:rsid w:val="00F4657A"/>
    <w:rsid w:val="00F4657C"/>
    <w:rsid w:val="00F46583"/>
    <w:rsid w:val="00F46623"/>
    <w:rsid w:val="00F4662C"/>
    <w:rsid w:val="00F46709"/>
    <w:rsid w:val="00F4677F"/>
    <w:rsid w:val="00F4685A"/>
    <w:rsid w:val="00F46955"/>
    <w:rsid w:val="00F46A7D"/>
    <w:rsid w:val="00F46A91"/>
    <w:rsid w:val="00F46C08"/>
    <w:rsid w:val="00F46C34"/>
    <w:rsid w:val="00F46CBD"/>
    <w:rsid w:val="00F46D1A"/>
    <w:rsid w:val="00F46D3D"/>
    <w:rsid w:val="00F46D58"/>
    <w:rsid w:val="00F46D9E"/>
    <w:rsid w:val="00F46DCC"/>
    <w:rsid w:val="00F46ED5"/>
    <w:rsid w:val="00F46EEB"/>
    <w:rsid w:val="00F4713E"/>
    <w:rsid w:val="00F471B6"/>
    <w:rsid w:val="00F47333"/>
    <w:rsid w:val="00F4737E"/>
    <w:rsid w:val="00F474E7"/>
    <w:rsid w:val="00F475B4"/>
    <w:rsid w:val="00F476E7"/>
    <w:rsid w:val="00F47718"/>
    <w:rsid w:val="00F4773D"/>
    <w:rsid w:val="00F47769"/>
    <w:rsid w:val="00F47783"/>
    <w:rsid w:val="00F4794A"/>
    <w:rsid w:val="00F47958"/>
    <w:rsid w:val="00F47A29"/>
    <w:rsid w:val="00F47A7C"/>
    <w:rsid w:val="00F47B3F"/>
    <w:rsid w:val="00F47B56"/>
    <w:rsid w:val="00F47BA1"/>
    <w:rsid w:val="00F47BA7"/>
    <w:rsid w:val="00F47C42"/>
    <w:rsid w:val="00F47C45"/>
    <w:rsid w:val="00F47C67"/>
    <w:rsid w:val="00F47CAD"/>
    <w:rsid w:val="00F47F3A"/>
    <w:rsid w:val="00F500D5"/>
    <w:rsid w:val="00F50102"/>
    <w:rsid w:val="00F50104"/>
    <w:rsid w:val="00F50136"/>
    <w:rsid w:val="00F5029B"/>
    <w:rsid w:val="00F502AC"/>
    <w:rsid w:val="00F50344"/>
    <w:rsid w:val="00F5035E"/>
    <w:rsid w:val="00F50387"/>
    <w:rsid w:val="00F50444"/>
    <w:rsid w:val="00F50519"/>
    <w:rsid w:val="00F5054D"/>
    <w:rsid w:val="00F50752"/>
    <w:rsid w:val="00F507E4"/>
    <w:rsid w:val="00F50873"/>
    <w:rsid w:val="00F5089A"/>
    <w:rsid w:val="00F50933"/>
    <w:rsid w:val="00F50A60"/>
    <w:rsid w:val="00F50A74"/>
    <w:rsid w:val="00F50B04"/>
    <w:rsid w:val="00F50B3C"/>
    <w:rsid w:val="00F50BD4"/>
    <w:rsid w:val="00F50C4B"/>
    <w:rsid w:val="00F50CC4"/>
    <w:rsid w:val="00F50E41"/>
    <w:rsid w:val="00F50EAF"/>
    <w:rsid w:val="00F50F09"/>
    <w:rsid w:val="00F50F92"/>
    <w:rsid w:val="00F50FFE"/>
    <w:rsid w:val="00F5105D"/>
    <w:rsid w:val="00F5107C"/>
    <w:rsid w:val="00F51086"/>
    <w:rsid w:val="00F51134"/>
    <w:rsid w:val="00F512B2"/>
    <w:rsid w:val="00F51336"/>
    <w:rsid w:val="00F5138D"/>
    <w:rsid w:val="00F514D8"/>
    <w:rsid w:val="00F51565"/>
    <w:rsid w:val="00F51601"/>
    <w:rsid w:val="00F516B8"/>
    <w:rsid w:val="00F5182E"/>
    <w:rsid w:val="00F51A44"/>
    <w:rsid w:val="00F51ADE"/>
    <w:rsid w:val="00F51AE8"/>
    <w:rsid w:val="00F51CD5"/>
    <w:rsid w:val="00F51D0C"/>
    <w:rsid w:val="00F51E67"/>
    <w:rsid w:val="00F51E71"/>
    <w:rsid w:val="00F51E75"/>
    <w:rsid w:val="00F51F58"/>
    <w:rsid w:val="00F51F86"/>
    <w:rsid w:val="00F52025"/>
    <w:rsid w:val="00F5209A"/>
    <w:rsid w:val="00F5212A"/>
    <w:rsid w:val="00F5217E"/>
    <w:rsid w:val="00F522F0"/>
    <w:rsid w:val="00F5239E"/>
    <w:rsid w:val="00F523D2"/>
    <w:rsid w:val="00F524E1"/>
    <w:rsid w:val="00F525D0"/>
    <w:rsid w:val="00F5261B"/>
    <w:rsid w:val="00F52661"/>
    <w:rsid w:val="00F52699"/>
    <w:rsid w:val="00F52723"/>
    <w:rsid w:val="00F5273B"/>
    <w:rsid w:val="00F5282D"/>
    <w:rsid w:val="00F52848"/>
    <w:rsid w:val="00F5288F"/>
    <w:rsid w:val="00F52991"/>
    <w:rsid w:val="00F52C82"/>
    <w:rsid w:val="00F52E8D"/>
    <w:rsid w:val="00F52EF7"/>
    <w:rsid w:val="00F52FD0"/>
    <w:rsid w:val="00F52FD8"/>
    <w:rsid w:val="00F5300D"/>
    <w:rsid w:val="00F5301E"/>
    <w:rsid w:val="00F53073"/>
    <w:rsid w:val="00F5315E"/>
    <w:rsid w:val="00F53183"/>
    <w:rsid w:val="00F53299"/>
    <w:rsid w:val="00F532A9"/>
    <w:rsid w:val="00F5339C"/>
    <w:rsid w:val="00F535C3"/>
    <w:rsid w:val="00F536E1"/>
    <w:rsid w:val="00F536E9"/>
    <w:rsid w:val="00F53700"/>
    <w:rsid w:val="00F537BC"/>
    <w:rsid w:val="00F53857"/>
    <w:rsid w:val="00F53948"/>
    <w:rsid w:val="00F5398B"/>
    <w:rsid w:val="00F539A0"/>
    <w:rsid w:val="00F539B3"/>
    <w:rsid w:val="00F539DB"/>
    <w:rsid w:val="00F53A75"/>
    <w:rsid w:val="00F53BD1"/>
    <w:rsid w:val="00F53BDE"/>
    <w:rsid w:val="00F53BFD"/>
    <w:rsid w:val="00F53CC0"/>
    <w:rsid w:val="00F53D16"/>
    <w:rsid w:val="00F53D1B"/>
    <w:rsid w:val="00F53D52"/>
    <w:rsid w:val="00F53DDE"/>
    <w:rsid w:val="00F53F4E"/>
    <w:rsid w:val="00F53F65"/>
    <w:rsid w:val="00F5410A"/>
    <w:rsid w:val="00F541AA"/>
    <w:rsid w:val="00F54277"/>
    <w:rsid w:val="00F54297"/>
    <w:rsid w:val="00F54351"/>
    <w:rsid w:val="00F54379"/>
    <w:rsid w:val="00F543DF"/>
    <w:rsid w:val="00F545C1"/>
    <w:rsid w:val="00F545CF"/>
    <w:rsid w:val="00F54633"/>
    <w:rsid w:val="00F549D2"/>
    <w:rsid w:val="00F54A9A"/>
    <w:rsid w:val="00F54AA2"/>
    <w:rsid w:val="00F54AE7"/>
    <w:rsid w:val="00F54BB2"/>
    <w:rsid w:val="00F54BE1"/>
    <w:rsid w:val="00F54C0F"/>
    <w:rsid w:val="00F54C5C"/>
    <w:rsid w:val="00F54CA8"/>
    <w:rsid w:val="00F55144"/>
    <w:rsid w:val="00F55234"/>
    <w:rsid w:val="00F5526E"/>
    <w:rsid w:val="00F5530B"/>
    <w:rsid w:val="00F55332"/>
    <w:rsid w:val="00F55414"/>
    <w:rsid w:val="00F554A8"/>
    <w:rsid w:val="00F5558D"/>
    <w:rsid w:val="00F5563C"/>
    <w:rsid w:val="00F5567A"/>
    <w:rsid w:val="00F556CE"/>
    <w:rsid w:val="00F556E5"/>
    <w:rsid w:val="00F5577A"/>
    <w:rsid w:val="00F55788"/>
    <w:rsid w:val="00F5578C"/>
    <w:rsid w:val="00F5589D"/>
    <w:rsid w:val="00F558A0"/>
    <w:rsid w:val="00F558EA"/>
    <w:rsid w:val="00F55AD0"/>
    <w:rsid w:val="00F55C0F"/>
    <w:rsid w:val="00F55D28"/>
    <w:rsid w:val="00F55D93"/>
    <w:rsid w:val="00F55E50"/>
    <w:rsid w:val="00F55EAB"/>
    <w:rsid w:val="00F55ED0"/>
    <w:rsid w:val="00F55FB1"/>
    <w:rsid w:val="00F55FC9"/>
    <w:rsid w:val="00F560A6"/>
    <w:rsid w:val="00F560EB"/>
    <w:rsid w:val="00F56121"/>
    <w:rsid w:val="00F56221"/>
    <w:rsid w:val="00F56242"/>
    <w:rsid w:val="00F5629A"/>
    <w:rsid w:val="00F562B1"/>
    <w:rsid w:val="00F566B0"/>
    <w:rsid w:val="00F5682C"/>
    <w:rsid w:val="00F56836"/>
    <w:rsid w:val="00F56895"/>
    <w:rsid w:val="00F56948"/>
    <w:rsid w:val="00F56B03"/>
    <w:rsid w:val="00F56B06"/>
    <w:rsid w:val="00F56C3B"/>
    <w:rsid w:val="00F56C40"/>
    <w:rsid w:val="00F56C74"/>
    <w:rsid w:val="00F56CD5"/>
    <w:rsid w:val="00F56E02"/>
    <w:rsid w:val="00F56E6E"/>
    <w:rsid w:val="00F56EA5"/>
    <w:rsid w:val="00F56EDF"/>
    <w:rsid w:val="00F56F1E"/>
    <w:rsid w:val="00F56F56"/>
    <w:rsid w:val="00F57071"/>
    <w:rsid w:val="00F570A9"/>
    <w:rsid w:val="00F57124"/>
    <w:rsid w:val="00F5718E"/>
    <w:rsid w:val="00F571E6"/>
    <w:rsid w:val="00F57250"/>
    <w:rsid w:val="00F57347"/>
    <w:rsid w:val="00F57457"/>
    <w:rsid w:val="00F574C6"/>
    <w:rsid w:val="00F574DC"/>
    <w:rsid w:val="00F575FD"/>
    <w:rsid w:val="00F57A2E"/>
    <w:rsid w:val="00F57B2B"/>
    <w:rsid w:val="00F57B57"/>
    <w:rsid w:val="00F57B89"/>
    <w:rsid w:val="00F57DCA"/>
    <w:rsid w:val="00F57EBF"/>
    <w:rsid w:val="00F57EE4"/>
    <w:rsid w:val="00F57F4C"/>
    <w:rsid w:val="00F57F5D"/>
    <w:rsid w:val="00F60130"/>
    <w:rsid w:val="00F6018C"/>
    <w:rsid w:val="00F60196"/>
    <w:rsid w:val="00F60245"/>
    <w:rsid w:val="00F60290"/>
    <w:rsid w:val="00F6035E"/>
    <w:rsid w:val="00F6038B"/>
    <w:rsid w:val="00F60816"/>
    <w:rsid w:val="00F608CE"/>
    <w:rsid w:val="00F60927"/>
    <w:rsid w:val="00F60940"/>
    <w:rsid w:val="00F6094A"/>
    <w:rsid w:val="00F60962"/>
    <w:rsid w:val="00F60973"/>
    <w:rsid w:val="00F60A1E"/>
    <w:rsid w:val="00F60A48"/>
    <w:rsid w:val="00F60B6B"/>
    <w:rsid w:val="00F60C3C"/>
    <w:rsid w:val="00F60CFB"/>
    <w:rsid w:val="00F60D90"/>
    <w:rsid w:val="00F60E1B"/>
    <w:rsid w:val="00F60E3E"/>
    <w:rsid w:val="00F60EE1"/>
    <w:rsid w:val="00F60F31"/>
    <w:rsid w:val="00F61083"/>
    <w:rsid w:val="00F6120B"/>
    <w:rsid w:val="00F612A4"/>
    <w:rsid w:val="00F612AB"/>
    <w:rsid w:val="00F612F1"/>
    <w:rsid w:val="00F6130C"/>
    <w:rsid w:val="00F61318"/>
    <w:rsid w:val="00F61357"/>
    <w:rsid w:val="00F61423"/>
    <w:rsid w:val="00F61478"/>
    <w:rsid w:val="00F614A7"/>
    <w:rsid w:val="00F614E3"/>
    <w:rsid w:val="00F61518"/>
    <w:rsid w:val="00F615F1"/>
    <w:rsid w:val="00F6166B"/>
    <w:rsid w:val="00F616A7"/>
    <w:rsid w:val="00F616A8"/>
    <w:rsid w:val="00F61744"/>
    <w:rsid w:val="00F61780"/>
    <w:rsid w:val="00F617CA"/>
    <w:rsid w:val="00F617F7"/>
    <w:rsid w:val="00F61A67"/>
    <w:rsid w:val="00F61A89"/>
    <w:rsid w:val="00F61AD6"/>
    <w:rsid w:val="00F61B06"/>
    <w:rsid w:val="00F61D17"/>
    <w:rsid w:val="00F61D77"/>
    <w:rsid w:val="00F61DC7"/>
    <w:rsid w:val="00F61E25"/>
    <w:rsid w:val="00F61E2E"/>
    <w:rsid w:val="00F61E45"/>
    <w:rsid w:val="00F61E8E"/>
    <w:rsid w:val="00F62056"/>
    <w:rsid w:val="00F620BA"/>
    <w:rsid w:val="00F621E0"/>
    <w:rsid w:val="00F62265"/>
    <w:rsid w:val="00F62338"/>
    <w:rsid w:val="00F62351"/>
    <w:rsid w:val="00F6242C"/>
    <w:rsid w:val="00F62680"/>
    <w:rsid w:val="00F62697"/>
    <w:rsid w:val="00F629EC"/>
    <w:rsid w:val="00F62AC9"/>
    <w:rsid w:val="00F62ACB"/>
    <w:rsid w:val="00F62BBA"/>
    <w:rsid w:val="00F62BE0"/>
    <w:rsid w:val="00F62DAF"/>
    <w:rsid w:val="00F62E36"/>
    <w:rsid w:val="00F62F64"/>
    <w:rsid w:val="00F62F92"/>
    <w:rsid w:val="00F62F9B"/>
    <w:rsid w:val="00F63218"/>
    <w:rsid w:val="00F632FE"/>
    <w:rsid w:val="00F63445"/>
    <w:rsid w:val="00F63569"/>
    <w:rsid w:val="00F635B1"/>
    <w:rsid w:val="00F6366A"/>
    <w:rsid w:val="00F63712"/>
    <w:rsid w:val="00F6378D"/>
    <w:rsid w:val="00F6379B"/>
    <w:rsid w:val="00F637F3"/>
    <w:rsid w:val="00F63826"/>
    <w:rsid w:val="00F63863"/>
    <w:rsid w:val="00F639C9"/>
    <w:rsid w:val="00F63A92"/>
    <w:rsid w:val="00F63CCC"/>
    <w:rsid w:val="00F63D6B"/>
    <w:rsid w:val="00F63DF5"/>
    <w:rsid w:val="00F63E12"/>
    <w:rsid w:val="00F63E51"/>
    <w:rsid w:val="00F63E74"/>
    <w:rsid w:val="00F63F63"/>
    <w:rsid w:val="00F64004"/>
    <w:rsid w:val="00F6403A"/>
    <w:rsid w:val="00F641D7"/>
    <w:rsid w:val="00F64213"/>
    <w:rsid w:val="00F642A0"/>
    <w:rsid w:val="00F642DC"/>
    <w:rsid w:val="00F6431E"/>
    <w:rsid w:val="00F64370"/>
    <w:rsid w:val="00F64446"/>
    <w:rsid w:val="00F644DE"/>
    <w:rsid w:val="00F6453B"/>
    <w:rsid w:val="00F6458A"/>
    <w:rsid w:val="00F645F0"/>
    <w:rsid w:val="00F64678"/>
    <w:rsid w:val="00F6489F"/>
    <w:rsid w:val="00F64917"/>
    <w:rsid w:val="00F64988"/>
    <w:rsid w:val="00F649EC"/>
    <w:rsid w:val="00F64A49"/>
    <w:rsid w:val="00F64A5B"/>
    <w:rsid w:val="00F64A9C"/>
    <w:rsid w:val="00F64AD2"/>
    <w:rsid w:val="00F64ADA"/>
    <w:rsid w:val="00F64B33"/>
    <w:rsid w:val="00F64B69"/>
    <w:rsid w:val="00F64B7D"/>
    <w:rsid w:val="00F64BD9"/>
    <w:rsid w:val="00F64CBD"/>
    <w:rsid w:val="00F64CC6"/>
    <w:rsid w:val="00F64D4F"/>
    <w:rsid w:val="00F64D62"/>
    <w:rsid w:val="00F64E5C"/>
    <w:rsid w:val="00F64E9E"/>
    <w:rsid w:val="00F64E9F"/>
    <w:rsid w:val="00F64EFC"/>
    <w:rsid w:val="00F65084"/>
    <w:rsid w:val="00F650F0"/>
    <w:rsid w:val="00F65227"/>
    <w:rsid w:val="00F6522F"/>
    <w:rsid w:val="00F65426"/>
    <w:rsid w:val="00F65471"/>
    <w:rsid w:val="00F6553A"/>
    <w:rsid w:val="00F65672"/>
    <w:rsid w:val="00F656C3"/>
    <w:rsid w:val="00F656DE"/>
    <w:rsid w:val="00F656E0"/>
    <w:rsid w:val="00F65871"/>
    <w:rsid w:val="00F65991"/>
    <w:rsid w:val="00F65BD4"/>
    <w:rsid w:val="00F65C01"/>
    <w:rsid w:val="00F65CDB"/>
    <w:rsid w:val="00F65D00"/>
    <w:rsid w:val="00F65D99"/>
    <w:rsid w:val="00F65DE4"/>
    <w:rsid w:val="00F65F2D"/>
    <w:rsid w:val="00F65FD4"/>
    <w:rsid w:val="00F66058"/>
    <w:rsid w:val="00F6605F"/>
    <w:rsid w:val="00F660AD"/>
    <w:rsid w:val="00F66114"/>
    <w:rsid w:val="00F661CB"/>
    <w:rsid w:val="00F6626B"/>
    <w:rsid w:val="00F66295"/>
    <w:rsid w:val="00F6629F"/>
    <w:rsid w:val="00F662B5"/>
    <w:rsid w:val="00F662C0"/>
    <w:rsid w:val="00F66348"/>
    <w:rsid w:val="00F6634F"/>
    <w:rsid w:val="00F66454"/>
    <w:rsid w:val="00F664F7"/>
    <w:rsid w:val="00F66557"/>
    <w:rsid w:val="00F665DC"/>
    <w:rsid w:val="00F667FF"/>
    <w:rsid w:val="00F66812"/>
    <w:rsid w:val="00F668CC"/>
    <w:rsid w:val="00F6699E"/>
    <w:rsid w:val="00F669B2"/>
    <w:rsid w:val="00F66A47"/>
    <w:rsid w:val="00F66AE6"/>
    <w:rsid w:val="00F66B45"/>
    <w:rsid w:val="00F66B59"/>
    <w:rsid w:val="00F66BB4"/>
    <w:rsid w:val="00F66BD5"/>
    <w:rsid w:val="00F66C69"/>
    <w:rsid w:val="00F66C88"/>
    <w:rsid w:val="00F66D82"/>
    <w:rsid w:val="00F66DAE"/>
    <w:rsid w:val="00F66E7F"/>
    <w:rsid w:val="00F66F03"/>
    <w:rsid w:val="00F66F1B"/>
    <w:rsid w:val="00F66F58"/>
    <w:rsid w:val="00F66FAD"/>
    <w:rsid w:val="00F670AA"/>
    <w:rsid w:val="00F670C4"/>
    <w:rsid w:val="00F6718C"/>
    <w:rsid w:val="00F671E5"/>
    <w:rsid w:val="00F6737E"/>
    <w:rsid w:val="00F67393"/>
    <w:rsid w:val="00F67836"/>
    <w:rsid w:val="00F678EA"/>
    <w:rsid w:val="00F678F2"/>
    <w:rsid w:val="00F67969"/>
    <w:rsid w:val="00F67A45"/>
    <w:rsid w:val="00F67AA4"/>
    <w:rsid w:val="00F67ADB"/>
    <w:rsid w:val="00F67B5D"/>
    <w:rsid w:val="00F67BE0"/>
    <w:rsid w:val="00F67C76"/>
    <w:rsid w:val="00F67C9D"/>
    <w:rsid w:val="00F67D8E"/>
    <w:rsid w:val="00F67E12"/>
    <w:rsid w:val="00F67E9D"/>
    <w:rsid w:val="00F67F9B"/>
    <w:rsid w:val="00F67F9D"/>
    <w:rsid w:val="00F67FB2"/>
    <w:rsid w:val="00F7002A"/>
    <w:rsid w:val="00F700C8"/>
    <w:rsid w:val="00F701D3"/>
    <w:rsid w:val="00F701EB"/>
    <w:rsid w:val="00F7024B"/>
    <w:rsid w:val="00F70269"/>
    <w:rsid w:val="00F7027E"/>
    <w:rsid w:val="00F7028F"/>
    <w:rsid w:val="00F70548"/>
    <w:rsid w:val="00F706A1"/>
    <w:rsid w:val="00F707C1"/>
    <w:rsid w:val="00F70909"/>
    <w:rsid w:val="00F7092F"/>
    <w:rsid w:val="00F70A5B"/>
    <w:rsid w:val="00F70AE8"/>
    <w:rsid w:val="00F70B64"/>
    <w:rsid w:val="00F70BC0"/>
    <w:rsid w:val="00F70D08"/>
    <w:rsid w:val="00F70D2F"/>
    <w:rsid w:val="00F70E07"/>
    <w:rsid w:val="00F70EE9"/>
    <w:rsid w:val="00F71090"/>
    <w:rsid w:val="00F71187"/>
    <w:rsid w:val="00F711B4"/>
    <w:rsid w:val="00F712BD"/>
    <w:rsid w:val="00F71384"/>
    <w:rsid w:val="00F7152F"/>
    <w:rsid w:val="00F715BA"/>
    <w:rsid w:val="00F715E1"/>
    <w:rsid w:val="00F71608"/>
    <w:rsid w:val="00F71623"/>
    <w:rsid w:val="00F71650"/>
    <w:rsid w:val="00F71793"/>
    <w:rsid w:val="00F717F7"/>
    <w:rsid w:val="00F71851"/>
    <w:rsid w:val="00F718A3"/>
    <w:rsid w:val="00F718D8"/>
    <w:rsid w:val="00F7191C"/>
    <w:rsid w:val="00F7191D"/>
    <w:rsid w:val="00F71951"/>
    <w:rsid w:val="00F719AB"/>
    <w:rsid w:val="00F71A03"/>
    <w:rsid w:val="00F71B44"/>
    <w:rsid w:val="00F71B5F"/>
    <w:rsid w:val="00F71B66"/>
    <w:rsid w:val="00F71BE7"/>
    <w:rsid w:val="00F71CA2"/>
    <w:rsid w:val="00F71D34"/>
    <w:rsid w:val="00F71E17"/>
    <w:rsid w:val="00F71F4A"/>
    <w:rsid w:val="00F71F83"/>
    <w:rsid w:val="00F71FCC"/>
    <w:rsid w:val="00F71FDD"/>
    <w:rsid w:val="00F71FFC"/>
    <w:rsid w:val="00F72026"/>
    <w:rsid w:val="00F7208B"/>
    <w:rsid w:val="00F720D8"/>
    <w:rsid w:val="00F72154"/>
    <w:rsid w:val="00F72178"/>
    <w:rsid w:val="00F72196"/>
    <w:rsid w:val="00F721BF"/>
    <w:rsid w:val="00F721E3"/>
    <w:rsid w:val="00F72238"/>
    <w:rsid w:val="00F722E3"/>
    <w:rsid w:val="00F7233B"/>
    <w:rsid w:val="00F72354"/>
    <w:rsid w:val="00F7239B"/>
    <w:rsid w:val="00F723B1"/>
    <w:rsid w:val="00F7241C"/>
    <w:rsid w:val="00F7242D"/>
    <w:rsid w:val="00F724E2"/>
    <w:rsid w:val="00F7252E"/>
    <w:rsid w:val="00F7258A"/>
    <w:rsid w:val="00F725AF"/>
    <w:rsid w:val="00F725C7"/>
    <w:rsid w:val="00F725ED"/>
    <w:rsid w:val="00F725F9"/>
    <w:rsid w:val="00F726A8"/>
    <w:rsid w:val="00F726C6"/>
    <w:rsid w:val="00F726FC"/>
    <w:rsid w:val="00F72707"/>
    <w:rsid w:val="00F7270D"/>
    <w:rsid w:val="00F72730"/>
    <w:rsid w:val="00F7275F"/>
    <w:rsid w:val="00F727B9"/>
    <w:rsid w:val="00F72899"/>
    <w:rsid w:val="00F728DF"/>
    <w:rsid w:val="00F728ED"/>
    <w:rsid w:val="00F72943"/>
    <w:rsid w:val="00F72A00"/>
    <w:rsid w:val="00F72A2B"/>
    <w:rsid w:val="00F72A2C"/>
    <w:rsid w:val="00F72A4E"/>
    <w:rsid w:val="00F72A76"/>
    <w:rsid w:val="00F72AC8"/>
    <w:rsid w:val="00F72B36"/>
    <w:rsid w:val="00F72C6F"/>
    <w:rsid w:val="00F72CA0"/>
    <w:rsid w:val="00F72CEC"/>
    <w:rsid w:val="00F72CF4"/>
    <w:rsid w:val="00F72DA1"/>
    <w:rsid w:val="00F72DC0"/>
    <w:rsid w:val="00F72E18"/>
    <w:rsid w:val="00F72E78"/>
    <w:rsid w:val="00F72F54"/>
    <w:rsid w:val="00F72F7C"/>
    <w:rsid w:val="00F7305A"/>
    <w:rsid w:val="00F7310E"/>
    <w:rsid w:val="00F73280"/>
    <w:rsid w:val="00F733D8"/>
    <w:rsid w:val="00F73461"/>
    <w:rsid w:val="00F7347B"/>
    <w:rsid w:val="00F734B5"/>
    <w:rsid w:val="00F735B8"/>
    <w:rsid w:val="00F73610"/>
    <w:rsid w:val="00F7367E"/>
    <w:rsid w:val="00F736CF"/>
    <w:rsid w:val="00F73799"/>
    <w:rsid w:val="00F737DA"/>
    <w:rsid w:val="00F73801"/>
    <w:rsid w:val="00F73816"/>
    <w:rsid w:val="00F7385E"/>
    <w:rsid w:val="00F73891"/>
    <w:rsid w:val="00F73BB0"/>
    <w:rsid w:val="00F73BB5"/>
    <w:rsid w:val="00F73BF6"/>
    <w:rsid w:val="00F73C9B"/>
    <w:rsid w:val="00F73D72"/>
    <w:rsid w:val="00F73DB9"/>
    <w:rsid w:val="00F73E01"/>
    <w:rsid w:val="00F73E23"/>
    <w:rsid w:val="00F73E8B"/>
    <w:rsid w:val="00F74062"/>
    <w:rsid w:val="00F740B8"/>
    <w:rsid w:val="00F74147"/>
    <w:rsid w:val="00F74171"/>
    <w:rsid w:val="00F741E5"/>
    <w:rsid w:val="00F74235"/>
    <w:rsid w:val="00F7425C"/>
    <w:rsid w:val="00F74295"/>
    <w:rsid w:val="00F742F3"/>
    <w:rsid w:val="00F74346"/>
    <w:rsid w:val="00F74349"/>
    <w:rsid w:val="00F7435E"/>
    <w:rsid w:val="00F74416"/>
    <w:rsid w:val="00F744A9"/>
    <w:rsid w:val="00F74522"/>
    <w:rsid w:val="00F74563"/>
    <w:rsid w:val="00F745BF"/>
    <w:rsid w:val="00F747A1"/>
    <w:rsid w:val="00F747C8"/>
    <w:rsid w:val="00F748D6"/>
    <w:rsid w:val="00F748EA"/>
    <w:rsid w:val="00F74932"/>
    <w:rsid w:val="00F74990"/>
    <w:rsid w:val="00F74BE7"/>
    <w:rsid w:val="00F74DA0"/>
    <w:rsid w:val="00F74EEE"/>
    <w:rsid w:val="00F74F0D"/>
    <w:rsid w:val="00F74F3E"/>
    <w:rsid w:val="00F74FB8"/>
    <w:rsid w:val="00F74FF9"/>
    <w:rsid w:val="00F74FFA"/>
    <w:rsid w:val="00F75044"/>
    <w:rsid w:val="00F75046"/>
    <w:rsid w:val="00F75083"/>
    <w:rsid w:val="00F75119"/>
    <w:rsid w:val="00F75133"/>
    <w:rsid w:val="00F751F3"/>
    <w:rsid w:val="00F752E8"/>
    <w:rsid w:val="00F753F8"/>
    <w:rsid w:val="00F75483"/>
    <w:rsid w:val="00F75497"/>
    <w:rsid w:val="00F754BD"/>
    <w:rsid w:val="00F755FF"/>
    <w:rsid w:val="00F75658"/>
    <w:rsid w:val="00F75699"/>
    <w:rsid w:val="00F756B2"/>
    <w:rsid w:val="00F756F1"/>
    <w:rsid w:val="00F75754"/>
    <w:rsid w:val="00F757A1"/>
    <w:rsid w:val="00F7585B"/>
    <w:rsid w:val="00F75886"/>
    <w:rsid w:val="00F75956"/>
    <w:rsid w:val="00F75A08"/>
    <w:rsid w:val="00F75B4E"/>
    <w:rsid w:val="00F75B93"/>
    <w:rsid w:val="00F75CD2"/>
    <w:rsid w:val="00F75E25"/>
    <w:rsid w:val="00F75FBD"/>
    <w:rsid w:val="00F75FD8"/>
    <w:rsid w:val="00F760C5"/>
    <w:rsid w:val="00F76113"/>
    <w:rsid w:val="00F7612B"/>
    <w:rsid w:val="00F76200"/>
    <w:rsid w:val="00F7621F"/>
    <w:rsid w:val="00F7635D"/>
    <w:rsid w:val="00F7654F"/>
    <w:rsid w:val="00F76590"/>
    <w:rsid w:val="00F76598"/>
    <w:rsid w:val="00F7661E"/>
    <w:rsid w:val="00F76650"/>
    <w:rsid w:val="00F76674"/>
    <w:rsid w:val="00F76681"/>
    <w:rsid w:val="00F767B8"/>
    <w:rsid w:val="00F76812"/>
    <w:rsid w:val="00F7694E"/>
    <w:rsid w:val="00F76A2F"/>
    <w:rsid w:val="00F76A5C"/>
    <w:rsid w:val="00F76AD1"/>
    <w:rsid w:val="00F76C17"/>
    <w:rsid w:val="00F76C80"/>
    <w:rsid w:val="00F76E8A"/>
    <w:rsid w:val="00F76ED6"/>
    <w:rsid w:val="00F77349"/>
    <w:rsid w:val="00F773D6"/>
    <w:rsid w:val="00F77485"/>
    <w:rsid w:val="00F77684"/>
    <w:rsid w:val="00F77802"/>
    <w:rsid w:val="00F7786E"/>
    <w:rsid w:val="00F7788A"/>
    <w:rsid w:val="00F778BE"/>
    <w:rsid w:val="00F778FB"/>
    <w:rsid w:val="00F77933"/>
    <w:rsid w:val="00F77937"/>
    <w:rsid w:val="00F779B4"/>
    <w:rsid w:val="00F77A4C"/>
    <w:rsid w:val="00F77CB1"/>
    <w:rsid w:val="00F77CF9"/>
    <w:rsid w:val="00F77D23"/>
    <w:rsid w:val="00F77DEF"/>
    <w:rsid w:val="00F77F0F"/>
    <w:rsid w:val="00F80294"/>
    <w:rsid w:val="00F803DE"/>
    <w:rsid w:val="00F803E3"/>
    <w:rsid w:val="00F80503"/>
    <w:rsid w:val="00F8050C"/>
    <w:rsid w:val="00F80512"/>
    <w:rsid w:val="00F8053A"/>
    <w:rsid w:val="00F805D7"/>
    <w:rsid w:val="00F805E6"/>
    <w:rsid w:val="00F8063F"/>
    <w:rsid w:val="00F80773"/>
    <w:rsid w:val="00F807B8"/>
    <w:rsid w:val="00F80A21"/>
    <w:rsid w:val="00F80A92"/>
    <w:rsid w:val="00F80AD5"/>
    <w:rsid w:val="00F80AFC"/>
    <w:rsid w:val="00F80C8D"/>
    <w:rsid w:val="00F80D21"/>
    <w:rsid w:val="00F80D91"/>
    <w:rsid w:val="00F80EC1"/>
    <w:rsid w:val="00F80F7D"/>
    <w:rsid w:val="00F80FEF"/>
    <w:rsid w:val="00F8100C"/>
    <w:rsid w:val="00F81026"/>
    <w:rsid w:val="00F8108C"/>
    <w:rsid w:val="00F81164"/>
    <w:rsid w:val="00F8123F"/>
    <w:rsid w:val="00F8134D"/>
    <w:rsid w:val="00F81388"/>
    <w:rsid w:val="00F813B3"/>
    <w:rsid w:val="00F8147C"/>
    <w:rsid w:val="00F814BC"/>
    <w:rsid w:val="00F814E4"/>
    <w:rsid w:val="00F81537"/>
    <w:rsid w:val="00F815C7"/>
    <w:rsid w:val="00F815D3"/>
    <w:rsid w:val="00F81697"/>
    <w:rsid w:val="00F816E9"/>
    <w:rsid w:val="00F8182F"/>
    <w:rsid w:val="00F81859"/>
    <w:rsid w:val="00F818A1"/>
    <w:rsid w:val="00F818D7"/>
    <w:rsid w:val="00F8193F"/>
    <w:rsid w:val="00F81A51"/>
    <w:rsid w:val="00F81AA7"/>
    <w:rsid w:val="00F81AD9"/>
    <w:rsid w:val="00F81B43"/>
    <w:rsid w:val="00F81B51"/>
    <w:rsid w:val="00F81CD5"/>
    <w:rsid w:val="00F81CEA"/>
    <w:rsid w:val="00F81D0E"/>
    <w:rsid w:val="00F81D51"/>
    <w:rsid w:val="00F81DCC"/>
    <w:rsid w:val="00F81DEC"/>
    <w:rsid w:val="00F81E8D"/>
    <w:rsid w:val="00F81F09"/>
    <w:rsid w:val="00F82290"/>
    <w:rsid w:val="00F822E4"/>
    <w:rsid w:val="00F8242A"/>
    <w:rsid w:val="00F82440"/>
    <w:rsid w:val="00F82520"/>
    <w:rsid w:val="00F8254D"/>
    <w:rsid w:val="00F82654"/>
    <w:rsid w:val="00F8271D"/>
    <w:rsid w:val="00F8272A"/>
    <w:rsid w:val="00F82855"/>
    <w:rsid w:val="00F828C3"/>
    <w:rsid w:val="00F828D6"/>
    <w:rsid w:val="00F828F5"/>
    <w:rsid w:val="00F82A97"/>
    <w:rsid w:val="00F82AE0"/>
    <w:rsid w:val="00F82B18"/>
    <w:rsid w:val="00F82CA5"/>
    <w:rsid w:val="00F82E1C"/>
    <w:rsid w:val="00F82F27"/>
    <w:rsid w:val="00F82F3D"/>
    <w:rsid w:val="00F83143"/>
    <w:rsid w:val="00F83149"/>
    <w:rsid w:val="00F831AD"/>
    <w:rsid w:val="00F8330A"/>
    <w:rsid w:val="00F8335F"/>
    <w:rsid w:val="00F83378"/>
    <w:rsid w:val="00F8343C"/>
    <w:rsid w:val="00F8346C"/>
    <w:rsid w:val="00F83483"/>
    <w:rsid w:val="00F8358C"/>
    <w:rsid w:val="00F83674"/>
    <w:rsid w:val="00F838F0"/>
    <w:rsid w:val="00F83930"/>
    <w:rsid w:val="00F839AB"/>
    <w:rsid w:val="00F839C7"/>
    <w:rsid w:val="00F839CE"/>
    <w:rsid w:val="00F839E1"/>
    <w:rsid w:val="00F83A8E"/>
    <w:rsid w:val="00F83B53"/>
    <w:rsid w:val="00F83B7B"/>
    <w:rsid w:val="00F83BB3"/>
    <w:rsid w:val="00F83BF7"/>
    <w:rsid w:val="00F83C1D"/>
    <w:rsid w:val="00F83C69"/>
    <w:rsid w:val="00F83D38"/>
    <w:rsid w:val="00F83D66"/>
    <w:rsid w:val="00F83D84"/>
    <w:rsid w:val="00F83E4A"/>
    <w:rsid w:val="00F83FC2"/>
    <w:rsid w:val="00F83FCC"/>
    <w:rsid w:val="00F83FDC"/>
    <w:rsid w:val="00F83FF1"/>
    <w:rsid w:val="00F84002"/>
    <w:rsid w:val="00F840B8"/>
    <w:rsid w:val="00F840DD"/>
    <w:rsid w:val="00F840FD"/>
    <w:rsid w:val="00F842AA"/>
    <w:rsid w:val="00F842E0"/>
    <w:rsid w:val="00F84440"/>
    <w:rsid w:val="00F84443"/>
    <w:rsid w:val="00F84452"/>
    <w:rsid w:val="00F84534"/>
    <w:rsid w:val="00F84550"/>
    <w:rsid w:val="00F84622"/>
    <w:rsid w:val="00F8467F"/>
    <w:rsid w:val="00F846D9"/>
    <w:rsid w:val="00F8470C"/>
    <w:rsid w:val="00F8486D"/>
    <w:rsid w:val="00F8489C"/>
    <w:rsid w:val="00F848D3"/>
    <w:rsid w:val="00F848FE"/>
    <w:rsid w:val="00F8492D"/>
    <w:rsid w:val="00F8493B"/>
    <w:rsid w:val="00F849A1"/>
    <w:rsid w:val="00F849CE"/>
    <w:rsid w:val="00F84A7E"/>
    <w:rsid w:val="00F84A85"/>
    <w:rsid w:val="00F84AB6"/>
    <w:rsid w:val="00F84AC8"/>
    <w:rsid w:val="00F84C81"/>
    <w:rsid w:val="00F84CFB"/>
    <w:rsid w:val="00F84DA5"/>
    <w:rsid w:val="00F84E28"/>
    <w:rsid w:val="00F84E74"/>
    <w:rsid w:val="00F84F8B"/>
    <w:rsid w:val="00F84F90"/>
    <w:rsid w:val="00F84FCE"/>
    <w:rsid w:val="00F84FD3"/>
    <w:rsid w:val="00F85068"/>
    <w:rsid w:val="00F850B1"/>
    <w:rsid w:val="00F8512F"/>
    <w:rsid w:val="00F852A3"/>
    <w:rsid w:val="00F85345"/>
    <w:rsid w:val="00F85367"/>
    <w:rsid w:val="00F8537A"/>
    <w:rsid w:val="00F8539A"/>
    <w:rsid w:val="00F853B9"/>
    <w:rsid w:val="00F853C2"/>
    <w:rsid w:val="00F853FF"/>
    <w:rsid w:val="00F8541B"/>
    <w:rsid w:val="00F854A7"/>
    <w:rsid w:val="00F8554B"/>
    <w:rsid w:val="00F85565"/>
    <w:rsid w:val="00F85595"/>
    <w:rsid w:val="00F85734"/>
    <w:rsid w:val="00F8586E"/>
    <w:rsid w:val="00F858AC"/>
    <w:rsid w:val="00F8598D"/>
    <w:rsid w:val="00F85C81"/>
    <w:rsid w:val="00F85D57"/>
    <w:rsid w:val="00F85DA9"/>
    <w:rsid w:val="00F85E43"/>
    <w:rsid w:val="00F85E6C"/>
    <w:rsid w:val="00F85FB8"/>
    <w:rsid w:val="00F85FE6"/>
    <w:rsid w:val="00F85FEE"/>
    <w:rsid w:val="00F860CE"/>
    <w:rsid w:val="00F86103"/>
    <w:rsid w:val="00F86127"/>
    <w:rsid w:val="00F86156"/>
    <w:rsid w:val="00F861BD"/>
    <w:rsid w:val="00F86209"/>
    <w:rsid w:val="00F862C9"/>
    <w:rsid w:val="00F86351"/>
    <w:rsid w:val="00F8647F"/>
    <w:rsid w:val="00F865FB"/>
    <w:rsid w:val="00F866FB"/>
    <w:rsid w:val="00F8673A"/>
    <w:rsid w:val="00F8677B"/>
    <w:rsid w:val="00F8678F"/>
    <w:rsid w:val="00F867C3"/>
    <w:rsid w:val="00F86939"/>
    <w:rsid w:val="00F86AA8"/>
    <w:rsid w:val="00F86ADA"/>
    <w:rsid w:val="00F86B91"/>
    <w:rsid w:val="00F86BC8"/>
    <w:rsid w:val="00F86D64"/>
    <w:rsid w:val="00F86D6C"/>
    <w:rsid w:val="00F86DCE"/>
    <w:rsid w:val="00F86E48"/>
    <w:rsid w:val="00F87048"/>
    <w:rsid w:val="00F87059"/>
    <w:rsid w:val="00F870AC"/>
    <w:rsid w:val="00F87106"/>
    <w:rsid w:val="00F8721B"/>
    <w:rsid w:val="00F8721F"/>
    <w:rsid w:val="00F872A9"/>
    <w:rsid w:val="00F8731A"/>
    <w:rsid w:val="00F87395"/>
    <w:rsid w:val="00F8756D"/>
    <w:rsid w:val="00F87608"/>
    <w:rsid w:val="00F877F8"/>
    <w:rsid w:val="00F8794D"/>
    <w:rsid w:val="00F87964"/>
    <w:rsid w:val="00F87A43"/>
    <w:rsid w:val="00F87AE6"/>
    <w:rsid w:val="00F87C1A"/>
    <w:rsid w:val="00F87CD1"/>
    <w:rsid w:val="00F87D12"/>
    <w:rsid w:val="00F87D1D"/>
    <w:rsid w:val="00F87D58"/>
    <w:rsid w:val="00F87D6C"/>
    <w:rsid w:val="00F87D8D"/>
    <w:rsid w:val="00F87DF0"/>
    <w:rsid w:val="00F87E13"/>
    <w:rsid w:val="00F87E39"/>
    <w:rsid w:val="00F87EAC"/>
    <w:rsid w:val="00F90068"/>
    <w:rsid w:val="00F90072"/>
    <w:rsid w:val="00F900D3"/>
    <w:rsid w:val="00F90133"/>
    <w:rsid w:val="00F901AF"/>
    <w:rsid w:val="00F901CE"/>
    <w:rsid w:val="00F9028B"/>
    <w:rsid w:val="00F90333"/>
    <w:rsid w:val="00F903D6"/>
    <w:rsid w:val="00F90544"/>
    <w:rsid w:val="00F905F8"/>
    <w:rsid w:val="00F90756"/>
    <w:rsid w:val="00F90841"/>
    <w:rsid w:val="00F90857"/>
    <w:rsid w:val="00F90896"/>
    <w:rsid w:val="00F908CD"/>
    <w:rsid w:val="00F90933"/>
    <w:rsid w:val="00F909A8"/>
    <w:rsid w:val="00F90B3D"/>
    <w:rsid w:val="00F90B82"/>
    <w:rsid w:val="00F90BF3"/>
    <w:rsid w:val="00F90CE9"/>
    <w:rsid w:val="00F90CEF"/>
    <w:rsid w:val="00F90D50"/>
    <w:rsid w:val="00F90DC4"/>
    <w:rsid w:val="00F90E25"/>
    <w:rsid w:val="00F90F0F"/>
    <w:rsid w:val="00F90FA5"/>
    <w:rsid w:val="00F90FB4"/>
    <w:rsid w:val="00F91039"/>
    <w:rsid w:val="00F910FD"/>
    <w:rsid w:val="00F91111"/>
    <w:rsid w:val="00F911FC"/>
    <w:rsid w:val="00F912E8"/>
    <w:rsid w:val="00F91310"/>
    <w:rsid w:val="00F9133B"/>
    <w:rsid w:val="00F913D0"/>
    <w:rsid w:val="00F913D6"/>
    <w:rsid w:val="00F91447"/>
    <w:rsid w:val="00F91479"/>
    <w:rsid w:val="00F9153A"/>
    <w:rsid w:val="00F9158A"/>
    <w:rsid w:val="00F917AA"/>
    <w:rsid w:val="00F917AF"/>
    <w:rsid w:val="00F917EE"/>
    <w:rsid w:val="00F91806"/>
    <w:rsid w:val="00F919E1"/>
    <w:rsid w:val="00F91A04"/>
    <w:rsid w:val="00F91B40"/>
    <w:rsid w:val="00F91B9B"/>
    <w:rsid w:val="00F91BA5"/>
    <w:rsid w:val="00F91D90"/>
    <w:rsid w:val="00F91DCB"/>
    <w:rsid w:val="00F91E0F"/>
    <w:rsid w:val="00F91E1B"/>
    <w:rsid w:val="00F91EEB"/>
    <w:rsid w:val="00F92009"/>
    <w:rsid w:val="00F920F9"/>
    <w:rsid w:val="00F923A3"/>
    <w:rsid w:val="00F923BF"/>
    <w:rsid w:val="00F92615"/>
    <w:rsid w:val="00F9266C"/>
    <w:rsid w:val="00F926DC"/>
    <w:rsid w:val="00F927BA"/>
    <w:rsid w:val="00F927DC"/>
    <w:rsid w:val="00F92826"/>
    <w:rsid w:val="00F928B9"/>
    <w:rsid w:val="00F92941"/>
    <w:rsid w:val="00F9295E"/>
    <w:rsid w:val="00F9299A"/>
    <w:rsid w:val="00F92A93"/>
    <w:rsid w:val="00F92AC4"/>
    <w:rsid w:val="00F92B01"/>
    <w:rsid w:val="00F92B19"/>
    <w:rsid w:val="00F92B20"/>
    <w:rsid w:val="00F92B30"/>
    <w:rsid w:val="00F92BC4"/>
    <w:rsid w:val="00F92CB0"/>
    <w:rsid w:val="00F92F52"/>
    <w:rsid w:val="00F92F5A"/>
    <w:rsid w:val="00F92F81"/>
    <w:rsid w:val="00F93058"/>
    <w:rsid w:val="00F93195"/>
    <w:rsid w:val="00F931E3"/>
    <w:rsid w:val="00F93217"/>
    <w:rsid w:val="00F93363"/>
    <w:rsid w:val="00F934A5"/>
    <w:rsid w:val="00F934BD"/>
    <w:rsid w:val="00F934D1"/>
    <w:rsid w:val="00F93508"/>
    <w:rsid w:val="00F935E3"/>
    <w:rsid w:val="00F93617"/>
    <w:rsid w:val="00F93637"/>
    <w:rsid w:val="00F9367B"/>
    <w:rsid w:val="00F93863"/>
    <w:rsid w:val="00F93867"/>
    <w:rsid w:val="00F93877"/>
    <w:rsid w:val="00F9388C"/>
    <w:rsid w:val="00F938D9"/>
    <w:rsid w:val="00F93900"/>
    <w:rsid w:val="00F93A00"/>
    <w:rsid w:val="00F93A39"/>
    <w:rsid w:val="00F93A58"/>
    <w:rsid w:val="00F93A7C"/>
    <w:rsid w:val="00F93C2A"/>
    <w:rsid w:val="00F93C4A"/>
    <w:rsid w:val="00F93C81"/>
    <w:rsid w:val="00F93DEF"/>
    <w:rsid w:val="00F93E91"/>
    <w:rsid w:val="00F93EF7"/>
    <w:rsid w:val="00F9400C"/>
    <w:rsid w:val="00F9403A"/>
    <w:rsid w:val="00F9404C"/>
    <w:rsid w:val="00F9404F"/>
    <w:rsid w:val="00F9433F"/>
    <w:rsid w:val="00F943A7"/>
    <w:rsid w:val="00F945E9"/>
    <w:rsid w:val="00F9461E"/>
    <w:rsid w:val="00F94643"/>
    <w:rsid w:val="00F94679"/>
    <w:rsid w:val="00F946F0"/>
    <w:rsid w:val="00F947ED"/>
    <w:rsid w:val="00F9484A"/>
    <w:rsid w:val="00F9489A"/>
    <w:rsid w:val="00F948B8"/>
    <w:rsid w:val="00F948B9"/>
    <w:rsid w:val="00F948BE"/>
    <w:rsid w:val="00F94ABA"/>
    <w:rsid w:val="00F94AE0"/>
    <w:rsid w:val="00F94B0A"/>
    <w:rsid w:val="00F94B73"/>
    <w:rsid w:val="00F94B82"/>
    <w:rsid w:val="00F94C24"/>
    <w:rsid w:val="00F94EBE"/>
    <w:rsid w:val="00F94EFE"/>
    <w:rsid w:val="00F9507B"/>
    <w:rsid w:val="00F95084"/>
    <w:rsid w:val="00F9532D"/>
    <w:rsid w:val="00F95331"/>
    <w:rsid w:val="00F9537F"/>
    <w:rsid w:val="00F9543B"/>
    <w:rsid w:val="00F9548F"/>
    <w:rsid w:val="00F9549D"/>
    <w:rsid w:val="00F95561"/>
    <w:rsid w:val="00F95580"/>
    <w:rsid w:val="00F956D9"/>
    <w:rsid w:val="00F95701"/>
    <w:rsid w:val="00F9570D"/>
    <w:rsid w:val="00F95778"/>
    <w:rsid w:val="00F95901"/>
    <w:rsid w:val="00F95917"/>
    <w:rsid w:val="00F959A5"/>
    <w:rsid w:val="00F959D0"/>
    <w:rsid w:val="00F95A0A"/>
    <w:rsid w:val="00F95A3B"/>
    <w:rsid w:val="00F95AA5"/>
    <w:rsid w:val="00F95AC2"/>
    <w:rsid w:val="00F95AF4"/>
    <w:rsid w:val="00F95C01"/>
    <w:rsid w:val="00F95CCC"/>
    <w:rsid w:val="00F95F23"/>
    <w:rsid w:val="00F96070"/>
    <w:rsid w:val="00F964D5"/>
    <w:rsid w:val="00F9682B"/>
    <w:rsid w:val="00F96924"/>
    <w:rsid w:val="00F96927"/>
    <w:rsid w:val="00F96AD9"/>
    <w:rsid w:val="00F96C11"/>
    <w:rsid w:val="00F96D59"/>
    <w:rsid w:val="00F96D80"/>
    <w:rsid w:val="00F96D8C"/>
    <w:rsid w:val="00F96DCD"/>
    <w:rsid w:val="00F96DD9"/>
    <w:rsid w:val="00F96FF3"/>
    <w:rsid w:val="00F9702C"/>
    <w:rsid w:val="00F97218"/>
    <w:rsid w:val="00F97287"/>
    <w:rsid w:val="00F97330"/>
    <w:rsid w:val="00F9743F"/>
    <w:rsid w:val="00F97454"/>
    <w:rsid w:val="00F974E6"/>
    <w:rsid w:val="00F9760B"/>
    <w:rsid w:val="00F97665"/>
    <w:rsid w:val="00F976BD"/>
    <w:rsid w:val="00F976E6"/>
    <w:rsid w:val="00F97781"/>
    <w:rsid w:val="00F977B5"/>
    <w:rsid w:val="00F977C9"/>
    <w:rsid w:val="00F9789F"/>
    <w:rsid w:val="00F9797E"/>
    <w:rsid w:val="00F97982"/>
    <w:rsid w:val="00F979A7"/>
    <w:rsid w:val="00F97AD3"/>
    <w:rsid w:val="00F97AF2"/>
    <w:rsid w:val="00F97B91"/>
    <w:rsid w:val="00F97BE5"/>
    <w:rsid w:val="00F97C0A"/>
    <w:rsid w:val="00F97CC5"/>
    <w:rsid w:val="00F97E68"/>
    <w:rsid w:val="00F97E92"/>
    <w:rsid w:val="00F97F81"/>
    <w:rsid w:val="00F97FB3"/>
    <w:rsid w:val="00F97FDD"/>
    <w:rsid w:val="00FA00E7"/>
    <w:rsid w:val="00FA01B4"/>
    <w:rsid w:val="00FA021D"/>
    <w:rsid w:val="00FA0283"/>
    <w:rsid w:val="00FA02BE"/>
    <w:rsid w:val="00FA03A3"/>
    <w:rsid w:val="00FA0446"/>
    <w:rsid w:val="00FA046A"/>
    <w:rsid w:val="00FA0490"/>
    <w:rsid w:val="00FA0541"/>
    <w:rsid w:val="00FA05E2"/>
    <w:rsid w:val="00FA06A6"/>
    <w:rsid w:val="00FA075C"/>
    <w:rsid w:val="00FA078D"/>
    <w:rsid w:val="00FA09DB"/>
    <w:rsid w:val="00FA0A2A"/>
    <w:rsid w:val="00FA0A4B"/>
    <w:rsid w:val="00FA0A4C"/>
    <w:rsid w:val="00FA0C4A"/>
    <w:rsid w:val="00FA0C54"/>
    <w:rsid w:val="00FA0C77"/>
    <w:rsid w:val="00FA0C9E"/>
    <w:rsid w:val="00FA0D84"/>
    <w:rsid w:val="00FA0EA9"/>
    <w:rsid w:val="00FA0F75"/>
    <w:rsid w:val="00FA1033"/>
    <w:rsid w:val="00FA1084"/>
    <w:rsid w:val="00FA1124"/>
    <w:rsid w:val="00FA1259"/>
    <w:rsid w:val="00FA1309"/>
    <w:rsid w:val="00FA13B1"/>
    <w:rsid w:val="00FA13E9"/>
    <w:rsid w:val="00FA1485"/>
    <w:rsid w:val="00FA148A"/>
    <w:rsid w:val="00FA151A"/>
    <w:rsid w:val="00FA154E"/>
    <w:rsid w:val="00FA15D5"/>
    <w:rsid w:val="00FA1602"/>
    <w:rsid w:val="00FA16E6"/>
    <w:rsid w:val="00FA1752"/>
    <w:rsid w:val="00FA1972"/>
    <w:rsid w:val="00FA19E7"/>
    <w:rsid w:val="00FA1B8F"/>
    <w:rsid w:val="00FA1CA1"/>
    <w:rsid w:val="00FA1CC8"/>
    <w:rsid w:val="00FA1D4A"/>
    <w:rsid w:val="00FA1E3E"/>
    <w:rsid w:val="00FA1E53"/>
    <w:rsid w:val="00FA1EE0"/>
    <w:rsid w:val="00FA2070"/>
    <w:rsid w:val="00FA2085"/>
    <w:rsid w:val="00FA208F"/>
    <w:rsid w:val="00FA20DA"/>
    <w:rsid w:val="00FA214C"/>
    <w:rsid w:val="00FA218A"/>
    <w:rsid w:val="00FA223F"/>
    <w:rsid w:val="00FA22AA"/>
    <w:rsid w:val="00FA22E5"/>
    <w:rsid w:val="00FA2315"/>
    <w:rsid w:val="00FA23AD"/>
    <w:rsid w:val="00FA2405"/>
    <w:rsid w:val="00FA24B3"/>
    <w:rsid w:val="00FA26C1"/>
    <w:rsid w:val="00FA2702"/>
    <w:rsid w:val="00FA272D"/>
    <w:rsid w:val="00FA272E"/>
    <w:rsid w:val="00FA2743"/>
    <w:rsid w:val="00FA28A8"/>
    <w:rsid w:val="00FA292D"/>
    <w:rsid w:val="00FA2BBC"/>
    <w:rsid w:val="00FA2BD2"/>
    <w:rsid w:val="00FA2D15"/>
    <w:rsid w:val="00FA2E3A"/>
    <w:rsid w:val="00FA2F38"/>
    <w:rsid w:val="00FA2F56"/>
    <w:rsid w:val="00FA3042"/>
    <w:rsid w:val="00FA310D"/>
    <w:rsid w:val="00FA3127"/>
    <w:rsid w:val="00FA314F"/>
    <w:rsid w:val="00FA31DC"/>
    <w:rsid w:val="00FA3203"/>
    <w:rsid w:val="00FA333C"/>
    <w:rsid w:val="00FA34B3"/>
    <w:rsid w:val="00FA3546"/>
    <w:rsid w:val="00FA3588"/>
    <w:rsid w:val="00FA3603"/>
    <w:rsid w:val="00FA3655"/>
    <w:rsid w:val="00FA3658"/>
    <w:rsid w:val="00FA3680"/>
    <w:rsid w:val="00FA36AE"/>
    <w:rsid w:val="00FA3704"/>
    <w:rsid w:val="00FA3710"/>
    <w:rsid w:val="00FA3717"/>
    <w:rsid w:val="00FA371C"/>
    <w:rsid w:val="00FA3867"/>
    <w:rsid w:val="00FA38BC"/>
    <w:rsid w:val="00FA3911"/>
    <w:rsid w:val="00FA394F"/>
    <w:rsid w:val="00FA3A13"/>
    <w:rsid w:val="00FA3AFB"/>
    <w:rsid w:val="00FA3BF5"/>
    <w:rsid w:val="00FA3CF3"/>
    <w:rsid w:val="00FA3E62"/>
    <w:rsid w:val="00FA3EF0"/>
    <w:rsid w:val="00FA3F2E"/>
    <w:rsid w:val="00FA3F93"/>
    <w:rsid w:val="00FA400E"/>
    <w:rsid w:val="00FA403B"/>
    <w:rsid w:val="00FA40EC"/>
    <w:rsid w:val="00FA4132"/>
    <w:rsid w:val="00FA4141"/>
    <w:rsid w:val="00FA4163"/>
    <w:rsid w:val="00FA41D0"/>
    <w:rsid w:val="00FA4259"/>
    <w:rsid w:val="00FA4313"/>
    <w:rsid w:val="00FA4362"/>
    <w:rsid w:val="00FA43A0"/>
    <w:rsid w:val="00FA43F6"/>
    <w:rsid w:val="00FA4451"/>
    <w:rsid w:val="00FA446B"/>
    <w:rsid w:val="00FA4479"/>
    <w:rsid w:val="00FA451C"/>
    <w:rsid w:val="00FA4524"/>
    <w:rsid w:val="00FA4528"/>
    <w:rsid w:val="00FA455D"/>
    <w:rsid w:val="00FA4571"/>
    <w:rsid w:val="00FA478A"/>
    <w:rsid w:val="00FA47BB"/>
    <w:rsid w:val="00FA48E8"/>
    <w:rsid w:val="00FA4A56"/>
    <w:rsid w:val="00FA4AA8"/>
    <w:rsid w:val="00FA4D0B"/>
    <w:rsid w:val="00FA4E17"/>
    <w:rsid w:val="00FA4F18"/>
    <w:rsid w:val="00FA4FED"/>
    <w:rsid w:val="00FA50A8"/>
    <w:rsid w:val="00FA5285"/>
    <w:rsid w:val="00FA532D"/>
    <w:rsid w:val="00FA53C7"/>
    <w:rsid w:val="00FA5420"/>
    <w:rsid w:val="00FA5473"/>
    <w:rsid w:val="00FA572A"/>
    <w:rsid w:val="00FA5850"/>
    <w:rsid w:val="00FA5A18"/>
    <w:rsid w:val="00FA5A70"/>
    <w:rsid w:val="00FA5B30"/>
    <w:rsid w:val="00FA5BB5"/>
    <w:rsid w:val="00FA5CB7"/>
    <w:rsid w:val="00FA5D4B"/>
    <w:rsid w:val="00FA5D68"/>
    <w:rsid w:val="00FA5E2E"/>
    <w:rsid w:val="00FA5EBC"/>
    <w:rsid w:val="00FA5EF2"/>
    <w:rsid w:val="00FA5F56"/>
    <w:rsid w:val="00FA6020"/>
    <w:rsid w:val="00FA614A"/>
    <w:rsid w:val="00FA615A"/>
    <w:rsid w:val="00FA61BA"/>
    <w:rsid w:val="00FA61C5"/>
    <w:rsid w:val="00FA62CF"/>
    <w:rsid w:val="00FA6395"/>
    <w:rsid w:val="00FA64BA"/>
    <w:rsid w:val="00FA654B"/>
    <w:rsid w:val="00FA6584"/>
    <w:rsid w:val="00FA65FF"/>
    <w:rsid w:val="00FA662F"/>
    <w:rsid w:val="00FA67F8"/>
    <w:rsid w:val="00FA6808"/>
    <w:rsid w:val="00FA6831"/>
    <w:rsid w:val="00FA68F2"/>
    <w:rsid w:val="00FA691A"/>
    <w:rsid w:val="00FA6A52"/>
    <w:rsid w:val="00FA6DC7"/>
    <w:rsid w:val="00FA6EBE"/>
    <w:rsid w:val="00FA6F3A"/>
    <w:rsid w:val="00FA6FBE"/>
    <w:rsid w:val="00FA708A"/>
    <w:rsid w:val="00FA718C"/>
    <w:rsid w:val="00FA71AA"/>
    <w:rsid w:val="00FA72B0"/>
    <w:rsid w:val="00FA72CE"/>
    <w:rsid w:val="00FA737F"/>
    <w:rsid w:val="00FA7382"/>
    <w:rsid w:val="00FA738E"/>
    <w:rsid w:val="00FA74CC"/>
    <w:rsid w:val="00FA7538"/>
    <w:rsid w:val="00FA76D1"/>
    <w:rsid w:val="00FA76F6"/>
    <w:rsid w:val="00FA7744"/>
    <w:rsid w:val="00FA77F9"/>
    <w:rsid w:val="00FA77FA"/>
    <w:rsid w:val="00FA780B"/>
    <w:rsid w:val="00FA7841"/>
    <w:rsid w:val="00FA784E"/>
    <w:rsid w:val="00FA7897"/>
    <w:rsid w:val="00FA78C5"/>
    <w:rsid w:val="00FA78D6"/>
    <w:rsid w:val="00FA78F9"/>
    <w:rsid w:val="00FA792C"/>
    <w:rsid w:val="00FA7938"/>
    <w:rsid w:val="00FA7996"/>
    <w:rsid w:val="00FA79F7"/>
    <w:rsid w:val="00FA79FC"/>
    <w:rsid w:val="00FA7B5F"/>
    <w:rsid w:val="00FA7BDC"/>
    <w:rsid w:val="00FA7C03"/>
    <w:rsid w:val="00FA7C16"/>
    <w:rsid w:val="00FA7C4E"/>
    <w:rsid w:val="00FA7C5A"/>
    <w:rsid w:val="00FA7C90"/>
    <w:rsid w:val="00FA7D24"/>
    <w:rsid w:val="00FA7E3D"/>
    <w:rsid w:val="00FA7F58"/>
    <w:rsid w:val="00FA7F90"/>
    <w:rsid w:val="00FB0043"/>
    <w:rsid w:val="00FB01A1"/>
    <w:rsid w:val="00FB0218"/>
    <w:rsid w:val="00FB02AC"/>
    <w:rsid w:val="00FB03E7"/>
    <w:rsid w:val="00FB0403"/>
    <w:rsid w:val="00FB0530"/>
    <w:rsid w:val="00FB0583"/>
    <w:rsid w:val="00FB059A"/>
    <w:rsid w:val="00FB05C6"/>
    <w:rsid w:val="00FB0699"/>
    <w:rsid w:val="00FB085D"/>
    <w:rsid w:val="00FB0890"/>
    <w:rsid w:val="00FB099F"/>
    <w:rsid w:val="00FB0A22"/>
    <w:rsid w:val="00FB0A4F"/>
    <w:rsid w:val="00FB0A8C"/>
    <w:rsid w:val="00FB0B35"/>
    <w:rsid w:val="00FB0BB8"/>
    <w:rsid w:val="00FB0C1F"/>
    <w:rsid w:val="00FB0C4F"/>
    <w:rsid w:val="00FB0D56"/>
    <w:rsid w:val="00FB0E06"/>
    <w:rsid w:val="00FB0E85"/>
    <w:rsid w:val="00FB0EC4"/>
    <w:rsid w:val="00FB0F34"/>
    <w:rsid w:val="00FB0FA4"/>
    <w:rsid w:val="00FB105F"/>
    <w:rsid w:val="00FB1197"/>
    <w:rsid w:val="00FB13BE"/>
    <w:rsid w:val="00FB1472"/>
    <w:rsid w:val="00FB14CF"/>
    <w:rsid w:val="00FB1576"/>
    <w:rsid w:val="00FB1657"/>
    <w:rsid w:val="00FB1697"/>
    <w:rsid w:val="00FB1746"/>
    <w:rsid w:val="00FB1769"/>
    <w:rsid w:val="00FB179C"/>
    <w:rsid w:val="00FB190E"/>
    <w:rsid w:val="00FB1999"/>
    <w:rsid w:val="00FB1A3C"/>
    <w:rsid w:val="00FB1AA9"/>
    <w:rsid w:val="00FB1B58"/>
    <w:rsid w:val="00FB1BD1"/>
    <w:rsid w:val="00FB1DA8"/>
    <w:rsid w:val="00FB1DCE"/>
    <w:rsid w:val="00FB1DDD"/>
    <w:rsid w:val="00FB1DF1"/>
    <w:rsid w:val="00FB1F9D"/>
    <w:rsid w:val="00FB20BD"/>
    <w:rsid w:val="00FB23DF"/>
    <w:rsid w:val="00FB2564"/>
    <w:rsid w:val="00FB260C"/>
    <w:rsid w:val="00FB26EF"/>
    <w:rsid w:val="00FB274F"/>
    <w:rsid w:val="00FB27A0"/>
    <w:rsid w:val="00FB27C6"/>
    <w:rsid w:val="00FB28DA"/>
    <w:rsid w:val="00FB29D5"/>
    <w:rsid w:val="00FB2A5A"/>
    <w:rsid w:val="00FB2A90"/>
    <w:rsid w:val="00FB2AE7"/>
    <w:rsid w:val="00FB2B01"/>
    <w:rsid w:val="00FB2B35"/>
    <w:rsid w:val="00FB2BCF"/>
    <w:rsid w:val="00FB2D1D"/>
    <w:rsid w:val="00FB2D80"/>
    <w:rsid w:val="00FB2E87"/>
    <w:rsid w:val="00FB2F44"/>
    <w:rsid w:val="00FB2F4A"/>
    <w:rsid w:val="00FB3143"/>
    <w:rsid w:val="00FB338A"/>
    <w:rsid w:val="00FB33C1"/>
    <w:rsid w:val="00FB33ED"/>
    <w:rsid w:val="00FB343B"/>
    <w:rsid w:val="00FB34C3"/>
    <w:rsid w:val="00FB34E9"/>
    <w:rsid w:val="00FB34F1"/>
    <w:rsid w:val="00FB3739"/>
    <w:rsid w:val="00FB37D8"/>
    <w:rsid w:val="00FB3808"/>
    <w:rsid w:val="00FB3861"/>
    <w:rsid w:val="00FB39AD"/>
    <w:rsid w:val="00FB3AF7"/>
    <w:rsid w:val="00FB3B7F"/>
    <w:rsid w:val="00FB3B8F"/>
    <w:rsid w:val="00FB405A"/>
    <w:rsid w:val="00FB41C5"/>
    <w:rsid w:val="00FB4213"/>
    <w:rsid w:val="00FB4276"/>
    <w:rsid w:val="00FB43B3"/>
    <w:rsid w:val="00FB4426"/>
    <w:rsid w:val="00FB443F"/>
    <w:rsid w:val="00FB4518"/>
    <w:rsid w:val="00FB4620"/>
    <w:rsid w:val="00FB4669"/>
    <w:rsid w:val="00FB4694"/>
    <w:rsid w:val="00FB480A"/>
    <w:rsid w:val="00FB48C0"/>
    <w:rsid w:val="00FB4910"/>
    <w:rsid w:val="00FB49A6"/>
    <w:rsid w:val="00FB49EC"/>
    <w:rsid w:val="00FB4A4A"/>
    <w:rsid w:val="00FB4AAE"/>
    <w:rsid w:val="00FB4B6F"/>
    <w:rsid w:val="00FB4BC5"/>
    <w:rsid w:val="00FB4BD3"/>
    <w:rsid w:val="00FB4C31"/>
    <w:rsid w:val="00FB4C4A"/>
    <w:rsid w:val="00FB4C6C"/>
    <w:rsid w:val="00FB4C9D"/>
    <w:rsid w:val="00FB4CFF"/>
    <w:rsid w:val="00FB4D9F"/>
    <w:rsid w:val="00FB4F04"/>
    <w:rsid w:val="00FB4F65"/>
    <w:rsid w:val="00FB4FAD"/>
    <w:rsid w:val="00FB507E"/>
    <w:rsid w:val="00FB5182"/>
    <w:rsid w:val="00FB52CF"/>
    <w:rsid w:val="00FB52E0"/>
    <w:rsid w:val="00FB532A"/>
    <w:rsid w:val="00FB53D0"/>
    <w:rsid w:val="00FB53FA"/>
    <w:rsid w:val="00FB53FC"/>
    <w:rsid w:val="00FB5475"/>
    <w:rsid w:val="00FB556C"/>
    <w:rsid w:val="00FB55DB"/>
    <w:rsid w:val="00FB55F3"/>
    <w:rsid w:val="00FB5616"/>
    <w:rsid w:val="00FB5620"/>
    <w:rsid w:val="00FB56B4"/>
    <w:rsid w:val="00FB582D"/>
    <w:rsid w:val="00FB583F"/>
    <w:rsid w:val="00FB5840"/>
    <w:rsid w:val="00FB58FE"/>
    <w:rsid w:val="00FB5947"/>
    <w:rsid w:val="00FB59C0"/>
    <w:rsid w:val="00FB5A37"/>
    <w:rsid w:val="00FB5B26"/>
    <w:rsid w:val="00FB5E34"/>
    <w:rsid w:val="00FB5F80"/>
    <w:rsid w:val="00FB5FF2"/>
    <w:rsid w:val="00FB60E2"/>
    <w:rsid w:val="00FB6128"/>
    <w:rsid w:val="00FB6192"/>
    <w:rsid w:val="00FB6273"/>
    <w:rsid w:val="00FB6381"/>
    <w:rsid w:val="00FB6461"/>
    <w:rsid w:val="00FB6519"/>
    <w:rsid w:val="00FB6542"/>
    <w:rsid w:val="00FB6575"/>
    <w:rsid w:val="00FB65B1"/>
    <w:rsid w:val="00FB6646"/>
    <w:rsid w:val="00FB6675"/>
    <w:rsid w:val="00FB6728"/>
    <w:rsid w:val="00FB677E"/>
    <w:rsid w:val="00FB68C8"/>
    <w:rsid w:val="00FB68DD"/>
    <w:rsid w:val="00FB6913"/>
    <w:rsid w:val="00FB69A6"/>
    <w:rsid w:val="00FB69BD"/>
    <w:rsid w:val="00FB6AAA"/>
    <w:rsid w:val="00FB6D8F"/>
    <w:rsid w:val="00FB6D96"/>
    <w:rsid w:val="00FB6DA1"/>
    <w:rsid w:val="00FB6DE7"/>
    <w:rsid w:val="00FB6E6E"/>
    <w:rsid w:val="00FB7002"/>
    <w:rsid w:val="00FB70DD"/>
    <w:rsid w:val="00FB713E"/>
    <w:rsid w:val="00FB71A0"/>
    <w:rsid w:val="00FB72E5"/>
    <w:rsid w:val="00FB72FA"/>
    <w:rsid w:val="00FB734B"/>
    <w:rsid w:val="00FB7374"/>
    <w:rsid w:val="00FB746A"/>
    <w:rsid w:val="00FB75D4"/>
    <w:rsid w:val="00FB76EA"/>
    <w:rsid w:val="00FB7760"/>
    <w:rsid w:val="00FB77DB"/>
    <w:rsid w:val="00FB77EB"/>
    <w:rsid w:val="00FB7836"/>
    <w:rsid w:val="00FB78CC"/>
    <w:rsid w:val="00FB7983"/>
    <w:rsid w:val="00FB79CE"/>
    <w:rsid w:val="00FB7A20"/>
    <w:rsid w:val="00FB7B47"/>
    <w:rsid w:val="00FB7B6F"/>
    <w:rsid w:val="00FB7B70"/>
    <w:rsid w:val="00FB7BBD"/>
    <w:rsid w:val="00FB7BE5"/>
    <w:rsid w:val="00FB7C5D"/>
    <w:rsid w:val="00FB7CB2"/>
    <w:rsid w:val="00FB7D3E"/>
    <w:rsid w:val="00FB7DC8"/>
    <w:rsid w:val="00FB7E72"/>
    <w:rsid w:val="00FB7F69"/>
    <w:rsid w:val="00FB7F6A"/>
    <w:rsid w:val="00FC034E"/>
    <w:rsid w:val="00FC03E3"/>
    <w:rsid w:val="00FC0472"/>
    <w:rsid w:val="00FC05DA"/>
    <w:rsid w:val="00FC0607"/>
    <w:rsid w:val="00FC0709"/>
    <w:rsid w:val="00FC0797"/>
    <w:rsid w:val="00FC07BB"/>
    <w:rsid w:val="00FC090F"/>
    <w:rsid w:val="00FC09A7"/>
    <w:rsid w:val="00FC0A23"/>
    <w:rsid w:val="00FC0A5B"/>
    <w:rsid w:val="00FC0B39"/>
    <w:rsid w:val="00FC0C03"/>
    <w:rsid w:val="00FC0ED6"/>
    <w:rsid w:val="00FC0FB2"/>
    <w:rsid w:val="00FC0FCF"/>
    <w:rsid w:val="00FC109E"/>
    <w:rsid w:val="00FC10D4"/>
    <w:rsid w:val="00FC1151"/>
    <w:rsid w:val="00FC1398"/>
    <w:rsid w:val="00FC13E0"/>
    <w:rsid w:val="00FC145C"/>
    <w:rsid w:val="00FC151E"/>
    <w:rsid w:val="00FC16FB"/>
    <w:rsid w:val="00FC1759"/>
    <w:rsid w:val="00FC1775"/>
    <w:rsid w:val="00FC17BE"/>
    <w:rsid w:val="00FC17EB"/>
    <w:rsid w:val="00FC185C"/>
    <w:rsid w:val="00FC18A1"/>
    <w:rsid w:val="00FC197D"/>
    <w:rsid w:val="00FC19B3"/>
    <w:rsid w:val="00FC19F5"/>
    <w:rsid w:val="00FC1A1E"/>
    <w:rsid w:val="00FC1BF4"/>
    <w:rsid w:val="00FC1C91"/>
    <w:rsid w:val="00FC1D9D"/>
    <w:rsid w:val="00FC1DD2"/>
    <w:rsid w:val="00FC1ECA"/>
    <w:rsid w:val="00FC1EE8"/>
    <w:rsid w:val="00FC1F48"/>
    <w:rsid w:val="00FC1F70"/>
    <w:rsid w:val="00FC20EA"/>
    <w:rsid w:val="00FC2100"/>
    <w:rsid w:val="00FC212E"/>
    <w:rsid w:val="00FC23A8"/>
    <w:rsid w:val="00FC2458"/>
    <w:rsid w:val="00FC24AD"/>
    <w:rsid w:val="00FC24C0"/>
    <w:rsid w:val="00FC2529"/>
    <w:rsid w:val="00FC25F8"/>
    <w:rsid w:val="00FC264E"/>
    <w:rsid w:val="00FC26E8"/>
    <w:rsid w:val="00FC27AF"/>
    <w:rsid w:val="00FC27F9"/>
    <w:rsid w:val="00FC281C"/>
    <w:rsid w:val="00FC2AA9"/>
    <w:rsid w:val="00FC2AB4"/>
    <w:rsid w:val="00FC2B33"/>
    <w:rsid w:val="00FC2BBA"/>
    <w:rsid w:val="00FC2E92"/>
    <w:rsid w:val="00FC3091"/>
    <w:rsid w:val="00FC30F7"/>
    <w:rsid w:val="00FC311E"/>
    <w:rsid w:val="00FC3195"/>
    <w:rsid w:val="00FC319B"/>
    <w:rsid w:val="00FC31F3"/>
    <w:rsid w:val="00FC3218"/>
    <w:rsid w:val="00FC3428"/>
    <w:rsid w:val="00FC34AF"/>
    <w:rsid w:val="00FC358C"/>
    <w:rsid w:val="00FC36A9"/>
    <w:rsid w:val="00FC371D"/>
    <w:rsid w:val="00FC378F"/>
    <w:rsid w:val="00FC383B"/>
    <w:rsid w:val="00FC3886"/>
    <w:rsid w:val="00FC3906"/>
    <w:rsid w:val="00FC398B"/>
    <w:rsid w:val="00FC3A42"/>
    <w:rsid w:val="00FC3A66"/>
    <w:rsid w:val="00FC3AE2"/>
    <w:rsid w:val="00FC3B05"/>
    <w:rsid w:val="00FC3B88"/>
    <w:rsid w:val="00FC3C4D"/>
    <w:rsid w:val="00FC3DC9"/>
    <w:rsid w:val="00FC3DCA"/>
    <w:rsid w:val="00FC3E9D"/>
    <w:rsid w:val="00FC3EDF"/>
    <w:rsid w:val="00FC3F21"/>
    <w:rsid w:val="00FC4026"/>
    <w:rsid w:val="00FC4104"/>
    <w:rsid w:val="00FC4159"/>
    <w:rsid w:val="00FC4187"/>
    <w:rsid w:val="00FC43D8"/>
    <w:rsid w:val="00FC4410"/>
    <w:rsid w:val="00FC44CF"/>
    <w:rsid w:val="00FC45B6"/>
    <w:rsid w:val="00FC4642"/>
    <w:rsid w:val="00FC46D7"/>
    <w:rsid w:val="00FC47D9"/>
    <w:rsid w:val="00FC4881"/>
    <w:rsid w:val="00FC49EF"/>
    <w:rsid w:val="00FC4AC7"/>
    <w:rsid w:val="00FC4B3C"/>
    <w:rsid w:val="00FC4E12"/>
    <w:rsid w:val="00FC4EF3"/>
    <w:rsid w:val="00FC4FD2"/>
    <w:rsid w:val="00FC5033"/>
    <w:rsid w:val="00FC50D2"/>
    <w:rsid w:val="00FC50DB"/>
    <w:rsid w:val="00FC527B"/>
    <w:rsid w:val="00FC531E"/>
    <w:rsid w:val="00FC53C5"/>
    <w:rsid w:val="00FC53F4"/>
    <w:rsid w:val="00FC54D0"/>
    <w:rsid w:val="00FC564E"/>
    <w:rsid w:val="00FC57BC"/>
    <w:rsid w:val="00FC5817"/>
    <w:rsid w:val="00FC583E"/>
    <w:rsid w:val="00FC58F5"/>
    <w:rsid w:val="00FC5A14"/>
    <w:rsid w:val="00FC5AB7"/>
    <w:rsid w:val="00FC5B30"/>
    <w:rsid w:val="00FC5BE5"/>
    <w:rsid w:val="00FC5C2E"/>
    <w:rsid w:val="00FC5D15"/>
    <w:rsid w:val="00FC5D44"/>
    <w:rsid w:val="00FC5F8F"/>
    <w:rsid w:val="00FC5FD4"/>
    <w:rsid w:val="00FC6010"/>
    <w:rsid w:val="00FC601E"/>
    <w:rsid w:val="00FC6069"/>
    <w:rsid w:val="00FC60BB"/>
    <w:rsid w:val="00FC60ED"/>
    <w:rsid w:val="00FC612F"/>
    <w:rsid w:val="00FC6133"/>
    <w:rsid w:val="00FC6143"/>
    <w:rsid w:val="00FC6145"/>
    <w:rsid w:val="00FC6286"/>
    <w:rsid w:val="00FC62E6"/>
    <w:rsid w:val="00FC64EB"/>
    <w:rsid w:val="00FC64FD"/>
    <w:rsid w:val="00FC6637"/>
    <w:rsid w:val="00FC6687"/>
    <w:rsid w:val="00FC66CA"/>
    <w:rsid w:val="00FC66F8"/>
    <w:rsid w:val="00FC6752"/>
    <w:rsid w:val="00FC6907"/>
    <w:rsid w:val="00FC6991"/>
    <w:rsid w:val="00FC6B56"/>
    <w:rsid w:val="00FC6BD9"/>
    <w:rsid w:val="00FC6D77"/>
    <w:rsid w:val="00FC6E6C"/>
    <w:rsid w:val="00FC6F19"/>
    <w:rsid w:val="00FC6F34"/>
    <w:rsid w:val="00FC6F7C"/>
    <w:rsid w:val="00FC705F"/>
    <w:rsid w:val="00FC727F"/>
    <w:rsid w:val="00FC7303"/>
    <w:rsid w:val="00FC7305"/>
    <w:rsid w:val="00FC73A1"/>
    <w:rsid w:val="00FC74CC"/>
    <w:rsid w:val="00FC7519"/>
    <w:rsid w:val="00FC7563"/>
    <w:rsid w:val="00FC7758"/>
    <w:rsid w:val="00FC7763"/>
    <w:rsid w:val="00FC780B"/>
    <w:rsid w:val="00FC7829"/>
    <w:rsid w:val="00FC7865"/>
    <w:rsid w:val="00FC7973"/>
    <w:rsid w:val="00FC7A36"/>
    <w:rsid w:val="00FC7A71"/>
    <w:rsid w:val="00FC7ABC"/>
    <w:rsid w:val="00FC7B72"/>
    <w:rsid w:val="00FC7D8E"/>
    <w:rsid w:val="00FC7DAE"/>
    <w:rsid w:val="00FC7DE9"/>
    <w:rsid w:val="00FC7EE0"/>
    <w:rsid w:val="00FD0139"/>
    <w:rsid w:val="00FD01C3"/>
    <w:rsid w:val="00FD022E"/>
    <w:rsid w:val="00FD0296"/>
    <w:rsid w:val="00FD0304"/>
    <w:rsid w:val="00FD048E"/>
    <w:rsid w:val="00FD0595"/>
    <w:rsid w:val="00FD05B6"/>
    <w:rsid w:val="00FD0628"/>
    <w:rsid w:val="00FD0776"/>
    <w:rsid w:val="00FD07D0"/>
    <w:rsid w:val="00FD0863"/>
    <w:rsid w:val="00FD0865"/>
    <w:rsid w:val="00FD0AAA"/>
    <w:rsid w:val="00FD0C22"/>
    <w:rsid w:val="00FD0C72"/>
    <w:rsid w:val="00FD0CC4"/>
    <w:rsid w:val="00FD0DC0"/>
    <w:rsid w:val="00FD0DD2"/>
    <w:rsid w:val="00FD0FD6"/>
    <w:rsid w:val="00FD1113"/>
    <w:rsid w:val="00FD1129"/>
    <w:rsid w:val="00FD119A"/>
    <w:rsid w:val="00FD12AE"/>
    <w:rsid w:val="00FD1326"/>
    <w:rsid w:val="00FD144B"/>
    <w:rsid w:val="00FD1525"/>
    <w:rsid w:val="00FD162F"/>
    <w:rsid w:val="00FD17AB"/>
    <w:rsid w:val="00FD181A"/>
    <w:rsid w:val="00FD1875"/>
    <w:rsid w:val="00FD1928"/>
    <w:rsid w:val="00FD19DB"/>
    <w:rsid w:val="00FD19F1"/>
    <w:rsid w:val="00FD1A69"/>
    <w:rsid w:val="00FD1A82"/>
    <w:rsid w:val="00FD1C45"/>
    <w:rsid w:val="00FD1D78"/>
    <w:rsid w:val="00FD1E3B"/>
    <w:rsid w:val="00FD1ED6"/>
    <w:rsid w:val="00FD1EDB"/>
    <w:rsid w:val="00FD1F35"/>
    <w:rsid w:val="00FD1F82"/>
    <w:rsid w:val="00FD2153"/>
    <w:rsid w:val="00FD21A5"/>
    <w:rsid w:val="00FD22E5"/>
    <w:rsid w:val="00FD2355"/>
    <w:rsid w:val="00FD2368"/>
    <w:rsid w:val="00FD237E"/>
    <w:rsid w:val="00FD24AD"/>
    <w:rsid w:val="00FD250B"/>
    <w:rsid w:val="00FD2820"/>
    <w:rsid w:val="00FD2A03"/>
    <w:rsid w:val="00FD2AD0"/>
    <w:rsid w:val="00FD2ADC"/>
    <w:rsid w:val="00FD2B38"/>
    <w:rsid w:val="00FD2B9A"/>
    <w:rsid w:val="00FD2D4D"/>
    <w:rsid w:val="00FD2E41"/>
    <w:rsid w:val="00FD2ED8"/>
    <w:rsid w:val="00FD2F50"/>
    <w:rsid w:val="00FD2F58"/>
    <w:rsid w:val="00FD2FBA"/>
    <w:rsid w:val="00FD2FC1"/>
    <w:rsid w:val="00FD2FDA"/>
    <w:rsid w:val="00FD302B"/>
    <w:rsid w:val="00FD3111"/>
    <w:rsid w:val="00FD3206"/>
    <w:rsid w:val="00FD324A"/>
    <w:rsid w:val="00FD32FF"/>
    <w:rsid w:val="00FD333D"/>
    <w:rsid w:val="00FD33E4"/>
    <w:rsid w:val="00FD3430"/>
    <w:rsid w:val="00FD3466"/>
    <w:rsid w:val="00FD3532"/>
    <w:rsid w:val="00FD35A6"/>
    <w:rsid w:val="00FD35A8"/>
    <w:rsid w:val="00FD35DE"/>
    <w:rsid w:val="00FD35E1"/>
    <w:rsid w:val="00FD369B"/>
    <w:rsid w:val="00FD36D8"/>
    <w:rsid w:val="00FD3702"/>
    <w:rsid w:val="00FD3753"/>
    <w:rsid w:val="00FD3789"/>
    <w:rsid w:val="00FD3906"/>
    <w:rsid w:val="00FD3A09"/>
    <w:rsid w:val="00FD3A40"/>
    <w:rsid w:val="00FD3A4E"/>
    <w:rsid w:val="00FD3A6A"/>
    <w:rsid w:val="00FD3B79"/>
    <w:rsid w:val="00FD3C64"/>
    <w:rsid w:val="00FD3C7F"/>
    <w:rsid w:val="00FD3CD3"/>
    <w:rsid w:val="00FD3CE0"/>
    <w:rsid w:val="00FD3D45"/>
    <w:rsid w:val="00FD3E14"/>
    <w:rsid w:val="00FD3E69"/>
    <w:rsid w:val="00FD3EB4"/>
    <w:rsid w:val="00FD3EEB"/>
    <w:rsid w:val="00FD3F19"/>
    <w:rsid w:val="00FD3F4D"/>
    <w:rsid w:val="00FD3FD5"/>
    <w:rsid w:val="00FD3FE6"/>
    <w:rsid w:val="00FD40A9"/>
    <w:rsid w:val="00FD40DB"/>
    <w:rsid w:val="00FD4185"/>
    <w:rsid w:val="00FD41EA"/>
    <w:rsid w:val="00FD42A1"/>
    <w:rsid w:val="00FD448B"/>
    <w:rsid w:val="00FD4530"/>
    <w:rsid w:val="00FD4574"/>
    <w:rsid w:val="00FD4593"/>
    <w:rsid w:val="00FD45A6"/>
    <w:rsid w:val="00FD4608"/>
    <w:rsid w:val="00FD4698"/>
    <w:rsid w:val="00FD4944"/>
    <w:rsid w:val="00FD4A26"/>
    <w:rsid w:val="00FD4A58"/>
    <w:rsid w:val="00FD4B87"/>
    <w:rsid w:val="00FD4BAA"/>
    <w:rsid w:val="00FD4D1C"/>
    <w:rsid w:val="00FD4D3F"/>
    <w:rsid w:val="00FD4DC1"/>
    <w:rsid w:val="00FD4F22"/>
    <w:rsid w:val="00FD4F8C"/>
    <w:rsid w:val="00FD5004"/>
    <w:rsid w:val="00FD5013"/>
    <w:rsid w:val="00FD5024"/>
    <w:rsid w:val="00FD50F7"/>
    <w:rsid w:val="00FD513C"/>
    <w:rsid w:val="00FD5243"/>
    <w:rsid w:val="00FD527E"/>
    <w:rsid w:val="00FD530A"/>
    <w:rsid w:val="00FD531F"/>
    <w:rsid w:val="00FD534B"/>
    <w:rsid w:val="00FD539E"/>
    <w:rsid w:val="00FD53CD"/>
    <w:rsid w:val="00FD5436"/>
    <w:rsid w:val="00FD5444"/>
    <w:rsid w:val="00FD5534"/>
    <w:rsid w:val="00FD557F"/>
    <w:rsid w:val="00FD568F"/>
    <w:rsid w:val="00FD5737"/>
    <w:rsid w:val="00FD5739"/>
    <w:rsid w:val="00FD5745"/>
    <w:rsid w:val="00FD5780"/>
    <w:rsid w:val="00FD5798"/>
    <w:rsid w:val="00FD580B"/>
    <w:rsid w:val="00FD581B"/>
    <w:rsid w:val="00FD5836"/>
    <w:rsid w:val="00FD597C"/>
    <w:rsid w:val="00FD59A3"/>
    <w:rsid w:val="00FD5B69"/>
    <w:rsid w:val="00FD5C1E"/>
    <w:rsid w:val="00FD5D5A"/>
    <w:rsid w:val="00FD5ECC"/>
    <w:rsid w:val="00FD5ED2"/>
    <w:rsid w:val="00FD6136"/>
    <w:rsid w:val="00FD6270"/>
    <w:rsid w:val="00FD6299"/>
    <w:rsid w:val="00FD629A"/>
    <w:rsid w:val="00FD63A0"/>
    <w:rsid w:val="00FD64E0"/>
    <w:rsid w:val="00FD657F"/>
    <w:rsid w:val="00FD65E5"/>
    <w:rsid w:val="00FD6606"/>
    <w:rsid w:val="00FD6651"/>
    <w:rsid w:val="00FD665D"/>
    <w:rsid w:val="00FD6673"/>
    <w:rsid w:val="00FD67A5"/>
    <w:rsid w:val="00FD67BF"/>
    <w:rsid w:val="00FD67E4"/>
    <w:rsid w:val="00FD6877"/>
    <w:rsid w:val="00FD6A11"/>
    <w:rsid w:val="00FD6A21"/>
    <w:rsid w:val="00FD6A83"/>
    <w:rsid w:val="00FD6A8F"/>
    <w:rsid w:val="00FD6BEC"/>
    <w:rsid w:val="00FD6C0E"/>
    <w:rsid w:val="00FD6C34"/>
    <w:rsid w:val="00FD6FE5"/>
    <w:rsid w:val="00FD700E"/>
    <w:rsid w:val="00FD70B3"/>
    <w:rsid w:val="00FD70EB"/>
    <w:rsid w:val="00FD7191"/>
    <w:rsid w:val="00FD71B6"/>
    <w:rsid w:val="00FD71CB"/>
    <w:rsid w:val="00FD7345"/>
    <w:rsid w:val="00FD7351"/>
    <w:rsid w:val="00FD7372"/>
    <w:rsid w:val="00FD7459"/>
    <w:rsid w:val="00FD74A4"/>
    <w:rsid w:val="00FD7554"/>
    <w:rsid w:val="00FD7596"/>
    <w:rsid w:val="00FD76C6"/>
    <w:rsid w:val="00FD76EA"/>
    <w:rsid w:val="00FD76EC"/>
    <w:rsid w:val="00FD7984"/>
    <w:rsid w:val="00FD79DA"/>
    <w:rsid w:val="00FD7A23"/>
    <w:rsid w:val="00FD7A4A"/>
    <w:rsid w:val="00FD7A64"/>
    <w:rsid w:val="00FD7ADE"/>
    <w:rsid w:val="00FD7B85"/>
    <w:rsid w:val="00FD7C0B"/>
    <w:rsid w:val="00FD7C82"/>
    <w:rsid w:val="00FD7C90"/>
    <w:rsid w:val="00FD7E88"/>
    <w:rsid w:val="00FD7E8C"/>
    <w:rsid w:val="00FD7ED1"/>
    <w:rsid w:val="00FD7F63"/>
    <w:rsid w:val="00FE00F0"/>
    <w:rsid w:val="00FE017B"/>
    <w:rsid w:val="00FE026C"/>
    <w:rsid w:val="00FE03D4"/>
    <w:rsid w:val="00FE040A"/>
    <w:rsid w:val="00FE0464"/>
    <w:rsid w:val="00FE04B5"/>
    <w:rsid w:val="00FE0585"/>
    <w:rsid w:val="00FE05C6"/>
    <w:rsid w:val="00FE0697"/>
    <w:rsid w:val="00FE0873"/>
    <w:rsid w:val="00FE087A"/>
    <w:rsid w:val="00FE087B"/>
    <w:rsid w:val="00FE092B"/>
    <w:rsid w:val="00FE097C"/>
    <w:rsid w:val="00FE0988"/>
    <w:rsid w:val="00FE09EC"/>
    <w:rsid w:val="00FE0A1C"/>
    <w:rsid w:val="00FE0A3C"/>
    <w:rsid w:val="00FE0A46"/>
    <w:rsid w:val="00FE0B13"/>
    <w:rsid w:val="00FE0B52"/>
    <w:rsid w:val="00FE0BC0"/>
    <w:rsid w:val="00FE0BFB"/>
    <w:rsid w:val="00FE0CB7"/>
    <w:rsid w:val="00FE0D3C"/>
    <w:rsid w:val="00FE0D60"/>
    <w:rsid w:val="00FE0E97"/>
    <w:rsid w:val="00FE0EBB"/>
    <w:rsid w:val="00FE0FD2"/>
    <w:rsid w:val="00FE0FED"/>
    <w:rsid w:val="00FE1019"/>
    <w:rsid w:val="00FE1022"/>
    <w:rsid w:val="00FE104B"/>
    <w:rsid w:val="00FE1087"/>
    <w:rsid w:val="00FE10AF"/>
    <w:rsid w:val="00FE1199"/>
    <w:rsid w:val="00FE11FB"/>
    <w:rsid w:val="00FE12BE"/>
    <w:rsid w:val="00FE134F"/>
    <w:rsid w:val="00FE1441"/>
    <w:rsid w:val="00FE145D"/>
    <w:rsid w:val="00FE1473"/>
    <w:rsid w:val="00FE151D"/>
    <w:rsid w:val="00FE1570"/>
    <w:rsid w:val="00FE15C4"/>
    <w:rsid w:val="00FE166F"/>
    <w:rsid w:val="00FE1674"/>
    <w:rsid w:val="00FE1752"/>
    <w:rsid w:val="00FE17C8"/>
    <w:rsid w:val="00FE17F0"/>
    <w:rsid w:val="00FE1855"/>
    <w:rsid w:val="00FE189E"/>
    <w:rsid w:val="00FE18C1"/>
    <w:rsid w:val="00FE1984"/>
    <w:rsid w:val="00FE1A5F"/>
    <w:rsid w:val="00FE1ABD"/>
    <w:rsid w:val="00FE1B21"/>
    <w:rsid w:val="00FE1BE0"/>
    <w:rsid w:val="00FE1C0C"/>
    <w:rsid w:val="00FE1C9C"/>
    <w:rsid w:val="00FE1E44"/>
    <w:rsid w:val="00FE1ED3"/>
    <w:rsid w:val="00FE1F0C"/>
    <w:rsid w:val="00FE1F76"/>
    <w:rsid w:val="00FE1F8A"/>
    <w:rsid w:val="00FE1FE1"/>
    <w:rsid w:val="00FE1FFE"/>
    <w:rsid w:val="00FE212F"/>
    <w:rsid w:val="00FE21F2"/>
    <w:rsid w:val="00FE22CB"/>
    <w:rsid w:val="00FE235C"/>
    <w:rsid w:val="00FE2391"/>
    <w:rsid w:val="00FE23AA"/>
    <w:rsid w:val="00FE23DC"/>
    <w:rsid w:val="00FE2438"/>
    <w:rsid w:val="00FE2478"/>
    <w:rsid w:val="00FE2496"/>
    <w:rsid w:val="00FE25DB"/>
    <w:rsid w:val="00FE2631"/>
    <w:rsid w:val="00FE2643"/>
    <w:rsid w:val="00FE2680"/>
    <w:rsid w:val="00FE270E"/>
    <w:rsid w:val="00FE274C"/>
    <w:rsid w:val="00FE2881"/>
    <w:rsid w:val="00FE2ABA"/>
    <w:rsid w:val="00FE2AC9"/>
    <w:rsid w:val="00FE2B42"/>
    <w:rsid w:val="00FE2B8D"/>
    <w:rsid w:val="00FE2B9C"/>
    <w:rsid w:val="00FE2D1D"/>
    <w:rsid w:val="00FE2D3E"/>
    <w:rsid w:val="00FE2E1E"/>
    <w:rsid w:val="00FE2F9A"/>
    <w:rsid w:val="00FE300F"/>
    <w:rsid w:val="00FE302A"/>
    <w:rsid w:val="00FE31FC"/>
    <w:rsid w:val="00FE326C"/>
    <w:rsid w:val="00FE341C"/>
    <w:rsid w:val="00FE34C0"/>
    <w:rsid w:val="00FE34D2"/>
    <w:rsid w:val="00FE3508"/>
    <w:rsid w:val="00FE358D"/>
    <w:rsid w:val="00FE3664"/>
    <w:rsid w:val="00FE375E"/>
    <w:rsid w:val="00FE384B"/>
    <w:rsid w:val="00FE387B"/>
    <w:rsid w:val="00FE3881"/>
    <w:rsid w:val="00FE3915"/>
    <w:rsid w:val="00FE3927"/>
    <w:rsid w:val="00FE39BC"/>
    <w:rsid w:val="00FE3A4C"/>
    <w:rsid w:val="00FE3A94"/>
    <w:rsid w:val="00FE3AA3"/>
    <w:rsid w:val="00FE3C08"/>
    <w:rsid w:val="00FE3C4F"/>
    <w:rsid w:val="00FE3DDD"/>
    <w:rsid w:val="00FE3E99"/>
    <w:rsid w:val="00FE3EC7"/>
    <w:rsid w:val="00FE3EFF"/>
    <w:rsid w:val="00FE3F6D"/>
    <w:rsid w:val="00FE3FE9"/>
    <w:rsid w:val="00FE4004"/>
    <w:rsid w:val="00FE4083"/>
    <w:rsid w:val="00FE4213"/>
    <w:rsid w:val="00FE42B0"/>
    <w:rsid w:val="00FE433F"/>
    <w:rsid w:val="00FE437D"/>
    <w:rsid w:val="00FE43E5"/>
    <w:rsid w:val="00FE4435"/>
    <w:rsid w:val="00FE443A"/>
    <w:rsid w:val="00FE4512"/>
    <w:rsid w:val="00FE465F"/>
    <w:rsid w:val="00FE46E2"/>
    <w:rsid w:val="00FE47C0"/>
    <w:rsid w:val="00FE4844"/>
    <w:rsid w:val="00FE4872"/>
    <w:rsid w:val="00FE48BC"/>
    <w:rsid w:val="00FE493B"/>
    <w:rsid w:val="00FE4A69"/>
    <w:rsid w:val="00FE4BA5"/>
    <w:rsid w:val="00FE4BDF"/>
    <w:rsid w:val="00FE4BE8"/>
    <w:rsid w:val="00FE4C28"/>
    <w:rsid w:val="00FE4DEA"/>
    <w:rsid w:val="00FE4EA5"/>
    <w:rsid w:val="00FE4EF8"/>
    <w:rsid w:val="00FE4F32"/>
    <w:rsid w:val="00FE50C4"/>
    <w:rsid w:val="00FE5115"/>
    <w:rsid w:val="00FE515F"/>
    <w:rsid w:val="00FE51F3"/>
    <w:rsid w:val="00FE52D8"/>
    <w:rsid w:val="00FE53C9"/>
    <w:rsid w:val="00FE53D3"/>
    <w:rsid w:val="00FE547A"/>
    <w:rsid w:val="00FE55A2"/>
    <w:rsid w:val="00FE55D0"/>
    <w:rsid w:val="00FE55FB"/>
    <w:rsid w:val="00FE56B2"/>
    <w:rsid w:val="00FE56E6"/>
    <w:rsid w:val="00FE5750"/>
    <w:rsid w:val="00FE5824"/>
    <w:rsid w:val="00FE5877"/>
    <w:rsid w:val="00FE5903"/>
    <w:rsid w:val="00FE599E"/>
    <w:rsid w:val="00FE59A8"/>
    <w:rsid w:val="00FE59E4"/>
    <w:rsid w:val="00FE5A00"/>
    <w:rsid w:val="00FE5C1B"/>
    <w:rsid w:val="00FE5D91"/>
    <w:rsid w:val="00FE5D9E"/>
    <w:rsid w:val="00FE5DCE"/>
    <w:rsid w:val="00FE5E94"/>
    <w:rsid w:val="00FE5EBC"/>
    <w:rsid w:val="00FE5EF8"/>
    <w:rsid w:val="00FE5F74"/>
    <w:rsid w:val="00FE5FBC"/>
    <w:rsid w:val="00FE5FE3"/>
    <w:rsid w:val="00FE6001"/>
    <w:rsid w:val="00FE6012"/>
    <w:rsid w:val="00FE6023"/>
    <w:rsid w:val="00FE605F"/>
    <w:rsid w:val="00FE606D"/>
    <w:rsid w:val="00FE60A1"/>
    <w:rsid w:val="00FE60DD"/>
    <w:rsid w:val="00FE61A7"/>
    <w:rsid w:val="00FE63FF"/>
    <w:rsid w:val="00FE6415"/>
    <w:rsid w:val="00FE6453"/>
    <w:rsid w:val="00FE64BC"/>
    <w:rsid w:val="00FE64FB"/>
    <w:rsid w:val="00FE6511"/>
    <w:rsid w:val="00FE6749"/>
    <w:rsid w:val="00FE6767"/>
    <w:rsid w:val="00FE67A2"/>
    <w:rsid w:val="00FE6888"/>
    <w:rsid w:val="00FE68E8"/>
    <w:rsid w:val="00FE6985"/>
    <w:rsid w:val="00FE6BF6"/>
    <w:rsid w:val="00FE6DEE"/>
    <w:rsid w:val="00FE6E0D"/>
    <w:rsid w:val="00FE6E57"/>
    <w:rsid w:val="00FE6E64"/>
    <w:rsid w:val="00FE6EC6"/>
    <w:rsid w:val="00FE6F6D"/>
    <w:rsid w:val="00FE6F71"/>
    <w:rsid w:val="00FE6FF4"/>
    <w:rsid w:val="00FE70C4"/>
    <w:rsid w:val="00FE70D2"/>
    <w:rsid w:val="00FE7129"/>
    <w:rsid w:val="00FE7141"/>
    <w:rsid w:val="00FE71D5"/>
    <w:rsid w:val="00FE7203"/>
    <w:rsid w:val="00FE7317"/>
    <w:rsid w:val="00FE7340"/>
    <w:rsid w:val="00FE73CF"/>
    <w:rsid w:val="00FE7408"/>
    <w:rsid w:val="00FE751D"/>
    <w:rsid w:val="00FE755F"/>
    <w:rsid w:val="00FE764F"/>
    <w:rsid w:val="00FE76DE"/>
    <w:rsid w:val="00FE770B"/>
    <w:rsid w:val="00FE77A4"/>
    <w:rsid w:val="00FE77AE"/>
    <w:rsid w:val="00FE77E2"/>
    <w:rsid w:val="00FE781B"/>
    <w:rsid w:val="00FE7862"/>
    <w:rsid w:val="00FE7898"/>
    <w:rsid w:val="00FE78B2"/>
    <w:rsid w:val="00FE7A2E"/>
    <w:rsid w:val="00FE7A45"/>
    <w:rsid w:val="00FE7AF4"/>
    <w:rsid w:val="00FE7B83"/>
    <w:rsid w:val="00FE7BFC"/>
    <w:rsid w:val="00FE7C1C"/>
    <w:rsid w:val="00FE7C46"/>
    <w:rsid w:val="00FE7C74"/>
    <w:rsid w:val="00FE7D02"/>
    <w:rsid w:val="00FE7D20"/>
    <w:rsid w:val="00FE7D50"/>
    <w:rsid w:val="00FE7D5B"/>
    <w:rsid w:val="00FE7DC1"/>
    <w:rsid w:val="00FE7DCA"/>
    <w:rsid w:val="00FE7DDD"/>
    <w:rsid w:val="00FE7E8A"/>
    <w:rsid w:val="00FE7F5B"/>
    <w:rsid w:val="00FE7FAC"/>
    <w:rsid w:val="00FF0065"/>
    <w:rsid w:val="00FF0130"/>
    <w:rsid w:val="00FF0229"/>
    <w:rsid w:val="00FF02A4"/>
    <w:rsid w:val="00FF0311"/>
    <w:rsid w:val="00FF0389"/>
    <w:rsid w:val="00FF0392"/>
    <w:rsid w:val="00FF0492"/>
    <w:rsid w:val="00FF0652"/>
    <w:rsid w:val="00FF08B0"/>
    <w:rsid w:val="00FF09D7"/>
    <w:rsid w:val="00FF0B56"/>
    <w:rsid w:val="00FF0BD5"/>
    <w:rsid w:val="00FF0C2D"/>
    <w:rsid w:val="00FF0DAA"/>
    <w:rsid w:val="00FF0DF6"/>
    <w:rsid w:val="00FF0F41"/>
    <w:rsid w:val="00FF0F62"/>
    <w:rsid w:val="00FF0F91"/>
    <w:rsid w:val="00FF0FEC"/>
    <w:rsid w:val="00FF103F"/>
    <w:rsid w:val="00FF105F"/>
    <w:rsid w:val="00FF10C6"/>
    <w:rsid w:val="00FF113F"/>
    <w:rsid w:val="00FF1193"/>
    <w:rsid w:val="00FF119A"/>
    <w:rsid w:val="00FF11F0"/>
    <w:rsid w:val="00FF121F"/>
    <w:rsid w:val="00FF1252"/>
    <w:rsid w:val="00FF12AF"/>
    <w:rsid w:val="00FF12C7"/>
    <w:rsid w:val="00FF12D4"/>
    <w:rsid w:val="00FF1448"/>
    <w:rsid w:val="00FF14CD"/>
    <w:rsid w:val="00FF1512"/>
    <w:rsid w:val="00FF156C"/>
    <w:rsid w:val="00FF15FD"/>
    <w:rsid w:val="00FF1663"/>
    <w:rsid w:val="00FF1694"/>
    <w:rsid w:val="00FF1712"/>
    <w:rsid w:val="00FF18C5"/>
    <w:rsid w:val="00FF190C"/>
    <w:rsid w:val="00FF19E9"/>
    <w:rsid w:val="00FF1A52"/>
    <w:rsid w:val="00FF1A5B"/>
    <w:rsid w:val="00FF1A85"/>
    <w:rsid w:val="00FF1BE4"/>
    <w:rsid w:val="00FF1C4D"/>
    <w:rsid w:val="00FF1C7B"/>
    <w:rsid w:val="00FF1CFA"/>
    <w:rsid w:val="00FF1D20"/>
    <w:rsid w:val="00FF1D2B"/>
    <w:rsid w:val="00FF1DAB"/>
    <w:rsid w:val="00FF1EB2"/>
    <w:rsid w:val="00FF1F61"/>
    <w:rsid w:val="00FF2013"/>
    <w:rsid w:val="00FF2022"/>
    <w:rsid w:val="00FF2301"/>
    <w:rsid w:val="00FF23B0"/>
    <w:rsid w:val="00FF2455"/>
    <w:rsid w:val="00FF246D"/>
    <w:rsid w:val="00FF248D"/>
    <w:rsid w:val="00FF24CA"/>
    <w:rsid w:val="00FF2517"/>
    <w:rsid w:val="00FF25D1"/>
    <w:rsid w:val="00FF25EB"/>
    <w:rsid w:val="00FF2610"/>
    <w:rsid w:val="00FF279B"/>
    <w:rsid w:val="00FF2821"/>
    <w:rsid w:val="00FF2844"/>
    <w:rsid w:val="00FF28B4"/>
    <w:rsid w:val="00FF2955"/>
    <w:rsid w:val="00FF29AE"/>
    <w:rsid w:val="00FF29C0"/>
    <w:rsid w:val="00FF2A22"/>
    <w:rsid w:val="00FF2B44"/>
    <w:rsid w:val="00FF2C36"/>
    <w:rsid w:val="00FF2C9D"/>
    <w:rsid w:val="00FF2D4C"/>
    <w:rsid w:val="00FF2DD9"/>
    <w:rsid w:val="00FF2F17"/>
    <w:rsid w:val="00FF2F85"/>
    <w:rsid w:val="00FF2F8F"/>
    <w:rsid w:val="00FF2FAB"/>
    <w:rsid w:val="00FF2FC2"/>
    <w:rsid w:val="00FF2FE5"/>
    <w:rsid w:val="00FF3035"/>
    <w:rsid w:val="00FF3100"/>
    <w:rsid w:val="00FF31BB"/>
    <w:rsid w:val="00FF323D"/>
    <w:rsid w:val="00FF32F9"/>
    <w:rsid w:val="00FF332D"/>
    <w:rsid w:val="00FF3330"/>
    <w:rsid w:val="00FF3345"/>
    <w:rsid w:val="00FF338A"/>
    <w:rsid w:val="00FF339E"/>
    <w:rsid w:val="00FF350C"/>
    <w:rsid w:val="00FF3759"/>
    <w:rsid w:val="00FF3768"/>
    <w:rsid w:val="00FF3782"/>
    <w:rsid w:val="00FF3880"/>
    <w:rsid w:val="00FF3894"/>
    <w:rsid w:val="00FF38A4"/>
    <w:rsid w:val="00FF38D2"/>
    <w:rsid w:val="00FF390E"/>
    <w:rsid w:val="00FF39D2"/>
    <w:rsid w:val="00FF3A36"/>
    <w:rsid w:val="00FF3A5F"/>
    <w:rsid w:val="00FF3A7D"/>
    <w:rsid w:val="00FF3AC4"/>
    <w:rsid w:val="00FF3B58"/>
    <w:rsid w:val="00FF3B86"/>
    <w:rsid w:val="00FF3BA4"/>
    <w:rsid w:val="00FF3CE3"/>
    <w:rsid w:val="00FF3D42"/>
    <w:rsid w:val="00FF3E71"/>
    <w:rsid w:val="00FF3EE5"/>
    <w:rsid w:val="00FF3FE3"/>
    <w:rsid w:val="00FF40B2"/>
    <w:rsid w:val="00FF4117"/>
    <w:rsid w:val="00FF413F"/>
    <w:rsid w:val="00FF415C"/>
    <w:rsid w:val="00FF417B"/>
    <w:rsid w:val="00FF42F2"/>
    <w:rsid w:val="00FF4313"/>
    <w:rsid w:val="00FF431B"/>
    <w:rsid w:val="00FF4327"/>
    <w:rsid w:val="00FF44DF"/>
    <w:rsid w:val="00FF4517"/>
    <w:rsid w:val="00FF4544"/>
    <w:rsid w:val="00FF46B6"/>
    <w:rsid w:val="00FF46E8"/>
    <w:rsid w:val="00FF47EC"/>
    <w:rsid w:val="00FF47F1"/>
    <w:rsid w:val="00FF4805"/>
    <w:rsid w:val="00FF480F"/>
    <w:rsid w:val="00FF486A"/>
    <w:rsid w:val="00FF493E"/>
    <w:rsid w:val="00FF4AD2"/>
    <w:rsid w:val="00FF4B08"/>
    <w:rsid w:val="00FF4C5C"/>
    <w:rsid w:val="00FF4D0A"/>
    <w:rsid w:val="00FF4EDD"/>
    <w:rsid w:val="00FF4F60"/>
    <w:rsid w:val="00FF4FB0"/>
    <w:rsid w:val="00FF4FC8"/>
    <w:rsid w:val="00FF503C"/>
    <w:rsid w:val="00FF50A7"/>
    <w:rsid w:val="00FF5190"/>
    <w:rsid w:val="00FF51E3"/>
    <w:rsid w:val="00FF526B"/>
    <w:rsid w:val="00FF556F"/>
    <w:rsid w:val="00FF55E4"/>
    <w:rsid w:val="00FF562D"/>
    <w:rsid w:val="00FF5638"/>
    <w:rsid w:val="00FF570C"/>
    <w:rsid w:val="00FF57B0"/>
    <w:rsid w:val="00FF58CE"/>
    <w:rsid w:val="00FF58E3"/>
    <w:rsid w:val="00FF58EE"/>
    <w:rsid w:val="00FF5A6D"/>
    <w:rsid w:val="00FF5AB4"/>
    <w:rsid w:val="00FF5B92"/>
    <w:rsid w:val="00FF5D8F"/>
    <w:rsid w:val="00FF5FE5"/>
    <w:rsid w:val="00FF6009"/>
    <w:rsid w:val="00FF601B"/>
    <w:rsid w:val="00FF6058"/>
    <w:rsid w:val="00FF6079"/>
    <w:rsid w:val="00FF607B"/>
    <w:rsid w:val="00FF60AC"/>
    <w:rsid w:val="00FF60E5"/>
    <w:rsid w:val="00FF60ED"/>
    <w:rsid w:val="00FF6184"/>
    <w:rsid w:val="00FF624A"/>
    <w:rsid w:val="00FF6251"/>
    <w:rsid w:val="00FF626B"/>
    <w:rsid w:val="00FF6342"/>
    <w:rsid w:val="00FF635E"/>
    <w:rsid w:val="00FF63ED"/>
    <w:rsid w:val="00FF6442"/>
    <w:rsid w:val="00FF64C3"/>
    <w:rsid w:val="00FF6547"/>
    <w:rsid w:val="00FF65EF"/>
    <w:rsid w:val="00FF66FE"/>
    <w:rsid w:val="00FF67BA"/>
    <w:rsid w:val="00FF680D"/>
    <w:rsid w:val="00FF6835"/>
    <w:rsid w:val="00FF6910"/>
    <w:rsid w:val="00FF6AB2"/>
    <w:rsid w:val="00FF6AE2"/>
    <w:rsid w:val="00FF6B2B"/>
    <w:rsid w:val="00FF6B69"/>
    <w:rsid w:val="00FF6B97"/>
    <w:rsid w:val="00FF6C78"/>
    <w:rsid w:val="00FF6EF1"/>
    <w:rsid w:val="00FF6FB2"/>
    <w:rsid w:val="00FF7064"/>
    <w:rsid w:val="00FF7084"/>
    <w:rsid w:val="00FF70F7"/>
    <w:rsid w:val="00FF713A"/>
    <w:rsid w:val="00FF734C"/>
    <w:rsid w:val="00FF737B"/>
    <w:rsid w:val="00FF743D"/>
    <w:rsid w:val="00FF7490"/>
    <w:rsid w:val="00FF74D5"/>
    <w:rsid w:val="00FF74EA"/>
    <w:rsid w:val="00FF759D"/>
    <w:rsid w:val="00FF7618"/>
    <w:rsid w:val="00FF783F"/>
    <w:rsid w:val="00FF7869"/>
    <w:rsid w:val="00FF7870"/>
    <w:rsid w:val="00FF7882"/>
    <w:rsid w:val="00FF78DD"/>
    <w:rsid w:val="00FF7978"/>
    <w:rsid w:val="00FF797C"/>
    <w:rsid w:val="00FF7DA6"/>
    <w:rsid w:val="00FF7E10"/>
    <w:rsid w:val="00FF7E45"/>
    <w:rsid w:val="00FF7E59"/>
    <w:rsid w:val="00FF7F13"/>
    <w:rsid w:val="00FF7F24"/>
    <w:rsid w:val="00FF7F38"/>
    <w:rsid w:val="00FFECB0"/>
    <w:rsid w:val="01019852"/>
    <w:rsid w:val="01041CBA"/>
    <w:rsid w:val="010724D2"/>
    <w:rsid w:val="010882D0"/>
    <w:rsid w:val="010E9DB4"/>
    <w:rsid w:val="0112DDA6"/>
    <w:rsid w:val="01135985"/>
    <w:rsid w:val="01161707"/>
    <w:rsid w:val="01168F44"/>
    <w:rsid w:val="011869A5"/>
    <w:rsid w:val="012599F5"/>
    <w:rsid w:val="012DEBAA"/>
    <w:rsid w:val="012FDE4C"/>
    <w:rsid w:val="01366536"/>
    <w:rsid w:val="0139493E"/>
    <w:rsid w:val="013C5D1F"/>
    <w:rsid w:val="0143887E"/>
    <w:rsid w:val="0145D5FE"/>
    <w:rsid w:val="0146FD3E"/>
    <w:rsid w:val="01476EE2"/>
    <w:rsid w:val="014911D4"/>
    <w:rsid w:val="0149E781"/>
    <w:rsid w:val="014D3952"/>
    <w:rsid w:val="014E415C"/>
    <w:rsid w:val="0158243F"/>
    <w:rsid w:val="015BBC10"/>
    <w:rsid w:val="016F835E"/>
    <w:rsid w:val="0171185D"/>
    <w:rsid w:val="01784A5D"/>
    <w:rsid w:val="018E6E91"/>
    <w:rsid w:val="018FFA69"/>
    <w:rsid w:val="019714F9"/>
    <w:rsid w:val="019A088A"/>
    <w:rsid w:val="019D318E"/>
    <w:rsid w:val="01A08F88"/>
    <w:rsid w:val="01A17E73"/>
    <w:rsid w:val="01A1CCB3"/>
    <w:rsid w:val="01A25D2C"/>
    <w:rsid w:val="01ABA77D"/>
    <w:rsid w:val="01B286F2"/>
    <w:rsid w:val="01BD8481"/>
    <w:rsid w:val="01C1CE34"/>
    <w:rsid w:val="01C4CA34"/>
    <w:rsid w:val="01C98FC9"/>
    <w:rsid w:val="01CA2EC8"/>
    <w:rsid w:val="01D2B52D"/>
    <w:rsid w:val="01DC5013"/>
    <w:rsid w:val="01DF3333"/>
    <w:rsid w:val="01DF48D6"/>
    <w:rsid w:val="01E62D3C"/>
    <w:rsid w:val="01EE06B2"/>
    <w:rsid w:val="01F0F1F7"/>
    <w:rsid w:val="01FB5620"/>
    <w:rsid w:val="0204001A"/>
    <w:rsid w:val="0204F830"/>
    <w:rsid w:val="020621A2"/>
    <w:rsid w:val="0208C33F"/>
    <w:rsid w:val="0208EB8A"/>
    <w:rsid w:val="0208F833"/>
    <w:rsid w:val="020B090C"/>
    <w:rsid w:val="02128E83"/>
    <w:rsid w:val="0212C746"/>
    <w:rsid w:val="0214D698"/>
    <w:rsid w:val="02161F90"/>
    <w:rsid w:val="0218F679"/>
    <w:rsid w:val="021A34AA"/>
    <w:rsid w:val="02233145"/>
    <w:rsid w:val="0223B8CF"/>
    <w:rsid w:val="02271987"/>
    <w:rsid w:val="022933F7"/>
    <w:rsid w:val="0229AF36"/>
    <w:rsid w:val="022F7ED5"/>
    <w:rsid w:val="02324C72"/>
    <w:rsid w:val="02350FEC"/>
    <w:rsid w:val="0237CFC7"/>
    <w:rsid w:val="023A6A08"/>
    <w:rsid w:val="024655AB"/>
    <w:rsid w:val="02483839"/>
    <w:rsid w:val="02487922"/>
    <w:rsid w:val="0248DB86"/>
    <w:rsid w:val="024A853B"/>
    <w:rsid w:val="0252E25B"/>
    <w:rsid w:val="02540216"/>
    <w:rsid w:val="02547701"/>
    <w:rsid w:val="025D8985"/>
    <w:rsid w:val="02614536"/>
    <w:rsid w:val="0261E1C1"/>
    <w:rsid w:val="026541F0"/>
    <w:rsid w:val="026550E9"/>
    <w:rsid w:val="02689CF6"/>
    <w:rsid w:val="0279148B"/>
    <w:rsid w:val="027BCF82"/>
    <w:rsid w:val="027C0C41"/>
    <w:rsid w:val="028A4F26"/>
    <w:rsid w:val="028A8838"/>
    <w:rsid w:val="028B186A"/>
    <w:rsid w:val="028C17D2"/>
    <w:rsid w:val="028D30A5"/>
    <w:rsid w:val="028F2712"/>
    <w:rsid w:val="02946233"/>
    <w:rsid w:val="02A015B3"/>
    <w:rsid w:val="02A2F2A9"/>
    <w:rsid w:val="02A8818A"/>
    <w:rsid w:val="02AE40A9"/>
    <w:rsid w:val="02B7B61E"/>
    <w:rsid w:val="02BB9505"/>
    <w:rsid w:val="02BD88DE"/>
    <w:rsid w:val="02BF0A7B"/>
    <w:rsid w:val="02C5DE25"/>
    <w:rsid w:val="02C6FE7A"/>
    <w:rsid w:val="02C71FD3"/>
    <w:rsid w:val="02C91A63"/>
    <w:rsid w:val="02CAC427"/>
    <w:rsid w:val="02CB6149"/>
    <w:rsid w:val="02D6B304"/>
    <w:rsid w:val="02D963B2"/>
    <w:rsid w:val="02D992AF"/>
    <w:rsid w:val="02D9D31C"/>
    <w:rsid w:val="02DA820A"/>
    <w:rsid w:val="02DCDF71"/>
    <w:rsid w:val="02DD32F8"/>
    <w:rsid w:val="02E05065"/>
    <w:rsid w:val="02E6E4F7"/>
    <w:rsid w:val="02E71A6D"/>
    <w:rsid w:val="02E989BF"/>
    <w:rsid w:val="02EC989B"/>
    <w:rsid w:val="02ED2AA7"/>
    <w:rsid w:val="02F29406"/>
    <w:rsid w:val="02F479BB"/>
    <w:rsid w:val="02F5FD91"/>
    <w:rsid w:val="03004203"/>
    <w:rsid w:val="0305492D"/>
    <w:rsid w:val="03076C97"/>
    <w:rsid w:val="0309118F"/>
    <w:rsid w:val="030941DF"/>
    <w:rsid w:val="031B6393"/>
    <w:rsid w:val="0325F615"/>
    <w:rsid w:val="03264307"/>
    <w:rsid w:val="03292BDD"/>
    <w:rsid w:val="032E0A12"/>
    <w:rsid w:val="0330558B"/>
    <w:rsid w:val="0333E947"/>
    <w:rsid w:val="033A504E"/>
    <w:rsid w:val="033E7035"/>
    <w:rsid w:val="033FFB05"/>
    <w:rsid w:val="0341EA1D"/>
    <w:rsid w:val="0350BD7A"/>
    <w:rsid w:val="0355653E"/>
    <w:rsid w:val="0355C26D"/>
    <w:rsid w:val="03571669"/>
    <w:rsid w:val="03596A2F"/>
    <w:rsid w:val="035CA79F"/>
    <w:rsid w:val="0365CC73"/>
    <w:rsid w:val="0369DD31"/>
    <w:rsid w:val="036C2AD7"/>
    <w:rsid w:val="03720864"/>
    <w:rsid w:val="037DA249"/>
    <w:rsid w:val="037F25D3"/>
    <w:rsid w:val="03816C53"/>
    <w:rsid w:val="038291C2"/>
    <w:rsid w:val="038A577F"/>
    <w:rsid w:val="038DA54A"/>
    <w:rsid w:val="0392B5A7"/>
    <w:rsid w:val="03993491"/>
    <w:rsid w:val="039BC4F0"/>
    <w:rsid w:val="039C41EF"/>
    <w:rsid w:val="03A20A27"/>
    <w:rsid w:val="03A51076"/>
    <w:rsid w:val="03A5A210"/>
    <w:rsid w:val="03AA3D06"/>
    <w:rsid w:val="03AA79A3"/>
    <w:rsid w:val="03B0A58B"/>
    <w:rsid w:val="03B187DE"/>
    <w:rsid w:val="03B4DE29"/>
    <w:rsid w:val="03BAF8AB"/>
    <w:rsid w:val="03C23CF5"/>
    <w:rsid w:val="03C70CB8"/>
    <w:rsid w:val="03C86F74"/>
    <w:rsid w:val="03CAAC5D"/>
    <w:rsid w:val="03D4B8A0"/>
    <w:rsid w:val="03D4F631"/>
    <w:rsid w:val="03DBAA80"/>
    <w:rsid w:val="03DCE398"/>
    <w:rsid w:val="03DFAEE6"/>
    <w:rsid w:val="03E06D81"/>
    <w:rsid w:val="03E1719C"/>
    <w:rsid w:val="03E6831F"/>
    <w:rsid w:val="03E874BD"/>
    <w:rsid w:val="03E9B42A"/>
    <w:rsid w:val="03ED1593"/>
    <w:rsid w:val="03EEFF14"/>
    <w:rsid w:val="03EF4AA0"/>
    <w:rsid w:val="03F29D68"/>
    <w:rsid w:val="03FA10E1"/>
    <w:rsid w:val="03FBF6CD"/>
    <w:rsid w:val="03FD4070"/>
    <w:rsid w:val="040B065F"/>
    <w:rsid w:val="040B9BCE"/>
    <w:rsid w:val="040C5907"/>
    <w:rsid w:val="040C7D44"/>
    <w:rsid w:val="04148ACB"/>
    <w:rsid w:val="0416A830"/>
    <w:rsid w:val="04206EE1"/>
    <w:rsid w:val="042BBD6E"/>
    <w:rsid w:val="0436654E"/>
    <w:rsid w:val="04458B60"/>
    <w:rsid w:val="04489767"/>
    <w:rsid w:val="04491BD1"/>
    <w:rsid w:val="0449F24E"/>
    <w:rsid w:val="044C1E83"/>
    <w:rsid w:val="044FF14F"/>
    <w:rsid w:val="0450510A"/>
    <w:rsid w:val="0452CDCA"/>
    <w:rsid w:val="0454BB78"/>
    <w:rsid w:val="04676F5B"/>
    <w:rsid w:val="04681E80"/>
    <w:rsid w:val="0468BDA5"/>
    <w:rsid w:val="046E7896"/>
    <w:rsid w:val="0471525C"/>
    <w:rsid w:val="0477EC74"/>
    <w:rsid w:val="04791B39"/>
    <w:rsid w:val="047B9D0D"/>
    <w:rsid w:val="047D4F60"/>
    <w:rsid w:val="047E4EE2"/>
    <w:rsid w:val="04855EC5"/>
    <w:rsid w:val="0485A1C4"/>
    <w:rsid w:val="048FD55F"/>
    <w:rsid w:val="0497C8D4"/>
    <w:rsid w:val="04A2A0BD"/>
    <w:rsid w:val="04A6D785"/>
    <w:rsid w:val="04AE09AD"/>
    <w:rsid w:val="04B07868"/>
    <w:rsid w:val="04B2CE5D"/>
    <w:rsid w:val="04BA7CBC"/>
    <w:rsid w:val="04BF21FA"/>
    <w:rsid w:val="04C066DD"/>
    <w:rsid w:val="04C6AFC9"/>
    <w:rsid w:val="04CA566E"/>
    <w:rsid w:val="04D2B6C0"/>
    <w:rsid w:val="04D86FF4"/>
    <w:rsid w:val="04DB9506"/>
    <w:rsid w:val="04E55086"/>
    <w:rsid w:val="04E9B6D2"/>
    <w:rsid w:val="04ED09BF"/>
    <w:rsid w:val="04EDE61B"/>
    <w:rsid w:val="04EFD84C"/>
    <w:rsid w:val="04F77A80"/>
    <w:rsid w:val="04FA77A8"/>
    <w:rsid w:val="04FB073C"/>
    <w:rsid w:val="04FBC01A"/>
    <w:rsid w:val="04FEC530"/>
    <w:rsid w:val="05028CE9"/>
    <w:rsid w:val="0502C5E2"/>
    <w:rsid w:val="050996EC"/>
    <w:rsid w:val="050C8D6F"/>
    <w:rsid w:val="0515DB4C"/>
    <w:rsid w:val="0517B92A"/>
    <w:rsid w:val="0518A37F"/>
    <w:rsid w:val="051C5C78"/>
    <w:rsid w:val="051D28B7"/>
    <w:rsid w:val="05203191"/>
    <w:rsid w:val="05251BD6"/>
    <w:rsid w:val="052A9D8F"/>
    <w:rsid w:val="052ECF04"/>
    <w:rsid w:val="0533055E"/>
    <w:rsid w:val="053F9CD3"/>
    <w:rsid w:val="054387D3"/>
    <w:rsid w:val="054B4646"/>
    <w:rsid w:val="054B9E06"/>
    <w:rsid w:val="054C1C36"/>
    <w:rsid w:val="054E67AA"/>
    <w:rsid w:val="0558B7BA"/>
    <w:rsid w:val="055BC7E7"/>
    <w:rsid w:val="055C8E3E"/>
    <w:rsid w:val="055D5D06"/>
    <w:rsid w:val="05605550"/>
    <w:rsid w:val="0565AE5D"/>
    <w:rsid w:val="056D40EA"/>
    <w:rsid w:val="0572AD02"/>
    <w:rsid w:val="0572E7A0"/>
    <w:rsid w:val="0575E24F"/>
    <w:rsid w:val="057A5A92"/>
    <w:rsid w:val="058305BD"/>
    <w:rsid w:val="058A184F"/>
    <w:rsid w:val="058F7279"/>
    <w:rsid w:val="058F9ACB"/>
    <w:rsid w:val="058FCA42"/>
    <w:rsid w:val="059016F7"/>
    <w:rsid w:val="05987D8A"/>
    <w:rsid w:val="059D855A"/>
    <w:rsid w:val="059DD80E"/>
    <w:rsid w:val="05A53876"/>
    <w:rsid w:val="05A6BDB5"/>
    <w:rsid w:val="05A9EB8D"/>
    <w:rsid w:val="05AA171E"/>
    <w:rsid w:val="05AF069C"/>
    <w:rsid w:val="05AF809C"/>
    <w:rsid w:val="05BBC763"/>
    <w:rsid w:val="05BDDB30"/>
    <w:rsid w:val="05BDF795"/>
    <w:rsid w:val="05C8F0CD"/>
    <w:rsid w:val="05CB50BA"/>
    <w:rsid w:val="05CCAE21"/>
    <w:rsid w:val="05CD79D0"/>
    <w:rsid w:val="05D8694A"/>
    <w:rsid w:val="05D882D5"/>
    <w:rsid w:val="05DB35D7"/>
    <w:rsid w:val="05DDE0E4"/>
    <w:rsid w:val="05E0342D"/>
    <w:rsid w:val="05E4897B"/>
    <w:rsid w:val="05EB77EE"/>
    <w:rsid w:val="05EF627A"/>
    <w:rsid w:val="05F2F9D5"/>
    <w:rsid w:val="05F65285"/>
    <w:rsid w:val="05F964AF"/>
    <w:rsid w:val="0600F78F"/>
    <w:rsid w:val="0606B4AD"/>
    <w:rsid w:val="060A641B"/>
    <w:rsid w:val="060B0EF4"/>
    <w:rsid w:val="060B4EAF"/>
    <w:rsid w:val="060B5723"/>
    <w:rsid w:val="060C6FD2"/>
    <w:rsid w:val="060D671D"/>
    <w:rsid w:val="060E7309"/>
    <w:rsid w:val="060E8394"/>
    <w:rsid w:val="061086D9"/>
    <w:rsid w:val="061087A0"/>
    <w:rsid w:val="06147CB7"/>
    <w:rsid w:val="0616DE03"/>
    <w:rsid w:val="06171F81"/>
    <w:rsid w:val="06199BF9"/>
    <w:rsid w:val="0619F43A"/>
    <w:rsid w:val="061ECFBE"/>
    <w:rsid w:val="06200C25"/>
    <w:rsid w:val="0623ED34"/>
    <w:rsid w:val="062503AE"/>
    <w:rsid w:val="0628E91C"/>
    <w:rsid w:val="062D2B4A"/>
    <w:rsid w:val="062E7622"/>
    <w:rsid w:val="062FA218"/>
    <w:rsid w:val="063D88E9"/>
    <w:rsid w:val="063E19B2"/>
    <w:rsid w:val="063EBE5C"/>
    <w:rsid w:val="0641CDF8"/>
    <w:rsid w:val="06459940"/>
    <w:rsid w:val="064742C7"/>
    <w:rsid w:val="0648A1AE"/>
    <w:rsid w:val="0648FBA1"/>
    <w:rsid w:val="064909D5"/>
    <w:rsid w:val="064980DE"/>
    <w:rsid w:val="06498CA6"/>
    <w:rsid w:val="06558E38"/>
    <w:rsid w:val="06571478"/>
    <w:rsid w:val="065AB9D7"/>
    <w:rsid w:val="065FD5E6"/>
    <w:rsid w:val="06601452"/>
    <w:rsid w:val="06611581"/>
    <w:rsid w:val="0661CC35"/>
    <w:rsid w:val="0666CD2E"/>
    <w:rsid w:val="0668A156"/>
    <w:rsid w:val="066F9E1E"/>
    <w:rsid w:val="0670BB5B"/>
    <w:rsid w:val="06735270"/>
    <w:rsid w:val="06753C44"/>
    <w:rsid w:val="067B4DFD"/>
    <w:rsid w:val="067D93C7"/>
    <w:rsid w:val="0684D722"/>
    <w:rsid w:val="06859AC0"/>
    <w:rsid w:val="06864A80"/>
    <w:rsid w:val="068E9D77"/>
    <w:rsid w:val="068F08B3"/>
    <w:rsid w:val="068FF3DE"/>
    <w:rsid w:val="0691DDE0"/>
    <w:rsid w:val="0696B852"/>
    <w:rsid w:val="069C97DA"/>
    <w:rsid w:val="069EABF1"/>
    <w:rsid w:val="06A3EB0A"/>
    <w:rsid w:val="06A88752"/>
    <w:rsid w:val="06ABB719"/>
    <w:rsid w:val="06AC0954"/>
    <w:rsid w:val="06B381F6"/>
    <w:rsid w:val="06B69DF8"/>
    <w:rsid w:val="06B7B714"/>
    <w:rsid w:val="06B81DC5"/>
    <w:rsid w:val="06BD6508"/>
    <w:rsid w:val="06BF5C1E"/>
    <w:rsid w:val="06C245C6"/>
    <w:rsid w:val="06C2C41E"/>
    <w:rsid w:val="06CC7F7C"/>
    <w:rsid w:val="06D164D0"/>
    <w:rsid w:val="06D2EC41"/>
    <w:rsid w:val="06D938BE"/>
    <w:rsid w:val="06DA3545"/>
    <w:rsid w:val="06E16023"/>
    <w:rsid w:val="06E76826"/>
    <w:rsid w:val="06EDD464"/>
    <w:rsid w:val="06EE1546"/>
    <w:rsid w:val="06EF7A49"/>
    <w:rsid w:val="06F24466"/>
    <w:rsid w:val="06FBBA67"/>
    <w:rsid w:val="06FF51FF"/>
    <w:rsid w:val="070AAFED"/>
    <w:rsid w:val="070D9849"/>
    <w:rsid w:val="070DA964"/>
    <w:rsid w:val="0712AC57"/>
    <w:rsid w:val="071348D0"/>
    <w:rsid w:val="07150D96"/>
    <w:rsid w:val="0715D676"/>
    <w:rsid w:val="0715DFD9"/>
    <w:rsid w:val="0716629C"/>
    <w:rsid w:val="07178BAB"/>
    <w:rsid w:val="07184315"/>
    <w:rsid w:val="071952B4"/>
    <w:rsid w:val="071A5496"/>
    <w:rsid w:val="071A8A72"/>
    <w:rsid w:val="071DEB53"/>
    <w:rsid w:val="071F992C"/>
    <w:rsid w:val="0721D881"/>
    <w:rsid w:val="07240EF2"/>
    <w:rsid w:val="072D708D"/>
    <w:rsid w:val="072E7CB2"/>
    <w:rsid w:val="072FC1F0"/>
    <w:rsid w:val="072FF1AB"/>
    <w:rsid w:val="07315F69"/>
    <w:rsid w:val="073222B6"/>
    <w:rsid w:val="0736D2B7"/>
    <w:rsid w:val="07434381"/>
    <w:rsid w:val="0743C668"/>
    <w:rsid w:val="074416B8"/>
    <w:rsid w:val="0750BFCD"/>
    <w:rsid w:val="07545D84"/>
    <w:rsid w:val="0758EC57"/>
    <w:rsid w:val="075A5ED9"/>
    <w:rsid w:val="075AD2FF"/>
    <w:rsid w:val="076541CA"/>
    <w:rsid w:val="076F4186"/>
    <w:rsid w:val="077579EF"/>
    <w:rsid w:val="077B7909"/>
    <w:rsid w:val="077BD9C7"/>
    <w:rsid w:val="077CA01A"/>
    <w:rsid w:val="078067F9"/>
    <w:rsid w:val="07826E2D"/>
    <w:rsid w:val="0783B694"/>
    <w:rsid w:val="078774EB"/>
    <w:rsid w:val="07896015"/>
    <w:rsid w:val="07898500"/>
    <w:rsid w:val="078A49E0"/>
    <w:rsid w:val="078D82E4"/>
    <w:rsid w:val="078E5122"/>
    <w:rsid w:val="078FD39C"/>
    <w:rsid w:val="07919041"/>
    <w:rsid w:val="07940A67"/>
    <w:rsid w:val="0798A612"/>
    <w:rsid w:val="079BD533"/>
    <w:rsid w:val="07A0EAEF"/>
    <w:rsid w:val="07A18B73"/>
    <w:rsid w:val="07A50CB6"/>
    <w:rsid w:val="07B04530"/>
    <w:rsid w:val="07B42C59"/>
    <w:rsid w:val="07B50FE0"/>
    <w:rsid w:val="07B78C2A"/>
    <w:rsid w:val="07BA35DA"/>
    <w:rsid w:val="07BC791C"/>
    <w:rsid w:val="07BCE117"/>
    <w:rsid w:val="07C36AD7"/>
    <w:rsid w:val="07CE6B52"/>
    <w:rsid w:val="07D0559B"/>
    <w:rsid w:val="07D90547"/>
    <w:rsid w:val="07DC1EA2"/>
    <w:rsid w:val="07DE0DE9"/>
    <w:rsid w:val="07DFAC05"/>
    <w:rsid w:val="07E7A22C"/>
    <w:rsid w:val="07E8CD33"/>
    <w:rsid w:val="07EAE6DC"/>
    <w:rsid w:val="07ECDBD4"/>
    <w:rsid w:val="07F1B5DE"/>
    <w:rsid w:val="07F429A7"/>
    <w:rsid w:val="07F73ED0"/>
    <w:rsid w:val="07F91765"/>
    <w:rsid w:val="07F97BC2"/>
    <w:rsid w:val="080609FF"/>
    <w:rsid w:val="080A41B8"/>
    <w:rsid w:val="080B69A1"/>
    <w:rsid w:val="0814257A"/>
    <w:rsid w:val="081B8B64"/>
    <w:rsid w:val="081D60DA"/>
    <w:rsid w:val="0820C0E7"/>
    <w:rsid w:val="0823F6B8"/>
    <w:rsid w:val="082936F0"/>
    <w:rsid w:val="082AAD91"/>
    <w:rsid w:val="08318BC1"/>
    <w:rsid w:val="08395E8F"/>
    <w:rsid w:val="0845A97F"/>
    <w:rsid w:val="0849FC07"/>
    <w:rsid w:val="084A20FB"/>
    <w:rsid w:val="084B7D0A"/>
    <w:rsid w:val="085AECB6"/>
    <w:rsid w:val="085C31F1"/>
    <w:rsid w:val="085F90DB"/>
    <w:rsid w:val="086004BC"/>
    <w:rsid w:val="08664F6D"/>
    <w:rsid w:val="0867C05E"/>
    <w:rsid w:val="086AFF3A"/>
    <w:rsid w:val="086D5D11"/>
    <w:rsid w:val="086EC8AA"/>
    <w:rsid w:val="08704C49"/>
    <w:rsid w:val="08786A02"/>
    <w:rsid w:val="0878DB11"/>
    <w:rsid w:val="087924DB"/>
    <w:rsid w:val="08802D73"/>
    <w:rsid w:val="0880AC4F"/>
    <w:rsid w:val="08855E8A"/>
    <w:rsid w:val="088B2857"/>
    <w:rsid w:val="089197DD"/>
    <w:rsid w:val="0892E804"/>
    <w:rsid w:val="0893CEFE"/>
    <w:rsid w:val="0899732D"/>
    <w:rsid w:val="089A04FC"/>
    <w:rsid w:val="08A1F9FD"/>
    <w:rsid w:val="08A662C8"/>
    <w:rsid w:val="08A88BA1"/>
    <w:rsid w:val="08AC4D69"/>
    <w:rsid w:val="08B2539A"/>
    <w:rsid w:val="08B39F98"/>
    <w:rsid w:val="08B3C709"/>
    <w:rsid w:val="08B8A06B"/>
    <w:rsid w:val="08BA6343"/>
    <w:rsid w:val="08BC1544"/>
    <w:rsid w:val="08C0EB17"/>
    <w:rsid w:val="08C2094D"/>
    <w:rsid w:val="08C45E65"/>
    <w:rsid w:val="08C9D651"/>
    <w:rsid w:val="08D10208"/>
    <w:rsid w:val="08D260DF"/>
    <w:rsid w:val="08D7D822"/>
    <w:rsid w:val="08D7F4B2"/>
    <w:rsid w:val="08DCDDAC"/>
    <w:rsid w:val="08DE3CAA"/>
    <w:rsid w:val="08E7DA4F"/>
    <w:rsid w:val="08E8F7F7"/>
    <w:rsid w:val="08EC35B7"/>
    <w:rsid w:val="08F101AD"/>
    <w:rsid w:val="08F19A70"/>
    <w:rsid w:val="08F1CEB4"/>
    <w:rsid w:val="08F3FC12"/>
    <w:rsid w:val="08F42EED"/>
    <w:rsid w:val="08F4F1E0"/>
    <w:rsid w:val="08F61E5E"/>
    <w:rsid w:val="08F64527"/>
    <w:rsid w:val="09002F3E"/>
    <w:rsid w:val="0903FA8E"/>
    <w:rsid w:val="0904C181"/>
    <w:rsid w:val="090D456D"/>
    <w:rsid w:val="090F0DF9"/>
    <w:rsid w:val="0913D313"/>
    <w:rsid w:val="0917BF6D"/>
    <w:rsid w:val="091901B5"/>
    <w:rsid w:val="09211C0F"/>
    <w:rsid w:val="09215763"/>
    <w:rsid w:val="09236FDC"/>
    <w:rsid w:val="0924CF30"/>
    <w:rsid w:val="09263E61"/>
    <w:rsid w:val="09276AA8"/>
    <w:rsid w:val="092B38C8"/>
    <w:rsid w:val="092D35EA"/>
    <w:rsid w:val="092E98C3"/>
    <w:rsid w:val="0932A54B"/>
    <w:rsid w:val="093388C5"/>
    <w:rsid w:val="0933ABB7"/>
    <w:rsid w:val="0939F407"/>
    <w:rsid w:val="093C5E52"/>
    <w:rsid w:val="093E481E"/>
    <w:rsid w:val="09448719"/>
    <w:rsid w:val="094D0577"/>
    <w:rsid w:val="094FC363"/>
    <w:rsid w:val="0954FED1"/>
    <w:rsid w:val="095827A9"/>
    <w:rsid w:val="0959FAE5"/>
    <w:rsid w:val="095B1BB6"/>
    <w:rsid w:val="095C7873"/>
    <w:rsid w:val="0967A2DD"/>
    <w:rsid w:val="09682C1C"/>
    <w:rsid w:val="0969D54C"/>
    <w:rsid w:val="096A7E13"/>
    <w:rsid w:val="096A9897"/>
    <w:rsid w:val="096E1A3A"/>
    <w:rsid w:val="0971684D"/>
    <w:rsid w:val="09781CDA"/>
    <w:rsid w:val="097D8B72"/>
    <w:rsid w:val="097FAF2E"/>
    <w:rsid w:val="0980C11A"/>
    <w:rsid w:val="09858EF3"/>
    <w:rsid w:val="0987DF1E"/>
    <w:rsid w:val="09889E1B"/>
    <w:rsid w:val="098A2F09"/>
    <w:rsid w:val="098D90F7"/>
    <w:rsid w:val="09930B9B"/>
    <w:rsid w:val="0996CA9E"/>
    <w:rsid w:val="0999319B"/>
    <w:rsid w:val="099FC8EE"/>
    <w:rsid w:val="09A4F30D"/>
    <w:rsid w:val="09A9ADDB"/>
    <w:rsid w:val="09AC50B7"/>
    <w:rsid w:val="09B0C927"/>
    <w:rsid w:val="09B11B67"/>
    <w:rsid w:val="09B459C3"/>
    <w:rsid w:val="09B56FC1"/>
    <w:rsid w:val="09B78A43"/>
    <w:rsid w:val="09BEFD42"/>
    <w:rsid w:val="09C13465"/>
    <w:rsid w:val="09C4EC58"/>
    <w:rsid w:val="09C823E8"/>
    <w:rsid w:val="09C8C24D"/>
    <w:rsid w:val="09CCEFE9"/>
    <w:rsid w:val="09D40DC1"/>
    <w:rsid w:val="09D47E56"/>
    <w:rsid w:val="09DEFB83"/>
    <w:rsid w:val="09E0F856"/>
    <w:rsid w:val="09E984DD"/>
    <w:rsid w:val="09EE436C"/>
    <w:rsid w:val="09EE4FF0"/>
    <w:rsid w:val="09F526BB"/>
    <w:rsid w:val="09FFFE57"/>
    <w:rsid w:val="0A02B3D0"/>
    <w:rsid w:val="0A05232B"/>
    <w:rsid w:val="0A05A112"/>
    <w:rsid w:val="0A074A94"/>
    <w:rsid w:val="0A0B3CCE"/>
    <w:rsid w:val="0A0EE370"/>
    <w:rsid w:val="0A0FAE4A"/>
    <w:rsid w:val="0A1051EF"/>
    <w:rsid w:val="0A1961DB"/>
    <w:rsid w:val="0A1ADB50"/>
    <w:rsid w:val="0A225D3E"/>
    <w:rsid w:val="0A26275E"/>
    <w:rsid w:val="0A262B61"/>
    <w:rsid w:val="0A34C524"/>
    <w:rsid w:val="0A34E1A5"/>
    <w:rsid w:val="0A3710E4"/>
    <w:rsid w:val="0A3AEA14"/>
    <w:rsid w:val="0A3D0579"/>
    <w:rsid w:val="0A40A6E5"/>
    <w:rsid w:val="0A422573"/>
    <w:rsid w:val="0A4BA9DF"/>
    <w:rsid w:val="0A4F8192"/>
    <w:rsid w:val="0A5669BB"/>
    <w:rsid w:val="0A59390D"/>
    <w:rsid w:val="0A59D9E3"/>
    <w:rsid w:val="0A5AD163"/>
    <w:rsid w:val="0A5B1547"/>
    <w:rsid w:val="0A5CEFBB"/>
    <w:rsid w:val="0A617953"/>
    <w:rsid w:val="0A637E84"/>
    <w:rsid w:val="0A643249"/>
    <w:rsid w:val="0A6745D1"/>
    <w:rsid w:val="0A6F83E6"/>
    <w:rsid w:val="0A71BB73"/>
    <w:rsid w:val="0A761ED2"/>
    <w:rsid w:val="0A7E8694"/>
    <w:rsid w:val="0A7FFBCA"/>
    <w:rsid w:val="0A841C89"/>
    <w:rsid w:val="0A87F436"/>
    <w:rsid w:val="0A8D5C75"/>
    <w:rsid w:val="0A8FFB65"/>
    <w:rsid w:val="0A97699A"/>
    <w:rsid w:val="0A97A800"/>
    <w:rsid w:val="0A97F3E5"/>
    <w:rsid w:val="0A9E2FF7"/>
    <w:rsid w:val="0AA2036A"/>
    <w:rsid w:val="0AAAFA48"/>
    <w:rsid w:val="0AAD01C5"/>
    <w:rsid w:val="0AB0F193"/>
    <w:rsid w:val="0ABF281E"/>
    <w:rsid w:val="0AC61548"/>
    <w:rsid w:val="0AC83705"/>
    <w:rsid w:val="0AD10425"/>
    <w:rsid w:val="0AD2C7B3"/>
    <w:rsid w:val="0AD2CAAD"/>
    <w:rsid w:val="0AD56323"/>
    <w:rsid w:val="0AD5C527"/>
    <w:rsid w:val="0AD63663"/>
    <w:rsid w:val="0AD67377"/>
    <w:rsid w:val="0AD67B2F"/>
    <w:rsid w:val="0AD7E19B"/>
    <w:rsid w:val="0AD86EA7"/>
    <w:rsid w:val="0AD87C1A"/>
    <w:rsid w:val="0AE0BF5A"/>
    <w:rsid w:val="0AE3D15B"/>
    <w:rsid w:val="0AE4BD90"/>
    <w:rsid w:val="0AE606B3"/>
    <w:rsid w:val="0AE8AA6D"/>
    <w:rsid w:val="0AEB0563"/>
    <w:rsid w:val="0AEB2B8C"/>
    <w:rsid w:val="0AEC0408"/>
    <w:rsid w:val="0AF28D5B"/>
    <w:rsid w:val="0AF39E0B"/>
    <w:rsid w:val="0AF44296"/>
    <w:rsid w:val="0AF5AE82"/>
    <w:rsid w:val="0B00FD2D"/>
    <w:rsid w:val="0B01FF6F"/>
    <w:rsid w:val="0B04D821"/>
    <w:rsid w:val="0B062FD5"/>
    <w:rsid w:val="0B09D59D"/>
    <w:rsid w:val="0B0BE340"/>
    <w:rsid w:val="0B0EC902"/>
    <w:rsid w:val="0B0F2814"/>
    <w:rsid w:val="0B136677"/>
    <w:rsid w:val="0B1A9872"/>
    <w:rsid w:val="0B226405"/>
    <w:rsid w:val="0B2952F1"/>
    <w:rsid w:val="0B2A6CBB"/>
    <w:rsid w:val="0B3156C6"/>
    <w:rsid w:val="0B34B26F"/>
    <w:rsid w:val="0B3B2055"/>
    <w:rsid w:val="0B3D1B75"/>
    <w:rsid w:val="0B4308B7"/>
    <w:rsid w:val="0B4821F5"/>
    <w:rsid w:val="0B4B81C7"/>
    <w:rsid w:val="0B4FDC9B"/>
    <w:rsid w:val="0B5B4EDD"/>
    <w:rsid w:val="0B62859D"/>
    <w:rsid w:val="0B65CF6E"/>
    <w:rsid w:val="0B6F58DC"/>
    <w:rsid w:val="0B756224"/>
    <w:rsid w:val="0B79A4A5"/>
    <w:rsid w:val="0B7E1B4F"/>
    <w:rsid w:val="0B83804A"/>
    <w:rsid w:val="0B8C34BA"/>
    <w:rsid w:val="0B8CFA40"/>
    <w:rsid w:val="0B90C16F"/>
    <w:rsid w:val="0B9946D1"/>
    <w:rsid w:val="0B999856"/>
    <w:rsid w:val="0BA2D017"/>
    <w:rsid w:val="0BAFE5CB"/>
    <w:rsid w:val="0BB1DDBA"/>
    <w:rsid w:val="0BB3EC0F"/>
    <w:rsid w:val="0BB7C4B6"/>
    <w:rsid w:val="0BB83829"/>
    <w:rsid w:val="0BB8F377"/>
    <w:rsid w:val="0BB99ED9"/>
    <w:rsid w:val="0BC413F8"/>
    <w:rsid w:val="0BC7E598"/>
    <w:rsid w:val="0BCCC3E5"/>
    <w:rsid w:val="0BCDADC8"/>
    <w:rsid w:val="0BCDB5F6"/>
    <w:rsid w:val="0BCF7629"/>
    <w:rsid w:val="0BD11449"/>
    <w:rsid w:val="0BD56AD2"/>
    <w:rsid w:val="0BD9D227"/>
    <w:rsid w:val="0BDD448C"/>
    <w:rsid w:val="0BDF9F27"/>
    <w:rsid w:val="0BE0822F"/>
    <w:rsid w:val="0BE73FF8"/>
    <w:rsid w:val="0BE80428"/>
    <w:rsid w:val="0BE8C5E9"/>
    <w:rsid w:val="0BE8F030"/>
    <w:rsid w:val="0BEDFB9E"/>
    <w:rsid w:val="0BEF0C38"/>
    <w:rsid w:val="0BF7C984"/>
    <w:rsid w:val="0BF98E38"/>
    <w:rsid w:val="0C018121"/>
    <w:rsid w:val="0C0328F2"/>
    <w:rsid w:val="0C0687EC"/>
    <w:rsid w:val="0C08E0F3"/>
    <w:rsid w:val="0C09E23B"/>
    <w:rsid w:val="0C11B771"/>
    <w:rsid w:val="0C127B0A"/>
    <w:rsid w:val="0C153730"/>
    <w:rsid w:val="0C194D35"/>
    <w:rsid w:val="0C1D479F"/>
    <w:rsid w:val="0C20BF74"/>
    <w:rsid w:val="0C24FC72"/>
    <w:rsid w:val="0C25281B"/>
    <w:rsid w:val="0C272FB9"/>
    <w:rsid w:val="0C2835F0"/>
    <w:rsid w:val="0C2D4901"/>
    <w:rsid w:val="0C348330"/>
    <w:rsid w:val="0C384403"/>
    <w:rsid w:val="0C39092A"/>
    <w:rsid w:val="0C3ADFD2"/>
    <w:rsid w:val="0C3BFAB7"/>
    <w:rsid w:val="0C3E0284"/>
    <w:rsid w:val="0C4022A6"/>
    <w:rsid w:val="0C45A31B"/>
    <w:rsid w:val="0C46DD72"/>
    <w:rsid w:val="0C48DCB5"/>
    <w:rsid w:val="0C4BEF15"/>
    <w:rsid w:val="0C4D9B27"/>
    <w:rsid w:val="0C501BF7"/>
    <w:rsid w:val="0C5071CD"/>
    <w:rsid w:val="0C5866C3"/>
    <w:rsid w:val="0C5B1DBB"/>
    <w:rsid w:val="0C6070F2"/>
    <w:rsid w:val="0C6879BC"/>
    <w:rsid w:val="0C6A3F70"/>
    <w:rsid w:val="0C6AC0DD"/>
    <w:rsid w:val="0C6E86D0"/>
    <w:rsid w:val="0C75E06A"/>
    <w:rsid w:val="0C7738DA"/>
    <w:rsid w:val="0C7A31E4"/>
    <w:rsid w:val="0C7CAC94"/>
    <w:rsid w:val="0C81DE03"/>
    <w:rsid w:val="0C83FAB5"/>
    <w:rsid w:val="0C87E3D5"/>
    <w:rsid w:val="0C89A444"/>
    <w:rsid w:val="0C8C74BC"/>
    <w:rsid w:val="0C9ADDDB"/>
    <w:rsid w:val="0C9AE964"/>
    <w:rsid w:val="0C9CC4D6"/>
    <w:rsid w:val="0C9EF089"/>
    <w:rsid w:val="0C9F9994"/>
    <w:rsid w:val="0CA1B062"/>
    <w:rsid w:val="0CA6413F"/>
    <w:rsid w:val="0CA7ED36"/>
    <w:rsid w:val="0CAB24AF"/>
    <w:rsid w:val="0CAD32E5"/>
    <w:rsid w:val="0CB125DF"/>
    <w:rsid w:val="0CB2672E"/>
    <w:rsid w:val="0CB7EFDB"/>
    <w:rsid w:val="0CBAB54B"/>
    <w:rsid w:val="0CC1C74B"/>
    <w:rsid w:val="0CC21E83"/>
    <w:rsid w:val="0CC28883"/>
    <w:rsid w:val="0CC321D5"/>
    <w:rsid w:val="0CC8EC12"/>
    <w:rsid w:val="0CC90816"/>
    <w:rsid w:val="0CC9BF44"/>
    <w:rsid w:val="0CC9C148"/>
    <w:rsid w:val="0CCF322E"/>
    <w:rsid w:val="0CCF48D9"/>
    <w:rsid w:val="0CD15D09"/>
    <w:rsid w:val="0CD1B809"/>
    <w:rsid w:val="0CD384C0"/>
    <w:rsid w:val="0CD587AE"/>
    <w:rsid w:val="0CDAB4C0"/>
    <w:rsid w:val="0CDD80CB"/>
    <w:rsid w:val="0CDF357B"/>
    <w:rsid w:val="0CE12592"/>
    <w:rsid w:val="0CE33D6E"/>
    <w:rsid w:val="0CE492EF"/>
    <w:rsid w:val="0CE54549"/>
    <w:rsid w:val="0CE76637"/>
    <w:rsid w:val="0CE7CBFA"/>
    <w:rsid w:val="0CEA6F17"/>
    <w:rsid w:val="0CEA93BE"/>
    <w:rsid w:val="0CEE621F"/>
    <w:rsid w:val="0CF1F234"/>
    <w:rsid w:val="0CFDAA57"/>
    <w:rsid w:val="0CFF1128"/>
    <w:rsid w:val="0D004F85"/>
    <w:rsid w:val="0D012E6A"/>
    <w:rsid w:val="0D0CAB7C"/>
    <w:rsid w:val="0D0E5D76"/>
    <w:rsid w:val="0D128B13"/>
    <w:rsid w:val="0D18997C"/>
    <w:rsid w:val="0D1BA275"/>
    <w:rsid w:val="0D1D6848"/>
    <w:rsid w:val="0D2158E9"/>
    <w:rsid w:val="0D236ADA"/>
    <w:rsid w:val="0D25DA92"/>
    <w:rsid w:val="0D260C9E"/>
    <w:rsid w:val="0D2A0608"/>
    <w:rsid w:val="0D390497"/>
    <w:rsid w:val="0D3EF72A"/>
    <w:rsid w:val="0D3F21D3"/>
    <w:rsid w:val="0D3F4036"/>
    <w:rsid w:val="0D3FBEE7"/>
    <w:rsid w:val="0D430EEB"/>
    <w:rsid w:val="0D4FA76E"/>
    <w:rsid w:val="0D53195B"/>
    <w:rsid w:val="0D56A147"/>
    <w:rsid w:val="0D5EF329"/>
    <w:rsid w:val="0D5F40C3"/>
    <w:rsid w:val="0D66CAFB"/>
    <w:rsid w:val="0D6B462F"/>
    <w:rsid w:val="0D6E480F"/>
    <w:rsid w:val="0D711CA0"/>
    <w:rsid w:val="0D7258DD"/>
    <w:rsid w:val="0D76B48B"/>
    <w:rsid w:val="0D7BA175"/>
    <w:rsid w:val="0D880BE7"/>
    <w:rsid w:val="0D8859E4"/>
    <w:rsid w:val="0D8C0E43"/>
    <w:rsid w:val="0D8D6225"/>
    <w:rsid w:val="0D8FBB15"/>
    <w:rsid w:val="0D90C0F5"/>
    <w:rsid w:val="0D92C4DC"/>
    <w:rsid w:val="0D93213E"/>
    <w:rsid w:val="0D94C615"/>
    <w:rsid w:val="0DA367E0"/>
    <w:rsid w:val="0DA3EB4B"/>
    <w:rsid w:val="0DA9E26E"/>
    <w:rsid w:val="0DAD8E88"/>
    <w:rsid w:val="0DB4E386"/>
    <w:rsid w:val="0DB59D27"/>
    <w:rsid w:val="0DB974FA"/>
    <w:rsid w:val="0DBB980D"/>
    <w:rsid w:val="0DBE629F"/>
    <w:rsid w:val="0DBEE932"/>
    <w:rsid w:val="0DC2F804"/>
    <w:rsid w:val="0DC37C38"/>
    <w:rsid w:val="0DC39AEB"/>
    <w:rsid w:val="0DC8D180"/>
    <w:rsid w:val="0DCD4BA9"/>
    <w:rsid w:val="0DCE2283"/>
    <w:rsid w:val="0DCF26D3"/>
    <w:rsid w:val="0DD157CB"/>
    <w:rsid w:val="0DD39085"/>
    <w:rsid w:val="0DD39990"/>
    <w:rsid w:val="0DD39E40"/>
    <w:rsid w:val="0DD3BFB3"/>
    <w:rsid w:val="0DD45EF6"/>
    <w:rsid w:val="0DD82245"/>
    <w:rsid w:val="0DDC26D6"/>
    <w:rsid w:val="0DDDC9EB"/>
    <w:rsid w:val="0DE087D3"/>
    <w:rsid w:val="0DEDCC00"/>
    <w:rsid w:val="0DF01D0E"/>
    <w:rsid w:val="0DF2A8F1"/>
    <w:rsid w:val="0DFB35E2"/>
    <w:rsid w:val="0DFCF96D"/>
    <w:rsid w:val="0DFE6DE3"/>
    <w:rsid w:val="0DFF55FC"/>
    <w:rsid w:val="0E02C7AE"/>
    <w:rsid w:val="0E04073D"/>
    <w:rsid w:val="0E04BEF0"/>
    <w:rsid w:val="0E08BEB7"/>
    <w:rsid w:val="0E0E641C"/>
    <w:rsid w:val="0E0F95EF"/>
    <w:rsid w:val="0E14F30C"/>
    <w:rsid w:val="0E1E24DC"/>
    <w:rsid w:val="0E22A2E5"/>
    <w:rsid w:val="0E2772C0"/>
    <w:rsid w:val="0E29C2DA"/>
    <w:rsid w:val="0E2BEBA8"/>
    <w:rsid w:val="0E3E07AA"/>
    <w:rsid w:val="0E45B019"/>
    <w:rsid w:val="0E4735E0"/>
    <w:rsid w:val="0E4AF1C1"/>
    <w:rsid w:val="0E4BAC88"/>
    <w:rsid w:val="0E4E01AF"/>
    <w:rsid w:val="0E52E796"/>
    <w:rsid w:val="0E56CBF1"/>
    <w:rsid w:val="0E5D6BBC"/>
    <w:rsid w:val="0E5E89C6"/>
    <w:rsid w:val="0E5F03AB"/>
    <w:rsid w:val="0E5F2247"/>
    <w:rsid w:val="0E603DD7"/>
    <w:rsid w:val="0E64F7B3"/>
    <w:rsid w:val="0E71D11F"/>
    <w:rsid w:val="0E771B26"/>
    <w:rsid w:val="0E7A097B"/>
    <w:rsid w:val="0E831162"/>
    <w:rsid w:val="0E83F860"/>
    <w:rsid w:val="0E8FD262"/>
    <w:rsid w:val="0E908FCB"/>
    <w:rsid w:val="0E91B4D4"/>
    <w:rsid w:val="0E957F8C"/>
    <w:rsid w:val="0E982970"/>
    <w:rsid w:val="0E9BF253"/>
    <w:rsid w:val="0E9F2C7B"/>
    <w:rsid w:val="0EABB018"/>
    <w:rsid w:val="0EB023AA"/>
    <w:rsid w:val="0EB1082E"/>
    <w:rsid w:val="0EB18EA8"/>
    <w:rsid w:val="0EB8772A"/>
    <w:rsid w:val="0EB9CDAF"/>
    <w:rsid w:val="0EBBBD5C"/>
    <w:rsid w:val="0EBBE952"/>
    <w:rsid w:val="0EBC82CC"/>
    <w:rsid w:val="0ECA7964"/>
    <w:rsid w:val="0ED2F128"/>
    <w:rsid w:val="0ED5D130"/>
    <w:rsid w:val="0ED69756"/>
    <w:rsid w:val="0ED92B6E"/>
    <w:rsid w:val="0EDBDB23"/>
    <w:rsid w:val="0EDC2E6F"/>
    <w:rsid w:val="0EE1D8C8"/>
    <w:rsid w:val="0EECC271"/>
    <w:rsid w:val="0EF348DA"/>
    <w:rsid w:val="0EF998A9"/>
    <w:rsid w:val="0EF9E833"/>
    <w:rsid w:val="0F0075D9"/>
    <w:rsid w:val="0F008815"/>
    <w:rsid w:val="0F01EA33"/>
    <w:rsid w:val="0F06B752"/>
    <w:rsid w:val="0F090903"/>
    <w:rsid w:val="0F0B9CD5"/>
    <w:rsid w:val="0F0C0F5B"/>
    <w:rsid w:val="0F11108E"/>
    <w:rsid w:val="0F1292BB"/>
    <w:rsid w:val="0F1E8BDF"/>
    <w:rsid w:val="0F20F2A2"/>
    <w:rsid w:val="0F212825"/>
    <w:rsid w:val="0F24BD3D"/>
    <w:rsid w:val="0F2D222D"/>
    <w:rsid w:val="0F2E43DE"/>
    <w:rsid w:val="0F360254"/>
    <w:rsid w:val="0F3A7F05"/>
    <w:rsid w:val="0F3AA5B9"/>
    <w:rsid w:val="0F3D20A7"/>
    <w:rsid w:val="0F3E4C88"/>
    <w:rsid w:val="0F417B77"/>
    <w:rsid w:val="0F479747"/>
    <w:rsid w:val="0F609343"/>
    <w:rsid w:val="0F63A457"/>
    <w:rsid w:val="0F6435DF"/>
    <w:rsid w:val="0F674BDE"/>
    <w:rsid w:val="0F68478C"/>
    <w:rsid w:val="0F6CA5CC"/>
    <w:rsid w:val="0F6D7385"/>
    <w:rsid w:val="0F6EC1E9"/>
    <w:rsid w:val="0F6F61FD"/>
    <w:rsid w:val="0F75ECA1"/>
    <w:rsid w:val="0F76642E"/>
    <w:rsid w:val="0F7D627E"/>
    <w:rsid w:val="0F825C3F"/>
    <w:rsid w:val="0F8B8659"/>
    <w:rsid w:val="0F8E7026"/>
    <w:rsid w:val="0F945B6A"/>
    <w:rsid w:val="0F94DD99"/>
    <w:rsid w:val="0F9933F7"/>
    <w:rsid w:val="0FA29D78"/>
    <w:rsid w:val="0FA2E9C0"/>
    <w:rsid w:val="0FA57374"/>
    <w:rsid w:val="0FA73AA1"/>
    <w:rsid w:val="0FAEA85A"/>
    <w:rsid w:val="0FAF89F3"/>
    <w:rsid w:val="0FB42424"/>
    <w:rsid w:val="0FB538BE"/>
    <w:rsid w:val="0FB6C0E6"/>
    <w:rsid w:val="0FB8BAA9"/>
    <w:rsid w:val="0FBB7F13"/>
    <w:rsid w:val="0FBD39D7"/>
    <w:rsid w:val="0FC34D48"/>
    <w:rsid w:val="0FC4B104"/>
    <w:rsid w:val="0FCC14D9"/>
    <w:rsid w:val="0FD2C3AF"/>
    <w:rsid w:val="0FD620E8"/>
    <w:rsid w:val="0FD93C3C"/>
    <w:rsid w:val="0FD94B3A"/>
    <w:rsid w:val="0FE1F6BA"/>
    <w:rsid w:val="0FE6D7CF"/>
    <w:rsid w:val="0FEC6087"/>
    <w:rsid w:val="0FECCDA0"/>
    <w:rsid w:val="0FEDAD51"/>
    <w:rsid w:val="0FEE1E69"/>
    <w:rsid w:val="0FEEB3BC"/>
    <w:rsid w:val="0FF204F5"/>
    <w:rsid w:val="0FF9649F"/>
    <w:rsid w:val="0FFB6AF7"/>
    <w:rsid w:val="0FFEA0CB"/>
    <w:rsid w:val="1003883E"/>
    <w:rsid w:val="10058F9F"/>
    <w:rsid w:val="100AAC5F"/>
    <w:rsid w:val="100CC18A"/>
    <w:rsid w:val="100D9ABB"/>
    <w:rsid w:val="1011BE2D"/>
    <w:rsid w:val="101811AA"/>
    <w:rsid w:val="10199888"/>
    <w:rsid w:val="101E58B8"/>
    <w:rsid w:val="10212202"/>
    <w:rsid w:val="1025173B"/>
    <w:rsid w:val="1025D2B0"/>
    <w:rsid w:val="1028C0A9"/>
    <w:rsid w:val="1029D081"/>
    <w:rsid w:val="102B1952"/>
    <w:rsid w:val="103154CD"/>
    <w:rsid w:val="1032243E"/>
    <w:rsid w:val="10337762"/>
    <w:rsid w:val="103D6B9D"/>
    <w:rsid w:val="10432E73"/>
    <w:rsid w:val="10490933"/>
    <w:rsid w:val="10524CC3"/>
    <w:rsid w:val="10524FCF"/>
    <w:rsid w:val="10540757"/>
    <w:rsid w:val="10547890"/>
    <w:rsid w:val="105C6996"/>
    <w:rsid w:val="105FEA19"/>
    <w:rsid w:val="10675DDA"/>
    <w:rsid w:val="1068601A"/>
    <w:rsid w:val="106ACF40"/>
    <w:rsid w:val="106D2B98"/>
    <w:rsid w:val="10722BA3"/>
    <w:rsid w:val="10724568"/>
    <w:rsid w:val="10726873"/>
    <w:rsid w:val="10732E08"/>
    <w:rsid w:val="1078B10F"/>
    <w:rsid w:val="107A8B6B"/>
    <w:rsid w:val="107B329C"/>
    <w:rsid w:val="107C2081"/>
    <w:rsid w:val="107EEE74"/>
    <w:rsid w:val="1085065E"/>
    <w:rsid w:val="108B2E38"/>
    <w:rsid w:val="108D0561"/>
    <w:rsid w:val="108E37DE"/>
    <w:rsid w:val="1092DDCC"/>
    <w:rsid w:val="109355F1"/>
    <w:rsid w:val="1093ECE3"/>
    <w:rsid w:val="1095865D"/>
    <w:rsid w:val="1095D228"/>
    <w:rsid w:val="10973D75"/>
    <w:rsid w:val="10999E3C"/>
    <w:rsid w:val="109A328D"/>
    <w:rsid w:val="109FC15E"/>
    <w:rsid w:val="109FECF7"/>
    <w:rsid w:val="10A10C64"/>
    <w:rsid w:val="10A16F5F"/>
    <w:rsid w:val="10A8110E"/>
    <w:rsid w:val="10B14A5E"/>
    <w:rsid w:val="10B4D6DC"/>
    <w:rsid w:val="10BCE309"/>
    <w:rsid w:val="10C1702F"/>
    <w:rsid w:val="10C1BBEC"/>
    <w:rsid w:val="10C4A6F8"/>
    <w:rsid w:val="10C775C8"/>
    <w:rsid w:val="10CF66D9"/>
    <w:rsid w:val="10D122C3"/>
    <w:rsid w:val="10D76D7C"/>
    <w:rsid w:val="10DC37D7"/>
    <w:rsid w:val="10DCE72D"/>
    <w:rsid w:val="10DD3797"/>
    <w:rsid w:val="10E0090E"/>
    <w:rsid w:val="10E386D8"/>
    <w:rsid w:val="10E5105F"/>
    <w:rsid w:val="10E5A708"/>
    <w:rsid w:val="10E776C4"/>
    <w:rsid w:val="10E81947"/>
    <w:rsid w:val="10E8397E"/>
    <w:rsid w:val="10EDA2D9"/>
    <w:rsid w:val="10EE2D34"/>
    <w:rsid w:val="10EE2F63"/>
    <w:rsid w:val="10EE948A"/>
    <w:rsid w:val="10EF7523"/>
    <w:rsid w:val="10F2007A"/>
    <w:rsid w:val="10F263BB"/>
    <w:rsid w:val="10F7728F"/>
    <w:rsid w:val="10F91189"/>
    <w:rsid w:val="10F9B52F"/>
    <w:rsid w:val="1100395E"/>
    <w:rsid w:val="11016822"/>
    <w:rsid w:val="1106A1E4"/>
    <w:rsid w:val="1109F3F4"/>
    <w:rsid w:val="110BB038"/>
    <w:rsid w:val="11114961"/>
    <w:rsid w:val="1111DD46"/>
    <w:rsid w:val="1118677A"/>
    <w:rsid w:val="111FDF9C"/>
    <w:rsid w:val="11202828"/>
    <w:rsid w:val="11251F33"/>
    <w:rsid w:val="1129B772"/>
    <w:rsid w:val="112AD85A"/>
    <w:rsid w:val="112B6730"/>
    <w:rsid w:val="112BEE78"/>
    <w:rsid w:val="112E66EE"/>
    <w:rsid w:val="113494F3"/>
    <w:rsid w:val="1135229A"/>
    <w:rsid w:val="1136493B"/>
    <w:rsid w:val="1138D4F9"/>
    <w:rsid w:val="113B798C"/>
    <w:rsid w:val="113C268D"/>
    <w:rsid w:val="113E07B3"/>
    <w:rsid w:val="114137AC"/>
    <w:rsid w:val="114584CE"/>
    <w:rsid w:val="11478CC7"/>
    <w:rsid w:val="114B3E0D"/>
    <w:rsid w:val="11508B5B"/>
    <w:rsid w:val="1154C993"/>
    <w:rsid w:val="115A9469"/>
    <w:rsid w:val="115F0955"/>
    <w:rsid w:val="115FBA17"/>
    <w:rsid w:val="11642C64"/>
    <w:rsid w:val="1165642B"/>
    <w:rsid w:val="1166A798"/>
    <w:rsid w:val="11688793"/>
    <w:rsid w:val="1169B78B"/>
    <w:rsid w:val="116BB7CF"/>
    <w:rsid w:val="116C15FC"/>
    <w:rsid w:val="116F5013"/>
    <w:rsid w:val="1171284F"/>
    <w:rsid w:val="117910EB"/>
    <w:rsid w:val="1179BE2D"/>
    <w:rsid w:val="117A5334"/>
    <w:rsid w:val="1180EE15"/>
    <w:rsid w:val="118105CB"/>
    <w:rsid w:val="11815B06"/>
    <w:rsid w:val="1182E74B"/>
    <w:rsid w:val="11830E80"/>
    <w:rsid w:val="11895D51"/>
    <w:rsid w:val="118E7728"/>
    <w:rsid w:val="1195464A"/>
    <w:rsid w:val="11968E93"/>
    <w:rsid w:val="119D624B"/>
    <w:rsid w:val="11A2F609"/>
    <w:rsid w:val="11AADEC9"/>
    <w:rsid w:val="11ABFA4F"/>
    <w:rsid w:val="11B0F996"/>
    <w:rsid w:val="11B27062"/>
    <w:rsid w:val="11B9670D"/>
    <w:rsid w:val="11BB2FF2"/>
    <w:rsid w:val="11BBA0A8"/>
    <w:rsid w:val="11C49AC3"/>
    <w:rsid w:val="11CB4CF7"/>
    <w:rsid w:val="11CC62E5"/>
    <w:rsid w:val="11D2E10A"/>
    <w:rsid w:val="11D90FF6"/>
    <w:rsid w:val="11D96BB5"/>
    <w:rsid w:val="11DB6267"/>
    <w:rsid w:val="11E05730"/>
    <w:rsid w:val="11E246DC"/>
    <w:rsid w:val="11E3E3DD"/>
    <w:rsid w:val="11E4A91A"/>
    <w:rsid w:val="11E6AA35"/>
    <w:rsid w:val="11E78281"/>
    <w:rsid w:val="11E7963F"/>
    <w:rsid w:val="11EA2462"/>
    <w:rsid w:val="11EC9F8A"/>
    <w:rsid w:val="11F7D3B6"/>
    <w:rsid w:val="11FE05A3"/>
    <w:rsid w:val="11FFBF0B"/>
    <w:rsid w:val="12024C2E"/>
    <w:rsid w:val="1207B8EE"/>
    <w:rsid w:val="1207EDAE"/>
    <w:rsid w:val="120C1D3D"/>
    <w:rsid w:val="1211608E"/>
    <w:rsid w:val="1212B14A"/>
    <w:rsid w:val="12171950"/>
    <w:rsid w:val="121D8CED"/>
    <w:rsid w:val="121E9CCC"/>
    <w:rsid w:val="1223B9AF"/>
    <w:rsid w:val="1230D3A4"/>
    <w:rsid w:val="123BB128"/>
    <w:rsid w:val="123D4DC7"/>
    <w:rsid w:val="1240D3B8"/>
    <w:rsid w:val="1244256E"/>
    <w:rsid w:val="1244D6B2"/>
    <w:rsid w:val="124C3979"/>
    <w:rsid w:val="124D508E"/>
    <w:rsid w:val="124DE9FD"/>
    <w:rsid w:val="124FC2D6"/>
    <w:rsid w:val="1251FB98"/>
    <w:rsid w:val="12539576"/>
    <w:rsid w:val="12588757"/>
    <w:rsid w:val="1258D0FE"/>
    <w:rsid w:val="12591E04"/>
    <w:rsid w:val="1259D248"/>
    <w:rsid w:val="1259F5FA"/>
    <w:rsid w:val="125D898B"/>
    <w:rsid w:val="125E509C"/>
    <w:rsid w:val="12678BC0"/>
    <w:rsid w:val="126922FB"/>
    <w:rsid w:val="126B7159"/>
    <w:rsid w:val="126E63CE"/>
    <w:rsid w:val="1272BF61"/>
    <w:rsid w:val="12779065"/>
    <w:rsid w:val="127BA196"/>
    <w:rsid w:val="127D5831"/>
    <w:rsid w:val="12860EA3"/>
    <w:rsid w:val="1288BAD8"/>
    <w:rsid w:val="128A4D36"/>
    <w:rsid w:val="128C0CF3"/>
    <w:rsid w:val="12982CB3"/>
    <w:rsid w:val="129EF39B"/>
    <w:rsid w:val="12A4D8F7"/>
    <w:rsid w:val="12A5C4E2"/>
    <w:rsid w:val="12A67386"/>
    <w:rsid w:val="12ACADDD"/>
    <w:rsid w:val="12AF4069"/>
    <w:rsid w:val="12B0284E"/>
    <w:rsid w:val="12B15670"/>
    <w:rsid w:val="12B16C84"/>
    <w:rsid w:val="12B6CB5D"/>
    <w:rsid w:val="12B945E7"/>
    <w:rsid w:val="12BB27C6"/>
    <w:rsid w:val="12C210BF"/>
    <w:rsid w:val="12C32BA7"/>
    <w:rsid w:val="12C964B8"/>
    <w:rsid w:val="12CA98A1"/>
    <w:rsid w:val="12CC250F"/>
    <w:rsid w:val="12CD9BFA"/>
    <w:rsid w:val="12D6423C"/>
    <w:rsid w:val="12D7A2FD"/>
    <w:rsid w:val="12D854E3"/>
    <w:rsid w:val="12DB8260"/>
    <w:rsid w:val="12DFD973"/>
    <w:rsid w:val="12E0870F"/>
    <w:rsid w:val="12E467AA"/>
    <w:rsid w:val="12E92036"/>
    <w:rsid w:val="12E9875D"/>
    <w:rsid w:val="12ECBEA5"/>
    <w:rsid w:val="12F581EC"/>
    <w:rsid w:val="1303C6BD"/>
    <w:rsid w:val="130B931F"/>
    <w:rsid w:val="131159C4"/>
    <w:rsid w:val="131292E7"/>
    <w:rsid w:val="1314526B"/>
    <w:rsid w:val="1318B56A"/>
    <w:rsid w:val="131E0FA4"/>
    <w:rsid w:val="131E1ED5"/>
    <w:rsid w:val="1320C50F"/>
    <w:rsid w:val="1321252E"/>
    <w:rsid w:val="1323DF1A"/>
    <w:rsid w:val="13252E43"/>
    <w:rsid w:val="1325403B"/>
    <w:rsid w:val="1327BFE0"/>
    <w:rsid w:val="1333FF2A"/>
    <w:rsid w:val="13343B2F"/>
    <w:rsid w:val="13352952"/>
    <w:rsid w:val="133C0D6F"/>
    <w:rsid w:val="133D4127"/>
    <w:rsid w:val="133FA3D0"/>
    <w:rsid w:val="133FE1E1"/>
    <w:rsid w:val="1341435A"/>
    <w:rsid w:val="13448421"/>
    <w:rsid w:val="13457C11"/>
    <w:rsid w:val="1348238C"/>
    <w:rsid w:val="134A6CC7"/>
    <w:rsid w:val="134C2C2A"/>
    <w:rsid w:val="134E80CC"/>
    <w:rsid w:val="13509084"/>
    <w:rsid w:val="13518644"/>
    <w:rsid w:val="135C0888"/>
    <w:rsid w:val="135FE938"/>
    <w:rsid w:val="13615171"/>
    <w:rsid w:val="13634326"/>
    <w:rsid w:val="136429FA"/>
    <w:rsid w:val="1369E5D0"/>
    <w:rsid w:val="1370F3DD"/>
    <w:rsid w:val="13753BB2"/>
    <w:rsid w:val="137B512A"/>
    <w:rsid w:val="137CA32A"/>
    <w:rsid w:val="137D5EC6"/>
    <w:rsid w:val="137DFD95"/>
    <w:rsid w:val="137E422C"/>
    <w:rsid w:val="137F8BA8"/>
    <w:rsid w:val="1382C6DD"/>
    <w:rsid w:val="1382E59F"/>
    <w:rsid w:val="13868BCB"/>
    <w:rsid w:val="1387ACC7"/>
    <w:rsid w:val="1391C7DB"/>
    <w:rsid w:val="13959A0D"/>
    <w:rsid w:val="1397C682"/>
    <w:rsid w:val="139843B3"/>
    <w:rsid w:val="13984BBB"/>
    <w:rsid w:val="139D60C7"/>
    <w:rsid w:val="139EE386"/>
    <w:rsid w:val="13AC139D"/>
    <w:rsid w:val="13AE7F98"/>
    <w:rsid w:val="13B17D43"/>
    <w:rsid w:val="13B39B2E"/>
    <w:rsid w:val="13B6880A"/>
    <w:rsid w:val="13B77BF9"/>
    <w:rsid w:val="13BBA9D8"/>
    <w:rsid w:val="13C181F5"/>
    <w:rsid w:val="13C4FED8"/>
    <w:rsid w:val="13CE21E0"/>
    <w:rsid w:val="13D45222"/>
    <w:rsid w:val="13D4C5FB"/>
    <w:rsid w:val="13DA64E9"/>
    <w:rsid w:val="13DE6617"/>
    <w:rsid w:val="13DEF5D2"/>
    <w:rsid w:val="13DF265A"/>
    <w:rsid w:val="13E175B5"/>
    <w:rsid w:val="13E955EC"/>
    <w:rsid w:val="13EC577C"/>
    <w:rsid w:val="13ED91CB"/>
    <w:rsid w:val="13EE929E"/>
    <w:rsid w:val="13F0D80E"/>
    <w:rsid w:val="13F1AA0F"/>
    <w:rsid w:val="13F37E4C"/>
    <w:rsid w:val="13F8013B"/>
    <w:rsid w:val="13FBC3F3"/>
    <w:rsid w:val="13FDBFFB"/>
    <w:rsid w:val="1400287E"/>
    <w:rsid w:val="140689BB"/>
    <w:rsid w:val="140A3A8F"/>
    <w:rsid w:val="140D31A8"/>
    <w:rsid w:val="14131D8F"/>
    <w:rsid w:val="14172C14"/>
    <w:rsid w:val="1417AA5B"/>
    <w:rsid w:val="1417B762"/>
    <w:rsid w:val="141BD7D3"/>
    <w:rsid w:val="141ECB61"/>
    <w:rsid w:val="141F5CD6"/>
    <w:rsid w:val="14237BE3"/>
    <w:rsid w:val="1423A113"/>
    <w:rsid w:val="14310B48"/>
    <w:rsid w:val="143557C5"/>
    <w:rsid w:val="143DB09F"/>
    <w:rsid w:val="1440270C"/>
    <w:rsid w:val="14405904"/>
    <w:rsid w:val="14419199"/>
    <w:rsid w:val="14421EC9"/>
    <w:rsid w:val="14430DB3"/>
    <w:rsid w:val="14433A1F"/>
    <w:rsid w:val="14453A04"/>
    <w:rsid w:val="1447F358"/>
    <w:rsid w:val="14485D65"/>
    <w:rsid w:val="1456FA90"/>
    <w:rsid w:val="14573C89"/>
    <w:rsid w:val="1459B4F9"/>
    <w:rsid w:val="145BFB1E"/>
    <w:rsid w:val="14661304"/>
    <w:rsid w:val="146775FC"/>
    <w:rsid w:val="14693614"/>
    <w:rsid w:val="146C47E0"/>
    <w:rsid w:val="146DC098"/>
    <w:rsid w:val="146FAB9F"/>
    <w:rsid w:val="1472548F"/>
    <w:rsid w:val="147B5D68"/>
    <w:rsid w:val="147BFA75"/>
    <w:rsid w:val="1483B431"/>
    <w:rsid w:val="148F7738"/>
    <w:rsid w:val="149E44CB"/>
    <w:rsid w:val="14B0E2C3"/>
    <w:rsid w:val="14BD2A2D"/>
    <w:rsid w:val="14CDA163"/>
    <w:rsid w:val="14CF05A6"/>
    <w:rsid w:val="14D1B6CE"/>
    <w:rsid w:val="14D31FAB"/>
    <w:rsid w:val="14DB0D90"/>
    <w:rsid w:val="14DBA22C"/>
    <w:rsid w:val="14DD2742"/>
    <w:rsid w:val="14DD4260"/>
    <w:rsid w:val="14DEEC64"/>
    <w:rsid w:val="14EF05D8"/>
    <w:rsid w:val="14F681E0"/>
    <w:rsid w:val="14F813AC"/>
    <w:rsid w:val="14F9EBBE"/>
    <w:rsid w:val="1501CDD1"/>
    <w:rsid w:val="15033D15"/>
    <w:rsid w:val="1503465B"/>
    <w:rsid w:val="1504823D"/>
    <w:rsid w:val="150C69AA"/>
    <w:rsid w:val="15100279"/>
    <w:rsid w:val="15120908"/>
    <w:rsid w:val="15158D3A"/>
    <w:rsid w:val="151B0699"/>
    <w:rsid w:val="151D5D21"/>
    <w:rsid w:val="151ECB1B"/>
    <w:rsid w:val="15254C01"/>
    <w:rsid w:val="1527F9AC"/>
    <w:rsid w:val="152A6A4A"/>
    <w:rsid w:val="152ACF53"/>
    <w:rsid w:val="152C3997"/>
    <w:rsid w:val="152EDABE"/>
    <w:rsid w:val="15306D96"/>
    <w:rsid w:val="1532628D"/>
    <w:rsid w:val="1533843F"/>
    <w:rsid w:val="1536F822"/>
    <w:rsid w:val="153C8141"/>
    <w:rsid w:val="154475BE"/>
    <w:rsid w:val="15468087"/>
    <w:rsid w:val="15477B4A"/>
    <w:rsid w:val="154974F8"/>
    <w:rsid w:val="154E8895"/>
    <w:rsid w:val="155465A3"/>
    <w:rsid w:val="1557C120"/>
    <w:rsid w:val="1558C4F0"/>
    <w:rsid w:val="155AE325"/>
    <w:rsid w:val="15640BEC"/>
    <w:rsid w:val="1564D638"/>
    <w:rsid w:val="15668348"/>
    <w:rsid w:val="1566F76A"/>
    <w:rsid w:val="1567E296"/>
    <w:rsid w:val="156A55AD"/>
    <w:rsid w:val="156EFD52"/>
    <w:rsid w:val="1574BFB5"/>
    <w:rsid w:val="15756570"/>
    <w:rsid w:val="15799834"/>
    <w:rsid w:val="157F3B36"/>
    <w:rsid w:val="1583F619"/>
    <w:rsid w:val="15854313"/>
    <w:rsid w:val="15860D41"/>
    <w:rsid w:val="15884605"/>
    <w:rsid w:val="158A18C9"/>
    <w:rsid w:val="158BE29B"/>
    <w:rsid w:val="158E6C16"/>
    <w:rsid w:val="15985D41"/>
    <w:rsid w:val="159B9F92"/>
    <w:rsid w:val="159C4094"/>
    <w:rsid w:val="15A0A6D8"/>
    <w:rsid w:val="15A2B4E3"/>
    <w:rsid w:val="15A41501"/>
    <w:rsid w:val="15A49A0D"/>
    <w:rsid w:val="15A58A19"/>
    <w:rsid w:val="15A5A3C2"/>
    <w:rsid w:val="15A73145"/>
    <w:rsid w:val="15A73DEB"/>
    <w:rsid w:val="15AB984F"/>
    <w:rsid w:val="15B2EBFA"/>
    <w:rsid w:val="15B4B1F0"/>
    <w:rsid w:val="15B96777"/>
    <w:rsid w:val="15BBFA64"/>
    <w:rsid w:val="15C015FB"/>
    <w:rsid w:val="15C12C21"/>
    <w:rsid w:val="15C13317"/>
    <w:rsid w:val="15C16D80"/>
    <w:rsid w:val="15CF8BB2"/>
    <w:rsid w:val="15D0068C"/>
    <w:rsid w:val="15D08C27"/>
    <w:rsid w:val="15D3C989"/>
    <w:rsid w:val="15D5CA72"/>
    <w:rsid w:val="15D6162A"/>
    <w:rsid w:val="15E3902D"/>
    <w:rsid w:val="15E68406"/>
    <w:rsid w:val="15E9197A"/>
    <w:rsid w:val="15EB9BA9"/>
    <w:rsid w:val="15F1C528"/>
    <w:rsid w:val="15F275E2"/>
    <w:rsid w:val="15F7499B"/>
    <w:rsid w:val="15FD6971"/>
    <w:rsid w:val="1600F362"/>
    <w:rsid w:val="1601A419"/>
    <w:rsid w:val="16042289"/>
    <w:rsid w:val="16104E4D"/>
    <w:rsid w:val="1614662A"/>
    <w:rsid w:val="16199D95"/>
    <w:rsid w:val="161AEBFD"/>
    <w:rsid w:val="161ECC83"/>
    <w:rsid w:val="1624215C"/>
    <w:rsid w:val="162EDD73"/>
    <w:rsid w:val="1632408F"/>
    <w:rsid w:val="1635E2E7"/>
    <w:rsid w:val="163B2A89"/>
    <w:rsid w:val="163E3A49"/>
    <w:rsid w:val="16442512"/>
    <w:rsid w:val="164AD312"/>
    <w:rsid w:val="164C7E39"/>
    <w:rsid w:val="164D63F1"/>
    <w:rsid w:val="16563785"/>
    <w:rsid w:val="165A76B2"/>
    <w:rsid w:val="165C9E0A"/>
    <w:rsid w:val="165D2D89"/>
    <w:rsid w:val="1665D42D"/>
    <w:rsid w:val="16697E1E"/>
    <w:rsid w:val="166A63EC"/>
    <w:rsid w:val="166B7890"/>
    <w:rsid w:val="167A6D79"/>
    <w:rsid w:val="167BB718"/>
    <w:rsid w:val="167F9084"/>
    <w:rsid w:val="1681F3BD"/>
    <w:rsid w:val="168ECF3C"/>
    <w:rsid w:val="169492B8"/>
    <w:rsid w:val="1697DEC2"/>
    <w:rsid w:val="169973AE"/>
    <w:rsid w:val="169E4EF0"/>
    <w:rsid w:val="169E84B4"/>
    <w:rsid w:val="16A283F2"/>
    <w:rsid w:val="16A56663"/>
    <w:rsid w:val="16A9E141"/>
    <w:rsid w:val="16AEEF19"/>
    <w:rsid w:val="16B07C60"/>
    <w:rsid w:val="16B2B4AB"/>
    <w:rsid w:val="16B35647"/>
    <w:rsid w:val="16B48BC6"/>
    <w:rsid w:val="16B526F8"/>
    <w:rsid w:val="16B77C15"/>
    <w:rsid w:val="16BF9821"/>
    <w:rsid w:val="16C0608F"/>
    <w:rsid w:val="16C90315"/>
    <w:rsid w:val="16CD9E4A"/>
    <w:rsid w:val="16D039C2"/>
    <w:rsid w:val="16D87E7E"/>
    <w:rsid w:val="16D91D9B"/>
    <w:rsid w:val="16D96B65"/>
    <w:rsid w:val="16DC4CBC"/>
    <w:rsid w:val="16DF3B48"/>
    <w:rsid w:val="16E00D63"/>
    <w:rsid w:val="16E2E880"/>
    <w:rsid w:val="16E3D104"/>
    <w:rsid w:val="16E59D1F"/>
    <w:rsid w:val="16EAB309"/>
    <w:rsid w:val="16EC75AF"/>
    <w:rsid w:val="16ED5E56"/>
    <w:rsid w:val="16EFCF7E"/>
    <w:rsid w:val="16F5FBBA"/>
    <w:rsid w:val="16F6639A"/>
    <w:rsid w:val="16F81D10"/>
    <w:rsid w:val="16F90229"/>
    <w:rsid w:val="16F92747"/>
    <w:rsid w:val="16FC6CBA"/>
    <w:rsid w:val="16FF03D8"/>
    <w:rsid w:val="16FF0ACF"/>
    <w:rsid w:val="17053BD9"/>
    <w:rsid w:val="1707AEF0"/>
    <w:rsid w:val="170D9425"/>
    <w:rsid w:val="170E3574"/>
    <w:rsid w:val="171051CF"/>
    <w:rsid w:val="17187A58"/>
    <w:rsid w:val="171DFC1D"/>
    <w:rsid w:val="172011B8"/>
    <w:rsid w:val="1723D9DC"/>
    <w:rsid w:val="1725F664"/>
    <w:rsid w:val="1728B8A9"/>
    <w:rsid w:val="1735EAD8"/>
    <w:rsid w:val="1739592E"/>
    <w:rsid w:val="173A245F"/>
    <w:rsid w:val="173C5E51"/>
    <w:rsid w:val="1741218D"/>
    <w:rsid w:val="174699CF"/>
    <w:rsid w:val="17490FF5"/>
    <w:rsid w:val="1749A837"/>
    <w:rsid w:val="174D2B3D"/>
    <w:rsid w:val="17553E9C"/>
    <w:rsid w:val="1755D3F0"/>
    <w:rsid w:val="1759C03A"/>
    <w:rsid w:val="1760DC22"/>
    <w:rsid w:val="17641388"/>
    <w:rsid w:val="17654399"/>
    <w:rsid w:val="176A8B29"/>
    <w:rsid w:val="176B2FE8"/>
    <w:rsid w:val="176EF209"/>
    <w:rsid w:val="176F01CB"/>
    <w:rsid w:val="1774C152"/>
    <w:rsid w:val="17751D0E"/>
    <w:rsid w:val="1776A5E3"/>
    <w:rsid w:val="1776EDDF"/>
    <w:rsid w:val="177A8ECD"/>
    <w:rsid w:val="17889392"/>
    <w:rsid w:val="178913AD"/>
    <w:rsid w:val="178A312E"/>
    <w:rsid w:val="178A8030"/>
    <w:rsid w:val="178A83AC"/>
    <w:rsid w:val="17933A40"/>
    <w:rsid w:val="179449BD"/>
    <w:rsid w:val="1795A489"/>
    <w:rsid w:val="179AC7AC"/>
    <w:rsid w:val="179B6FBB"/>
    <w:rsid w:val="179E2CF9"/>
    <w:rsid w:val="17A15373"/>
    <w:rsid w:val="17A1C9CE"/>
    <w:rsid w:val="17A9546F"/>
    <w:rsid w:val="17AF6AF9"/>
    <w:rsid w:val="17B09F59"/>
    <w:rsid w:val="17B296BB"/>
    <w:rsid w:val="17B53737"/>
    <w:rsid w:val="17B65DE7"/>
    <w:rsid w:val="17BA869A"/>
    <w:rsid w:val="17C7869B"/>
    <w:rsid w:val="17D12220"/>
    <w:rsid w:val="17D14993"/>
    <w:rsid w:val="17D66BC1"/>
    <w:rsid w:val="17DB248A"/>
    <w:rsid w:val="17E92D87"/>
    <w:rsid w:val="17EAEAC8"/>
    <w:rsid w:val="17EC4D4C"/>
    <w:rsid w:val="17ED89DF"/>
    <w:rsid w:val="17EE564C"/>
    <w:rsid w:val="17F0B5C9"/>
    <w:rsid w:val="17F0E6FE"/>
    <w:rsid w:val="17F260FD"/>
    <w:rsid w:val="17F41659"/>
    <w:rsid w:val="17FFC20C"/>
    <w:rsid w:val="17FFE2E2"/>
    <w:rsid w:val="18000E4F"/>
    <w:rsid w:val="18027542"/>
    <w:rsid w:val="1802B5ED"/>
    <w:rsid w:val="180FE621"/>
    <w:rsid w:val="180FFA16"/>
    <w:rsid w:val="181184D7"/>
    <w:rsid w:val="18121DDD"/>
    <w:rsid w:val="181CF789"/>
    <w:rsid w:val="181ECA7D"/>
    <w:rsid w:val="181F862E"/>
    <w:rsid w:val="181FC8BD"/>
    <w:rsid w:val="1823EA2F"/>
    <w:rsid w:val="182EDD32"/>
    <w:rsid w:val="18357BBB"/>
    <w:rsid w:val="183AAA88"/>
    <w:rsid w:val="183DD75C"/>
    <w:rsid w:val="183E28E1"/>
    <w:rsid w:val="18408C2A"/>
    <w:rsid w:val="1845E6F8"/>
    <w:rsid w:val="18480F7C"/>
    <w:rsid w:val="18498A58"/>
    <w:rsid w:val="184B2DBC"/>
    <w:rsid w:val="184FFBD2"/>
    <w:rsid w:val="18593F36"/>
    <w:rsid w:val="185A9E4A"/>
    <w:rsid w:val="185E1673"/>
    <w:rsid w:val="185ED1DF"/>
    <w:rsid w:val="1862229A"/>
    <w:rsid w:val="18678DA5"/>
    <w:rsid w:val="186A0A5E"/>
    <w:rsid w:val="186B77B5"/>
    <w:rsid w:val="186DEF6B"/>
    <w:rsid w:val="186FD4E9"/>
    <w:rsid w:val="1871A983"/>
    <w:rsid w:val="18757648"/>
    <w:rsid w:val="18837532"/>
    <w:rsid w:val="18847CF4"/>
    <w:rsid w:val="1885A724"/>
    <w:rsid w:val="18869D7D"/>
    <w:rsid w:val="188A6A87"/>
    <w:rsid w:val="1890AA1E"/>
    <w:rsid w:val="1892B9CF"/>
    <w:rsid w:val="1896F995"/>
    <w:rsid w:val="189A9D37"/>
    <w:rsid w:val="189EA46B"/>
    <w:rsid w:val="18A36357"/>
    <w:rsid w:val="18A3B453"/>
    <w:rsid w:val="18A6E66B"/>
    <w:rsid w:val="18A8CE01"/>
    <w:rsid w:val="18ADD67F"/>
    <w:rsid w:val="18B09EF7"/>
    <w:rsid w:val="18B9CB89"/>
    <w:rsid w:val="18BD2232"/>
    <w:rsid w:val="18C0353D"/>
    <w:rsid w:val="18CC864C"/>
    <w:rsid w:val="18CCEFBD"/>
    <w:rsid w:val="18CF0A18"/>
    <w:rsid w:val="18D3056B"/>
    <w:rsid w:val="18D3A892"/>
    <w:rsid w:val="18D860EE"/>
    <w:rsid w:val="18D86972"/>
    <w:rsid w:val="18DD0131"/>
    <w:rsid w:val="18E00C04"/>
    <w:rsid w:val="18EFF739"/>
    <w:rsid w:val="18F27AAA"/>
    <w:rsid w:val="18F52E98"/>
    <w:rsid w:val="18FB3528"/>
    <w:rsid w:val="18FF9527"/>
    <w:rsid w:val="1907F459"/>
    <w:rsid w:val="190FA484"/>
    <w:rsid w:val="19142C44"/>
    <w:rsid w:val="1916388F"/>
    <w:rsid w:val="191719D0"/>
    <w:rsid w:val="1923BB65"/>
    <w:rsid w:val="1925DE68"/>
    <w:rsid w:val="192DB614"/>
    <w:rsid w:val="192E55AB"/>
    <w:rsid w:val="19355747"/>
    <w:rsid w:val="19394904"/>
    <w:rsid w:val="19420869"/>
    <w:rsid w:val="19437155"/>
    <w:rsid w:val="1946BB78"/>
    <w:rsid w:val="194EEB98"/>
    <w:rsid w:val="195106CD"/>
    <w:rsid w:val="19557D5B"/>
    <w:rsid w:val="195C4D62"/>
    <w:rsid w:val="1963FEAE"/>
    <w:rsid w:val="196734BE"/>
    <w:rsid w:val="196B5B2E"/>
    <w:rsid w:val="197B6EEF"/>
    <w:rsid w:val="1981BA77"/>
    <w:rsid w:val="1981D6A9"/>
    <w:rsid w:val="19856072"/>
    <w:rsid w:val="198926D4"/>
    <w:rsid w:val="198B1E07"/>
    <w:rsid w:val="198D009F"/>
    <w:rsid w:val="1991DBB7"/>
    <w:rsid w:val="199325E8"/>
    <w:rsid w:val="1996B078"/>
    <w:rsid w:val="19A2CD1B"/>
    <w:rsid w:val="19A57300"/>
    <w:rsid w:val="19AD512B"/>
    <w:rsid w:val="19AD7E54"/>
    <w:rsid w:val="19B0579B"/>
    <w:rsid w:val="19B239A3"/>
    <w:rsid w:val="19B276B8"/>
    <w:rsid w:val="19B4B1DF"/>
    <w:rsid w:val="19B6197C"/>
    <w:rsid w:val="19BE6E89"/>
    <w:rsid w:val="19C5C98C"/>
    <w:rsid w:val="19C7F6B4"/>
    <w:rsid w:val="19C95986"/>
    <w:rsid w:val="19CDC537"/>
    <w:rsid w:val="19CE359A"/>
    <w:rsid w:val="19CF38DC"/>
    <w:rsid w:val="19D2552B"/>
    <w:rsid w:val="19D98130"/>
    <w:rsid w:val="19DA7D91"/>
    <w:rsid w:val="19DDB5A0"/>
    <w:rsid w:val="19E115FF"/>
    <w:rsid w:val="19E8A7BB"/>
    <w:rsid w:val="19EDC55B"/>
    <w:rsid w:val="19F1333A"/>
    <w:rsid w:val="19F2511F"/>
    <w:rsid w:val="19F4D063"/>
    <w:rsid w:val="19F9CBF6"/>
    <w:rsid w:val="19FBC24E"/>
    <w:rsid w:val="19FD1138"/>
    <w:rsid w:val="1A057880"/>
    <w:rsid w:val="1A07462B"/>
    <w:rsid w:val="1A07A222"/>
    <w:rsid w:val="1A0B6014"/>
    <w:rsid w:val="1A17E1C2"/>
    <w:rsid w:val="1A1BE7AC"/>
    <w:rsid w:val="1A1C7CB2"/>
    <w:rsid w:val="1A1CF009"/>
    <w:rsid w:val="1A1F4E82"/>
    <w:rsid w:val="1A2B7F82"/>
    <w:rsid w:val="1A33E69C"/>
    <w:rsid w:val="1A37363D"/>
    <w:rsid w:val="1A385161"/>
    <w:rsid w:val="1A3CC479"/>
    <w:rsid w:val="1A3E41C5"/>
    <w:rsid w:val="1A41C126"/>
    <w:rsid w:val="1A430A40"/>
    <w:rsid w:val="1A484FB8"/>
    <w:rsid w:val="1A495A42"/>
    <w:rsid w:val="1A4A6647"/>
    <w:rsid w:val="1A4E8A1D"/>
    <w:rsid w:val="1A4ECDE8"/>
    <w:rsid w:val="1A55B11C"/>
    <w:rsid w:val="1A5949A2"/>
    <w:rsid w:val="1A5B3446"/>
    <w:rsid w:val="1A5BA6C1"/>
    <w:rsid w:val="1A5DAA23"/>
    <w:rsid w:val="1A5F0805"/>
    <w:rsid w:val="1A5F6171"/>
    <w:rsid w:val="1A61CEA7"/>
    <w:rsid w:val="1A637281"/>
    <w:rsid w:val="1A65F10A"/>
    <w:rsid w:val="1A685EBB"/>
    <w:rsid w:val="1A6964FD"/>
    <w:rsid w:val="1A6D7141"/>
    <w:rsid w:val="1A6DDB2F"/>
    <w:rsid w:val="1A75AF28"/>
    <w:rsid w:val="1A7FDFCF"/>
    <w:rsid w:val="1A81F7C8"/>
    <w:rsid w:val="1A8E68BE"/>
    <w:rsid w:val="1A96B111"/>
    <w:rsid w:val="1A9DE953"/>
    <w:rsid w:val="1A9F7E83"/>
    <w:rsid w:val="1AA1AE09"/>
    <w:rsid w:val="1AA28C83"/>
    <w:rsid w:val="1AA5F745"/>
    <w:rsid w:val="1AAE2E20"/>
    <w:rsid w:val="1AB4E918"/>
    <w:rsid w:val="1ABA25CD"/>
    <w:rsid w:val="1AC57459"/>
    <w:rsid w:val="1AC62181"/>
    <w:rsid w:val="1AC7CE6B"/>
    <w:rsid w:val="1ACC15C7"/>
    <w:rsid w:val="1AD3E4E1"/>
    <w:rsid w:val="1AD41419"/>
    <w:rsid w:val="1AD9364A"/>
    <w:rsid w:val="1ADCD29B"/>
    <w:rsid w:val="1ADF71FB"/>
    <w:rsid w:val="1AE84835"/>
    <w:rsid w:val="1AEBAEEE"/>
    <w:rsid w:val="1AEF7362"/>
    <w:rsid w:val="1AF01DE4"/>
    <w:rsid w:val="1AF2E226"/>
    <w:rsid w:val="1AF7B67C"/>
    <w:rsid w:val="1AFDCC8E"/>
    <w:rsid w:val="1B016272"/>
    <w:rsid w:val="1B058BD9"/>
    <w:rsid w:val="1B05F99F"/>
    <w:rsid w:val="1B0751E6"/>
    <w:rsid w:val="1B09E62A"/>
    <w:rsid w:val="1B0ACAFD"/>
    <w:rsid w:val="1B0F7B85"/>
    <w:rsid w:val="1B127D38"/>
    <w:rsid w:val="1B13A43A"/>
    <w:rsid w:val="1B16FE30"/>
    <w:rsid w:val="1B17C5D2"/>
    <w:rsid w:val="1B19169A"/>
    <w:rsid w:val="1B1A3D75"/>
    <w:rsid w:val="1B22C752"/>
    <w:rsid w:val="1B2427BE"/>
    <w:rsid w:val="1B2601DD"/>
    <w:rsid w:val="1B2858F2"/>
    <w:rsid w:val="1B2A3723"/>
    <w:rsid w:val="1B2DE0F2"/>
    <w:rsid w:val="1B30E859"/>
    <w:rsid w:val="1B31B988"/>
    <w:rsid w:val="1B35CBE7"/>
    <w:rsid w:val="1B3647F3"/>
    <w:rsid w:val="1B3661AE"/>
    <w:rsid w:val="1B3D029B"/>
    <w:rsid w:val="1B3E3C36"/>
    <w:rsid w:val="1B3FA4CA"/>
    <w:rsid w:val="1B418FFC"/>
    <w:rsid w:val="1B4247D2"/>
    <w:rsid w:val="1B46AA44"/>
    <w:rsid w:val="1B46D267"/>
    <w:rsid w:val="1B46E44C"/>
    <w:rsid w:val="1B477E46"/>
    <w:rsid w:val="1B48C015"/>
    <w:rsid w:val="1B5E8645"/>
    <w:rsid w:val="1B699C09"/>
    <w:rsid w:val="1B6CBE34"/>
    <w:rsid w:val="1B71B4F3"/>
    <w:rsid w:val="1B724E6A"/>
    <w:rsid w:val="1B72BCCC"/>
    <w:rsid w:val="1B7532C1"/>
    <w:rsid w:val="1B7B858A"/>
    <w:rsid w:val="1B809E55"/>
    <w:rsid w:val="1B851B43"/>
    <w:rsid w:val="1B8A87A8"/>
    <w:rsid w:val="1B8CA840"/>
    <w:rsid w:val="1B8F5D62"/>
    <w:rsid w:val="1B8FC48D"/>
    <w:rsid w:val="1B942D42"/>
    <w:rsid w:val="1B9A6D7D"/>
    <w:rsid w:val="1B9D1D9F"/>
    <w:rsid w:val="1BA23C6B"/>
    <w:rsid w:val="1BA2E106"/>
    <w:rsid w:val="1BA94660"/>
    <w:rsid w:val="1BAF612B"/>
    <w:rsid w:val="1BB07A73"/>
    <w:rsid w:val="1BB17647"/>
    <w:rsid w:val="1BB84389"/>
    <w:rsid w:val="1BC10CD0"/>
    <w:rsid w:val="1BC392E1"/>
    <w:rsid w:val="1BC4B341"/>
    <w:rsid w:val="1BC83CD6"/>
    <w:rsid w:val="1BCC0B4F"/>
    <w:rsid w:val="1BD02110"/>
    <w:rsid w:val="1BD76628"/>
    <w:rsid w:val="1BD92760"/>
    <w:rsid w:val="1BD93A68"/>
    <w:rsid w:val="1BDE63DE"/>
    <w:rsid w:val="1BDF5684"/>
    <w:rsid w:val="1BE186A7"/>
    <w:rsid w:val="1BE4869A"/>
    <w:rsid w:val="1BEB5D7D"/>
    <w:rsid w:val="1BEC5C5F"/>
    <w:rsid w:val="1BF0A940"/>
    <w:rsid w:val="1BF0C186"/>
    <w:rsid w:val="1BF1D073"/>
    <w:rsid w:val="1BF2C731"/>
    <w:rsid w:val="1BF52794"/>
    <w:rsid w:val="1BF5AC13"/>
    <w:rsid w:val="1BF5B981"/>
    <w:rsid w:val="1BFC8380"/>
    <w:rsid w:val="1BFE1EA9"/>
    <w:rsid w:val="1C04AE58"/>
    <w:rsid w:val="1C066A09"/>
    <w:rsid w:val="1C088C3D"/>
    <w:rsid w:val="1C0B2A93"/>
    <w:rsid w:val="1C0D0FA0"/>
    <w:rsid w:val="1C0E1149"/>
    <w:rsid w:val="1C1AC5FC"/>
    <w:rsid w:val="1C20F560"/>
    <w:rsid w:val="1C2181D8"/>
    <w:rsid w:val="1C27DFFE"/>
    <w:rsid w:val="1C2C5243"/>
    <w:rsid w:val="1C2CF88D"/>
    <w:rsid w:val="1C30B5D9"/>
    <w:rsid w:val="1C30C226"/>
    <w:rsid w:val="1C30D2A0"/>
    <w:rsid w:val="1C335D97"/>
    <w:rsid w:val="1C353819"/>
    <w:rsid w:val="1C3AE800"/>
    <w:rsid w:val="1C3B95D4"/>
    <w:rsid w:val="1C3F80F0"/>
    <w:rsid w:val="1C4584BA"/>
    <w:rsid w:val="1C480F92"/>
    <w:rsid w:val="1C4A5997"/>
    <w:rsid w:val="1C4F37ED"/>
    <w:rsid w:val="1C56E253"/>
    <w:rsid w:val="1C581D88"/>
    <w:rsid w:val="1C59C7D7"/>
    <w:rsid w:val="1C5B1E96"/>
    <w:rsid w:val="1C5B5BCC"/>
    <w:rsid w:val="1C63D6E7"/>
    <w:rsid w:val="1C6B8BBD"/>
    <w:rsid w:val="1C6CC0B9"/>
    <w:rsid w:val="1C78179F"/>
    <w:rsid w:val="1C7B944C"/>
    <w:rsid w:val="1C7DDBB6"/>
    <w:rsid w:val="1C80985F"/>
    <w:rsid w:val="1C8397F4"/>
    <w:rsid w:val="1C841677"/>
    <w:rsid w:val="1C8ADB7D"/>
    <w:rsid w:val="1C90F7F1"/>
    <w:rsid w:val="1C92A68B"/>
    <w:rsid w:val="1C96B425"/>
    <w:rsid w:val="1C9968E0"/>
    <w:rsid w:val="1C99EF2C"/>
    <w:rsid w:val="1C9B2E3A"/>
    <w:rsid w:val="1C9DC1D3"/>
    <w:rsid w:val="1C9F2574"/>
    <w:rsid w:val="1CA147B3"/>
    <w:rsid w:val="1CA2C484"/>
    <w:rsid w:val="1CA369DB"/>
    <w:rsid w:val="1CA85711"/>
    <w:rsid w:val="1CB17D76"/>
    <w:rsid w:val="1CB9172D"/>
    <w:rsid w:val="1CBB66A4"/>
    <w:rsid w:val="1CC13527"/>
    <w:rsid w:val="1CC4EF66"/>
    <w:rsid w:val="1CC65052"/>
    <w:rsid w:val="1CC91021"/>
    <w:rsid w:val="1CC972BE"/>
    <w:rsid w:val="1CD2E3A6"/>
    <w:rsid w:val="1CD6B6A3"/>
    <w:rsid w:val="1CD9890F"/>
    <w:rsid w:val="1CDA4E01"/>
    <w:rsid w:val="1CDB7B7F"/>
    <w:rsid w:val="1CE1B409"/>
    <w:rsid w:val="1CE84FD5"/>
    <w:rsid w:val="1CE97FCB"/>
    <w:rsid w:val="1CEA7A02"/>
    <w:rsid w:val="1CEB4194"/>
    <w:rsid w:val="1CEBEDC1"/>
    <w:rsid w:val="1CEDBD5C"/>
    <w:rsid w:val="1CEDCFBA"/>
    <w:rsid w:val="1CEFC393"/>
    <w:rsid w:val="1CF40C6F"/>
    <w:rsid w:val="1D011A3A"/>
    <w:rsid w:val="1D0502A5"/>
    <w:rsid w:val="1D0AC50C"/>
    <w:rsid w:val="1D0D4590"/>
    <w:rsid w:val="1D1317A7"/>
    <w:rsid w:val="1D136FC2"/>
    <w:rsid w:val="1D1385AF"/>
    <w:rsid w:val="1D17FBBC"/>
    <w:rsid w:val="1D1CB626"/>
    <w:rsid w:val="1D2307C1"/>
    <w:rsid w:val="1D29EE6B"/>
    <w:rsid w:val="1D2A0874"/>
    <w:rsid w:val="1D2BC089"/>
    <w:rsid w:val="1D2F8A01"/>
    <w:rsid w:val="1D340A1B"/>
    <w:rsid w:val="1D3955BC"/>
    <w:rsid w:val="1D3C0972"/>
    <w:rsid w:val="1D40BFD0"/>
    <w:rsid w:val="1D412E04"/>
    <w:rsid w:val="1D43B7F3"/>
    <w:rsid w:val="1D4596C6"/>
    <w:rsid w:val="1D4664E0"/>
    <w:rsid w:val="1D4BA43C"/>
    <w:rsid w:val="1D4BC209"/>
    <w:rsid w:val="1D555C8F"/>
    <w:rsid w:val="1D5BE450"/>
    <w:rsid w:val="1D5C91D1"/>
    <w:rsid w:val="1D633F69"/>
    <w:rsid w:val="1D63585C"/>
    <w:rsid w:val="1D638D34"/>
    <w:rsid w:val="1D6CD11C"/>
    <w:rsid w:val="1D6D7297"/>
    <w:rsid w:val="1D7492A9"/>
    <w:rsid w:val="1D817CCC"/>
    <w:rsid w:val="1D82C93B"/>
    <w:rsid w:val="1D86EB8D"/>
    <w:rsid w:val="1D871F1F"/>
    <w:rsid w:val="1D8777BE"/>
    <w:rsid w:val="1D87E4DD"/>
    <w:rsid w:val="1D8801B1"/>
    <w:rsid w:val="1D8D1A0B"/>
    <w:rsid w:val="1D923C0C"/>
    <w:rsid w:val="1D955292"/>
    <w:rsid w:val="1D956578"/>
    <w:rsid w:val="1D965802"/>
    <w:rsid w:val="1D9DDC3F"/>
    <w:rsid w:val="1D9EF2AC"/>
    <w:rsid w:val="1DA22417"/>
    <w:rsid w:val="1DA86D87"/>
    <w:rsid w:val="1DA9EFC0"/>
    <w:rsid w:val="1DB58EEF"/>
    <w:rsid w:val="1DB5B6B2"/>
    <w:rsid w:val="1DB926E1"/>
    <w:rsid w:val="1DBCD5E5"/>
    <w:rsid w:val="1DC0FD4C"/>
    <w:rsid w:val="1DC2DD44"/>
    <w:rsid w:val="1DC4BF70"/>
    <w:rsid w:val="1DC5DF56"/>
    <w:rsid w:val="1DC5F48F"/>
    <w:rsid w:val="1DC60C65"/>
    <w:rsid w:val="1DD163FA"/>
    <w:rsid w:val="1DD5EDB6"/>
    <w:rsid w:val="1DD8B47B"/>
    <w:rsid w:val="1DE6FA6F"/>
    <w:rsid w:val="1DEA7B81"/>
    <w:rsid w:val="1DEB4FDB"/>
    <w:rsid w:val="1DECB99B"/>
    <w:rsid w:val="1DF28232"/>
    <w:rsid w:val="1DF4D264"/>
    <w:rsid w:val="1DF604C2"/>
    <w:rsid w:val="1DF88527"/>
    <w:rsid w:val="1DFAD813"/>
    <w:rsid w:val="1DFC6CEA"/>
    <w:rsid w:val="1DFDB8AD"/>
    <w:rsid w:val="1DFDC986"/>
    <w:rsid w:val="1E003822"/>
    <w:rsid w:val="1E0255E4"/>
    <w:rsid w:val="1E02D128"/>
    <w:rsid w:val="1E02DEE2"/>
    <w:rsid w:val="1E034057"/>
    <w:rsid w:val="1E09DCBE"/>
    <w:rsid w:val="1E0A9FCB"/>
    <w:rsid w:val="1E0D8475"/>
    <w:rsid w:val="1E10B1B4"/>
    <w:rsid w:val="1E10D043"/>
    <w:rsid w:val="1E12601C"/>
    <w:rsid w:val="1E128639"/>
    <w:rsid w:val="1E13B940"/>
    <w:rsid w:val="1E18C328"/>
    <w:rsid w:val="1E18F17F"/>
    <w:rsid w:val="1E19E7A1"/>
    <w:rsid w:val="1E1B7A5D"/>
    <w:rsid w:val="1E1D9891"/>
    <w:rsid w:val="1E247442"/>
    <w:rsid w:val="1E249EF8"/>
    <w:rsid w:val="1E26E838"/>
    <w:rsid w:val="1E26F06D"/>
    <w:rsid w:val="1E3061F3"/>
    <w:rsid w:val="1E345CE1"/>
    <w:rsid w:val="1E38512D"/>
    <w:rsid w:val="1E38655C"/>
    <w:rsid w:val="1E3A0D16"/>
    <w:rsid w:val="1E3DD20D"/>
    <w:rsid w:val="1E40C0A6"/>
    <w:rsid w:val="1E4D542C"/>
    <w:rsid w:val="1E52FECC"/>
    <w:rsid w:val="1E539CD4"/>
    <w:rsid w:val="1E54F3D0"/>
    <w:rsid w:val="1E596408"/>
    <w:rsid w:val="1E5B942A"/>
    <w:rsid w:val="1E60EAFB"/>
    <w:rsid w:val="1E6AD2C1"/>
    <w:rsid w:val="1E6C5E65"/>
    <w:rsid w:val="1E71EE1F"/>
    <w:rsid w:val="1E725F06"/>
    <w:rsid w:val="1E74F8F6"/>
    <w:rsid w:val="1E7AF90A"/>
    <w:rsid w:val="1E939FB9"/>
    <w:rsid w:val="1E93D87E"/>
    <w:rsid w:val="1E943F18"/>
    <w:rsid w:val="1EA3B336"/>
    <w:rsid w:val="1EAD8405"/>
    <w:rsid w:val="1EAE391C"/>
    <w:rsid w:val="1EAFEBAB"/>
    <w:rsid w:val="1EB4EBB7"/>
    <w:rsid w:val="1EB5C4CF"/>
    <w:rsid w:val="1EBFDE0B"/>
    <w:rsid w:val="1EC2C0DA"/>
    <w:rsid w:val="1EC7F438"/>
    <w:rsid w:val="1ECB42D2"/>
    <w:rsid w:val="1ECEFF31"/>
    <w:rsid w:val="1ED090F9"/>
    <w:rsid w:val="1ED36672"/>
    <w:rsid w:val="1ED7E9CA"/>
    <w:rsid w:val="1ED902AA"/>
    <w:rsid w:val="1EDFB704"/>
    <w:rsid w:val="1EE071DB"/>
    <w:rsid w:val="1EF5FFA4"/>
    <w:rsid w:val="1EFC91D6"/>
    <w:rsid w:val="1EFED8A9"/>
    <w:rsid w:val="1EFFE7B4"/>
    <w:rsid w:val="1F11D19F"/>
    <w:rsid w:val="1F14CC98"/>
    <w:rsid w:val="1F17825B"/>
    <w:rsid w:val="1F208026"/>
    <w:rsid w:val="1F25F9E4"/>
    <w:rsid w:val="1F27275C"/>
    <w:rsid w:val="1F28FFD1"/>
    <w:rsid w:val="1F30391E"/>
    <w:rsid w:val="1F327BE4"/>
    <w:rsid w:val="1F372DA9"/>
    <w:rsid w:val="1F3AB016"/>
    <w:rsid w:val="1F3B65AE"/>
    <w:rsid w:val="1F432273"/>
    <w:rsid w:val="1F452D61"/>
    <w:rsid w:val="1F468133"/>
    <w:rsid w:val="1F4900F3"/>
    <w:rsid w:val="1F4A8E81"/>
    <w:rsid w:val="1F4CCC08"/>
    <w:rsid w:val="1F4E19FE"/>
    <w:rsid w:val="1F545AD5"/>
    <w:rsid w:val="1F5525E3"/>
    <w:rsid w:val="1F563DC0"/>
    <w:rsid w:val="1F5658B3"/>
    <w:rsid w:val="1F5DA6E8"/>
    <w:rsid w:val="1F60C263"/>
    <w:rsid w:val="1F6AD72D"/>
    <w:rsid w:val="1F6C6DDB"/>
    <w:rsid w:val="1F6CD1E7"/>
    <w:rsid w:val="1F730245"/>
    <w:rsid w:val="1F743250"/>
    <w:rsid w:val="1F774F2B"/>
    <w:rsid w:val="1F779829"/>
    <w:rsid w:val="1F797B5A"/>
    <w:rsid w:val="1F79E7C6"/>
    <w:rsid w:val="1F7B26D5"/>
    <w:rsid w:val="1F7EF095"/>
    <w:rsid w:val="1F81FA73"/>
    <w:rsid w:val="1F8589A1"/>
    <w:rsid w:val="1F85A8E6"/>
    <w:rsid w:val="1F872A20"/>
    <w:rsid w:val="1F8B7EA9"/>
    <w:rsid w:val="1F92E917"/>
    <w:rsid w:val="1F948128"/>
    <w:rsid w:val="1F948AEC"/>
    <w:rsid w:val="1F95FC3A"/>
    <w:rsid w:val="1F9811CC"/>
    <w:rsid w:val="1FA1B25B"/>
    <w:rsid w:val="1FA42869"/>
    <w:rsid w:val="1FA79C73"/>
    <w:rsid w:val="1FA966F9"/>
    <w:rsid w:val="1FA9B1EA"/>
    <w:rsid w:val="1FAF2C61"/>
    <w:rsid w:val="1FAF83E4"/>
    <w:rsid w:val="1FAFA7D8"/>
    <w:rsid w:val="1FB1155C"/>
    <w:rsid w:val="1FB5940B"/>
    <w:rsid w:val="1FBE56E9"/>
    <w:rsid w:val="1FCD271F"/>
    <w:rsid w:val="1FCF46C9"/>
    <w:rsid w:val="1FD93F70"/>
    <w:rsid w:val="1FDA5F26"/>
    <w:rsid w:val="1FDADAD6"/>
    <w:rsid w:val="1FDFFE72"/>
    <w:rsid w:val="1FE020C6"/>
    <w:rsid w:val="1FE4CC25"/>
    <w:rsid w:val="1FE5784F"/>
    <w:rsid w:val="1FEB262A"/>
    <w:rsid w:val="1FF42F19"/>
    <w:rsid w:val="1FF518AA"/>
    <w:rsid w:val="1FF53AB3"/>
    <w:rsid w:val="1FF5887D"/>
    <w:rsid w:val="1FF6A285"/>
    <w:rsid w:val="1FF89BEC"/>
    <w:rsid w:val="2003E30B"/>
    <w:rsid w:val="20099E09"/>
    <w:rsid w:val="200B6A8F"/>
    <w:rsid w:val="200C4EE4"/>
    <w:rsid w:val="2010049E"/>
    <w:rsid w:val="20184C9E"/>
    <w:rsid w:val="201B2D89"/>
    <w:rsid w:val="201DF767"/>
    <w:rsid w:val="201E4EF9"/>
    <w:rsid w:val="2020F656"/>
    <w:rsid w:val="2037329C"/>
    <w:rsid w:val="203872FF"/>
    <w:rsid w:val="203EB0B6"/>
    <w:rsid w:val="20409D82"/>
    <w:rsid w:val="20430393"/>
    <w:rsid w:val="20484C6B"/>
    <w:rsid w:val="204CCC92"/>
    <w:rsid w:val="204F46D6"/>
    <w:rsid w:val="20598399"/>
    <w:rsid w:val="205A557C"/>
    <w:rsid w:val="205A941E"/>
    <w:rsid w:val="205D8105"/>
    <w:rsid w:val="20673064"/>
    <w:rsid w:val="206784A8"/>
    <w:rsid w:val="2068C10E"/>
    <w:rsid w:val="206A672E"/>
    <w:rsid w:val="206B0D68"/>
    <w:rsid w:val="206BAE80"/>
    <w:rsid w:val="206D5E6A"/>
    <w:rsid w:val="206E5ED0"/>
    <w:rsid w:val="20721832"/>
    <w:rsid w:val="20754ABE"/>
    <w:rsid w:val="20782F9C"/>
    <w:rsid w:val="207D61FF"/>
    <w:rsid w:val="208124D1"/>
    <w:rsid w:val="2087BC7A"/>
    <w:rsid w:val="208F89F2"/>
    <w:rsid w:val="209CA801"/>
    <w:rsid w:val="20A19997"/>
    <w:rsid w:val="20A24495"/>
    <w:rsid w:val="20A67E6A"/>
    <w:rsid w:val="20A84D30"/>
    <w:rsid w:val="20AFEDD8"/>
    <w:rsid w:val="20B1F2BD"/>
    <w:rsid w:val="20B5DA13"/>
    <w:rsid w:val="20B7B274"/>
    <w:rsid w:val="20B8EA7F"/>
    <w:rsid w:val="20B906AC"/>
    <w:rsid w:val="20B9DC3F"/>
    <w:rsid w:val="20BA3842"/>
    <w:rsid w:val="20C29C42"/>
    <w:rsid w:val="20C4FB33"/>
    <w:rsid w:val="20C66F03"/>
    <w:rsid w:val="20C8D75B"/>
    <w:rsid w:val="20CC8B83"/>
    <w:rsid w:val="20D0A8DD"/>
    <w:rsid w:val="20D14AE2"/>
    <w:rsid w:val="20D3F01D"/>
    <w:rsid w:val="20D40BD7"/>
    <w:rsid w:val="20DE4496"/>
    <w:rsid w:val="20DF3D48"/>
    <w:rsid w:val="20E19E0B"/>
    <w:rsid w:val="20E1F6EC"/>
    <w:rsid w:val="20E22E1D"/>
    <w:rsid w:val="20E88A27"/>
    <w:rsid w:val="20E9F943"/>
    <w:rsid w:val="20EE60F4"/>
    <w:rsid w:val="20F27E93"/>
    <w:rsid w:val="20F3CAC2"/>
    <w:rsid w:val="20F571BE"/>
    <w:rsid w:val="20F7B82B"/>
    <w:rsid w:val="20F99D78"/>
    <w:rsid w:val="20FD6E44"/>
    <w:rsid w:val="21039E90"/>
    <w:rsid w:val="210E0FF7"/>
    <w:rsid w:val="210E225F"/>
    <w:rsid w:val="210EAEDB"/>
    <w:rsid w:val="21151110"/>
    <w:rsid w:val="211AAABF"/>
    <w:rsid w:val="211BB036"/>
    <w:rsid w:val="211FB0AE"/>
    <w:rsid w:val="21217057"/>
    <w:rsid w:val="212AA18B"/>
    <w:rsid w:val="212FC409"/>
    <w:rsid w:val="21303F34"/>
    <w:rsid w:val="21335D97"/>
    <w:rsid w:val="2135159F"/>
    <w:rsid w:val="213630E3"/>
    <w:rsid w:val="213ACFFA"/>
    <w:rsid w:val="21414CA3"/>
    <w:rsid w:val="21486E76"/>
    <w:rsid w:val="214BB7DA"/>
    <w:rsid w:val="214CD7E1"/>
    <w:rsid w:val="214FBECC"/>
    <w:rsid w:val="2150AE2F"/>
    <w:rsid w:val="21523791"/>
    <w:rsid w:val="215A51C1"/>
    <w:rsid w:val="215B86C0"/>
    <w:rsid w:val="21622B45"/>
    <w:rsid w:val="21659E64"/>
    <w:rsid w:val="216947C6"/>
    <w:rsid w:val="216DA68E"/>
    <w:rsid w:val="21716D57"/>
    <w:rsid w:val="2175E900"/>
    <w:rsid w:val="2179F0EE"/>
    <w:rsid w:val="217A4E36"/>
    <w:rsid w:val="217DE0CA"/>
    <w:rsid w:val="2188C998"/>
    <w:rsid w:val="218CEDF2"/>
    <w:rsid w:val="21972602"/>
    <w:rsid w:val="2199733A"/>
    <w:rsid w:val="21A3AC70"/>
    <w:rsid w:val="21B9B67E"/>
    <w:rsid w:val="21BA642E"/>
    <w:rsid w:val="21C1D66D"/>
    <w:rsid w:val="21C29DAF"/>
    <w:rsid w:val="21C2DAA4"/>
    <w:rsid w:val="21CC0470"/>
    <w:rsid w:val="21CD35C7"/>
    <w:rsid w:val="21D71C34"/>
    <w:rsid w:val="21D9DDED"/>
    <w:rsid w:val="21DF0668"/>
    <w:rsid w:val="21E0B6F1"/>
    <w:rsid w:val="21E2B2CA"/>
    <w:rsid w:val="21E83340"/>
    <w:rsid w:val="21E97B2B"/>
    <w:rsid w:val="21EA0317"/>
    <w:rsid w:val="21ED2128"/>
    <w:rsid w:val="21F11AE8"/>
    <w:rsid w:val="21F6BE62"/>
    <w:rsid w:val="21FA57F4"/>
    <w:rsid w:val="2203162A"/>
    <w:rsid w:val="220B572A"/>
    <w:rsid w:val="220C0013"/>
    <w:rsid w:val="220DE306"/>
    <w:rsid w:val="2213EEF3"/>
    <w:rsid w:val="2214CE5D"/>
    <w:rsid w:val="2215B507"/>
    <w:rsid w:val="22193B43"/>
    <w:rsid w:val="221C50E8"/>
    <w:rsid w:val="221D6285"/>
    <w:rsid w:val="221EC52B"/>
    <w:rsid w:val="222194F3"/>
    <w:rsid w:val="22228C8A"/>
    <w:rsid w:val="22264F21"/>
    <w:rsid w:val="222E6335"/>
    <w:rsid w:val="222E7054"/>
    <w:rsid w:val="2231DC70"/>
    <w:rsid w:val="2236092E"/>
    <w:rsid w:val="223E0A2D"/>
    <w:rsid w:val="2242C43D"/>
    <w:rsid w:val="224EED5A"/>
    <w:rsid w:val="2250370B"/>
    <w:rsid w:val="22522187"/>
    <w:rsid w:val="2259F5F1"/>
    <w:rsid w:val="225CD1A5"/>
    <w:rsid w:val="225D622D"/>
    <w:rsid w:val="2261CBC1"/>
    <w:rsid w:val="22655713"/>
    <w:rsid w:val="2267C9CE"/>
    <w:rsid w:val="226B3914"/>
    <w:rsid w:val="226B7BCE"/>
    <w:rsid w:val="226E37C0"/>
    <w:rsid w:val="226F013E"/>
    <w:rsid w:val="226F6D7F"/>
    <w:rsid w:val="227E8654"/>
    <w:rsid w:val="228244B6"/>
    <w:rsid w:val="2288A65F"/>
    <w:rsid w:val="228ADB11"/>
    <w:rsid w:val="228BD57A"/>
    <w:rsid w:val="228E4647"/>
    <w:rsid w:val="228E57BF"/>
    <w:rsid w:val="2293B0C8"/>
    <w:rsid w:val="2293F422"/>
    <w:rsid w:val="22966064"/>
    <w:rsid w:val="22969CE9"/>
    <w:rsid w:val="229A0738"/>
    <w:rsid w:val="22A3D42F"/>
    <w:rsid w:val="22A59730"/>
    <w:rsid w:val="22A62A06"/>
    <w:rsid w:val="22BA4600"/>
    <w:rsid w:val="22BF7AC8"/>
    <w:rsid w:val="22C4C4AC"/>
    <w:rsid w:val="22C6D618"/>
    <w:rsid w:val="22C7C5FD"/>
    <w:rsid w:val="22D371C1"/>
    <w:rsid w:val="22D5BEFC"/>
    <w:rsid w:val="22DBE702"/>
    <w:rsid w:val="22E35DBF"/>
    <w:rsid w:val="22E7DDDB"/>
    <w:rsid w:val="22ED4DAA"/>
    <w:rsid w:val="22EDDF05"/>
    <w:rsid w:val="22F08886"/>
    <w:rsid w:val="22F5CED1"/>
    <w:rsid w:val="22FBB46E"/>
    <w:rsid w:val="22FD748A"/>
    <w:rsid w:val="22FDEF8F"/>
    <w:rsid w:val="230226B6"/>
    <w:rsid w:val="230760A0"/>
    <w:rsid w:val="230BF4BD"/>
    <w:rsid w:val="230E177C"/>
    <w:rsid w:val="2312A763"/>
    <w:rsid w:val="2315632C"/>
    <w:rsid w:val="23167995"/>
    <w:rsid w:val="231D936D"/>
    <w:rsid w:val="231F3AAE"/>
    <w:rsid w:val="23273803"/>
    <w:rsid w:val="23315CD4"/>
    <w:rsid w:val="2334AF15"/>
    <w:rsid w:val="233872FB"/>
    <w:rsid w:val="2338B70F"/>
    <w:rsid w:val="23398796"/>
    <w:rsid w:val="233D1699"/>
    <w:rsid w:val="233EFFD8"/>
    <w:rsid w:val="2347A478"/>
    <w:rsid w:val="2347C554"/>
    <w:rsid w:val="2347E1D2"/>
    <w:rsid w:val="234C4A7C"/>
    <w:rsid w:val="2351B7D2"/>
    <w:rsid w:val="235704F9"/>
    <w:rsid w:val="2358D88F"/>
    <w:rsid w:val="235AF77B"/>
    <w:rsid w:val="236937BC"/>
    <w:rsid w:val="236B0289"/>
    <w:rsid w:val="236C5375"/>
    <w:rsid w:val="2370C719"/>
    <w:rsid w:val="23717447"/>
    <w:rsid w:val="2372EE2B"/>
    <w:rsid w:val="23749D4E"/>
    <w:rsid w:val="237798D2"/>
    <w:rsid w:val="237920FA"/>
    <w:rsid w:val="237B51D7"/>
    <w:rsid w:val="237C51A5"/>
    <w:rsid w:val="237F8E97"/>
    <w:rsid w:val="2388DEE2"/>
    <w:rsid w:val="238BFDD8"/>
    <w:rsid w:val="238F4956"/>
    <w:rsid w:val="2393A1DB"/>
    <w:rsid w:val="239464F8"/>
    <w:rsid w:val="23949773"/>
    <w:rsid w:val="239B5DDB"/>
    <w:rsid w:val="239C0136"/>
    <w:rsid w:val="239F1B28"/>
    <w:rsid w:val="23A0FAF5"/>
    <w:rsid w:val="23AAB6E3"/>
    <w:rsid w:val="23ACAC7C"/>
    <w:rsid w:val="23AE9437"/>
    <w:rsid w:val="23B61CF4"/>
    <w:rsid w:val="23B99008"/>
    <w:rsid w:val="23BCD0EE"/>
    <w:rsid w:val="23C19081"/>
    <w:rsid w:val="23C19BF7"/>
    <w:rsid w:val="23C4B93D"/>
    <w:rsid w:val="23C5ED98"/>
    <w:rsid w:val="23C9B5D6"/>
    <w:rsid w:val="23CA2D29"/>
    <w:rsid w:val="23CBC790"/>
    <w:rsid w:val="23D13D3D"/>
    <w:rsid w:val="23D94433"/>
    <w:rsid w:val="23DBF6CB"/>
    <w:rsid w:val="23DDFCE8"/>
    <w:rsid w:val="23E0E184"/>
    <w:rsid w:val="23E2AF4E"/>
    <w:rsid w:val="23E3864E"/>
    <w:rsid w:val="23E7D367"/>
    <w:rsid w:val="23E80BBB"/>
    <w:rsid w:val="23EA1E2F"/>
    <w:rsid w:val="23F13A5C"/>
    <w:rsid w:val="23F17434"/>
    <w:rsid w:val="23F260DD"/>
    <w:rsid w:val="23F6783A"/>
    <w:rsid w:val="23F9C4D7"/>
    <w:rsid w:val="24015E3C"/>
    <w:rsid w:val="24021CCD"/>
    <w:rsid w:val="2404ECA3"/>
    <w:rsid w:val="24054EAD"/>
    <w:rsid w:val="24070A12"/>
    <w:rsid w:val="24084A6F"/>
    <w:rsid w:val="240ACF44"/>
    <w:rsid w:val="240B66D7"/>
    <w:rsid w:val="2411D74D"/>
    <w:rsid w:val="24165676"/>
    <w:rsid w:val="241CD0B4"/>
    <w:rsid w:val="242463F3"/>
    <w:rsid w:val="2426BA88"/>
    <w:rsid w:val="2429D5D9"/>
    <w:rsid w:val="242FBF7D"/>
    <w:rsid w:val="243377B0"/>
    <w:rsid w:val="243606D2"/>
    <w:rsid w:val="24364F94"/>
    <w:rsid w:val="24399F41"/>
    <w:rsid w:val="243DE828"/>
    <w:rsid w:val="24430AF7"/>
    <w:rsid w:val="244636EB"/>
    <w:rsid w:val="24466A0D"/>
    <w:rsid w:val="24507A1C"/>
    <w:rsid w:val="24589396"/>
    <w:rsid w:val="245B9861"/>
    <w:rsid w:val="245F3C22"/>
    <w:rsid w:val="2469AC2C"/>
    <w:rsid w:val="2469DA65"/>
    <w:rsid w:val="246B398A"/>
    <w:rsid w:val="24731858"/>
    <w:rsid w:val="24744D13"/>
    <w:rsid w:val="24750EDD"/>
    <w:rsid w:val="247656E6"/>
    <w:rsid w:val="24767E9F"/>
    <w:rsid w:val="2480230C"/>
    <w:rsid w:val="24816682"/>
    <w:rsid w:val="2482518C"/>
    <w:rsid w:val="24827200"/>
    <w:rsid w:val="24832B3C"/>
    <w:rsid w:val="2486E48E"/>
    <w:rsid w:val="248A30CF"/>
    <w:rsid w:val="249529EA"/>
    <w:rsid w:val="249CFCD2"/>
    <w:rsid w:val="249E0EB7"/>
    <w:rsid w:val="24A0F70C"/>
    <w:rsid w:val="24A40C08"/>
    <w:rsid w:val="24AA8C06"/>
    <w:rsid w:val="24AB0F3F"/>
    <w:rsid w:val="24AE77BD"/>
    <w:rsid w:val="24B21F3E"/>
    <w:rsid w:val="24B8C952"/>
    <w:rsid w:val="24BA2FF1"/>
    <w:rsid w:val="24C0B0EA"/>
    <w:rsid w:val="24C3A9E3"/>
    <w:rsid w:val="24C76FBB"/>
    <w:rsid w:val="24CBB25B"/>
    <w:rsid w:val="24D0FC0A"/>
    <w:rsid w:val="24D138D1"/>
    <w:rsid w:val="24D211E1"/>
    <w:rsid w:val="24D55645"/>
    <w:rsid w:val="24DA5CA3"/>
    <w:rsid w:val="24DAFCF9"/>
    <w:rsid w:val="24DE67D7"/>
    <w:rsid w:val="24E006A5"/>
    <w:rsid w:val="24E32A12"/>
    <w:rsid w:val="24E5C7E4"/>
    <w:rsid w:val="24E9741B"/>
    <w:rsid w:val="24ED261F"/>
    <w:rsid w:val="24F3DDE5"/>
    <w:rsid w:val="25080C72"/>
    <w:rsid w:val="2509263A"/>
    <w:rsid w:val="2515D7F6"/>
    <w:rsid w:val="251C87E7"/>
    <w:rsid w:val="2520DA6F"/>
    <w:rsid w:val="25227C24"/>
    <w:rsid w:val="2527F569"/>
    <w:rsid w:val="252AE66D"/>
    <w:rsid w:val="2531A993"/>
    <w:rsid w:val="253687F4"/>
    <w:rsid w:val="25384415"/>
    <w:rsid w:val="253D54AF"/>
    <w:rsid w:val="253DA2F9"/>
    <w:rsid w:val="25498C6F"/>
    <w:rsid w:val="254F4D08"/>
    <w:rsid w:val="255579F9"/>
    <w:rsid w:val="25568B5C"/>
    <w:rsid w:val="25591082"/>
    <w:rsid w:val="255C3F2C"/>
    <w:rsid w:val="25610173"/>
    <w:rsid w:val="256217BC"/>
    <w:rsid w:val="2567E565"/>
    <w:rsid w:val="256BA4D6"/>
    <w:rsid w:val="256C582C"/>
    <w:rsid w:val="256F1C96"/>
    <w:rsid w:val="2575FF31"/>
    <w:rsid w:val="2577272F"/>
    <w:rsid w:val="2577ECC2"/>
    <w:rsid w:val="25793DAB"/>
    <w:rsid w:val="257CEFB2"/>
    <w:rsid w:val="257DCF6A"/>
    <w:rsid w:val="258528F0"/>
    <w:rsid w:val="258CE93F"/>
    <w:rsid w:val="258D2ADB"/>
    <w:rsid w:val="258E49C1"/>
    <w:rsid w:val="259504F8"/>
    <w:rsid w:val="25A2AE44"/>
    <w:rsid w:val="25AA355B"/>
    <w:rsid w:val="25AED65C"/>
    <w:rsid w:val="25B0082E"/>
    <w:rsid w:val="25B0C150"/>
    <w:rsid w:val="25B484ED"/>
    <w:rsid w:val="25B7BCA3"/>
    <w:rsid w:val="25B90B89"/>
    <w:rsid w:val="25BC6290"/>
    <w:rsid w:val="25BD989D"/>
    <w:rsid w:val="25C0D843"/>
    <w:rsid w:val="25C11F44"/>
    <w:rsid w:val="25C2EFA2"/>
    <w:rsid w:val="25C9311A"/>
    <w:rsid w:val="25CAB3A7"/>
    <w:rsid w:val="25CDAC28"/>
    <w:rsid w:val="25CE0C9C"/>
    <w:rsid w:val="25CFB713"/>
    <w:rsid w:val="25D193B8"/>
    <w:rsid w:val="25D24E56"/>
    <w:rsid w:val="25D3749A"/>
    <w:rsid w:val="25D40C21"/>
    <w:rsid w:val="25D5F44A"/>
    <w:rsid w:val="25DF9FA1"/>
    <w:rsid w:val="25EBAC12"/>
    <w:rsid w:val="25EC82C9"/>
    <w:rsid w:val="25EE5147"/>
    <w:rsid w:val="25F10F71"/>
    <w:rsid w:val="25F2E4A9"/>
    <w:rsid w:val="25F30165"/>
    <w:rsid w:val="25F46466"/>
    <w:rsid w:val="25F70322"/>
    <w:rsid w:val="25FAC1AE"/>
    <w:rsid w:val="25FC295C"/>
    <w:rsid w:val="26024092"/>
    <w:rsid w:val="260A2CB4"/>
    <w:rsid w:val="260C705E"/>
    <w:rsid w:val="26126397"/>
    <w:rsid w:val="2612DFDD"/>
    <w:rsid w:val="2619972C"/>
    <w:rsid w:val="261C0426"/>
    <w:rsid w:val="261F0FA5"/>
    <w:rsid w:val="2622B7C2"/>
    <w:rsid w:val="2627C336"/>
    <w:rsid w:val="262A1B75"/>
    <w:rsid w:val="262C30D0"/>
    <w:rsid w:val="262CCD14"/>
    <w:rsid w:val="263568F5"/>
    <w:rsid w:val="26367907"/>
    <w:rsid w:val="26377FF1"/>
    <w:rsid w:val="2638AFF3"/>
    <w:rsid w:val="263C642B"/>
    <w:rsid w:val="263E9C2C"/>
    <w:rsid w:val="26468DFD"/>
    <w:rsid w:val="2649B087"/>
    <w:rsid w:val="264B294B"/>
    <w:rsid w:val="2651B2C0"/>
    <w:rsid w:val="2661ADC0"/>
    <w:rsid w:val="2664CC9E"/>
    <w:rsid w:val="2665756D"/>
    <w:rsid w:val="2666AD19"/>
    <w:rsid w:val="26687773"/>
    <w:rsid w:val="26761212"/>
    <w:rsid w:val="26778E1E"/>
    <w:rsid w:val="2678813B"/>
    <w:rsid w:val="267990E9"/>
    <w:rsid w:val="267D6878"/>
    <w:rsid w:val="26812182"/>
    <w:rsid w:val="2681485F"/>
    <w:rsid w:val="2682176E"/>
    <w:rsid w:val="2683CFB2"/>
    <w:rsid w:val="26874837"/>
    <w:rsid w:val="268C6FF9"/>
    <w:rsid w:val="26905CF3"/>
    <w:rsid w:val="26977390"/>
    <w:rsid w:val="26999D5C"/>
    <w:rsid w:val="269A21D2"/>
    <w:rsid w:val="26A2CA46"/>
    <w:rsid w:val="26A58571"/>
    <w:rsid w:val="26A6E5E5"/>
    <w:rsid w:val="26A9AB9E"/>
    <w:rsid w:val="26A9C2A7"/>
    <w:rsid w:val="26ACC589"/>
    <w:rsid w:val="26ACE574"/>
    <w:rsid w:val="26AD9D36"/>
    <w:rsid w:val="26BA3CF2"/>
    <w:rsid w:val="26BC8FC2"/>
    <w:rsid w:val="26C29462"/>
    <w:rsid w:val="26C5C88A"/>
    <w:rsid w:val="26CD16C9"/>
    <w:rsid w:val="26D563CF"/>
    <w:rsid w:val="26DA2908"/>
    <w:rsid w:val="26E8F214"/>
    <w:rsid w:val="26EB1AA2"/>
    <w:rsid w:val="26EC106B"/>
    <w:rsid w:val="26EE7DA7"/>
    <w:rsid w:val="26F3E6D8"/>
    <w:rsid w:val="26F4D650"/>
    <w:rsid w:val="26F651D2"/>
    <w:rsid w:val="26F7A0AC"/>
    <w:rsid w:val="26F7F5D8"/>
    <w:rsid w:val="2703352C"/>
    <w:rsid w:val="2704C74B"/>
    <w:rsid w:val="2705E75F"/>
    <w:rsid w:val="27066A8B"/>
    <w:rsid w:val="27171DB5"/>
    <w:rsid w:val="271779F7"/>
    <w:rsid w:val="2719B706"/>
    <w:rsid w:val="271F59A2"/>
    <w:rsid w:val="271F9A4C"/>
    <w:rsid w:val="271FC5F1"/>
    <w:rsid w:val="2725E729"/>
    <w:rsid w:val="27261BD2"/>
    <w:rsid w:val="272B5686"/>
    <w:rsid w:val="2731B8BD"/>
    <w:rsid w:val="27322ABA"/>
    <w:rsid w:val="2735F007"/>
    <w:rsid w:val="27384746"/>
    <w:rsid w:val="273BAB2C"/>
    <w:rsid w:val="27493815"/>
    <w:rsid w:val="27538C5A"/>
    <w:rsid w:val="2757895F"/>
    <w:rsid w:val="276130A1"/>
    <w:rsid w:val="2763D692"/>
    <w:rsid w:val="2764A04E"/>
    <w:rsid w:val="276564C5"/>
    <w:rsid w:val="276746BC"/>
    <w:rsid w:val="2768B530"/>
    <w:rsid w:val="27705345"/>
    <w:rsid w:val="2772167B"/>
    <w:rsid w:val="27749974"/>
    <w:rsid w:val="27760209"/>
    <w:rsid w:val="2778776D"/>
    <w:rsid w:val="2779AD41"/>
    <w:rsid w:val="277D3181"/>
    <w:rsid w:val="278092AE"/>
    <w:rsid w:val="2787579F"/>
    <w:rsid w:val="27879CE5"/>
    <w:rsid w:val="2788D386"/>
    <w:rsid w:val="278C7D77"/>
    <w:rsid w:val="278DFCAE"/>
    <w:rsid w:val="278E346C"/>
    <w:rsid w:val="278F250D"/>
    <w:rsid w:val="27949C59"/>
    <w:rsid w:val="27966350"/>
    <w:rsid w:val="279ABE90"/>
    <w:rsid w:val="27A84D4B"/>
    <w:rsid w:val="27AF8DE1"/>
    <w:rsid w:val="27B8F432"/>
    <w:rsid w:val="27BC2571"/>
    <w:rsid w:val="27BD18BF"/>
    <w:rsid w:val="27C12C9C"/>
    <w:rsid w:val="27C13BB1"/>
    <w:rsid w:val="27C5F621"/>
    <w:rsid w:val="27CF6363"/>
    <w:rsid w:val="27D570F9"/>
    <w:rsid w:val="27D61111"/>
    <w:rsid w:val="27D7AD09"/>
    <w:rsid w:val="27D81E53"/>
    <w:rsid w:val="27D83BA5"/>
    <w:rsid w:val="27DA9E42"/>
    <w:rsid w:val="27DFA8D5"/>
    <w:rsid w:val="27E98F04"/>
    <w:rsid w:val="27ED37E8"/>
    <w:rsid w:val="27F1AD0E"/>
    <w:rsid w:val="27FAD275"/>
    <w:rsid w:val="27FC3D33"/>
    <w:rsid w:val="27FE663F"/>
    <w:rsid w:val="27FF45E1"/>
    <w:rsid w:val="28007E0F"/>
    <w:rsid w:val="28017981"/>
    <w:rsid w:val="28024CF0"/>
    <w:rsid w:val="2806F9D0"/>
    <w:rsid w:val="280C643D"/>
    <w:rsid w:val="280C69D2"/>
    <w:rsid w:val="280C70D7"/>
    <w:rsid w:val="28112D8F"/>
    <w:rsid w:val="281B2B49"/>
    <w:rsid w:val="281E0938"/>
    <w:rsid w:val="281E363E"/>
    <w:rsid w:val="282763BD"/>
    <w:rsid w:val="282B75E6"/>
    <w:rsid w:val="282EFB82"/>
    <w:rsid w:val="2833F809"/>
    <w:rsid w:val="2838B15A"/>
    <w:rsid w:val="2838F1C5"/>
    <w:rsid w:val="283A6A1D"/>
    <w:rsid w:val="2844FE86"/>
    <w:rsid w:val="284DD2EF"/>
    <w:rsid w:val="284E9B9A"/>
    <w:rsid w:val="28541094"/>
    <w:rsid w:val="28562C09"/>
    <w:rsid w:val="2856403F"/>
    <w:rsid w:val="2856B52F"/>
    <w:rsid w:val="285B1087"/>
    <w:rsid w:val="285B9B33"/>
    <w:rsid w:val="285C2E49"/>
    <w:rsid w:val="285ED51E"/>
    <w:rsid w:val="2860FE66"/>
    <w:rsid w:val="28663A38"/>
    <w:rsid w:val="286A0686"/>
    <w:rsid w:val="286A8666"/>
    <w:rsid w:val="286AB3FA"/>
    <w:rsid w:val="286B3EE9"/>
    <w:rsid w:val="286BBB1A"/>
    <w:rsid w:val="286CCAA0"/>
    <w:rsid w:val="286E7A28"/>
    <w:rsid w:val="2871145B"/>
    <w:rsid w:val="2872F8AE"/>
    <w:rsid w:val="28752A44"/>
    <w:rsid w:val="2876F28B"/>
    <w:rsid w:val="28840BFA"/>
    <w:rsid w:val="288B075D"/>
    <w:rsid w:val="288B6F20"/>
    <w:rsid w:val="288F792B"/>
    <w:rsid w:val="2891171A"/>
    <w:rsid w:val="2892845B"/>
    <w:rsid w:val="289F9FD8"/>
    <w:rsid w:val="28A46994"/>
    <w:rsid w:val="28AC806D"/>
    <w:rsid w:val="28B5AF56"/>
    <w:rsid w:val="28B607CB"/>
    <w:rsid w:val="28B68E43"/>
    <w:rsid w:val="28B87D1E"/>
    <w:rsid w:val="28BB2087"/>
    <w:rsid w:val="28C57EC0"/>
    <w:rsid w:val="28CA44D5"/>
    <w:rsid w:val="28CCEB7F"/>
    <w:rsid w:val="28CE2E43"/>
    <w:rsid w:val="28D040D2"/>
    <w:rsid w:val="28D7573C"/>
    <w:rsid w:val="28DBC215"/>
    <w:rsid w:val="28DE8191"/>
    <w:rsid w:val="28EC014E"/>
    <w:rsid w:val="28F674A8"/>
    <w:rsid w:val="28F80A31"/>
    <w:rsid w:val="28F94A9E"/>
    <w:rsid w:val="28F9E2C7"/>
    <w:rsid w:val="28FF37A1"/>
    <w:rsid w:val="29105AF1"/>
    <w:rsid w:val="29106B4E"/>
    <w:rsid w:val="2910F1AE"/>
    <w:rsid w:val="291633D3"/>
    <w:rsid w:val="29167B25"/>
    <w:rsid w:val="291870F0"/>
    <w:rsid w:val="291D0AF6"/>
    <w:rsid w:val="2920A064"/>
    <w:rsid w:val="29236613"/>
    <w:rsid w:val="29263CDE"/>
    <w:rsid w:val="292CCFDE"/>
    <w:rsid w:val="293191A3"/>
    <w:rsid w:val="2936C8FD"/>
    <w:rsid w:val="293FA439"/>
    <w:rsid w:val="29429C9A"/>
    <w:rsid w:val="294ED3E3"/>
    <w:rsid w:val="2951F843"/>
    <w:rsid w:val="295E7B9C"/>
    <w:rsid w:val="2969992D"/>
    <w:rsid w:val="2969F9BA"/>
    <w:rsid w:val="296D57F8"/>
    <w:rsid w:val="296E8451"/>
    <w:rsid w:val="296FD05A"/>
    <w:rsid w:val="29717DF1"/>
    <w:rsid w:val="29741580"/>
    <w:rsid w:val="2974A570"/>
    <w:rsid w:val="2978F0A1"/>
    <w:rsid w:val="2985C6DB"/>
    <w:rsid w:val="298641CF"/>
    <w:rsid w:val="298870E1"/>
    <w:rsid w:val="298BE8D1"/>
    <w:rsid w:val="298C7349"/>
    <w:rsid w:val="298E22AE"/>
    <w:rsid w:val="29915084"/>
    <w:rsid w:val="299657AA"/>
    <w:rsid w:val="299CE514"/>
    <w:rsid w:val="29A62AD6"/>
    <w:rsid w:val="29A8BF42"/>
    <w:rsid w:val="29ABB4C9"/>
    <w:rsid w:val="29BE08B1"/>
    <w:rsid w:val="29C437D7"/>
    <w:rsid w:val="29C703A9"/>
    <w:rsid w:val="29CBC60A"/>
    <w:rsid w:val="29D7CCBC"/>
    <w:rsid w:val="29D9403A"/>
    <w:rsid w:val="29DA3294"/>
    <w:rsid w:val="29DC3ED5"/>
    <w:rsid w:val="29DE09E0"/>
    <w:rsid w:val="29E4629A"/>
    <w:rsid w:val="29EAB3BC"/>
    <w:rsid w:val="29F00DAA"/>
    <w:rsid w:val="29F0BCEC"/>
    <w:rsid w:val="29F54201"/>
    <w:rsid w:val="29F94E95"/>
    <w:rsid w:val="29FC44DC"/>
    <w:rsid w:val="29FEB9FE"/>
    <w:rsid w:val="2A011280"/>
    <w:rsid w:val="2A0160BD"/>
    <w:rsid w:val="2A0430CA"/>
    <w:rsid w:val="2A077C8B"/>
    <w:rsid w:val="2A091935"/>
    <w:rsid w:val="2A0AD8C8"/>
    <w:rsid w:val="2A1010FF"/>
    <w:rsid w:val="2A122EDB"/>
    <w:rsid w:val="2A154ABE"/>
    <w:rsid w:val="2A18B755"/>
    <w:rsid w:val="2A1A4FAE"/>
    <w:rsid w:val="2A1D5E83"/>
    <w:rsid w:val="2A2AC878"/>
    <w:rsid w:val="2A3010A5"/>
    <w:rsid w:val="2A39C7BF"/>
    <w:rsid w:val="2A3C3852"/>
    <w:rsid w:val="2A3F6D8D"/>
    <w:rsid w:val="2A416ACE"/>
    <w:rsid w:val="2A43429A"/>
    <w:rsid w:val="2A43F3D5"/>
    <w:rsid w:val="2A45141C"/>
    <w:rsid w:val="2A45E32F"/>
    <w:rsid w:val="2A47AE16"/>
    <w:rsid w:val="2A49F35A"/>
    <w:rsid w:val="2A4ACF27"/>
    <w:rsid w:val="2A4AFD62"/>
    <w:rsid w:val="2A4E6BAA"/>
    <w:rsid w:val="2A5C11DF"/>
    <w:rsid w:val="2A64F1FD"/>
    <w:rsid w:val="2A659A90"/>
    <w:rsid w:val="2A660D6A"/>
    <w:rsid w:val="2A6AA1D5"/>
    <w:rsid w:val="2A712A00"/>
    <w:rsid w:val="2A73F865"/>
    <w:rsid w:val="2A787355"/>
    <w:rsid w:val="2A7AB0DF"/>
    <w:rsid w:val="2A88FA9F"/>
    <w:rsid w:val="2A893DF9"/>
    <w:rsid w:val="2A8B512B"/>
    <w:rsid w:val="2A9965AE"/>
    <w:rsid w:val="2A9B3530"/>
    <w:rsid w:val="2A9BD200"/>
    <w:rsid w:val="2A9BF451"/>
    <w:rsid w:val="2A9E3B8B"/>
    <w:rsid w:val="2A9F9762"/>
    <w:rsid w:val="2AAB145F"/>
    <w:rsid w:val="2AAF8A0E"/>
    <w:rsid w:val="2AB45590"/>
    <w:rsid w:val="2AB6B3A9"/>
    <w:rsid w:val="2AC5170A"/>
    <w:rsid w:val="2AC62499"/>
    <w:rsid w:val="2ACA38FC"/>
    <w:rsid w:val="2ACBD588"/>
    <w:rsid w:val="2AD31D0C"/>
    <w:rsid w:val="2AD37F94"/>
    <w:rsid w:val="2ADAF4E2"/>
    <w:rsid w:val="2AE1EBE7"/>
    <w:rsid w:val="2AE477FE"/>
    <w:rsid w:val="2AE6FB59"/>
    <w:rsid w:val="2AEBA671"/>
    <w:rsid w:val="2AF2884F"/>
    <w:rsid w:val="2AF4F4DD"/>
    <w:rsid w:val="2AF5E600"/>
    <w:rsid w:val="2AF91D09"/>
    <w:rsid w:val="2AFA1382"/>
    <w:rsid w:val="2AFC9694"/>
    <w:rsid w:val="2AFD6CDA"/>
    <w:rsid w:val="2AFD7B23"/>
    <w:rsid w:val="2AFEB1C3"/>
    <w:rsid w:val="2B06F3DD"/>
    <w:rsid w:val="2B0A0902"/>
    <w:rsid w:val="2B0A201B"/>
    <w:rsid w:val="2B0DC5F9"/>
    <w:rsid w:val="2B12ECE1"/>
    <w:rsid w:val="2B1304D6"/>
    <w:rsid w:val="2B15AA62"/>
    <w:rsid w:val="2B2377BD"/>
    <w:rsid w:val="2B26BA2F"/>
    <w:rsid w:val="2B2BCCD2"/>
    <w:rsid w:val="2B327A9C"/>
    <w:rsid w:val="2B32F11C"/>
    <w:rsid w:val="2B36350D"/>
    <w:rsid w:val="2B373C08"/>
    <w:rsid w:val="2B3B788D"/>
    <w:rsid w:val="2B3D2F71"/>
    <w:rsid w:val="2B3EFD00"/>
    <w:rsid w:val="2B420E2C"/>
    <w:rsid w:val="2B4A1764"/>
    <w:rsid w:val="2B4C99BB"/>
    <w:rsid w:val="2B4DCEA3"/>
    <w:rsid w:val="2B4F9736"/>
    <w:rsid w:val="2B570F1E"/>
    <w:rsid w:val="2B5A8912"/>
    <w:rsid w:val="2B6142C7"/>
    <w:rsid w:val="2B62203B"/>
    <w:rsid w:val="2B6A4238"/>
    <w:rsid w:val="2B6F3E87"/>
    <w:rsid w:val="2B73B25A"/>
    <w:rsid w:val="2B73EE30"/>
    <w:rsid w:val="2B7B8238"/>
    <w:rsid w:val="2B7C808E"/>
    <w:rsid w:val="2B7ECAF8"/>
    <w:rsid w:val="2B86A514"/>
    <w:rsid w:val="2B8BCAA3"/>
    <w:rsid w:val="2B8CB75D"/>
    <w:rsid w:val="2B941454"/>
    <w:rsid w:val="2BA0E773"/>
    <w:rsid w:val="2BA68ED8"/>
    <w:rsid w:val="2BAA4771"/>
    <w:rsid w:val="2BAA5AA4"/>
    <w:rsid w:val="2BAD7826"/>
    <w:rsid w:val="2BB05F7B"/>
    <w:rsid w:val="2BB1F180"/>
    <w:rsid w:val="2BB4E9E2"/>
    <w:rsid w:val="2BB6A740"/>
    <w:rsid w:val="2BC2DBD5"/>
    <w:rsid w:val="2BC6B0D3"/>
    <w:rsid w:val="2BC9D915"/>
    <w:rsid w:val="2BCC3DBB"/>
    <w:rsid w:val="2BCD3417"/>
    <w:rsid w:val="2BCDF2D0"/>
    <w:rsid w:val="2BCF7867"/>
    <w:rsid w:val="2BD24331"/>
    <w:rsid w:val="2BD29A87"/>
    <w:rsid w:val="2BD72093"/>
    <w:rsid w:val="2BE05A12"/>
    <w:rsid w:val="2BEADDF2"/>
    <w:rsid w:val="2BED29CD"/>
    <w:rsid w:val="2BEF54A4"/>
    <w:rsid w:val="2BF1A4FA"/>
    <w:rsid w:val="2BF2C5F1"/>
    <w:rsid w:val="2BF30021"/>
    <w:rsid w:val="2BF3D221"/>
    <w:rsid w:val="2BF60EDA"/>
    <w:rsid w:val="2BF7D94A"/>
    <w:rsid w:val="2BFAE62C"/>
    <w:rsid w:val="2BFB13F9"/>
    <w:rsid w:val="2C02C17D"/>
    <w:rsid w:val="2C062F30"/>
    <w:rsid w:val="2C0786A8"/>
    <w:rsid w:val="2C146DFD"/>
    <w:rsid w:val="2C14F63E"/>
    <w:rsid w:val="2C1C6640"/>
    <w:rsid w:val="2C1EE4A4"/>
    <w:rsid w:val="2C1F29CC"/>
    <w:rsid w:val="2C22D9CC"/>
    <w:rsid w:val="2C240DE5"/>
    <w:rsid w:val="2C2F1B3E"/>
    <w:rsid w:val="2C30CB5A"/>
    <w:rsid w:val="2C31B04E"/>
    <w:rsid w:val="2C353909"/>
    <w:rsid w:val="2C36E530"/>
    <w:rsid w:val="2C3B8391"/>
    <w:rsid w:val="2C418445"/>
    <w:rsid w:val="2C475050"/>
    <w:rsid w:val="2C47F57B"/>
    <w:rsid w:val="2C4DEABB"/>
    <w:rsid w:val="2C581E48"/>
    <w:rsid w:val="2C5B7803"/>
    <w:rsid w:val="2C5C62AB"/>
    <w:rsid w:val="2C5E96E7"/>
    <w:rsid w:val="2C5EF05D"/>
    <w:rsid w:val="2C5F0A5C"/>
    <w:rsid w:val="2C621619"/>
    <w:rsid w:val="2C673114"/>
    <w:rsid w:val="2C7051DC"/>
    <w:rsid w:val="2C7509F8"/>
    <w:rsid w:val="2C83CC62"/>
    <w:rsid w:val="2C8953A8"/>
    <w:rsid w:val="2C8BC81C"/>
    <w:rsid w:val="2C9073EF"/>
    <w:rsid w:val="2C92868D"/>
    <w:rsid w:val="2C93D8DB"/>
    <w:rsid w:val="2C99C157"/>
    <w:rsid w:val="2C9CB6CE"/>
    <w:rsid w:val="2C9D124E"/>
    <w:rsid w:val="2CA7528A"/>
    <w:rsid w:val="2CBC86C1"/>
    <w:rsid w:val="2CC0E3E9"/>
    <w:rsid w:val="2CC207CF"/>
    <w:rsid w:val="2CC23D82"/>
    <w:rsid w:val="2CC406D2"/>
    <w:rsid w:val="2CCA0D68"/>
    <w:rsid w:val="2CD4EF49"/>
    <w:rsid w:val="2CD6AA7E"/>
    <w:rsid w:val="2CDAE147"/>
    <w:rsid w:val="2CE9C4DF"/>
    <w:rsid w:val="2CEA6B88"/>
    <w:rsid w:val="2CEDBC0E"/>
    <w:rsid w:val="2CEDFD94"/>
    <w:rsid w:val="2CF5458D"/>
    <w:rsid w:val="2CF5A0E0"/>
    <w:rsid w:val="2CF6FB65"/>
    <w:rsid w:val="2CF79141"/>
    <w:rsid w:val="2CFB5C75"/>
    <w:rsid w:val="2D094CD9"/>
    <w:rsid w:val="2D0A1EA4"/>
    <w:rsid w:val="2D0A1FC6"/>
    <w:rsid w:val="2D0AB540"/>
    <w:rsid w:val="2D11865C"/>
    <w:rsid w:val="2D153B92"/>
    <w:rsid w:val="2D191F67"/>
    <w:rsid w:val="2D193769"/>
    <w:rsid w:val="2D1E0203"/>
    <w:rsid w:val="2D1E9935"/>
    <w:rsid w:val="2D1F25B7"/>
    <w:rsid w:val="2D1FA2C9"/>
    <w:rsid w:val="2D243C1E"/>
    <w:rsid w:val="2D247C9A"/>
    <w:rsid w:val="2D25475C"/>
    <w:rsid w:val="2D28DC05"/>
    <w:rsid w:val="2D29DA77"/>
    <w:rsid w:val="2D2B21DE"/>
    <w:rsid w:val="2D2C105A"/>
    <w:rsid w:val="2D2DAAC8"/>
    <w:rsid w:val="2D310281"/>
    <w:rsid w:val="2D3D7766"/>
    <w:rsid w:val="2D3F4D1D"/>
    <w:rsid w:val="2D400DC9"/>
    <w:rsid w:val="2D41DE09"/>
    <w:rsid w:val="2D422B8D"/>
    <w:rsid w:val="2D42FB6A"/>
    <w:rsid w:val="2D458EBA"/>
    <w:rsid w:val="2D4B78B5"/>
    <w:rsid w:val="2D4C28F5"/>
    <w:rsid w:val="2D4E1E7C"/>
    <w:rsid w:val="2D5159F7"/>
    <w:rsid w:val="2D5595B1"/>
    <w:rsid w:val="2D56B9A9"/>
    <w:rsid w:val="2D5B9E11"/>
    <w:rsid w:val="2D5BF0AB"/>
    <w:rsid w:val="2D5C2724"/>
    <w:rsid w:val="2D5E83BC"/>
    <w:rsid w:val="2D5F9D09"/>
    <w:rsid w:val="2D61590E"/>
    <w:rsid w:val="2D660302"/>
    <w:rsid w:val="2D8245C2"/>
    <w:rsid w:val="2D8792F5"/>
    <w:rsid w:val="2D8B0DD8"/>
    <w:rsid w:val="2D8B2274"/>
    <w:rsid w:val="2D8D7A41"/>
    <w:rsid w:val="2D9A3C56"/>
    <w:rsid w:val="2DA30136"/>
    <w:rsid w:val="2DA44343"/>
    <w:rsid w:val="2DAFBA79"/>
    <w:rsid w:val="2DB1C277"/>
    <w:rsid w:val="2DB52EAD"/>
    <w:rsid w:val="2DB91F88"/>
    <w:rsid w:val="2DC6F135"/>
    <w:rsid w:val="2DCEE473"/>
    <w:rsid w:val="2DCFAD82"/>
    <w:rsid w:val="2DE42D97"/>
    <w:rsid w:val="2DE4D7C4"/>
    <w:rsid w:val="2DE55150"/>
    <w:rsid w:val="2DF4D06B"/>
    <w:rsid w:val="2DF65C9A"/>
    <w:rsid w:val="2DF9ED93"/>
    <w:rsid w:val="2DFF74B5"/>
    <w:rsid w:val="2DFFD380"/>
    <w:rsid w:val="2E025E95"/>
    <w:rsid w:val="2E04CDED"/>
    <w:rsid w:val="2E0553A0"/>
    <w:rsid w:val="2E0B0F5A"/>
    <w:rsid w:val="2E0E23DE"/>
    <w:rsid w:val="2E10A9CC"/>
    <w:rsid w:val="2E119CD2"/>
    <w:rsid w:val="2E1D797C"/>
    <w:rsid w:val="2E1D84BB"/>
    <w:rsid w:val="2E1F1F9F"/>
    <w:rsid w:val="2E205A98"/>
    <w:rsid w:val="2E226CDC"/>
    <w:rsid w:val="2E25B917"/>
    <w:rsid w:val="2E25C1D0"/>
    <w:rsid w:val="2E31D7D1"/>
    <w:rsid w:val="2E35FAD7"/>
    <w:rsid w:val="2E37A55E"/>
    <w:rsid w:val="2E391D64"/>
    <w:rsid w:val="2E3E5FEB"/>
    <w:rsid w:val="2E400C24"/>
    <w:rsid w:val="2E41F982"/>
    <w:rsid w:val="2E446419"/>
    <w:rsid w:val="2E4857B9"/>
    <w:rsid w:val="2E48C570"/>
    <w:rsid w:val="2E4AB06D"/>
    <w:rsid w:val="2E4DEC3D"/>
    <w:rsid w:val="2E50AA94"/>
    <w:rsid w:val="2E559392"/>
    <w:rsid w:val="2E57DA65"/>
    <w:rsid w:val="2E588E25"/>
    <w:rsid w:val="2E58BC3F"/>
    <w:rsid w:val="2E5BD96A"/>
    <w:rsid w:val="2E5EA095"/>
    <w:rsid w:val="2E5F65FF"/>
    <w:rsid w:val="2E5FE856"/>
    <w:rsid w:val="2E62C181"/>
    <w:rsid w:val="2E66FF40"/>
    <w:rsid w:val="2E679DAC"/>
    <w:rsid w:val="2E694567"/>
    <w:rsid w:val="2E6962ED"/>
    <w:rsid w:val="2E6A6A2E"/>
    <w:rsid w:val="2E74C384"/>
    <w:rsid w:val="2E77EAC1"/>
    <w:rsid w:val="2E7D7D01"/>
    <w:rsid w:val="2E7DE5E0"/>
    <w:rsid w:val="2E7FA2EF"/>
    <w:rsid w:val="2E857339"/>
    <w:rsid w:val="2E85DD83"/>
    <w:rsid w:val="2E8F774D"/>
    <w:rsid w:val="2E93C599"/>
    <w:rsid w:val="2E966F81"/>
    <w:rsid w:val="2EA9878A"/>
    <w:rsid w:val="2EAD81AA"/>
    <w:rsid w:val="2EB292FB"/>
    <w:rsid w:val="2EB3DED1"/>
    <w:rsid w:val="2EB45CBE"/>
    <w:rsid w:val="2EBD49B3"/>
    <w:rsid w:val="2EBEF809"/>
    <w:rsid w:val="2EBF21D5"/>
    <w:rsid w:val="2EC0AD5B"/>
    <w:rsid w:val="2EC4DF49"/>
    <w:rsid w:val="2ECB91CF"/>
    <w:rsid w:val="2ECBF27B"/>
    <w:rsid w:val="2ECBFAB2"/>
    <w:rsid w:val="2ECDD843"/>
    <w:rsid w:val="2ED8265B"/>
    <w:rsid w:val="2EDC4A46"/>
    <w:rsid w:val="2EDEC7E3"/>
    <w:rsid w:val="2EDEFB6E"/>
    <w:rsid w:val="2EE14BA7"/>
    <w:rsid w:val="2EE40EE5"/>
    <w:rsid w:val="2EE5013A"/>
    <w:rsid w:val="2EE64E62"/>
    <w:rsid w:val="2EE7C364"/>
    <w:rsid w:val="2EEC8882"/>
    <w:rsid w:val="2EEE37C8"/>
    <w:rsid w:val="2EEF5C65"/>
    <w:rsid w:val="2EF04154"/>
    <w:rsid w:val="2EF506AB"/>
    <w:rsid w:val="2EF50881"/>
    <w:rsid w:val="2EF5813C"/>
    <w:rsid w:val="2EF7E6A4"/>
    <w:rsid w:val="2EF88371"/>
    <w:rsid w:val="2EFC5DFB"/>
    <w:rsid w:val="2EFE91E1"/>
    <w:rsid w:val="2EFF61ED"/>
    <w:rsid w:val="2F005599"/>
    <w:rsid w:val="2F054BF7"/>
    <w:rsid w:val="2F061121"/>
    <w:rsid w:val="2F073C66"/>
    <w:rsid w:val="2F0D16B7"/>
    <w:rsid w:val="2F185820"/>
    <w:rsid w:val="2F1D597C"/>
    <w:rsid w:val="2F1FBB95"/>
    <w:rsid w:val="2F20BEFF"/>
    <w:rsid w:val="2F21C327"/>
    <w:rsid w:val="2F2210BC"/>
    <w:rsid w:val="2F2552FF"/>
    <w:rsid w:val="2F27A0AA"/>
    <w:rsid w:val="2F301D76"/>
    <w:rsid w:val="2F302CB7"/>
    <w:rsid w:val="2F3077B2"/>
    <w:rsid w:val="2F317D73"/>
    <w:rsid w:val="2F3230F6"/>
    <w:rsid w:val="2F37027D"/>
    <w:rsid w:val="2F37EF57"/>
    <w:rsid w:val="2F386F32"/>
    <w:rsid w:val="2F3BEB1E"/>
    <w:rsid w:val="2F3D2195"/>
    <w:rsid w:val="2F3D37DC"/>
    <w:rsid w:val="2F40C88E"/>
    <w:rsid w:val="2F441ADF"/>
    <w:rsid w:val="2F48EB83"/>
    <w:rsid w:val="2F4DF3AD"/>
    <w:rsid w:val="2F4EE055"/>
    <w:rsid w:val="2F4F21CE"/>
    <w:rsid w:val="2F515FDC"/>
    <w:rsid w:val="2F53F07D"/>
    <w:rsid w:val="2F5A8FD1"/>
    <w:rsid w:val="2F5E8AE9"/>
    <w:rsid w:val="2F5F1EDD"/>
    <w:rsid w:val="2F6155DC"/>
    <w:rsid w:val="2F675C63"/>
    <w:rsid w:val="2F675E92"/>
    <w:rsid w:val="2F69F053"/>
    <w:rsid w:val="2F6D5698"/>
    <w:rsid w:val="2F71FE9D"/>
    <w:rsid w:val="2F73653A"/>
    <w:rsid w:val="2F77C887"/>
    <w:rsid w:val="2F7EC331"/>
    <w:rsid w:val="2F8A1276"/>
    <w:rsid w:val="2F9C571B"/>
    <w:rsid w:val="2F9FA168"/>
    <w:rsid w:val="2F9FD097"/>
    <w:rsid w:val="2FA1B825"/>
    <w:rsid w:val="2FA78A98"/>
    <w:rsid w:val="2FA95BB7"/>
    <w:rsid w:val="2FACD5EE"/>
    <w:rsid w:val="2FADCEAC"/>
    <w:rsid w:val="2FAF913F"/>
    <w:rsid w:val="2FC55A00"/>
    <w:rsid w:val="2FC62744"/>
    <w:rsid w:val="2FC886EA"/>
    <w:rsid w:val="2FC9AC84"/>
    <w:rsid w:val="2FCAC852"/>
    <w:rsid w:val="2FCDEF29"/>
    <w:rsid w:val="2FCF2EB0"/>
    <w:rsid w:val="2FD06171"/>
    <w:rsid w:val="2FD19D6C"/>
    <w:rsid w:val="2FD85E24"/>
    <w:rsid w:val="2FE61A3E"/>
    <w:rsid w:val="2FE63251"/>
    <w:rsid w:val="2FEC8195"/>
    <w:rsid w:val="2FEDFD1E"/>
    <w:rsid w:val="2FF1F53D"/>
    <w:rsid w:val="2FF4C217"/>
    <w:rsid w:val="2FF9AC94"/>
    <w:rsid w:val="2FFB6C34"/>
    <w:rsid w:val="2FFE18B6"/>
    <w:rsid w:val="300679DE"/>
    <w:rsid w:val="300B56CB"/>
    <w:rsid w:val="300D5472"/>
    <w:rsid w:val="300EBE80"/>
    <w:rsid w:val="300ECDD2"/>
    <w:rsid w:val="30138D6E"/>
    <w:rsid w:val="3013C071"/>
    <w:rsid w:val="3015FF3B"/>
    <w:rsid w:val="301827C7"/>
    <w:rsid w:val="301E2843"/>
    <w:rsid w:val="30207637"/>
    <w:rsid w:val="302248E0"/>
    <w:rsid w:val="3022FCD5"/>
    <w:rsid w:val="30284C21"/>
    <w:rsid w:val="302BBD09"/>
    <w:rsid w:val="303CACEB"/>
    <w:rsid w:val="304678A2"/>
    <w:rsid w:val="304D206E"/>
    <w:rsid w:val="3051D77F"/>
    <w:rsid w:val="3053282F"/>
    <w:rsid w:val="30589FD7"/>
    <w:rsid w:val="3060912B"/>
    <w:rsid w:val="3061EFB1"/>
    <w:rsid w:val="3062273F"/>
    <w:rsid w:val="30634D58"/>
    <w:rsid w:val="306A44FC"/>
    <w:rsid w:val="306F8C5D"/>
    <w:rsid w:val="30737683"/>
    <w:rsid w:val="3075E3D6"/>
    <w:rsid w:val="30863CB3"/>
    <w:rsid w:val="3086D05D"/>
    <w:rsid w:val="308D489B"/>
    <w:rsid w:val="308FE3B0"/>
    <w:rsid w:val="30941E7B"/>
    <w:rsid w:val="309CFAEE"/>
    <w:rsid w:val="309F5323"/>
    <w:rsid w:val="30A2AC55"/>
    <w:rsid w:val="30AC344F"/>
    <w:rsid w:val="30B1E662"/>
    <w:rsid w:val="30B2F6FD"/>
    <w:rsid w:val="30B87BC8"/>
    <w:rsid w:val="30BDD694"/>
    <w:rsid w:val="30BE584C"/>
    <w:rsid w:val="30C17DEA"/>
    <w:rsid w:val="30C659A6"/>
    <w:rsid w:val="30D088F9"/>
    <w:rsid w:val="30D16E03"/>
    <w:rsid w:val="30D7979C"/>
    <w:rsid w:val="30D827CE"/>
    <w:rsid w:val="30D830D9"/>
    <w:rsid w:val="30D97051"/>
    <w:rsid w:val="30E43E0B"/>
    <w:rsid w:val="30E971C4"/>
    <w:rsid w:val="30EF8459"/>
    <w:rsid w:val="30F2284D"/>
    <w:rsid w:val="30F6DF46"/>
    <w:rsid w:val="30FF82B0"/>
    <w:rsid w:val="31090FC7"/>
    <w:rsid w:val="310B0180"/>
    <w:rsid w:val="310BE986"/>
    <w:rsid w:val="310D0381"/>
    <w:rsid w:val="310F7F50"/>
    <w:rsid w:val="31102804"/>
    <w:rsid w:val="3110BA52"/>
    <w:rsid w:val="3110FF44"/>
    <w:rsid w:val="31116F67"/>
    <w:rsid w:val="31171BE1"/>
    <w:rsid w:val="3117BD6E"/>
    <w:rsid w:val="311F7EEA"/>
    <w:rsid w:val="31210855"/>
    <w:rsid w:val="312145DC"/>
    <w:rsid w:val="3122AD67"/>
    <w:rsid w:val="31271F77"/>
    <w:rsid w:val="3128F438"/>
    <w:rsid w:val="31299260"/>
    <w:rsid w:val="31299632"/>
    <w:rsid w:val="312CFDF0"/>
    <w:rsid w:val="312D0BE8"/>
    <w:rsid w:val="313213C8"/>
    <w:rsid w:val="31355FA3"/>
    <w:rsid w:val="31377D5D"/>
    <w:rsid w:val="313ACABD"/>
    <w:rsid w:val="31426640"/>
    <w:rsid w:val="314962CB"/>
    <w:rsid w:val="314C0299"/>
    <w:rsid w:val="314CCA32"/>
    <w:rsid w:val="314D590C"/>
    <w:rsid w:val="31579A11"/>
    <w:rsid w:val="3157B2EE"/>
    <w:rsid w:val="31588474"/>
    <w:rsid w:val="315A9483"/>
    <w:rsid w:val="315BB98D"/>
    <w:rsid w:val="315E4203"/>
    <w:rsid w:val="31626FA2"/>
    <w:rsid w:val="3165A0C7"/>
    <w:rsid w:val="31665592"/>
    <w:rsid w:val="316F85E7"/>
    <w:rsid w:val="31701729"/>
    <w:rsid w:val="31731BF2"/>
    <w:rsid w:val="31747773"/>
    <w:rsid w:val="317477F5"/>
    <w:rsid w:val="31754388"/>
    <w:rsid w:val="3176B4AF"/>
    <w:rsid w:val="31796926"/>
    <w:rsid w:val="317BA6E8"/>
    <w:rsid w:val="3184874A"/>
    <w:rsid w:val="3187D37E"/>
    <w:rsid w:val="318B50B9"/>
    <w:rsid w:val="318BF219"/>
    <w:rsid w:val="318D5FB1"/>
    <w:rsid w:val="31907D23"/>
    <w:rsid w:val="31913137"/>
    <w:rsid w:val="3192A405"/>
    <w:rsid w:val="31973DDC"/>
    <w:rsid w:val="31999F6B"/>
    <w:rsid w:val="31A499E0"/>
    <w:rsid w:val="31A563BB"/>
    <w:rsid w:val="31A589F4"/>
    <w:rsid w:val="31A8C52F"/>
    <w:rsid w:val="31B1403B"/>
    <w:rsid w:val="31B64834"/>
    <w:rsid w:val="31B9FC4A"/>
    <w:rsid w:val="31C4A451"/>
    <w:rsid w:val="31CA49F6"/>
    <w:rsid w:val="31CDB5C6"/>
    <w:rsid w:val="31D179BA"/>
    <w:rsid w:val="31D19883"/>
    <w:rsid w:val="31D208B1"/>
    <w:rsid w:val="31D56B98"/>
    <w:rsid w:val="31D7E610"/>
    <w:rsid w:val="31E5E184"/>
    <w:rsid w:val="31E7A33E"/>
    <w:rsid w:val="31E990B4"/>
    <w:rsid w:val="31EE5EF0"/>
    <w:rsid w:val="31EE87ED"/>
    <w:rsid w:val="31F5ED59"/>
    <w:rsid w:val="31FAB4F6"/>
    <w:rsid w:val="320577C0"/>
    <w:rsid w:val="3207DB45"/>
    <w:rsid w:val="3209628D"/>
    <w:rsid w:val="320BC965"/>
    <w:rsid w:val="320BE3E5"/>
    <w:rsid w:val="320FFD0D"/>
    <w:rsid w:val="3214FD44"/>
    <w:rsid w:val="321B33A6"/>
    <w:rsid w:val="321E851C"/>
    <w:rsid w:val="32270CF8"/>
    <w:rsid w:val="3230B224"/>
    <w:rsid w:val="32336E5A"/>
    <w:rsid w:val="32359FF6"/>
    <w:rsid w:val="323602C8"/>
    <w:rsid w:val="3236EA84"/>
    <w:rsid w:val="32382476"/>
    <w:rsid w:val="323D3CCD"/>
    <w:rsid w:val="3245765E"/>
    <w:rsid w:val="324628A5"/>
    <w:rsid w:val="3247B874"/>
    <w:rsid w:val="324A2AB1"/>
    <w:rsid w:val="324C56A9"/>
    <w:rsid w:val="324E02C9"/>
    <w:rsid w:val="324E20CD"/>
    <w:rsid w:val="3254853A"/>
    <w:rsid w:val="32557CA1"/>
    <w:rsid w:val="325BC334"/>
    <w:rsid w:val="325C212F"/>
    <w:rsid w:val="325CD4BD"/>
    <w:rsid w:val="32674DF5"/>
    <w:rsid w:val="326C518B"/>
    <w:rsid w:val="326D5933"/>
    <w:rsid w:val="326DF4DB"/>
    <w:rsid w:val="3271BE52"/>
    <w:rsid w:val="32805647"/>
    <w:rsid w:val="3281487B"/>
    <w:rsid w:val="328549E7"/>
    <w:rsid w:val="3288090D"/>
    <w:rsid w:val="32894DE9"/>
    <w:rsid w:val="328B0915"/>
    <w:rsid w:val="328D9B70"/>
    <w:rsid w:val="328FA64B"/>
    <w:rsid w:val="3296D52A"/>
    <w:rsid w:val="329BC346"/>
    <w:rsid w:val="329FAAC7"/>
    <w:rsid w:val="32A1ADA0"/>
    <w:rsid w:val="32A4027C"/>
    <w:rsid w:val="32A7DC92"/>
    <w:rsid w:val="32A927CB"/>
    <w:rsid w:val="32B6241E"/>
    <w:rsid w:val="32B6B6D6"/>
    <w:rsid w:val="32B743BC"/>
    <w:rsid w:val="32B8EC90"/>
    <w:rsid w:val="32B97407"/>
    <w:rsid w:val="32BD231C"/>
    <w:rsid w:val="32BE7074"/>
    <w:rsid w:val="32C16EB3"/>
    <w:rsid w:val="32CBF7DD"/>
    <w:rsid w:val="32D0D178"/>
    <w:rsid w:val="32D57B1D"/>
    <w:rsid w:val="32D7D9FC"/>
    <w:rsid w:val="32D81980"/>
    <w:rsid w:val="32DD1BBB"/>
    <w:rsid w:val="32E88BE6"/>
    <w:rsid w:val="32ED9AF9"/>
    <w:rsid w:val="32F119BC"/>
    <w:rsid w:val="32FA88F0"/>
    <w:rsid w:val="32FB4502"/>
    <w:rsid w:val="32FE454A"/>
    <w:rsid w:val="3304E372"/>
    <w:rsid w:val="330695F9"/>
    <w:rsid w:val="330919C2"/>
    <w:rsid w:val="330CBC28"/>
    <w:rsid w:val="330F2A15"/>
    <w:rsid w:val="3315C0C8"/>
    <w:rsid w:val="331884F9"/>
    <w:rsid w:val="3319F510"/>
    <w:rsid w:val="3321C645"/>
    <w:rsid w:val="332FDBEC"/>
    <w:rsid w:val="3334791B"/>
    <w:rsid w:val="333928A9"/>
    <w:rsid w:val="33412444"/>
    <w:rsid w:val="33416DC7"/>
    <w:rsid w:val="3341C808"/>
    <w:rsid w:val="3346E58D"/>
    <w:rsid w:val="33520F72"/>
    <w:rsid w:val="33534441"/>
    <w:rsid w:val="33537B6D"/>
    <w:rsid w:val="3353E020"/>
    <w:rsid w:val="3354CA43"/>
    <w:rsid w:val="335E96ED"/>
    <w:rsid w:val="335F7C47"/>
    <w:rsid w:val="3361608E"/>
    <w:rsid w:val="33621425"/>
    <w:rsid w:val="33662F04"/>
    <w:rsid w:val="3367FB75"/>
    <w:rsid w:val="336D6AAB"/>
    <w:rsid w:val="33777C1B"/>
    <w:rsid w:val="33799E6B"/>
    <w:rsid w:val="337B09FA"/>
    <w:rsid w:val="33820CC7"/>
    <w:rsid w:val="3387BC75"/>
    <w:rsid w:val="338A317C"/>
    <w:rsid w:val="338BE97A"/>
    <w:rsid w:val="3398B0F7"/>
    <w:rsid w:val="33995042"/>
    <w:rsid w:val="33A31517"/>
    <w:rsid w:val="33A77B4C"/>
    <w:rsid w:val="33AD0B3D"/>
    <w:rsid w:val="33AD4DA8"/>
    <w:rsid w:val="33AE7C25"/>
    <w:rsid w:val="33B2D8CD"/>
    <w:rsid w:val="33BB3C24"/>
    <w:rsid w:val="33BB7FD7"/>
    <w:rsid w:val="33C2149B"/>
    <w:rsid w:val="33C23012"/>
    <w:rsid w:val="33C85588"/>
    <w:rsid w:val="33C96F4B"/>
    <w:rsid w:val="33CD7E4E"/>
    <w:rsid w:val="33CED240"/>
    <w:rsid w:val="33CEFA0E"/>
    <w:rsid w:val="33D2C4AF"/>
    <w:rsid w:val="33D39843"/>
    <w:rsid w:val="33DCAEA6"/>
    <w:rsid w:val="33DCD533"/>
    <w:rsid w:val="33DD2034"/>
    <w:rsid w:val="33E11CF8"/>
    <w:rsid w:val="33E3977B"/>
    <w:rsid w:val="33E3A699"/>
    <w:rsid w:val="33E58958"/>
    <w:rsid w:val="33E5B688"/>
    <w:rsid w:val="33E8B111"/>
    <w:rsid w:val="33EAC759"/>
    <w:rsid w:val="33EDA42D"/>
    <w:rsid w:val="33F25F08"/>
    <w:rsid w:val="33F7B99E"/>
    <w:rsid w:val="340C3EE5"/>
    <w:rsid w:val="340D2481"/>
    <w:rsid w:val="340E684A"/>
    <w:rsid w:val="3412BA52"/>
    <w:rsid w:val="34184473"/>
    <w:rsid w:val="3419AADF"/>
    <w:rsid w:val="341BC6C4"/>
    <w:rsid w:val="341E9CB6"/>
    <w:rsid w:val="341ED497"/>
    <w:rsid w:val="341FCEB3"/>
    <w:rsid w:val="34205E96"/>
    <w:rsid w:val="3421396B"/>
    <w:rsid w:val="342167E0"/>
    <w:rsid w:val="3421D4CA"/>
    <w:rsid w:val="3426F87C"/>
    <w:rsid w:val="342CD71C"/>
    <w:rsid w:val="342E8178"/>
    <w:rsid w:val="342FE04B"/>
    <w:rsid w:val="3430216C"/>
    <w:rsid w:val="34324CE3"/>
    <w:rsid w:val="3436A507"/>
    <w:rsid w:val="3447110F"/>
    <w:rsid w:val="344833AF"/>
    <w:rsid w:val="3448D71F"/>
    <w:rsid w:val="344C07E0"/>
    <w:rsid w:val="3450948A"/>
    <w:rsid w:val="345534B9"/>
    <w:rsid w:val="345748D1"/>
    <w:rsid w:val="34581BF5"/>
    <w:rsid w:val="34588C47"/>
    <w:rsid w:val="345B3EA8"/>
    <w:rsid w:val="34613027"/>
    <w:rsid w:val="34622E0C"/>
    <w:rsid w:val="3462F38E"/>
    <w:rsid w:val="3462FDBA"/>
    <w:rsid w:val="3463C2F8"/>
    <w:rsid w:val="34641E5D"/>
    <w:rsid w:val="34697229"/>
    <w:rsid w:val="346BCC2D"/>
    <w:rsid w:val="3476E8F9"/>
    <w:rsid w:val="34778479"/>
    <w:rsid w:val="347BE2F1"/>
    <w:rsid w:val="347D1F09"/>
    <w:rsid w:val="347D831B"/>
    <w:rsid w:val="348501E1"/>
    <w:rsid w:val="3486AFBD"/>
    <w:rsid w:val="3489048D"/>
    <w:rsid w:val="34894E7B"/>
    <w:rsid w:val="34937E45"/>
    <w:rsid w:val="3493EC5C"/>
    <w:rsid w:val="34961538"/>
    <w:rsid w:val="34973F8C"/>
    <w:rsid w:val="3497A321"/>
    <w:rsid w:val="3497ED76"/>
    <w:rsid w:val="349DF93B"/>
    <w:rsid w:val="34A10588"/>
    <w:rsid w:val="34A27ECD"/>
    <w:rsid w:val="34A59503"/>
    <w:rsid w:val="34A8916C"/>
    <w:rsid w:val="34AF3828"/>
    <w:rsid w:val="34B13C3B"/>
    <w:rsid w:val="34B1DCC6"/>
    <w:rsid w:val="34B4D4A8"/>
    <w:rsid w:val="34B6303E"/>
    <w:rsid w:val="34BB6C05"/>
    <w:rsid w:val="34BF1432"/>
    <w:rsid w:val="34C60461"/>
    <w:rsid w:val="34C6DEBD"/>
    <w:rsid w:val="34C9AE34"/>
    <w:rsid w:val="34CDB23A"/>
    <w:rsid w:val="34D3AED9"/>
    <w:rsid w:val="34D8DAEA"/>
    <w:rsid w:val="34DA72B0"/>
    <w:rsid w:val="34DB16DA"/>
    <w:rsid w:val="34DFF7D7"/>
    <w:rsid w:val="34EB3F6C"/>
    <w:rsid w:val="34EDD98B"/>
    <w:rsid w:val="34EE1EB2"/>
    <w:rsid w:val="34F2C6D0"/>
    <w:rsid w:val="34F31E35"/>
    <w:rsid w:val="34FB56A5"/>
    <w:rsid w:val="34FFD304"/>
    <w:rsid w:val="35004777"/>
    <w:rsid w:val="350C115A"/>
    <w:rsid w:val="350C2A23"/>
    <w:rsid w:val="3511F200"/>
    <w:rsid w:val="35121116"/>
    <w:rsid w:val="351326EC"/>
    <w:rsid w:val="35159637"/>
    <w:rsid w:val="3515C9E5"/>
    <w:rsid w:val="351901C9"/>
    <w:rsid w:val="3519E180"/>
    <w:rsid w:val="351A37EA"/>
    <w:rsid w:val="351A6E12"/>
    <w:rsid w:val="351AD984"/>
    <w:rsid w:val="351DC84F"/>
    <w:rsid w:val="351F031F"/>
    <w:rsid w:val="3521EA5C"/>
    <w:rsid w:val="3528B9D3"/>
    <w:rsid w:val="352A2F48"/>
    <w:rsid w:val="352B27B0"/>
    <w:rsid w:val="352D7CD6"/>
    <w:rsid w:val="353239FA"/>
    <w:rsid w:val="3533AC5D"/>
    <w:rsid w:val="353404CE"/>
    <w:rsid w:val="35341116"/>
    <w:rsid w:val="3536B32D"/>
    <w:rsid w:val="353C465E"/>
    <w:rsid w:val="353D322C"/>
    <w:rsid w:val="3542D6A9"/>
    <w:rsid w:val="354845CE"/>
    <w:rsid w:val="354C984C"/>
    <w:rsid w:val="354F3F9C"/>
    <w:rsid w:val="354FE3C4"/>
    <w:rsid w:val="35563ADA"/>
    <w:rsid w:val="355AFB99"/>
    <w:rsid w:val="355DC2EB"/>
    <w:rsid w:val="3561F120"/>
    <w:rsid w:val="3566FB22"/>
    <w:rsid w:val="3568F4BC"/>
    <w:rsid w:val="3569CD21"/>
    <w:rsid w:val="3569D3B1"/>
    <w:rsid w:val="356C2754"/>
    <w:rsid w:val="3575EFF5"/>
    <w:rsid w:val="357C2624"/>
    <w:rsid w:val="357C42B8"/>
    <w:rsid w:val="35803425"/>
    <w:rsid w:val="35803596"/>
    <w:rsid w:val="3584051A"/>
    <w:rsid w:val="3586FCC0"/>
    <w:rsid w:val="35881D19"/>
    <w:rsid w:val="35882372"/>
    <w:rsid w:val="358A0BD3"/>
    <w:rsid w:val="358BF30D"/>
    <w:rsid w:val="358F672E"/>
    <w:rsid w:val="35A76717"/>
    <w:rsid w:val="35ADE1A2"/>
    <w:rsid w:val="35AE9A35"/>
    <w:rsid w:val="35AF8699"/>
    <w:rsid w:val="35B0780B"/>
    <w:rsid w:val="35B1C5E0"/>
    <w:rsid w:val="35B267EA"/>
    <w:rsid w:val="35B36340"/>
    <w:rsid w:val="35BAB76F"/>
    <w:rsid w:val="35BD4DD2"/>
    <w:rsid w:val="35C28AD0"/>
    <w:rsid w:val="35C7E8B4"/>
    <w:rsid w:val="35CA5C44"/>
    <w:rsid w:val="35CE6899"/>
    <w:rsid w:val="35D580A1"/>
    <w:rsid w:val="35DC13AE"/>
    <w:rsid w:val="35E042FE"/>
    <w:rsid w:val="35E4645F"/>
    <w:rsid w:val="35E4992E"/>
    <w:rsid w:val="35E6BBEF"/>
    <w:rsid w:val="35E775C0"/>
    <w:rsid w:val="35FB780C"/>
    <w:rsid w:val="36045CC4"/>
    <w:rsid w:val="3607554B"/>
    <w:rsid w:val="3613B1D2"/>
    <w:rsid w:val="36173969"/>
    <w:rsid w:val="361D0FB4"/>
    <w:rsid w:val="3620D3AE"/>
    <w:rsid w:val="362162D3"/>
    <w:rsid w:val="3627207C"/>
    <w:rsid w:val="3629D84C"/>
    <w:rsid w:val="362B55CC"/>
    <w:rsid w:val="362BA45F"/>
    <w:rsid w:val="362F643B"/>
    <w:rsid w:val="363471AB"/>
    <w:rsid w:val="36354AAE"/>
    <w:rsid w:val="363B0660"/>
    <w:rsid w:val="363BC9C7"/>
    <w:rsid w:val="363C4342"/>
    <w:rsid w:val="363CA176"/>
    <w:rsid w:val="36402425"/>
    <w:rsid w:val="3642AFD7"/>
    <w:rsid w:val="36465647"/>
    <w:rsid w:val="364B5F31"/>
    <w:rsid w:val="364DC66C"/>
    <w:rsid w:val="3652187F"/>
    <w:rsid w:val="36568D01"/>
    <w:rsid w:val="36578B1A"/>
    <w:rsid w:val="366FD3FC"/>
    <w:rsid w:val="36760571"/>
    <w:rsid w:val="367A39AC"/>
    <w:rsid w:val="367E62A0"/>
    <w:rsid w:val="3682BE96"/>
    <w:rsid w:val="36853902"/>
    <w:rsid w:val="3685A468"/>
    <w:rsid w:val="3686629D"/>
    <w:rsid w:val="3688A92C"/>
    <w:rsid w:val="36892461"/>
    <w:rsid w:val="368E77A2"/>
    <w:rsid w:val="368EBCA6"/>
    <w:rsid w:val="368F8DFB"/>
    <w:rsid w:val="3691F7C8"/>
    <w:rsid w:val="36998749"/>
    <w:rsid w:val="369B195A"/>
    <w:rsid w:val="369C2C1F"/>
    <w:rsid w:val="369C8C4C"/>
    <w:rsid w:val="36A1FA91"/>
    <w:rsid w:val="36A3AE36"/>
    <w:rsid w:val="36A67F25"/>
    <w:rsid w:val="36B01C35"/>
    <w:rsid w:val="36B0582B"/>
    <w:rsid w:val="36B19716"/>
    <w:rsid w:val="36B897DB"/>
    <w:rsid w:val="36C91218"/>
    <w:rsid w:val="36D7D8CB"/>
    <w:rsid w:val="36DC1E7D"/>
    <w:rsid w:val="36DCFC02"/>
    <w:rsid w:val="36EA4142"/>
    <w:rsid w:val="36EBD6A0"/>
    <w:rsid w:val="36EC2556"/>
    <w:rsid w:val="36EEC08A"/>
    <w:rsid w:val="36EFFD71"/>
    <w:rsid w:val="36F14B88"/>
    <w:rsid w:val="36F3A697"/>
    <w:rsid w:val="36FBD07F"/>
    <w:rsid w:val="3702F632"/>
    <w:rsid w:val="3703D499"/>
    <w:rsid w:val="37043D66"/>
    <w:rsid w:val="3704BEA8"/>
    <w:rsid w:val="37070B85"/>
    <w:rsid w:val="3707638E"/>
    <w:rsid w:val="37081BC2"/>
    <w:rsid w:val="370A3A9E"/>
    <w:rsid w:val="370EFF60"/>
    <w:rsid w:val="37194E31"/>
    <w:rsid w:val="371ACD3B"/>
    <w:rsid w:val="371CD9D1"/>
    <w:rsid w:val="3720FD62"/>
    <w:rsid w:val="37215A49"/>
    <w:rsid w:val="372498F2"/>
    <w:rsid w:val="37260DB1"/>
    <w:rsid w:val="372C486A"/>
    <w:rsid w:val="372DF454"/>
    <w:rsid w:val="372F6A91"/>
    <w:rsid w:val="3736B549"/>
    <w:rsid w:val="373C9AE8"/>
    <w:rsid w:val="373E1A2A"/>
    <w:rsid w:val="373F116D"/>
    <w:rsid w:val="374137BD"/>
    <w:rsid w:val="3742CF95"/>
    <w:rsid w:val="3744F03E"/>
    <w:rsid w:val="3747A3DF"/>
    <w:rsid w:val="375004E0"/>
    <w:rsid w:val="3751BA5B"/>
    <w:rsid w:val="3751F4B0"/>
    <w:rsid w:val="375499AE"/>
    <w:rsid w:val="3756FC30"/>
    <w:rsid w:val="37582FB6"/>
    <w:rsid w:val="375A0CE6"/>
    <w:rsid w:val="37666264"/>
    <w:rsid w:val="3767CAC5"/>
    <w:rsid w:val="376854E9"/>
    <w:rsid w:val="377B69FC"/>
    <w:rsid w:val="377D105F"/>
    <w:rsid w:val="3782CFB6"/>
    <w:rsid w:val="3784FE9F"/>
    <w:rsid w:val="37887478"/>
    <w:rsid w:val="378CE742"/>
    <w:rsid w:val="378CEED7"/>
    <w:rsid w:val="37902FF1"/>
    <w:rsid w:val="3797348D"/>
    <w:rsid w:val="37982FE0"/>
    <w:rsid w:val="37A10585"/>
    <w:rsid w:val="37A25407"/>
    <w:rsid w:val="37A7286F"/>
    <w:rsid w:val="37AA8425"/>
    <w:rsid w:val="37ABC5BF"/>
    <w:rsid w:val="37AC36DD"/>
    <w:rsid w:val="37AC7DFE"/>
    <w:rsid w:val="37AD76DC"/>
    <w:rsid w:val="37B11C40"/>
    <w:rsid w:val="37B54E6B"/>
    <w:rsid w:val="37BDDE09"/>
    <w:rsid w:val="37C17D8B"/>
    <w:rsid w:val="37CB264A"/>
    <w:rsid w:val="37CC84F5"/>
    <w:rsid w:val="37D46966"/>
    <w:rsid w:val="37DB07ED"/>
    <w:rsid w:val="37DC3FA1"/>
    <w:rsid w:val="37DDB8D4"/>
    <w:rsid w:val="37E1F02A"/>
    <w:rsid w:val="37E84A0A"/>
    <w:rsid w:val="37F41772"/>
    <w:rsid w:val="37F4F76D"/>
    <w:rsid w:val="37FD0F35"/>
    <w:rsid w:val="3807785E"/>
    <w:rsid w:val="3808A8E5"/>
    <w:rsid w:val="38099534"/>
    <w:rsid w:val="3810A931"/>
    <w:rsid w:val="3811C891"/>
    <w:rsid w:val="3817D9AC"/>
    <w:rsid w:val="3819F483"/>
    <w:rsid w:val="381A5729"/>
    <w:rsid w:val="38216879"/>
    <w:rsid w:val="38247D43"/>
    <w:rsid w:val="382ECA49"/>
    <w:rsid w:val="382FF5D9"/>
    <w:rsid w:val="383244D4"/>
    <w:rsid w:val="383685FA"/>
    <w:rsid w:val="383DFC26"/>
    <w:rsid w:val="38402983"/>
    <w:rsid w:val="38456757"/>
    <w:rsid w:val="3847DF26"/>
    <w:rsid w:val="3853B7F9"/>
    <w:rsid w:val="3854A0CA"/>
    <w:rsid w:val="385AE15E"/>
    <w:rsid w:val="3869B176"/>
    <w:rsid w:val="3869BAA1"/>
    <w:rsid w:val="3870E45B"/>
    <w:rsid w:val="387328BE"/>
    <w:rsid w:val="3876F794"/>
    <w:rsid w:val="3877A5CB"/>
    <w:rsid w:val="387B3049"/>
    <w:rsid w:val="387B9058"/>
    <w:rsid w:val="387E0C9A"/>
    <w:rsid w:val="3883769B"/>
    <w:rsid w:val="38858907"/>
    <w:rsid w:val="38883137"/>
    <w:rsid w:val="3888E92D"/>
    <w:rsid w:val="388F6CFB"/>
    <w:rsid w:val="38978DE2"/>
    <w:rsid w:val="389CDE8F"/>
    <w:rsid w:val="38A234E0"/>
    <w:rsid w:val="38A2B82E"/>
    <w:rsid w:val="38A39E38"/>
    <w:rsid w:val="38A41C09"/>
    <w:rsid w:val="38A78B88"/>
    <w:rsid w:val="38AB5899"/>
    <w:rsid w:val="38AE0425"/>
    <w:rsid w:val="38B29320"/>
    <w:rsid w:val="38B716FA"/>
    <w:rsid w:val="38B79606"/>
    <w:rsid w:val="38BB7B6C"/>
    <w:rsid w:val="38BFBC1B"/>
    <w:rsid w:val="38C267F9"/>
    <w:rsid w:val="38C309C7"/>
    <w:rsid w:val="38C87D7D"/>
    <w:rsid w:val="38CAE4CD"/>
    <w:rsid w:val="38DD93DE"/>
    <w:rsid w:val="38DF1D93"/>
    <w:rsid w:val="38E0B908"/>
    <w:rsid w:val="38E4E823"/>
    <w:rsid w:val="38E6083F"/>
    <w:rsid w:val="38E61CD6"/>
    <w:rsid w:val="38EBEE9E"/>
    <w:rsid w:val="38F09C48"/>
    <w:rsid w:val="38F330C6"/>
    <w:rsid w:val="38F80623"/>
    <w:rsid w:val="38F83505"/>
    <w:rsid w:val="38F97A7D"/>
    <w:rsid w:val="38F9A0A2"/>
    <w:rsid w:val="38FA10DD"/>
    <w:rsid w:val="38FAF336"/>
    <w:rsid w:val="3906693B"/>
    <w:rsid w:val="390697B6"/>
    <w:rsid w:val="3908E4A3"/>
    <w:rsid w:val="390AF431"/>
    <w:rsid w:val="3913DC03"/>
    <w:rsid w:val="391566AA"/>
    <w:rsid w:val="3918ED95"/>
    <w:rsid w:val="39193308"/>
    <w:rsid w:val="391CADDB"/>
    <w:rsid w:val="391EDCCC"/>
    <w:rsid w:val="3927D9A1"/>
    <w:rsid w:val="392BEBCC"/>
    <w:rsid w:val="392C68E6"/>
    <w:rsid w:val="392CF27B"/>
    <w:rsid w:val="392F0F55"/>
    <w:rsid w:val="3931BC57"/>
    <w:rsid w:val="393462E5"/>
    <w:rsid w:val="39376711"/>
    <w:rsid w:val="393CFDD2"/>
    <w:rsid w:val="393EECD5"/>
    <w:rsid w:val="393FB909"/>
    <w:rsid w:val="39400B64"/>
    <w:rsid w:val="3941BB06"/>
    <w:rsid w:val="3944274A"/>
    <w:rsid w:val="39468B2F"/>
    <w:rsid w:val="3949A83D"/>
    <w:rsid w:val="3956D9BA"/>
    <w:rsid w:val="3959202A"/>
    <w:rsid w:val="396054B6"/>
    <w:rsid w:val="396915E7"/>
    <w:rsid w:val="396AF86C"/>
    <w:rsid w:val="39726985"/>
    <w:rsid w:val="397D2D49"/>
    <w:rsid w:val="397DAE90"/>
    <w:rsid w:val="397EC325"/>
    <w:rsid w:val="3981DC33"/>
    <w:rsid w:val="398558FB"/>
    <w:rsid w:val="3987D9DE"/>
    <w:rsid w:val="398BBD50"/>
    <w:rsid w:val="398E7220"/>
    <w:rsid w:val="399304A3"/>
    <w:rsid w:val="3994462F"/>
    <w:rsid w:val="399727E2"/>
    <w:rsid w:val="39976F41"/>
    <w:rsid w:val="399E6C84"/>
    <w:rsid w:val="39A4BDE1"/>
    <w:rsid w:val="39A7769B"/>
    <w:rsid w:val="39AEFFE9"/>
    <w:rsid w:val="39B80EF9"/>
    <w:rsid w:val="39BA3556"/>
    <w:rsid w:val="39BD5470"/>
    <w:rsid w:val="39BD7467"/>
    <w:rsid w:val="39BDC5F0"/>
    <w:rsid w:val="39BE7630"/>
    <w:rsid w:val="39BF1EF5"/>
    <w:rsid w:val="39C2E78F"/>
    <w:rsid w:val="39C35E38"/>
    <w:rsid w:val="39C45D9A"/>
    <w:rsid w:val="39D1A433"/>
    <w:rsid w:val="39D3D35C"/>
    <w:rsid w:val="39D7CCA2"/>
    <w:rsid w:val="39D859B2"/>
    <w:rsid w:val="39DC0E01"/>
    <w:rsid w:val="39E102AD"/>
    <w:rsid w:val="39EA74D8"/>
    <w:rsid w:val="39EABD44"/>
    <w:rsid w:val="39ED8FEC"/>
    <w:rsid w:val="39EE7C7B"/>
    <w:rsid w:val="39EE8BBF"/>
    <w:rsid w:val="39EEA0D1"/>
    <w:rsid w:val="39EF0B76"/>
    <w:rsid w:val="39F2979F"/>
    <w:rsid w:val="39F34E5C"/>
    <w:rsid w:val="3A047526"/>
    <w:rsid w:val="3A047C93"/>
    <w:rsid w:val="3A086D18"/>
    <w:rsid w:val="3A095425"/>
    <w:rsid w:val="3A0A8DF2"/>
    <w:rsid w:val="3A0FDAA7"/>
    <w:rsid w:val="3A123524"/>
    <w:rsid w:val="3A12EB2B"/>
    <w:rsid w:val="3A131D59"/>
    <w:rsid w:val="3A1B5EEB"/>
    <w:rsid w:val="3A23F6CC"/>
    <w:rsid w:val="3A294797"/>
    <w:rsid w:val="3A2992D2"/>
    <w:rsid w:val="3A33E917"/>
    <w:rsid w:val="3A346826"/>
    <w:rsid w:val="3A3DD6B4"/>
    <w:rsid w:val="3A3DE643"/>
    <w:rsid w:val="3A3EFB3B"/>
    <w:rsid w:val="3A412288"/>
    <w:rsid w:val="3A41C99A"/>
    <w:rsid w:val="3A431A35"/>
    <w:rsid w:val="3A490928"/>
    <w:rsid w:val="3A495877"/>
    <w:rsid w:val="3A4B8D00"/>
    <w:rsid w:val="3A5662D2"/>
    <w:rsid w:val="3A59E674"/>
    <w:rsid w:val="3A5BB553"/>
    <w:rsid w:val="3A5C6D4A"/>
    <w:rsid w:val="3A5E0E44"/>
    <w:rsid w:val="3A62A91C"/>
    <w:rsid w:val="3A65FBBB"/>
    <w:rsid w:val="3A6985F1"/>
    <w:rsid w:val="3A6D2F0D"/>
    <w:rsid w:val="3A6E2D1A"/>
    <w:rsid w:val="3A79C712"/>
    <w:rsid w:val="3A7FFDE1"/>
    <w:rsid w:val="3A8B1181"/>
    <w:rsid w:val="3A92755B"/>
    <w:rsid w:val="3A964FFE"/>
    <w:rsid w:val="3A975694"/>
    <w:rsid w:val="3A99BE20"/>
    <w:rsid w:val="3A9C3671"/>
    <w:rsid w:val="3A9CC9FA"/>
    <w:rsid w:val="3A9DD0D8"/>
    <w:rsid w:val="3A9E2C10"/>
    <w:rsid w:val="3AA10BE9"/>
    <w:rsid w:val="3AA6F727"/>
    <w:rsid w:val="3AA80E4A"/>
    <w:rsid w:val="3AACB815"/>
    <w:rsid w:val="3AACE205"/>
    <w:rsid w:val="3AB2B7C2"/>
    <w:rsid w:val="3AB51F58"/>
    <w:rsid w:val="3ABCDD61"/>
    <w:rsid w:val="3ABF8E4C"/>
    <w:rsid w:val="3AC8E8E1"/>
    <w:rsid w:val="3ACEAF9F"/>
    <w:rsid w:val="3AD3D0B4"/>
    <w:rsid w:val="3AD4E4B9"/>
    <w:rsid w:val="3AD7D187"/>
    <w:rsid w:val="3ADBA5C5"/>
    <w:rsid w:val="3ADD593F"/>
    <w:rsid w:val="3ADE6D0D"/>
    <w:rsid w:val="3ADE9D44"/>
    <w:rsid w:val="3AE52AD2"/>
    <w:rsid w:val="3AE77240"/>
    <w:rsid w:val="3AEAD91E"/>
    <w:rsid w:val="3AF59C73"/>
    <w:rsid w:val="3AF692FF"/>
    <w:rsid w:val="3AFA29A7"/>
    <w:rsid w:val="3B06364C"/>
    <w:rsid w:val="3B07246B"/>
    <w:rsid w:val="3B080909"/>
    <w:rsid w:val="3B08D412"/>
    <w:rsid w:val="3B1004E9"/>
    <w:rsid w:val="3B112F61"/>
    <w:rsid w:val="3B127C8D"/>
    <w:rsid w:val="3B15FA0C"/>
    <w:rsid w:val="3B17DEBB"/>
    <w:rsid w:val="3B19E3A2"/>
    <w:rsid w:val="3B1BBF11"/>
    <w:rsid w:val="3B1C3B7C"/>
    <w:rsid w:val="3B1DAD05"/>
    <w:rsid w:val="3B1FD021"/>
    <w:rsid w:val="3B205159"/>
    <w:rsid w:val="3B235EA1"/>
    <w:rsid w:val="3B383B1C"/>
    <w:rsid w:val="3B38B535"/>
    <w:rsid w:val="3B38FFCB"/>
    <w:rsid w:val="3B413EF0"/>
    <w:rsid w:val="3B443FD4"/>
    <w:rsid w:val="3B478765"/>
    <w:rsid w:val="3B4CFBE1"/>
    <w:rsid w:val="3B531AA4"/>
    <w:rsid w:val="3B56D6C7"/>
    <w:rsid w:val="3B65718A"/>
    <w:rsid w:val="3B69D34F"/>
    <w:rsid w:val="3B69FB32"/>
    <w:rsid w:val="3B6B55CB"/>
    <w:rsid w:val="3B6DA882"/>
    <w:rsid w:val="3B7D7E30"/>
    <w:rsid w:val="3B7DA00D"/>
    <w:rsid w:val="3B7DD8E0"/>
    <w:rsid w:val="3B7DFBF9"/>
    <w:rsid w:val="3B813AB5"/>
    <w:rsid w:val="3B85C6EB"/>
    <w:rsid w:val="3B8B4618"/>
    <w:rsid w:val="3B8C6BA3"/>
    <w:rsid w:val="3B916BF2"/>
    <w:rsid w:val="3B93603B"/>
    <w:rsid w:val="3B9E7F5C"/>
    <w:rsid w:val="3BA34503"/>
    <w:rsid w:val="3BA50E1C"/>
    <w:rsid w:val="3BA78FC9"/>
    <w:rsid w:val="3BAFDC2C"/>
    <w:rsid w:val="3BB4DEB9"/>
    <w:rsid w:val="3BBC05AD"/>
    <w:rsid w:val="3BBF0166"/>
    <w:rsid w:val="3BBFBDF1"/>
    <w:rsid w:val="3BC02B3D"/>
    <w:rsid w:val="3BC10900"/>
    <w:rsid w:val="3BC462FF"/>
    <w:rsid w:val="3BD0D4B0"/>
    <w:rsid w:val="3BD91A6F"/>
    <w:rsid w:val="3BD9592E"/>
    <w:rsid w:val="3BDE161D"/>
    <w:rsid w:val="3BDF2C12"/>
    <w:rsid w:val="3BE7F761"/>
    <w:rsid w:val="3BEA1343"/>
    <w:rsid w:val="3BF44358"/>
    <w:rsid w:val="3BF4FDA9"/>
    <w:rsid w:val="3BF73605"/>
    <w:rsid w:val="3C01CDBB"/>
    <w:rsid w:val="3C07C0D3"/>
    <w:rsid w:val="3C1026A5"/>
    <w:rsid w:val="3C140D34"/>
    <w:rsid w:val="3C17C773"/>
    <w:rsid w:val="3C19B37A"/>
    <w:rsid w:val="3C1C49B1"/>
    <w:rsid w:val="3C1F1BF6"/>
    <w:rsid w:val="3C284991"/>
    <w:rsid w:val="3C28C5C8"/>
    <w:rsid w:val="3C2E9270"/>
    <w:rsid w:val="3C35F5FA"/>
    <w:rsid w:val="3C37702E"/>
    <w:rsid w:val="3C3B5C31"/>
    <w:rsid w:val="3C3C27C2"/>
    <w:rsid w:val="3C4AF037"/>
    <w:rsid w:val="3C4F7D22"/>
    <w:rsid w:val="3C54E4ED"/>
    <w:rsid w:val="3C5FCA6F"/>
    <w:rsid w:val="3C64A4E7"/>
    <w:rsid w:val="3C697B94"/>
    <w:rsid w:val="3C6AB905"/>
    <w:rsid w:val="3C6B9FEB"/>
    <w:rsid w:val="3C772E3A"/>
    <w:rsid w:val="3C7881E4"/>
    <w:rsid w:val="3C7A62CF"/>
    <w:rsid w:val="3C803097"/>
    <w:rsid w:val="3C82E3A1"/>
    <w:rsid w:val="3C8462E0"/>
    <w:rsid w:val="3C90926B"/>
    <w:rsid w:val="3C99C3DE"/>
    <w:rsid w:val="3C9FEA70"/>
    <w:rsid w:val="3CA1D09A"/>
    <w:rsid w:val="3CA3D8CA"/>
    <w:rsid w:val="3CAF13B6"/>
    <w:rsid w:val="3CB22A34"/>
    <w:rsid w:val="3CB272AA"/>
    <w:rsid w:val="3CB3087C"/>
    <w:rsid w:val="3CBD709C"/>
    <w:rsid w:val="3CC34097"/>
    <w:rsid w:val="3CC400E1"/>
    <w:rsid w:val="3CC45CFF"/>
    <w:rsid w:val="3CC5B3AD"/>
    <w:rsid w:val="3CC84A89"/>
    <w:rsid w:val="3CC9D672"/>
    <w:rsid w:val="3CD5A955"/>
    <w:rsid w:val="3CDF080B"/>
    <w:rsid w:val="3CE0F53C"/>
    <w:rsid w:val="3CE521D5"/>
    <w:rsid w:val="3CF0BA71"/>
    <w:rsid w:val="3CFEB94D"/>
    <w:rsid w:val="3D0304BF"/>
    <w:rsid w:val="3D039B30"/>
    <w:rsid w:val="3D07C361"/>
    <w:rsid w:val="3D0D09D5"/>
    <w:rsid w:val="3D0D7D91"/>
    <w:rsid w:val="3D0F1E2D"/>
    <w:rsid w:val="3D108DCF"/>
    <w:rsid w:val="3D14C5BC"/>
    <w:rsid w:val="3D15C591"/>
    <w:rsid w:val="3D15E5A2"/>
    <w:rsid w:val="3D1D903F"/>
    <w:rsid w:val="3D1FB8CB"/>
    <w:rsid w:val="3D267C76"/>
    <w:rsid w:val="3D27C840"/>
    <w:rsid w:val="3D291134"/>
    <w:rsid w:val="3D42F654"/>
    <w:rsid w:val="3D4343B3"/>
    <w:rsid w:val="3D4414FB"/>
    <w:rsid w:val="3D5259DF"/>
    <w:rsid w:val="3D52A788"/>
    <w:rsid w:val="3D5521DC"/>
    <w:rsid w:val="3D5745C4"/>
    <w:rsid w:val="3D58046E"/>
    <w:rsid w:val="3D59908A"/>
    <w:rsid w:val="3D59A4E2"/>
    <w:rsid w:val="3D5D893C"/>
    <w:rsid w:val="3D61F8C0"/>
    <w:rsid w:val="3D643200"/>
    <w:rsid w:val="3D65B09F"/>
    <w:rsid w:val="3D6686AE"/>
    <w:rsid w:val="3D6AF2CA"/>
    <w:rsid w:val="3D6D9702"/>
    <w:rsid w:val="3D6E0390"/>
    <w:rsid w:val="3D7A3ABA"/>
    <w:rsid w:val="3D7B7082"/>
    <w:rsid w:val="3D7E227D"/>
    <w:rsid w:val="3D7F42C8"/>
    <w:rsid w:val="3D8088AB"/>
    <w:rsid w:val="3D811AD9"/>
    <w:rsid w:val="3D8676C0"/>
    <w:rsid w:val="3D8BCCBF"/>
    <w:rsid w:val="3D8C3AB7"/>
    <w:rsid w:val="3D8D4C38"/>
    <w:rsid w:val="3D93374C"/>
    <w:rsid w:val="3D961333"/>
    <w:rsid w:val="3D98673A"/>
    <w:rsid w:val="3DA1CF44"/>
    <w:rsid w:val="3DA645CD"/>
    <w:rsid w:val="3DAAAEB7"/>
    <w:rsid w:val="3DBB76CD"/>
    <w:rsid w:val="3DC1F6CF"/>
    <w:rsid w:val="3DC2A4ED"/>
    <w:rsid w:val="3DC79A95"/>
    <w:rsid w:val="3DC9F8DE"/>
    <w:rsid w:val="3DCC1AEA"/>
    <w:rsid w:val="3DD01FE1"/>
    <w:rsid w:val="3DD558CF"/>
    <w:rsid w:val="3DD58F56"/>
    <w:rsid w:val="3DD677F0"/>
    <w:rsid w:val="3DD76FD6"/>
    <w:rsid w:val="3DDA13A9"/>
    <w:rsid w:val="3DDF081D"/>
    <w:rsid w:val="3DE2CCB9"/>
    <w:rsid w:val="3DE6F1A2"/>
    <w:rsid w:val="3DE879CE"/>
    <w:rsid w:val="3DEA492A"/>
    <w:rsid w:val="3DEC0C60"/>
    <w:rsid w:val="3DEE8734"/>
    <w:rsid w:val="3DF04DE4"/>
    <w:rsid w:val="3DF42603"/>
    <w:rsid w:val="3DF6B07A"/>
    <w:rsid w:val="3E0472EB"/>
    <w:rsid w:val="3E07B060"/>
    <w:rsid w:val="3E0F4961"/>
    <w:rsid w:val="3E10D321"/>
    <w:rsid w:val="3E110FCA"/>
    <w:rsid w:val="3E173A13"/>
    <w:rsid w:val="3E19B366"/>
    <w:rsid w:val="3E1ACD75"/>
    <w:rsid w:val="3E1C2103"/>
    <w:rsid w:val="3E1CF915"/>
    <w:rsid w:val="3E1F3AB8"/>
    <w:rsid w:val="3E21C9D6"/>
    <w:rsid w:val="3E23BCA4"/>
    <w:rsid w:val="3E242678"/>
    <w:rsid w:val="3E26C644"/>
    <w:rsid w:val="3E2A4498"/>
    <w:rsid w:val="3E2A576F"/>
    <w:rsid w:val="3E34FA8A"/>
    <w:rsid w:val="3E37BEC7"/>
    <w:rsid w:val="3E3D01D0"/>
    <w:rsid w:val="3E40EDAC"/>
    <w:rsid w:val="3E4A96D8"/>
    <w:rsid w:val="3E54F8A5"/>
    <w:rsid w:val="3E550925"/>
    <w:rsid w:val="3E5C5A7B"/>
    <w:rsid w:val="3E66127C"/>
    <w:rsid w:val="3E683502"/>
    <w:rsid w:val="3E6DD0A0"/>
    <w:rsid w:val="3E717487"/>
    <w:rsid w:val="3E724A47"/>
    <w:rsid w:val="3E72D822"/>
    <w:rsid w:val="3E75A7DB"/>
    <w:rsid w:val="3E75EA04"/>
    <w:rsid w:val="3E7A5398"/>
    <w:rsid w:val="3E7B804B"/>
    <w:rsid w:val="3E7EA5A2"/>
    <w:rsid w:val="3E7ED84F"/>
    <w:rsid w:val="3E81AE39"/>
    <w:rsid w:val="3E876343"/>
    <w:rsid w:val="3E8F0C1A"/>
    <w:rsid w:val="3E8F277F"/>
    <w:rsid w:val="3E901BB1"/>
    <w:rsid w:val="3E9BE6A1"/>
    <w:rsid w:val="3E9E385A"/>
    <w:rsid w:val="3E9E633C"/>
    <w:rsid w:val="3E9FD69B"/>
    <w:rsid w:val="3EA03FA4"/>
    <w:rsid w:val="3EA59251"/>
    <w:rsid w:val="3EA7D516"/>
    <w:rsid w:val="3EAA5E44"/>
    <w:rsid w:val="3EAD2C41"/>
    <w:rsid w:val="3EAEB9A1"/>
    <w:rsid w:val="3EB207F4"/>
    <w:rsid w:val="3EB3C993"/>
    <w:rsid w:val="3EB3E94E"/>
    <w:rsid w:val="3EBB5765"/>
    <w:rsid w:val="3EBD0AB0"/>
    <w:rsid w:val="3EBF0ECA"/>
    <w:rsid w:val="3EC026E1"/>
    <w:rsid w:val="3EC2F922"/>
    <w:rsid w:val="3ED19E4F"/>
    <w:rsid w:val="3ED2821E"/>
    <w:rsid w:val="3ED85D0A"/>
    <w:rsid w:val="3EDB3310"/>
    <w:rsid w:val="3EE2E4B7"/>
    <w:rsid w:val="3EE7BF76"/>
    <w:rsid w:val="3EF1D688"/>
    <w:rsid w:val="3EF9349D"/>
    <w:rsid w:val="3EFAA948"/>
    <w:rsid w:val="3EFB9DF6"/>
    <w:rsid w:val="3EFF4D16"/>
    <w:rsid w:val="3F01C424"/>
    <w:rsid w:val="3F022406"/>
    <w:rsid w:val="3F030843"/>
    <w:rsid w:val="3F07A3B0"/>
    <w:rsid w:val="3F08A210"/>
    <w:rsid w:val="3F09B933"/>
    <w:rsid w:val="3F0A8AD4"/>
    <w:rsid w:val="3F0B08AB"/>
    <w:rsid w:val="3F0D0998"/>
    <w:rsid w:val="3F11E3D3"/>
    <w:rsid w:val="3F145AA2"/>
    <w:rsid w:val="3F1688F9"/>
    <w:rsid w:val="3F16E841"/>
    <w:rsid w:val="3F1C486D"/>
    <w:rsid w:val="3F21DB75"/>
    <w:rsid w:val="3F25A3A3"/>
    <w:rsid w:val="3F2899E3"/>
    <w:rsid w:val="3F33193E"/>
    <w:rsid w:val="3F34C312"/>
    <w:rsid w:val="3F35BC5A"/>
    <w:rsid w:val="3F364BCE"/>
    <w:rsid w:val="3F3AE45D"/>
    <w:rsid w:val="3F3F8752"/>
    <w:rsid w:val="3F440873"/>
    <w:rsid w:val="3F454046"/>
    <w:rsid w:val="3F471A21"/>
    <w:rsid w:val="3F47A4D8"/>
    <w:rsid w:val="3F4B1DF1"/>
    <w:rsid w:val="3F4FF5E2"/>
    <w:rsid w:val="3F513D76"/>
    <w:rsid w:val="3F538787"/>
    <w:rsid w:val="3F55F2D3"/>
    <w:rsid w:val="3F5D4335"/>
    <w:rsid w:val="3F5F2383"/>
    <w:rsid w:val="3F61F732"/>
    <w:rsid w:val="3F634B9F"/>
    <w:rsid w:val="3F67EB5B"/>
    <w:rsid w:val="3F6B7703"/>
    <w:rsid w:val="3F6C66CD"/>
    <w:rsid w:val="3F6D0AEB"/>
    <w:rsid w:val="3F6DC8A5"/>
    <w:rsid w:val="3F6EB26E"/>
    <w:rsid w:val="3F728E0E"/>
    <w:rsid w:val="3F7495B3"/>
    <w:rsid w:val="3F7A0D0F"/>
    <w:rsid w:val="3F7EC17A"/>
    <w:rsid w:val="3F822197"/>
    <w:rsid w:val="3F84DB43"/>
    <w:rsid w:val="3F87DA84"/>
    <w:rsid w:val="3F8E04A3"/>
    <w:rsid w:val="3F909A6F"/>
    <w:rsid w:val="3F92AF07"/>
    <w:rsid w:val="3F93AE83"/>
    <w:rsid w:val="3F961F11"/>
    <w:rsid w:val="3F9B477A"/>
    <w:rsid w:val="3F9BC097"/>
    <w:rsid w:val="3FA906E5"/>
    <w:rsid w:val="3FB3BDAF"/>
    <w:rsid w:val="3FBD1B2E"/>
    <w:rsid w:val="3FC0FD22"/>
    <w:rsid w:val="3FC23F72"/>
    <w:rsid w:val="3FC42202"/>
    <w:rsid w:val="3FC59C59"/>
    <w:rsid w:val="3FC84CDD"/>
    <w:rsid w:val="3FC8A4A4"/>
    <w:rsid w:val="3FC92F1F"/>
    <w:rsid w:val="3FCFCE68"/>
    <w:rsid w:val="3FD5A322"/>
    <w:rsid w:val="3FD60618"/>
    <w:rsid w:val="3FD67CB5"/>
    <w:rsid w:val="3FD80D71"/>
    <w:rsid w:val="3FE687B1"/>
    <w:rsid w:val="3FEEF1B2"/>
    <w:rsid w:val="3FF6953A"/>
    <w:rsid w:val="400421BC"/>
    <w:rsid w:val="40053DCC"/>
    <w:rsid w:val="400B8B87"/>
    <w:rsid w:val="401211E9"/>
    <w:rsid w:val="4019B477"/>
    <w:rsid w:val="401AAC6A"/>
    <w:rsid w:val="401D5C3B"/>
    <w:rsid w:val="403148D4"/>
    <w:rsid w:val="403BC42E"/>
    <w:rsid w:val="404185C4"/>
    <w:rsid w:val="4042EFE6"/>
    <w:rsid w:val="4044DCF6"/>
    <w:rsid w:val="4046F314"/>
    <w:rsid w:val="404AB58D"/>
    <w:rsid w:val="404E9C96"/>
    <w:rsid w:val="4051D383"/>
    <w:rsid w:val="4051FB5A"/>
    <w:rsid w:val="4056D555"/>
    <w:rsid w:val="405C6463"/>
    <w:rsid w:val="405C817F"/>
    <w:rsid w:val="40612763"/>
    <w:rsid w:val="4061B7A2"/>
    <w:rsid w:val="40664D29"/>
    <w:rsid w:val="40664F38"/>
    <w:rsid w:val="40682FFE"/>
    <w:rsid w:val="40696B3E"/>
    <w:rsid w:val="406C6C92"/>
    <w:rsid w:val="407FEA0E"/>
    <w:rsid w:val="40805F8B"/>
    <w:rsid w:val="4081D451"/>
    <w:rsid w:val="408884BF"/>
    <w:rsid w:val="40897D7C"/>
    <w:rsid w:val="408A4F9F"/>
    <w:rsid w:val="408B4406"/>
    <w:rsid w:val="408F488C"/>
    <w:rsid w:val="40912C8A"/>
    <w:rsid w:val="4093CDF8"/>
    <w:rsid w:val="4097FAA1"/>
    <w:rsid w:val="40A41BC3"/>
    <w:rsid w:val="40A53988"/>
    <w:rsid w:val="40A7B56E"/>
    <w:rsid w:val="40A95CED"/>
    <w:rsid w:val="40AAF912"/>
    <w:rsid w:val="40AB5D9E"/>
    <w:rsid w:val="40ACD0C2"/>
    <w:rsid w:val="40ADC47C"/>
    <w:rsid w:val="40AF7869"/>
    <w:rsid w:val="40B28DBF"/>
    <w:rsid w:val="40B2F126"/>
    <w:rsid w:val="40B3632E"/>
    <w:rsid w:val="40B49828"/>
    <w:rsid w:val="40B5B148"/>
    <w:rsid w:val="40B972ED"/>
    <w:rsid w:val="40BA6D47"/>
    <w:rsid w:val="40BB2705"/>
    <w:rsid w:val="40BDE8B5"/>
    <w:rsid w:val="40C56D45"/>
    <w:rsid w:val="40CB1801"/>
    <w:rsid w:val="40CC4700"/>
    <w:rsid w:val="40CD9F74"/>
    <w:rsid w:val="40CEDB16"/>
    <w:rsid w:val="40E1A5B2"/>
    <w:rsid w:val="40E51A61"/>
    <w:rsid w:val="40E596B0"/>
    <w:rsid w:val="40EA019C"/>
    <w:rsid w:val="40ED61C1"/>
    <w:rsid w:val="40F123B9"/>
    <w:rsid w:val="40F87046"/>
    <w:rsid w:val="40F974ED"/>
    <w:rsid w:val="40FFC0B2"/>
    <w:rsid w:val="41014A31"/>
    <w:rsid w:val="410362AA"/>
    <w:rsid w:val="41051B0E"/>
    <w:rsid w:val="41053B48"/>
    <w:rsid w:val="410F3936"/>
    <w:rsid w:val="4114B2F0"/>
    <w:rsid w:val="4115C707"/>
    <w:rsid w:val="411675FB"/>
    <w:rsid w:val="411B5AAE"/>
    <w:rsid w:val="4120C078"/>
    <w:rsid w:val="4124B1D0"/>
    <w:rsid w:val="412641B1"/>
    <w:rsid w:val="41283B09"/>
    <w:rsid w:val="412D91AE"/>
    <w:rsid w:val="412F8E22"/>
    <w:rsid w:val="41392C80"/>
    <w:rsid w:val="413EB89D"/>
    <w:rsid w:val="413FDDDD"/>
    <w:rsid w:val="41417BD7"/>
    <w:rsid w:val="4145B613"/>
    <w:rsid w:val="414EA3BF"/>
    <w:rsid w:val="414F17A5"/>
    <w:rsid w:val="41524F66"/>
    <w:rsid w:val="4152F444"/>
    <w:rsid w:val="415755D4"/>
    <w:rsid w:val="415B89B1"/>
    <w:rsid w:val="415CA8F6"/>
    <w:rsid w:val="415E5C36"/>
    <w:rsid w:val="41644E7B"/>
    <w:rsid w:val="4166DBA0"/>
    <w:rsid w:val="416A1327"/>
    <w:rsid w:val="416DA02A"/>
    <w:rsid w:val="416FA5C3"/>
    <w:rsid w:val="416FFF23"/>
    <w:rsid w:val="41705204"/>
    <w:rsid w:val="417851DD"/>
    <w:rsid w:val="417C0ACC"/>
    <w:rsid w:val="417D5C6A"/>
    <w:rsid w:val="41875CAF"/>
    <w:rsid w:val="418A2DA9"/>
    <w:rsid w:val="418D2FAE"/>
    <w:rsid w:val="418DB322"/>
    <w:rsid w:val="418F6A18"/>
    <w:rsid w:val="4191F754"/>
    <w:rsid w:val="419535A2"/>
    <w:rsid w:val="41982D66"/>
    <w:rsid w:val="4199CCD5"/>
    <w:rsid w:val="419B88D3"/>
    <w:rsid w:val="419CC8D0"/>
    <w:rsid w:val="419DA823"/>
    <w:rsid w:val="419E1B27"/>
    <w:rsid w:val="41A25369"/>
    <w:rsid w:val="41A54DD9"/>
    <w:rsid w:val="41A74515"/>
    <w:rsid w:val="41A80FC9"/>
    <w:rsid w:val="41ACBC55"/>
    <w:rsid w:val="41B0877D"/>
    <w:rsid w:val="41B2D81B"/>
    <w:rsid w:val="41B4B02B"/>
    <w:rsid w:val="41B68CA0"/>
    <w:rsid w:val="41B92B87"/>
    <w:rsid w:val="41BC39E2"/>
    <w:rsid w:val="41C21D0D"/>
    <w:rsid w:val="41C48974"/>
    <w:rsid w:val="41C98CDE"/>
    <w:rsid w:val="41D76202"/>
    <w:rsid w:val="41EC0E2B"/>
    <w:rsid w:val="41F0B348"/>
    <w:rsid w:val="41F3A563"/>
    <w:rsid w:val="41F50AAB"/>
    <w:rsid w:val="41F67157"/>
    <w:rsid w:val="41F92DB6"/>
    <w:rsid w:val="42013DD8"/>
    <w:rsid w:val="42030B21"/>
    <w:rsid w:val="4204D171"/>
    <w:rsid w:val="4205AFFB"/>
    <w:rsid w:val="420B18DB"/>
    <w:rsid w:val="420B4FBA"/>
    <w:rsid w:val="420D33AD"/>
    <w:rsid w:val="4210BBCE"/>
    <w:rsid w:val="4210F257"/>
    <w:rsid w:val="42125B3C"/>
    <w:rsid w:val="42156262"/>
    <w:rsid w:val="42210360"/>
    <w:rsid w:val="4223A2D3"/>
    <w:rsid w:val="422D8955"/>
    <w:rsid w:val="422DB7D2"/>
    <w:rsid w:val="422E538C"/>
    <w:rsid w:val="42337235"/>
    <w:rsid w:val="4234D8F5"/>
    <w:rsid w:val="42375C71"/>
    <w:rsid w:val="423B37A0"/>
    <w:rsid w:val="423E45B6"/>
    <w:rsid w:val="424D840D"/>
    <w:rsid w:val="42500EBF"/>
    <w:rsid w:val="42503A4A"/>
    <w:rsid w:val="4251795F"/>
    <w:rsid w:val="425477FA"/>
    <w:rsid w:val="42577691"/>
    <w:rsid w:val="4258B7BC"/>
    <w:rsid w:val="425FD697"/>
    <w:rsid w:val="426097C2"/>
    <w:rsid w:val="426516C4"/>
    <w:rsid w:val="4265E24A"/>
    <w:rsid w:val="426830DF"/>
    <w:rsid w:val="426ABD4C"/>
    <w:rsid w:val="426C555D"/>
    <w:rsid w:val="42744ACE"/>
    <w:rsid w:val="4277D17C"/>
    <w:rsid w:val="427CB579"/>
    <w:rsid w:val="427D9C32"/>
    <w:rsid w:val="427ED647"/>
    <w:rsid w:val="42805D17"/>
    <w:rsid w:val="4281D269"/>
    <w:rsid w:val="42884389"/>
    <w:rsid w:val="429411EA"/>
    <w:rsid w:val="4295BA7F"/>
    <w:rsid w:val="429604CB"/>
    <w:rsid w:val="42965DD0"/>
    <w:rsid w:val="429AD5C9"/>
    <w:rsid w:val="429B12F4"/>
    <w:rsid w:val="429B732C"/>
    <w:rsid w:val="429CF5C5"/>
    <w:rsid w:val="42A02105"/>
    <w:rsid w:val="42A094BA"/>
    <w:rsid w:val="42ADF05B"/>
    <w:rsid w:val="42B05E77"/>
    <w:rsid w:val="42B892E3"/>
    <w:rsid w:val="42BB99FD"/>
    <w:rsid w:val="42C1A545"/>
    <w:rsid w:val="42D040F6"/>
    <w:rsid w:val="42D0673F"/>
    <w:rsid w:val="42D13552"/>
    <w:rsid w:val="42D13A34"/>
    <w:rsid w:val="42D487D1"/>
    <w:rsid w:val="42D9BE31"/>
    <w:rsid w:val="42DA3D8F"/>
    <w:rsid w:val="42E0DA27"/>
    <w:rsid w:val="42E83270"/>
    <w:rsid w:val="42F229C2"/>
    <w:rsid w:val="42F30254"/>
    <w:rsid w:val="42F4BBA1"/>
    <w:rsid w:val="42F504C1"/>
    <w:rsid w:val="42FA66B0"/>
    <w:rsid w:val="42FBFFC9"/>
    <w:rsid w:val="42FC03FD"/>
    <w:rsid w:val="42FD747D"/>
    <w:rsid w:val="42FE7F49"/>
    <w:rsid w:val="4308AD96"/>
    <w:rsid w:val="430E3DBC"/>
    <w:rsid w:val="43132977"/>
    <w:rsid w:val="43177473"/>
    <w:rsid w:val="431BA79A"/>
    <w:rsid w:val="431D3B13"/>
    <w:rsid w:val="432132E7"/>
    <w:rsid w:val="43232C34"/>
    <w:rsid w:val="43250056"/>
    <w:rsid w:val="43253CCF"/>
    <w:rsid w:val="4328ED1C"/>
    <w:rsid w:val="432B2874"/>
    <w:rsid w:val="432FEFE7"/>
    <w:rsid w:val="4330E60F"/>
    <w:rsid w:val="4333C99E"/>
    <w:rsid w:val="4334FBA5"/>
    <w:rsid w:val="43387AB8"/>
    <w:rsid w:val="43389908"/>
    <w:rsid w:val="4339B0C7"/>
    <w:rsid w:val="433AF9FF"/>
    <w:rsid w:val="433C7020"/>
    <w:rsid w:val="4340480D"/>
    <w:rsid w:val="4340E00C"/>
    <w:rsid w:val="43411ECA"/>
    <w:rsid w:val="43428F53"/>
    <w:rsid w:val="4344AE2C"/>
    <w:rsid w:val="43471E08"/>
    <w:rsid w:val="43503F69"/>
    <w:rsid w:val="43526CD3"/>
    <w:rsid w:val="435393F9"/>
    <w:rsid w:val="43570DD1"/>
    <w:rsid w:val="435DD597"/>
    <w:rsid w:val="4360687E"/>
    <w:rsid w:val="4364D516"/>
    <w:rsid w:val="436C12BF"/>
    <w:rsid w:val="43742C26"/>
    <w:rsid w:val="4378D6DC"/>
    <w:rsid w:val="4379D4DA"/>
    <w:rsid w:val="437BA38D"/>
    <w:rsid w:val="437E90B1"/>
    <w:rsid w:val="4383A7E7"/>
    <w:rsid w:val="438CA3D3"/>
    <w:rsid w:val="438FB28E"/>
    <w:rsid w:val="4392AAB3"/>
    <w:rsid w:val="4393BFFB"/>
    <w:rsid w:val="4394F327"/>
    <w:rsid w:val="4398A95D"/>
    <w:rsid w:val="439B2363"/>
    <w:rsid w:val="439FA689"/>
    <w:rsid w:val="43A2C5CE"/>
    <w:rsid w:val="43A388B4"/>
    <w:rsid w:val="43A476AB"/>
    <w:rsid w:val="43A79AE1"/>
    <w:rsid w:val="43A8C50C"/>
    <w:rsid w:val="43AAD411"/>
    <w:rsid w:val="43ACA7EF"/>
    <w:rsid w:val="43B0AE1E"/>
    <w:rsid w:val="43B9E7F4"/>
    <w:rsid w:val="43BD3769"/>
    <w:rsid w:val="43C47FB4"/>
    <w:rsid w:val="43C63CAC"/>
    <w:rsid w:val="43C875BB"/>
    <w:rsid w:val="43CF07AF"/>
    <w:rsid w:val="43D31834"/>
    <w:rsid w:val="43DE7F24"/>
    <w:rsid w:val="43DE94F8"/>
    <w:rsid w:val="43E4D1B4"/>
    <w:rsid w:val="43E59B6C"/>
    <w:rsid w:val="43E7912A"/>
    <w:rsid w:val="43EA66B5"/>
    <w:rsid w:val="43EE6CF5"/>
    <w:rsid w:val="43EFCB3C"/>
    <w:rsid w:val="43F200B0"/>
    <w:rsid w:val="43F5D7CA"/>
    <w:rsid w:val="43FB7A68"/>
    <w:rsid w:val="43FDA51A"/>
    <w:rsid w:val="43FFDF27"/>
    <w:rsid w:val="4400A2D3"/>
    <w:rsid w:val="4403A9A1"/>
    <w:rsid w:val="440758CC"/>
    <w:rsid w:val="44087123"/>
    <w:rsid w:val="4409C35B"/>
    <w:rsid w:val="440D3A53"/>
    <w:rsid w:val="441176A5"/>
    <w:rsid w:val="4414077F"/>
    <w:rsid w:val="44143199"/>
    <w:rsid w:val="441632EF"/>
    <w:rsid w:val="4416AFA4"/>
    <w:rsid w:val="4417E7B2"/>
    <w:rsid w:val="441B20BB"/>
    <w:rsid w:val="441E28D2"/>
    <w:rsid w:val="44206904"/>
    <w:rsid w:val="442563E8"/>
    <w:rsid w:val="44272B3A"/>
    <w:rsid w:val="44274587"/>
    <w:rsid w:val="4428F08E"/>
    <w:rsid w:val="442904B3"/>
    <w:rsid w:val="442D1ACA"/>
    <w:rsid w:val="442D884F"/>
    <w:rsid w:val="442FFF3D"/>
    <w:rsid w:val="443B334D"/>
    <w:rsid w:val="443FCF66"/>
    <w:rsid w:val="44457DF8"/>
    <w:rsid w:val="4445B72B"/>
    <w:rsid w:val="44505A66"/>
    <w:rsid w:val="4451B675"/>
    <w:rsid w:val="44595738"/>
    <w:rsid w:val="4459746F"/>
    <w:rsid w:val="4459BFC7"/>
    <w:rsid w:val="445A4B99"/>
    <w:rsid w:val="445C342F"/>
    <w:rsid w:val="445C368C"/>
    <w:rsid w:val="445D1BDB"/>
    <w:rsid w:val="445E9B75"/>
    <w:rsid w:val="44618E3F"/>
    <w:rsid w:val="44647AB6"/>
    <w:rsid w:val="446969A1"/>
    <w:rsid w:val="4469DABF"/>
    <w:rsid w:val="446F4C75"/>
    <w:rsid w:val="44739137"/>
    <w:rsid w:val="447D58EE"/>
    <w:rsid w:val="447E9656"/>
    <w:rsid w:val="4481B89E"/>
    <w:rsid w:val="44945D08"/>
    <w:rsid w:val="4494C696"/>
    <w:rsid w:val="4496033D"/>
    <w:rsid w:val="449761C0"/>
    <w:rsid w:val="4498BBCF"/>
    <w:rsid w:val="4499788D"/>
    <w:rsid w:val="449D2862"/>
    <w:rsid w:val="44A38520"/>
    <w:rsid w:val="44AB4B8B"/>
    <w:rsid w:val="44B01DF0"/>
    <w:rsid w:val="44B245D1"/>
    <w:rsid w:val="44B30D79"/>
    <w:rsid w:val="44B873F6"/>
    <w:rsid w:val="44B91801"/>
    <w:rsid w:val="44BC4EC3"/>
    <w:rsid w:val="44BE6C9E"/>
    <w:rsid w:val="44CA0E6C"/>
    <w:rsid w:val="44CB1296"/>
    <w:rsid w:val="44CB15FF"/>
    <w:rsid w:val="44CB48DF"/>
    <w:rsid w:val="44CCD01A"/>
    <w:rsid w:val="44CD9460"/>
    <w:rsid w:val="44CD9A03"/>
    <w:rsid w:val="44CF7BB5"/>
    <w:rsid w:val="44D797EA"/>
    <w:rsid w:val="44D913D5"/>
    <w:rsid w:val="44DAAE05"/>
    <w:rsid w:val="44DB0CEA"/>
    <w:rsid w:val="44DEA38A"/>
    <w:rsid w:val="44E03F1E"/>
    <w:rsid w:val="44E64D5D"/>
    <w:rsid w:val="44EDE259"/>
    <w:rsid w:val="44EFBFAA"/>
    <w:rsid w:val="44FDA0D3"/>
    <w:rsid w:val="44FED3A5"/>
    <w:rsid w:val="45004687"/>
    <w:rsid w:val="45050A9F"/>
    <w:rsid w:val="45064F3C"/>
    <w:rsid w:val="450801BE"/>
    <w:rsid w:val="450954FD"/>
    <w:rsid w:val="450D26DB"/>
    <w:rsid w:val="450E4BBE"/>
    <w:rsid w:val="45164E3C"/>
    <w:rsid w:val="4517E860"/>
    <w:rsid w:val="451EEEF8"/>
    <w:rsid w:val="452C26F6"/>
    <w:rsid w:val="452C2E46"/>
    <w:rsid w:val="452E716B"/>
    <w:rsid w:val="452FE6A1"/>
    <w:rsid w:val="4530CEDA"/>
    <w:rsid w:val="453C9A9C"/>
    <w:rsid w:val="45454BB2"/>
    <w:rsid w:val="454AC060"/>
    <w:rsid w:val="454E3279"/>
    <w:rsid w:val="4552F1D1"/>
    <w:rsid w:val="455DF2AB"/>
    <w:rsid w:val="456061FC"/>
    <w:rsid w:val="45606441"/>
    <w:rsid w:val="45667011"/>
    <w:rsid w:val="45679AA6"/>
    <w:rsid w:val="45693A90"/>
    <w:rsid w:val="456E4835"/>
    <w:rsid w:val="456ED2F2"/>
    <w:rsid w:val="45730A96"/>
    <w:rsid w:val="45761EA7"/>
    <w:rsid w:val="45766CC2"/>
    <w:rsid w:val="45789902"/>
    <w:rsid w:val="457AF1C9"/>
    <w:rsid w:val="457EDF83"/>
    <w:rsid w:val="457FECF0"/>
    <w:rsid w:val="4583412E"/>
    <w:rsid w:val="458382A6"/>
    <w:rsid w:val="458BFE2C"/>
    <w:rsid w:val="458C61B6"/>
    <w:rsid w:val="458C9DBD"/>
    <w:rsid w:val="458FD543"/>
    <w:rsid w:val="4591D749"/>
    <w:rsid w:val="4592AAD1"/>
    <w:rsid w:val="45A228C1"/>
    <w:rsid w:val="45A527E3"/>
    <w:rsid w:val="45A757D7"/>
    <w:rsid w:val="45AC0C1A"/>
    <w:rsid w:val="45B2FD50"/>
    <w:rsid w:val="45B8AF0D"/>
    <w:rsid w:val="45B8B60B"/>
    <w:rsid w:val="45BB34D0"/>
    <w:rsid w:val="45BCD6F6"/>
    <w:rsid w:val="45BD529D"/>
    <w:rsid w:val="45BE183F"/>
    <w:rsid w:val="45C08F5A"/>
    <w:rsid w:val="45CADB68"/>
    <w:rsid w:val="45CC413D"/>
    <w:rsid w:val="45CCD0D5"/>
    <w:rsid w:val="45CE7645"/>
    <w:rsid w:val="45D10FBD"/>
    <w:rsid w:val="45D546B0"/>
    <w:rsid w:val="45DC092F"/>
    <w:rsid w:val="45DEEC0F"/>
    <w:rsid w:val="45E020D4"/>
    <w:rsid w:val="45E83E2E"/>
    <w:rsid w:val="45E90E82"/>
    <w:rsid w:val="45E9331B"/>
    <w:rsid w:val="45E9C4E7"/>
    <w:rsid w:val="45F53623"/>
    <w:rsid w:val="45FBE2D3"/>
    <w:rsid w:val="45FC4E6B"/>
    <w:rsid w:val="45FD7258"/>
    <w:rsid w:val="46026702"/>
    <w:rsid w:val="460597D1"/>
    <w:rsid w:val="4612E863"/>
    <w:rsid w:val="46137837"/>
    <w:rsid w:val="46196D06"/>
    <w:rsid w:val="461A2117"/>
    <w:rsid w:val="462AE51C"/>
    <w:rsid w:val="462C465D"/>
    <w:rsid w:val="462CE4BB"/>
    <w:rsid w:val="462D7A2D"/>
    <w:rsid w:val="462F22F7"/>
    <w:rsid w:val="463213D8"/>
    <w:rsid w:val="463430A4"/>
    <w:rsid w:val="46412147"/>
    <w:rsid w:val="46425082"/>
    <w:rsid w:val="464C2731"/>
    <w:rsid w:val="464D1DC2"/>
    <w:rsid w:val="464DA427"/>
    <w:rsid w:val="46530FA7"/>
    <w:rsid w:val="46570B1A"/>
    <w:rsid w:val="4659B202"/>
    <w:rsid w:val="465B8ABA"/>
    <w:rsid w:val="465BD908"/>
    <w:rsid w:val="465DBE73"/>
    <w:rsid w:val="4665396E"/>
    <w:rsid w:val="46694214"/>
    <w:rsid w:val="46694868"/>
    <w:rsid w:val="466AAF67"/>
    <w:rsid w:val="466ECF86"/>
    <w:rsid w:val="4670C468"/>
    <w:rsid w:val="4673EBE9"/>
    <w:rsid w:val="4676330F"/>
    <w:rsid w:val="46803EBE"/>
    <w:rsid w:val="468264E7"/>
    <w:rsid w:val="46857803"/>
    <w:rsid w:val="4689EEA0"/>
    <w:rsid w:val="468A3942"/>
    <w:rsid w:val="468FFA32"/>
    <w:rsid w:val="4690D792"/>
    <w:rsid w:val="4693EA56"/>
    <w:rsid w:val="46997D7D"/>
    <w:rsid w:val="469B72DF"/>
    <w:rsid w:val="46A1764E"/>
    <w:rsid w:val="46A31157"/>
    <w:rsid w:val="46A6916B"/>
    <w:rsid w:val="46ABBAC0"/>
    <w:rsid w:val="46B8B213"/>
    <w:rsid w:val="46B8C88D"/>
    <w:rsid w:val="46BBF9D1"/>
    <w:rsid w:val="46BC2953"/>
    <w:rsid w:val="46C44637"/>
    <w:rsid w:val="46C6B891"/>
    <w:rsid w:val="46CAE7DF"/>
    <w:rsid w:val="46D47494"/>
    <w:rsid w:val="46D560F0"/>
    <w:rsid w:val="46D7B6FA"/>
    <w:rsid w:val="46DA2AA7"/>
    <w:rsid w:val="46EC93A9"/>
    <w:rsid w:val="46F04DE1"/>
    <w:rsid w:val="46F20BEB"/>
    <w:rsid w:val="46F7D15E"/>
    <w:rsid w:val="46F9B819"/>
    <w:rsid w:val="46FAE063"/>
    <w:rsid w:val="46FB09A3"/>
    <w:rsid w:val="46FCFC81"/>
    <w:rsid w:val="470685FD"/>
    <w:rsid w:val="470D8069"/>
    <w:rsid w:val="470F0936"/>
    <w:rsid w:val="4714C6D5"/>
    <w:rsid w:val="471667DF"/>
    <w:rsid w:val="47173C79"/>
    <w:rsid w:val="4718F56F"/>
    <w:rsid w:val="4719070B"/>
    <w:rsid w:val="4719D0E3"/>
    <w:rsid w:val="471DD3F1"/>
    <w:rsid w:val="471E1943"/>
    <w:rsid w:val="47261DF4"/>
    <w:rsid w:val="472677A3"/>
    <w:rsid w:val="47271AE2"/>
    <w:rsid w:val="47303A3A"/>
    <w:rsid w:val="4732AAA7"/>
    <w:rsid w:val="47352B9C"/>
    <w:rsid w:val="4735347A"/>
    <w:rsid w:val="4736010B"/>
    <w:rsid w:val="473C572D"/>
    <w:rsid w:val="473EFD5E"/>
    <w:rsid w:val="4742D5EE"/>
    <w:rsid w:val="474339C4"/>
    <w:rsid w:val="474E5A23"/>
    <w:rsid w:val="474F6798"/>
    <w:rsid w:val="47517665"/>
    <w:rsid w:val="475512B3"/>
    <w:rsid w:val="4756EA9C"/>
    <w:rsid w:val="475B7AD1"/>
    <w:rsid w:val="475BC1E7"/>
    <w:rsid w:val="475C1C19"/>
    <w:rsid w:val="476F23E3"/>
    <w:rsid w:val="4777CBBC"/>
    <w:rsid w:val="477E32E2"/>
    <w:rsid w:val="4786AA3B"/>
    <w:rsid w:val="4788A03A"/>
    <w:rsid w:val="4789D7A7"/>
    <w:rsid w:val="478AF400"/>
    <w:rsid w:val="478B23ED"/>
    <w:rsid w:val="478F955C"/>
    <w:rsid w:val="4793FAC3"/>
    <w:rsid w:val="47968DA1"/>
    <w:rsid w:val="4796AC35"/>
    <w:rsid w:val="47994F98"/>
    <w:rsid w:val="479FC3ED"/>
    <w:rsid w:val="479FD8AC"/>
    <w:rsid w:val="47A02191"/>
    <w:rsid w:val="47A4DCDF"/>
    <w:rsid w:val="47A7B64D"/>
    <w:rsid w:val="47A9BB15"/>
    <w:rsid w:val="47AC1330"/>
    <w:rsid w:val="47ACF2D6"/>
    <w:rsid w:val="47B05EFE"/>
    <w:rsid w:val="47B4E3EA"/>
    <w:rsid w:val="47C6E9BD"/>
    <w:rsid w:val="47CB405B"/>
    <w:rsid w:val="47CD1DDA"/>
    <w:rsid w:val="47CE98D6"/>
    <w:rsid w:val="47D0DED2"/>
    <w:rsid w:val="47D2A4C8"/>
    <w:rsid w:val="47D5F1CB"/>
    <w:rsid w:val="47DB15A2"/>
    <w:rsid w:val="47DCBCA0"/>
    <w:rsid w:val="47DFE1E6"/>
    <w:rsid w:val="47E00899"/>
    <w:rsid w:val="47E48BDA"/>
    <w:rsid w:val="47E6A3C3"/>
    <w:rsid w:val="47E75541"/>
    <w:rsid w:val="47E78EFF"/>
    <w:rsid w:val="47E9CBF1"/>
    <w:rsid w:val="47F08D29"/>
    <w:rsid w:val="47FA6EF2"/>
    <w:rsid w:val="47FEEC74"/>
    <w:rsid w:val="4805FB45"/>
    <w:rsid w:val="48067630"/>
    <w:rsid w:val="4807D891"/>
    <w:rsid w:val="4809FF45"/>
    <w:rsid w:val="4811F5B1"/>
    <w:rsid w:val="4813B123"/>
    <w:rsid w:val="481486D3"/>
    <w:rsid w:val="481A1B07"/>
    <w:rsid w:val="4823E251"/>
    <w:rsid w:val="48284156"/>
    <w:rsid w:val="4829058B"/>
    <w:rsid w:val="482D8101"/>
    <w:rsid w:val="48369C06"/>
    <w:rsid w:val="48430BF4"/>
    <w:rsid w:val="4847D600"/>
    <w:rsid w:val="484A8A36"/>
    <w:rsid w:val="484C81D9"/>
    <w:rsid w:val="485069CE"/>
    <w:rsid w:val="4851A986"/>
    <w:rsid w:val="48527DFE"/>
    <w:rsid w:val="48559574"/>
    <w:rsid w:val="4856AEDB"/>
    <w:rsid w:val="4859C729"/>
    <w:rsid w:val="485A40E0"/>
    <w:rsid w:val="485CB683"/>
    <w:rsid w:val="485E1B66"/>
    <w:rsid w:val="485EF4D4"/>
    <w:rsid w:val="485FF79E"/>
    <w:rsid w:val="4860E5A0"/>
    <w:rsid w:val="4861152C"/>
    <w:rsid w:val="4866BA40"/>
    <w:rsid w:val="4868C2E1"/>
    <w:rsid w:val="486E06C5"/>
    <w:rsid w:val="48715780"/>
    <w:rsid w:val="48718A96"/>
    <w:rsid w:val="487CD009"/>
    <w:rsid w:val="487F1B39"/>
    <w:rsid w:val="4888978D"/>
    <w:rsid w:val="488AB7DE"/>
    <w:rsid w:val="488FBCED"/>
    <w:rsid w:val="4897D682"/>
    <w:rsid w:val="48A01CDE"/>
    <w:rsid w:val="48A6B313"/>
    <w:rsid w:val="48A89746"/>
    <w:rsid w:val="48AC0512"/>
    <w:rsid w:val="48AC3FF4"/>
    <w:rsid w:val="48B56BCB"/>
    <w:rsid w:val="48BBDD75"/>
    <w:rsid w:val="48BE52E7"/>
    <w:rsid w:val="48BE587B"/>
    <w:rsid w:val="48BF72F6"/>
    <w:rsid w:val="48C103E7"/>
    <w:rsid w:val="48C1E514"/>
    <w:rsid w:val="48D5AF96"/>
    <w:rsid w:val="48D92672"/>
    <w:rsid w:val="48D95651"/>
    <w:rsid w:val="48DB5FBC"/>
    <w:rsid w:val="48E241DF"/>
    <w:rsid w:val="48E30A16"/>
    <w:rsid w:val="48E35135"/>
    <w:rsid w:val="48E3518F"/>
    <w:rsid w:val="48E3C049"/>
    <w:rsid w:val="48E541FA"/>
    <w:rsid w:val="48E7A1CD"/>
    <w:rsid w:val="48EC7CD9"/>
    <w:rsid w:val="48F08205"/>
    <w:rsid w:val="48F6D038"/>
    <w:rsid w:val="48F90E60"/>
    <w:rsid w:val="48FE4C35"/>
    <w:rsid w:val="48FF7392"/>
    <w:rsid w:val="490452F1"/>
    <w:rsid w:val="490B70B0"/>
    <w:rsid w:val="490BDAA5"/>
    <w:rsid w:val="490D07D5"/>
    <w:rsid w:val="491498A8"/>
    <w:rsid w:val="4918B28C"/>
    <w:rsid w:val="491E7460"/>
    <w:rsid w:val="492176F1"/>
    <w:rsid w:val="4923E63C"/>
    <w:rsid w:val="4925AF7B"/>
    <w:rsid w:val="4928E293"/>
    <w:rsid w:val="4929461E"/>
    <w:rsid w:val="4929E724"/>
    <w:rsid w:val="4929F74B"/>
    <w:rsid w:val="492B5F6F"/>
    <w:rsid w:val="492D5F56"/>
    <w:rsid w:val="493331D0"/>
    <w:rsid w:val="493476FA"/>
    <w:rsid w:val="493B7224"/>
    <w:rsid w:val="493D5478"/>
    <w:rsid w:val="4943B37C"/>
    <w:rsid w:val="4944A3E4"/>
    <w:rsid w:val="49496236"/>
    <w:rsid w:val="494A3BC0"/>
    <w:rsid w:val="494A8873"/>
    <w:rsid w:val="4954E37B"/>
    <w:rsid w:val="495FAF24"/>
    <w:rsid w:val="49610D3B"/>
    <w:rsid w:val="496158B4"/>
    <w:rsid w:val="4962E01D"/>
    <w:rsid w:val="4967EF5F"/>
    <w:rsid w:val="497139FB"/>
    <w:rsid w:val="49756BA4"/>
    <w:rsid w:val="497F763E"/>
    <w:rsid w:val="4987938F"/>
    <w:rsid w:val="4987D5A5"/>
    <w:rsid w:val="498A20A0"/>
    <w:rsid w:val="498CBA61"/>
    <w:rsid w:val="498D3EEB"/>
    <w:rsid w:val="499410E0"/>
    <w:rsid w:val="4997330B"/>
    <w:rsid w:val="49976179"/>
    <w:rsid w:val="49A6354B"/>
    <w:rsid w:val="49B28953"/>
    <w:rsid w:val="49B5B073"/>
    <w:rsid w:val="49B9FF22"/>
    <w:rsid w:val="49BA4D9C"/>
    <w:rsid w:val="49BB71BB"/>
    <w:rsid w:val="49C74DE6"/>
    <w:rsid w:val="49CABD3E"/>
    <w:rsid w:val="49CEC7CB"/>
    <w:rsid w:val="49D08015"/>
    <w:rsid w:val="49D10813"/>
    <w:rsid w:val="49D146CB"/>
    <w:rsid w:val="49D2BBE3"/>
    <w:rsid w:val="49D39F20"/>
    <w:rsid w:val="49DA7033"/>
    <w:rsid w:val="49E26778"/>
    <w:rsid w:val="49E9BF0B"/>
    <w:rsid w:val="49E9F10E"/>
    <w:rsid w:val="49EA50B9"/>
    <w:rsid w:val="49EBCE76"/>
    <w:rsid w:val="49EE8FF1"/>
    <w:rsid w:val="49EED2BB"/>
    <w:rsid w:val="49F4231B"/>
    <w:rsid w:val="49F4A73F"/>
    <w:rsid w:val="49FC562B"/>
    <w:rsid w:val="49FF0118"/>
    <w:rsid w:val="4A01DC21"/>
    <w:rsid w:val="4A02E388"/>
    <w:rsid w:val="4A05AF1D"/>
    <w:rsid w:val="4A0AE6D3"/>
    <w:rsid w:val="4A0FB4C8"/>
    <w:rsid w:val="4A1382D5"/>
    <w:rsid w:val="4A151945"/>
    <w:rsid w:val="4A167FCE"/>
    <w:rsid w:val="4A18564D"/>
    <w:rsid w:val="4A1BDA27"/>
    <w:rsid w:val="4A1E817B"/>
    <w:rsid w:val="4A22C37A"/>
    <w:rsid w:val="4A26EF76"/>
    <w:rsid w:val="4A275C08"/>
    <w:rsid w:val="4A2B6A4B"/>
    <w:rsid w:val="4A2FE03A"/>
    <w:rsid w:val="4A316E80"/>
    <w:rsid w:val="4A31908A"/>
    <w:rsid w:val="4A34B533"/>
    <w:rsid w:val="4A382687"/>
    <w:rsid w:val="4A39A58F"/>
    <w:rsid w:val="4A3B77CA"/>
    <w:rsid w:val="4A3DFBFF"/>
    <w:rsid w:val="4A3E021D"/>
    <w:rsid w:val="4A495351"/>
    <w:rsid w:val="4A4C3378"/>
    <w:rsid w:val="4A4DC018"/>
    <w:rsid w:val="4A4E94BC"/>
    <w:rsid w:val="4A4F7A6F"/>
    <w:rsid w:val="4A517A4C"/>
    <w:rsid w:val="4A53C47B"/>
    <w:rsid w:val="4A54F561"/>
    <w:rsid w:val="4A558747"/>
    <w:rsid w:val="4A55ED1B"/>
    <w:rsid w:val="4A5ADD4C"/>
    <w:rsid w:val="4A6604EE"/>
    <w:rsid w:val="4A6ABDBF"/>
    <w:rsid w:val="4A6BC3A7"/>
    <w:rsid w:val="4A6E7C74"/>
    <w:rsid w:val="4A70C880"/>
    <w:rsid w:val="4A71001B"/>
    <w:rsid w:val="4A724274"/>
    <w:rsid w:val="4A765146"/>
    <w:rsid w:val="4A76CA60"/>
    <w:rsid w:val="4A7B223B"/>
    <w:rsid w:val="4A7C8361"/>
    <w:rsid w:val="4A7E4F70"/>
    <w:rsid w:val="4A89CDE4"/>
    <w:rsid w:val="4A8A0BC6"/>
    <w:rsid w:val="4A8C2D96"/>
    <w:rsid w:val="4A8DC022"/>
    <w:rsid w:val="4A8F6B48"/>
    <w:rsid w:val="4A929847"/>
    <w:rsid w:val="4A97C865"/>
    <w:rsid w:val="4A9867EC"/>
    <w:rsid w:val="4A9A9D16"/>
    <w:rsid w:val="4A9F485C"/>
    <w:rsid w:val="4AA72F15"/>
    <w:rsid w:val="4AA7AE7A"/>
    <w:rsid w:val="4AA9B4E2"/>
    <w:rsid w:val="4AB1688E"/>
    <w:rsid w:val="4AB1952E"/>
    <w:rsid w:val="4AB3A23C"/>
    <w:rsid w:val="4AB64718"/>
    <w:rsid w:val="4AB90646"/>
    <w:rsid w:val="4ABE453C"/>
    <w:rsid w:val="4AC2B305"/>
    <w:rsid w:val="4ACD659A"/>
    <w:rsid w:val="4AD94CD2"/>
    <w:rsid w:val="4ADEE88F"/>
    <w:rsid w:val="4AE0F93C"/>
    <w:rsid w:val="4AE5C209"/>
    <w:rsid w:val="4AE9B0E1"/>
    <w:rsid w:val="4AEBFDB6"/>
    <w:rsid w:val="4AF7369C"/>
    <w:rsid w:val="4AFACCD4"/>
    <w:rsid w:val="4AFC8CC3"/>
    <w:rsid w:val="4B033E40"/>
    <w:rsid w:val="4B079E98"/>
    <w:rsid w:val="4B0843A9"/>
    <w:rsid w:val="4B0C9069"/>
    <w:rsid w:val="4B0F2CBC"/>
    <w:rsid w:val="4B154096"/>
    <w:rsid w:val="4B175DB5"/>
    <w:rsid w:val="4B1CD154"/>
    <w:rsid w:val="4B1EFA52"/>
    <w:rsid w:val="4B24E8E7"/>
    <w:rsid w:val="4B261DFF"/>
    <w:rsid w:val="4B2CAD2A"/>
    <w:rsid w:val="4B308E11"/>
    <w:rsid w:val="4B31C6D8"/>
    <w:rsid w:val="4B39DDFC"/>
    <w:rsid w:val="4B407ECA"/>
    <w:rsid w:val="4B40BECD"/>
    <w:rsid w:val="4B4142DF"/>
    <w:rsid w:val="4B429481"/>
    <w:rsid w:val="4B4945BF"/>
    <w:rsid w:val="4B4A1747"/>
    <w:rsid w:val="4B4B5AFD"/>
    <w:rsid w:val="4B52AF35"/>
    <w:rsid w:val="4B5528C0"/>
    <w:rsid w:val="4B5BD670"/>
    <w:rsid w:val="4B5D9C0B"/>
    <w:rsid w:val="4B5DA003"/>
    <w:rsid w:val="4B5E9E06"/>
    <w:rsid w:val="4B601C9D"/>
    <w:rsid w:val="4B62D624"/>
    <w:rsid w:val="4B6371F1"/>
    <w:rsid w:val="4B63BB1A"/>
    <w:rsid w:val="4B651F3B"/>
    <w:rsid w:val="4B6ABDFF"/>
    <w:rsid w:val="4B6C5243"/>
    <w:rsid w:val="4B6CE92F"/>
    <w:rsid w:val="4B6E303E"/>
    <w:rsid w:val="4B728A77"/>
    <w:rsid w:val="4B730DD5"/>
    <w:rsid w:val="4B777D59"/>
    <w:rsid w:val="4B7C88EB"/>
    <w:rsid w:val="4B7E698F"/>
    <w:rsid w:val="4B805CF0"/>
    <w:rsid w:val="4B83432E"/>
    <w:rsid w:val="4B8537CE"/>
    <w:rsid w:val="4B87E926"/>
    <w:rsid w:val="4B8B66FF"/>
    <w:rsid w:val="4B8C9042"/>
    <w:rsid w:val="4B8CAC13"/>
    <w:rsid w:val="4B8FF3CC"/>
    <w:rsid w:val="4B8FFC8B"/>
    <w:rsid w:val="4B93C24B"/>
    <w:rsid w:val="4B9B3139"/>
    <w:rsid w:val="4BA13B97"/>
    <w:rsid w:val="4BA4B6B4"/>
    <w:rsid w:val="4BA577CD"/>
    <w:rsid w:val="4BA5835C"/>
    <w:rsid w:val="4BA8849F"/>
    <w:rsid w:val="4BA98C81"/>
    <w:rsid w:val="4BB35D84"/>
    <w:rsid w:val="4BB3DB25"/>
    <w:rsid w:val="4BB45FF9"/>
    <w:rsid w:val="4BBACA15"/>
    <w:rsid w:val="4BBD9071"/>
    <w:rsid w:val="4BC34ED1"/>
    <w:rsid w:val="4BC51595"/>
    <w:rsid w:val="4BC7D489"/>
    <w:rsid w:val="4BCB86EC"/>
    <w:rsid w:val="4BCD6534"/>
    <w:rsid w:val="4BD0882E"/>
    <w:rsid w:val="4BD2A305"/>
    <w:rsid w:val="4BD4911F"/>
    <w:rsid w:val="4BD9BF4F"/>
    <w:rsid w:val="4BDC6346"/>
    <w:rsid w:val="4BDF60EA"/>
    <w:rsid w:val="4BE23D57"/>
    <w:rsid w:val="4BE57CDC"/>
    <w:rsid w:val="4BE7ABE3"/>
    <w:rsid w:val="4BEC34DB"/>
    <w:rsid w:val="4BEC9924"/>
    <w:rsid w:val="4BEEA831"/>
    <w:rsid w:val="4BF8A4DC"/>
    <w:rsid w:val="4BFE549B"/>
    <w:rsid w:val="4BFFFFEC"/>
    <w:rsid w:val="4C005C80"/>
    <w:rsid w:val="4C06A813"/>
    <w:rsid w:val="4C06DB67"/>
    <w:rsid w:val="4C07611C"/>
    <w:rsid w:val="4C07B9EC"/>
    <w:rsid w:val="4C09AC51"/>
    <w:rsid w:val="4C0F03B0"/>
    <w:rsid w:val="4C12029A"/>
    <w:rsid w:val="4C141134"/>
    <w:rsid w:val="4C150CCE"/>
    <w:rsid w:val="4C1AB085"/>
    <w:rsid w:val="4C297E9B"/>
    <w:rsid w:val="4C2D3428"/>
    <w:rsid w:val="4C2EDADB"/>
    <w:rsid w:val="4C3203EA"/>
    <w:rsid w:val="4C32A574"/>
    <w:rsid w:val="4C34FFB7"/>
    <w:rsid w:val="4C389E76"/>
    <w:rsid w:val="4C418A37"/>
    <w:rsid w:val="4C46E6B6"/>
    <w:rsid w:val="4C474C70"/>
    <w:rsid w:val="4C4AA418"/>
    <w:rsid w:val="4C51C8B8"/>
    <w:rsid w:val="4C55B0E3"/>
    <w:rsid w:val="4C57F29A"/>
    <w:rsid w:val="4C5CACF2"/>
    <w:rsid w:val="4C60C482"/>
    <w:rsid w:val="4C627A92"/>
    <w:rsid w:val="4C62F67E"/>
    <w:rsid w:val="4C6F63ED"/>
    <w:rsid w:val="4C716BA3"/>
    <w:rsid w:val="4C74F897"/>
    <w:rsid w:val="4C776D82"/>
    <w:rsid w:val="4C78D0B6"/>
    <w:rsid w:val="4C8044B3"/>
    <w:rsid w:val="4C81B98D"/>
    <w:rsid w:val="4C8537EF"/>
    <w:rsid w:val="4C87B7BF"/>
    <w:rsid w:val="4C88AC37"/>
    <w:rsid w:val="4C8EDBB7"/>
    <w:rsid w:val="4C92E475"/>
    <w:rsid w:val="4C943007"/>
    <w:rsid w:val="4C973B60"/>
    <w:rsid w:val="4C97A284"/>
    <w:rsid w:val="4C9A2A54"/>
    <w:rsid w:val="4C9A2C4E"/>
    <w:rsid w:val="4C9C11CC"/>
    <w:rsid w:val="4C9F560A"/>
    <w:rsid w:val="4CA9A0A0"/>
    <w:rsid w:val="4CAFCC57"/>
    <w:rsid w:val="4CB4412E"/>
    <w:rsid w:val="4CB619D8"/>
    <w:rsid w:val="4CB6FA69"/>
    <w:rsid w:val="4CB822EE"/>
    <w:rsid w:val="4CBA6178"/>
    <w:rsid w:val="4CC14DB3"/>
    <w:rsid w:val="4CCB80CB"/>
    <w:rsid w:val="4CD466D1"/>
    <w:rsid w:val="4CD7F514"/>
    <w:rsid w:val="4CE10676"/>
    <w:rsid w:val="4CEB4CB3"/>
    <w:rsid w:val="4CEE0F72"/>
    <w:rsid w:val="4CEF96DE"/>
    <w:rsid w:val="4CFDBBA0"/>
    <w:rsid w:val="4D004DB8"/>
    <w:rsid w:val="4D01D612"/>
    <w:rsid w:val="4D077CD1"/>
    <w:rsid w:val="4D10A711"/>
    <w:rsid w:val="4D1A646D"/>
    <w:rsid w:val="4D206EEC"/>
    <w:rsid w:val="4D2250BE"/>
    <w:rsid w:val="4D27E4AB"/>
    <w:rsid w:val="4D29394E"/>
    <w:rsid w:val="4D2CCCB0"/>
    <w:rsid w:val="4D321D5C"/>
    <w:rsid w:val="4D322435"/>
    <w:rsid w:val="4D34925C"/>
    <w:rsid w:val="4D37E085"/>
    <w:rsid w:val="4D3B05FA"/>
    <w:rsid w:val="4D3C1C80"/>
    <w:rsid w:val="4D42499A"/>
    <w:rsid w:val="4D4F1A47"/>
    <w:rsid w:val="4D4FF44D"/>
    <w:rsid w:val="4D5032A2"/>
    <w:rsid w:val="4D59A746"/>
    <w:rsid w:val="4D5CBD14"/>
    <w:rsid w:val="4D61A1A8"/>
    <w:rsid w:val="4D63073D"/>
    <w:rsid w:val="4D65BBC9"/>
    <w:rsid w:val="4D661685"/>
    <w:rsid w:val="4D694823"/>
    <w:rsid w:val="4D700960"/>
    <w:rsid w:val="4D7B118E"/>
    <w:rsid w:val="4D7D27FA"/>
    <w:rsid w:val="4D7DBAD8"/>
    <w:rsid w:val="4D7E9977"/>
    <w:rsid w:val="4D7EBC35"/>
    <w:rsid w:val="4D80B2EE"/>
    <w:rsid w:val="4D8CE75E"/>
    <w:rsid w:val="4D8D0716"/>
    <w:rsid w:val="4D94629A"/>
    <w:rsid w:val="4D95578A"/>
    <w:rsid w:val="4D998F92"/>
    <w:rsid w:val="4D9F5754"/>
    <w:rsid w:val="4DA4908D"/>
    <w:rsid w:val="4DA57D07"/>
    <w:rsid w:val="4DAC76F9"/>
    <w:rsid w:val="4DB2B012"/>
    <w:rsid w:val="4DB389F3"/>
    <w:rsid w:val="4DB3CA7C"/>
    <w:rsid w:val="4DBB0278"/>
    <w:rsid w:val="4DC78811"/>
    <w:rsid w:val="4DC9EE9C"/>
    <w:rsid w:val="4DD28031"/>
    <w:rsid w:val="4DD56428"/>
    <w:rsid w:val="4DDAD382"/>
    <w:rsid w:val="4DDD5E3E"/>
    <w:rsid w:val="4DDFCB06"/>
    <w:rsid w:val="4DE02390"/>
    <w:rsid w:val="4DE1A1BC"/>
    <w:rsid w:val="4DE20F50"/>
    <w:rsid w:val="4DE64362"/>
    <w:rsid w:val="4DEABCD6"/>
    <w:rsid w:val="4DEE488D"/>
    <w:rsid w:val="4DF4C998"/>
    <w:rsid w:val="4DF4D4BA"/>
    <w:rsid w:val="4DFB6BF3"/>
    <w:rsid w:val="4DFBAE04"/>
    <w:rsid w:val="4DFBEDC1"/>
    <w:rsid w:val="4E00DCD8"/>
    <w:rsid w:val="4E01A8BD"/>
    <w:rsid w:val="4E0A490A"/>
    <w:rsid w:val="4E0B4E3E"/>
    <w:rsid w:val="4E10D4DD"/>
    <w:rsid w:val="4E1834B0"/>
    <w:rsid w:val="4E195ECA"/>
    <w:rsid w:val="4E1B812D"/>
    <w:rsid w:val="4E1BE927"/>
    <w:rsid w:val="4E2236D5"/>
    <w:rsid w:val="4E2324E8"/>
    <w:rsid w:val="4E270402"/>
    <w:rsid w:val="4E293CE8"/>
    <w:rsid w:val="4E29FD8A"/>
    <w:rsid w:val="4E2AFD59"/>
    <w:rsid w:val="4E2D1C10"/>
    <w:rsid w:val="4E2E50E0"/>
    <w:rsid w:val="4E328A3A"/>
    <w:rsid w:val="4E33510A"/>
    <w:rsid w:val="4E33DEEF"/>
    <w:rsid w:val="4E3563E2"/>
    <w:rsid w:val="4E370C52"/>
    <w:rsid w:val="4E3FC8E0"/>
    <w:rsid w:val="4E40954C"/>
    <w:rsid w:val="4E44B418"/>
    <w:rsid w:val="4E457F84"/>
    <w:rsid w:val="4E45B1E9"/>
    <w:rsid w:val="4E49C147"/>
    <w:rsid w:val="4E51954A"/>
    <w:rsid w:val="4E5362D0"/>
    <w:rsid w:val="4E554242"/>
    <w:rsid w:val="4E56AA3B"/>
    <w:rsid w:val="4E5F1FE0"/>
    <w:rsid w:val="4E64D0B7"/>
    <w:rsid w:val="4E6BD2C4"/>
    <w:rsid w:val="4E72086A"/>
    <w:rsid w:val="4E77E0CA"/>
    <w:rsid w:val="4E79DEA3"/>
    <w:rsid w:val="4E7E3E13"/>
    <w:rsid w:val="4E845B92"/>
    <w:rsid w:val="4E86BC06"/>
    <w:rsid w:val="4E8B416D"/>
    <w:rsid w:val="4E8E8D44"/>
    <w:rsid w:val="4E8EC317"/>
    <w:rsid w:val="4E96A579"/>
    <w:rsid w:val="4E99C42E"/>
    <w:rsid w:val="4EAE76F9"/>
    <w:rsid w:val="4EAE8341"/>
    <w:rsid w:val="4EB20D5A"/>
    <w:rsid w:val="4EB29597"/>
    <w:rsid w:val="4EB45F97"/>
    <w:rsid w:val="4EB62031"/>
    <w:rsid w:val="4EB73A7D"/>
    <w:rsid w:val="4EB9A865"/>
    <w:rsid w:val="4EBC22E2"/>
    <w:rsid w:val="4EBC2341"/>
    <w:rsid w:val="4EC83A31"/>
    <w:rsid w:val="4EC83BCA"/>
    <w:rsid w:val="4EC9756C"/>
    <w:rsid w:val="4ECB6923"/>
    <w:rsid w:val="4ECF95CA"/>
    <w:rsid w:val="4EE3B0AA"/>
    <w:rsid w:val="4EE56CE0"/>
    <w:rsid w:val="4EE5E570"/>
    <w:rsid w:val="4EEA7A09"/>
    <w:rsid w:val="4EEA8FA9"/>
    <w:rsid w:val="4EEBF0CC"/>
    <w:rsid w:val="4EEDA19A"/>
    <w:rsid w:val="4EEDF0D3"/>
    <w:rsid w:val="4EEEE8C8"/>
    <w:rsid w:val="4EEFFB2E"/>
    <w:rsid w:val="4EF60708"/>
    <w:rsid w:val="4EF707D1"/>
    <w:rsid w:val="4F000EB0"/>
    <w:rsid w:val="4F0470E6"/>
    <w:rsid w:val="4F0774C6"/>
    <w:rsid w:val="4F0A284E"/>
    <w:rsid w:val="4F0B328F"/>
    <w:rsid w:val="4F0C75C1"/>
    <w:rsid w:val="4F16997E"/>
    <w:rsid w:val="4F1722C4"/>
    <w:rsid w:val="4F18B5ED"/>
    <w:rsid w:val="4F1A7D9B"/>
    <w:rsid w:val="4F1BD2EF"/>
    <w:rsid w:val="4F201005"/>
    <w:rsid w:val="4F26E059"/>
    <w:rsid w:val="4F293D6B"/>
    <w:rsid w:val="4F2AA47C"/>
    <w:rsid w:val="4F2C472E"/>
    <w:rsid w:val="4F2CA3C1"/>
    <w:rsid w:val="4F2F96A0"/>
    <w:rsid w:val="4F327E84"/>
    <w:rsid w:val="4F36532A"/>
    <w:rsid w:val="4F37C0CF"/>
    <w:rsid w:val="4F38BCF6"/>
    <w:rsid w:val="4F39D0B3"/>
    <w:rsid w:val="4F3B0984"/>
    <w:rsid w:val="4F4228D4"/>
    <w:rsid w:val="4F443826"/>
    <w:rsid w:val="4F46D019"/>
    <w:rsid w:val="4F48F87E"/>
    <w:rsid w:val="4F52FDB0"/>
    <w:rsid w:val="4F5F9BF4"/>
    <w:rsid w:val="4F682DC6"/>
    <w:rsid w:val="4F6FF05E"/>
    <w:rsid w:val="4F70568C"/>
    <w:rsid w:val="4F70746F"/>
    <w:rsid w:val="4F71E674"/>
    <w:rsid w:val="4F7D0627"/>
    <w:rsid w:val="4F7E0E76"/>
    <w:rsid w:val="4F83FAFD"/>
    <w:rsid w:val="4F8A9E40"/>
    <w:rsid w:val="4F8AEC66"/>
    <w:rsid w:val="4F8BD7E0"/>
    <w:rsid w:val="4F8E1F8B"/>
    <w:rsid w:val="4F925ADA"/>
    <w:rsid w:val="4F989A04"/>
    <w:rsid w:val="4FA2D67F"/>
    <w:rsid w:val="4FAA785A"/>
    <w:rsid w:val="4FB0D0D1"/>
    <w:rsid w:val="4FB80C04"/>
    <w:rsid w:val="4FB890EC"/>
    <w:rsid w:val="4FBAE747"/>
    <w:rsid w:val="4FBC551F"/>
    <w:rsid w:val="4FBD7EC0"/>
    <w:rsid w:val="4FC718C5"/>
    <w:rsid w:val="4FCBC190"/>
    <w:rsid w:val="4FCBFAFA"/>
    <w:rsid w:val="4FCC1B1F"/>
    <w:rsid w:val="4FCD2547"/>
    <w:rsid w:val="4FCEE3BC"/>
    <w:rsid w:val="4FCF6E49"/>
    <w:rsid w:val="4FD5A3FB"/>
    <w:rsid w:val="4FD7D3D0"/>
    <w:rsid w:val="4FD8C34E"/>
    <w:rsid w:val="4FD9BAE3"/>
    <w:rsid w:val="4FD9C1DC"/>
    <w:rsid w:val="4FE1A14B"/>
    <w:rsid w:val="4FE1D3B4"/>
    <w:rsid w:val="4FE379E0"/>
    <w:rsid w:val="4FE3A024"/>
    <w:rsid w:val="4FE3F27C"/>
    <w:rsid w:val="4FE78703"/>
    <w:rsid w:val="4FE849F8"/>
    <w:rsid w:val="4FED228D"/>
    <w:rsid w:val="4FED9947"/>
    <w:rsid w:val="4FEEE188"/>
    <w:rsid w:val="4FEF8821"/>
    <w:rsid w:val="4FF2E936"/>
    <w:rsid w:val="4FF30E53"/>
    <w:rsid w:val="4FF5947C"/>
    <w:rsid w:val="4FF74478"/>
    <w:rsid w:val="4FFB3FF7"/>
    <w:rsid w:val="500825A1"/>
    <w:rsid w:val="50084E6B"/>
    <w:rsid w:val="5013A564"/>
    <w:rsid w:val="5013E98C"/>
    <w:rsid w:val="501AC37C"/>
    <w:rsid w:val="501BEA97"/>
    <w:rsid w:val="50209607"/>
    <w:rsid w:val="5022DBB7"/>
    <w:rsid w:val="50284189"/>
    <w:rsid w:val="502AAC6F"/>
    <w:rsid w:val="502F5CA4"/>
    <w:rsid w:val="5034EB48"/>
    <w:rsid w:val="5035A1B8"/>
    <w:rsid w:val="5038E177"/>
    <w:rsid w:val="503EBE13"/>
    <w:rsid w:val="50400AAD"/>
    <w:rsid w:val="5041F435"/>
    <w:rsid w:val="5049BD02"/>
    <w:rsid w:val="50531E90"/>
    <w:rsid w:val="5054243B"/>
    <w:rsid w:val="50570109"/>
    <w:rsid w:val="50602796"/>
    <w:rsid w:val="50643BBE"/>
    <w:rsid w:val="50662D54"/>
    <w:rsid w:val="50667A83"/>
    <w:rsid w:val="50696EDD"/>
    <w:rsid w:val="506AB7D5"/>
    <w:rsid w:val="506B6401"/>
    <w:rsid w:val="5070A831"/>
    <w:rsid w:val="50713C49"/>
    <w:rsid w:val="50717483"/>
    <w:rsid w:val="5075823A"/>
    <w:rsid w:val="507697A7"/>
    <w:rsid w:val="50789D2D"/>
    <w:rsid w:val="5079604B"/>
    <w:rsid w:val="5079803D"/>
    <w:rsid w:val="507B31B8"/>
    <w:rsid w:val="5085D3BE"/>
    <w:rsid w:val="508A9C5B"/>
    <w:rsid w:val="5098BF8B"/>
    <w:rsid w:val="509A852E"/>
    <w:rsid w:val="509E7151"/>
    <w:rsid w:val="50A0D7DA"/>
    <w:rsid w:val="50A2EA14"/>
    <w:rsid w:val="50A5A892"/>
    <w:rsid w:val="50A80166"/>
    <w:rsid w:val="50B31837"/>
    <w:rsid w:val="50B37DC2"/>
    <w:rsid w:val="50B54C22"/>
    <w:rsid w:val="50C2CD27"/>
    <w:rsid w:val="50CFB5F0"/>
    <w:rsid w:val="50D05655"/>
    <w:rsid w:val="50D19CDA"/>
    <w:rsid w:val="50D23AA9"/>
    <w:rsid w:val="50D2905B"/>
    <w:rsid w:val="50DA2FBB"/>
    <w:rsid w:val="50DC2998"/>
    <w:rsid w:val="50E08E93"/>
    <w:rsid w:val="50EA0929"/>
    <w:rsid w:val="50EBF0BA"/>
    <w:rsid w:val="50EF9870"/>
    <w:rsid w:val="50F20F18"/>
    <w:rsid w:val="50F253C7"/>
    <w:rsid w:val="50F2603B"/>
    <w:rsid w:val="50FDA9E6"/>
    <w:rsid w:val="510167B4"/>
    <w:rsid w:val="5103C017"/>
    <w:rsid w:val="5104BFC7"/>
    <w:rsid w:val="51059467"/>
    <w:rsid w:val="5105964B"/>
    <w:rsid w:val="51091899"/>
    <w:rsid w:val="510C2732"/>
    <w:rsid w:val="510F1F6E"/>
    <w:rsid w:val="510FA95A"/>
    <w:rsid w:val="5114C4D7"/>
    <w:rsid w:val="51191CCD"/>
    <w:rsid w:val="512169AA"/>
    <w:rsid w:val="5123E6A1"/>
    <w:rsid w:val="5124D395"/>
    <w:rsid w:val="51299408"/>
    <w:rsid w:val="5129F159"/>
    <w:rsid w:val="512BB44F"/>
    <w:rsid w:val="51320F23"/>
    <w:rsid w:val="5132751D"/>
    <w:rsid w:val="513A580F"/>
    <w:rsid w:val="513A5C19"/>
    <w:rsid w:val="513FFC44"/>
    <w:rsid w:val="5140674E"/>
    <w:rsid w:val="51521056"/>
    <w:rsid w:val="51536653"/>
    <w:rsid w:val="515D592B"/>
    <w:rsid w:val="515E1DE2"/>
    <w:rsid w:val="51614809"/>
    <w:rsid w:val="51640851"/>
    <w:rsid w:val="51644094"/>
    <w:rsid w:val="5174EE09"/>
    <w:rsid w:val="51777617"/>
    <w:rsid w:val="517F2E6A"/>
    <w:rsid w:val="5184CFFA"/>
    <w:rsid w:val="51850C0C"/>
    <w:rsid w:val="518AA298"/>
    <w:rsid w:val="518B1722"/>
    <w:rsid w:val="51949051"/>
    <w:rsid w:val="519E26BE"/>
    <w:rsid w:val="51A015E7"/>
    <w:rsid w:val="51A11223"/>
    <w:rsid w:val="51A11777"/>
    <w:rsid w:val="51A54229"/>
    <w:rsid w:val="51A78CE9"/>
    <w:rsid w:val="51AF2FD9"/>
    <w:rsid w:val="51B27444"/>
    <w:rsid w:val="51B957B5"/>
    <w:rsid w:val="51BE925B"/>
    <w:rsid w:val="51C2581A"/>
    <w:rsid w:val="51C78CAE"/>
    <w:rsid w:val="51CB5ED9"/>
    <w:rsid w:val="51CC7FFC"/>
    <w:rsid w:val="51CCFB05"/>
    <w:rsid w:val="51D13824"/>
    <w:rsid w:val="51D36162"/>
    <w:rsid w:val="51D73AF1"/>
    <w:rsid w:val="51D9F767"/>
    <w:rsid w:val="51DA9F7A"/>
    <w:rsid w:val="51DBFC2E"/>
    <w:rsid w:val="51DC1E40"/>
    <w:rsid w:val="51DC2ABA"/>
    <w:rsid w:val="51DF7225"/>
    <w:rsid w:val="51E48918"/>
    <w:rsid w:val="51E5D540"/>
    <w:rsid w:val="51EBB3B2"/>
    <w:rsid w:val="51EC04F9"/>
    <w:rsid w:val="51EC9DED"/>
    <w:rsid w:val="51F460D1"/>
    <w:rsid w:val="51F4E009"/>
    <w:rsid w:val="51F516CF"/>
    <w:rsid w:val="51F54E5C"/>
    <w:rsid w:val="51FAF2F9"/>
    <w:rsid w:val="51FF1342"/>
    <w:rsid w:val="51FFE468"/>
    <w:rsid w:val="52011021"/>
    <w:rsid w:val="5202926C"/>
    <w:rsid w:val="5206382A"/>
    <w:rsid w:val="520C08D8"/>
    <w:rsid w:val="520D6356"/>
    <w:rsid w:val="520D9AF2"/>
    <w:rsid w:val="5213DD80"/>
    <w:rsid w:val="521AA540"/>
    <w:rsid w:val="521E765A"/>
    <w:rsid w:val="52238ECB"/>
    <w:rsid w:val="5226A538"/>
    <w:rsid w:val="5227EB58"/>
    <w:rsid w:val="5235A5B2"/>
    <w:rsid w:val="523D8ADF"/>
    <w:rsid w:val="523E26E6"/>
    <w:rsid w:val="5242C08D"/>
    <w:rsid w:val="5249BCBD"/>
    <w:rsid w:val="524C3D63"/>
    <w:rsid w:val="525320A9"/>
    <w:rsid w:val="525F80BB"/>
    <w:rsid w:val="5262E294"/>
    <w:rsid w:val="5263A4F0"/>
    <w:rsid w:val="52678C6F"/>
    <w:rsid w:val="5267BA75"/>
    <w:rsid w:val="526802D2"/>
    <w:rsid w:val="526BEFBD"/>
    <w:rsid w:val="52735BB5"/>
    <w:rsid w:val="527494DF"/>
    <w:rsid w:val="5276376B"/>
    <w:rsid w:val="52798E21"/>
    <w:rsid w:val="527A234A"/>
    <w:rsid w:val="52805FAD"/>
    <w:rsid w:val="5285E738"/>
    <w:rsid w:val="5287D940"/>
    <w:rsid w:val="5288F506"/>
    <w:rsid w:val="5289ECA0"/>
    <w:rsid w:val="528EEC85"/>
    <w:rsid w:val="52907BF6"/>
    <w:rsid w:val="5293955F"/>
    <w:rsid w:val="5295E608"/>
    <w:rsid w:val="529730E9"/>
    <w:rsid w:val="52995C10"/>
    <w:rsid w:val="52996AFF"/>
    <w:rsid w:val="529AC023"/>
    <w:rsid w:val="529F1370"/>
    <w:rsid w:val="52A26F43"/>
    <w:rsid w:val="52A2A172"/>
    <w:rsid w:val="52A5A2C4"/>
    <w:rsid w:val="52B4BD50"/>
    <w:rsid w:val="52BCD9FD"/>
    <w:rsid w:val="52C22C07"/>
    <w:rsid w:val="52C27F09"/>
    <w:rsid w:val="52C4E0A7"/>
    <w:rsid w:val="52C79A5B"/>
    <w:rsid w:val="52C7A978"/>
    <w:rsid w:val="52CD0CA5"/>
    <w:rsid w:val="52D1E045"/>
    <w:rsid w:val="52D4D17F"/>
    <w:rsid w:val="52D8AD3A"/>
    <w:rsid w:val="52DCA39F"/>
    <w:rsid w:val="52DDFFFA"/>
    <w:rsid w:val="52E00719"/>
    <w:rsid w:val="52E1DC14"/>
    <w:rsid w:val="52E73F64"/>
    <w:rsid w:val="52EAA916"/>
    <w:rsid w:val="52F70F28"/>
    <w:rsid w:val="52F91973"/>
    <w:rsid w:val="52FA13BD"/>
    <w:rsid w:val="52FADB35"/>
    <w:rsid w:val="5306C6AB"/>
    <w:rsid w:val="53073653"/>
    <w:rsid w:val="530B4669"/>
    <w:rsid w:val="5312961E"/>
    <w:rsid w:val="5314D449"/>
    <w:rsid w:val="531B4A33"/>
    <w:rsid w:val="531D4B67"/>
    <w:rsid w:val="53204BD1"/>
    <w:rsid w:val="5324A187"/>
    <w:rsid w:val="5324F7F0"/>
    <w:rsid w:val="53258B4D"/>
    <w:rsid w:val="532FCFB5"/>
    <w:rsid w:val="533D0818"/>
    <w:rsid w:val="533D7342"/>
    <w:rsid w:val="53435F6F"/>
    <w:rsid w:val="534813EA"/>
    <w:rsid w:val="534AC238"/>
    <w:rsid w:val="534EF333"/>
    <w:rsid w:val="535839B8"/>
    <w:rsid w:val="535850E4"/>
    <w:rsid w:val="5359F7DD"/>
    <w:rsid w:val="535A7336"/>
    <w:rsid w:val="5365B7C2"/>
    <w:rsid w:val="536A1BF2"/>
    <w:rsid w:val="5371F247"/>
    <w:rsid w:val="53720749"/>
    <w:rsid w:val="53725DE0"/>
    <w:rsid w:val="53754810"/>
    <w:rsid w:val="5379018A"/>
    <w:rsid w:val="537A4F1E"/>
    <w:rsid w:val="537D8043"/>
    <w:rsid w:val="53849660"/>
    <w:rsid w:val="5395FAAB"/>
    <w:rsid w:val="53981945"/>
    <w:rsid w:val="539D54B8"/>
    <w:rsid w:val="539FEBF4"/>
    <w:rsid w:val="53A4D937"/>
    <w:rsid w:val="53B09827"/>
    <w:rsid w:val="53B0AB49"/>
    <w:rsid w:val="53B4BED6"/>
    <w:rsid w:val="53BAA4B2"/>
    <w:rsid w:val="53BD2D3E"/>
    <w:rsid w:val="53BF34F3"/>
    <w:rsid w:val="53C1CB69"/>
    <w:rsid w:val="53C67642"/>
    <w:rsid w:val="53C6B048"/>
    <w:rsid w:val="53C7FF23"/>
    <w:rsid w:val="53CA04E6"/>
    <w:rsid w:val="53CD45CD"/>
    <w:rsid w:val="53CEAF14"/>
    <w:rsid w:val="53D11C3A"/>
    <w:rsid w:val="53DA5E2A"/>
    <w:rsid w:val="53DA8E1C"/>
    <w:rsid w:val="53DEBCBD"/>
    <w:rsid w:val="53E19663"/>
    <w:rsid w:val="53E6551B"/>
    <w:rsid w:val="53EBBBEF"/>
    <w:rsid w:val="53ECE68F"/>
    <w:rsid w:val="53F0E037"/>
    <w:rsid w:val="53FFBF30"/>
    <w:rsid w:val="54014CC2"/>
    <w:rsid w:val="5401BB6C"/>
    <w:rsid w:val="5406602F"/>
    <w:rsid w:val="540716E5"/>
    <w:rsid w:val="540A00A5"/>
    <w:rsid w:val="540F9DC4"/>
    <w:rsid w:val="54133DB3"/>
    <w:rsid w:val="54151A06"/>
    <w:rsid w:val="541A104E"/>
    <w:rsid w:val="541A19B7"/>
    <w:rsid w:val="5429B117"/>
    <w:rsid w:val="542AB7F1"/>
    <w:rsid w:val="542CBFCF"/>
    <w:rsid w:val="5430DFB5"/>
    <w:rsid w:val="5437188E"/>
    <w:rsid w:val="5437AE83"/>
    <w:rsid w:val="5438E251"/>
    <w:rsid w:val="543956DF"/>
    <w:rsid w:val="54397C2B"/>
    <w:rsid w:val="5439C69D"/>
    <w:rsid w:val="543BF90F"/>
    <w:rsid w:val="543D4CF3"/>
    <w:rsid w:val="5445851A"/>
    <w:rsid w:val="544CF6E0"/>
    <w:rsid w:val="54528733"/>
    <w:rsid w:val="5457BA9B"/>
    <w:rsid w:val="545B7406"/>
    <w:rsid w:val="545FF204"/>
    <w:rsid w:val="546212EE"/>
    <w:rsid w:val="5463A651"/>
    <w:rsid w:val="5467A5B5"/>
    <w:rsid w:val="546BEC50"/>
    <w:rsid w:val="546EA256"/>
    <w:rsid w:val="5471F760"/>
    <w:rsid w:val="54729C6A"/>
    <w:rsid w:val="547570D4"/>
    <w:rsid w:val="5479137C"/>
    <w:rsid w:val="547ED6ED"/>
    <w:rsid w:val="547F7E34"/>
    <w:rsid w:val="548AE76D"/>
    <w:rsid w:val="548D2652"/>
    <w:rsid w:val="54931159"/>
    <w:rsid w:val="54939303"/>
    <w:rsid w:val="5496AB18"/>
    <w:rsid w:val="549B659C"/>
    <w:rsid w:val="549E378E"/>
    <w:rsid w:val="54A22FD3"/>
    <w:rsid w:val="54A2D17C"/>
    <w:rsid w:val="54A53F3F"/>
    <w:rsid w:val="54A56525"/>
    <w:rsid w:val="54A9090A"/>
    <w:rsid w:val="54AE6182"/>
    <w:rsid w:val="54B16EBF"/>
    <w:rsid w:val="54B29D5D"/>
    <w:rsid w:val="54BBCAE5"/>
    <w:rsid w:val="54BE4C3D"/>
    <w:rsid w:val="54BFB60B"/>
    <w:rsid w:val="54C3E3C4"/>
    <w:rsid w:val="54C8E505"/>
    <w:rsid w:val="54CD5F6C"/>
    <w:rsid w:val="54CF08FB"/>
    <w:rsid w:val="54CF7BD5"/>
    <w:rsid w:val="54D61107"/>
    <w:rsid w:val="54D6BABC"/>
    <w:rsid w:val="54D85DDE"/>
    <w:rsid w:val="54D8DB9B"/>
    <w:rsid w:val="54DBD105"/>
    <w:rsid w:val="54DC6E07"/>
    <w:rsid w:val="54DD77B9"/>
    <w:rsid w:val="54E1F8C8"/>
    <w:rsid w:val="54E33B21"/>
    <w:rsid w:val="54E54651"/>
    <w:rsid w:val="54E6200F"/>
    <w:rsid w:val="54EDD3B0"/>
    <w:rsid w:val="550125B8"/>
    <w:rsid w:val="5504253F"/>
    <w:rsid w:val="55045E30"/>
    <w:rsid w:val="55052A16"/>
    <w:rsid w:val="55083937"/>
    <w:rsid w:val="550AC789"/>
    <w:rsid w:val="550C16BE"/>
    <w:rsid w:val="550F5064"/>
    <w:rsid w:val="55102E33"/>
    <w:rsid w:val="55114F05"/>
    <w:rsid w:val="551899F0"/>
    <w:rsid w:val="5518E35E"/>
    <w:rsid w:val="551C5B77"/>
    <w:rsid w:val="55215C55"/>
    <w:rsid w:val="552D4442"/>
    <w:rsid w:val="552FFE26"/>
    <w:rsid w:val="55358DA0"/>
    <w:rsid w:val="5536FE6C"/>
    <w:rsid w:val="553AE1A0"/>
    <w:rsid w:val="554A4C45"/>
    <w:rsid w:val="554B8DD1"/>
    <w:rsid w:val="554BF9BA"/>
    <w:rsid w:val="554E426D"/>
    <w:rsid w:val="55508F4A"/>
    <w:rsid w:val="5550C61F"/>
    <w:rsid w:val="5550FB8F"/>
    <w:rsid w:val="55511D1A"/>
    <w:rsid w:val="5556240F"/>
    <w:rsid w:val="5556CACD"/>
    <w:rsid w:val="555B92FD"/>
    <w:rsid w:val="55653C00"/>
    <w:rsid w:val="5569DCBB"/>
    <w:rsid w:val="556C2B5E"/>
    <w:rsid w:val="556E549D"/>
    <w:rsid w:val="55758D1A"/>
    <w:rsid w:val="5579F1CD"/>
    <w:rsid w:val="558165E7"/>
    <w:rsid w:val="5581BEA0"/>
    <w:rsid w:val="55850800"/>
    <w:rsid w:val="5585A79B"/>
    <w:rsid w:val="55869669"/>
    <w:rsid w:val="5588581F"/>
    <w:rsid w:val="5588AD84"/>
    <w:rsid w:val="558A95DA"/>
    <w:rsid w:val="558B0210"/>
    <w:rsid w:val="558D28F3"/>
    <w:rsid w:val="55905FF6"/>
    <w:rsid w:val="559385A8"/>
    <w:rsid w:val="5595626C"/>
    <w:rsid w:val="55974DAD"/>
    <w:rsid w:val="559B73B8"/>
    <w:rsid w:val="55A06E30"/>
    <w:rsid w:val="55A0F46B"/>
    <w:rsid w:val="55A35BA7"/>
    <w:rsid w:val="55A7B0AC"/>
    <w:rsid w:val="55A8396C"/>
    <w:rsid w:val="55AADCCE"/>
    <w:rsid w:val="55AB13C3"/>
    <w:rsid w:val="55AB311D"/>
    <w:rsid w:val="55B706EB"/>
    <w:rsid w:val="55B7CCF4"/>
    <w:rsid w:val="55BAAAA6"/>
    <w:rsid w:val="55C39C71"/>
    <w:rsid w:val="55C6B59F"/>
    <w:rsid w:val="55C7362B"/>
    <w:rsid w:val="55CB201A"/>
    <w:rsid w:val="55CB224F"/>
    <w:rsid w:val="55CB501D"/>
    <w:rsid w:val="55D0C466"/>
    <w:rsid w:val="55D7556B"/>
    <w:rsid w:val="55DA5EF4"/>
    <w:rsid w:val="55DE955F"/>
    <w:rsid w:val="55DF5A15"/>
    <w:rsid w:val="55E05A6D"/>
    <w:rsid w:val="55E14A0B"/>
    <w:rsid w:val="55E2C1ED"/>
    <w:rsid w:val="55E34DC7"/>
    <w:rsid w:val="55E4D0ED"/>
    <w:rsid w:val="55E56163"/>
    <w:rsid w:val="55E62143"/>
    <w:rsid w:val="55EA0EEA"/>
    <w:rsid w:val="55F5B0B1"/>
    <w:rsid w:val="55FA9947"/>
    <w:rsid w:val="55FD1D55"/>
    <w:rsid w:val="55FD3E87"/>
    <w:rsid w:val="55FD58A0"/>
    <w:rsid w:val="55FEC5E0"/>
    <w:rsid w:val="560147C4"/>
    <w:rsid w:val="5605F976"/>
    <w:rsid w:val="560709B4"/>
    <w:rsid w:val="56083EBB"/>
    <w:rsid w:val="560FC78D"/>
    <w:rsid w:val="561510BD"/>
    <w:rsid w:val="5616BA47"/>
    <w:rsid w:val="561A1CC8"/>
    <w:rsid w:val="561A6B7C"/>
    <w:rsid w:val="561B4978"/>
    <w:rsid w:val="5621A0D8"/>
    <w:rsid w:val="5622C742"/>
    <w:rsid w:val="562967C9"/>
    <w:rsid w:val="562A5563"/>
    <w:rsid w:val="562AB87A"/>
    <w:rsid w:val="562BF51F"/>
    <w:rsid w:val="562F9D7C"/>
    <w:rsid w:val="5631B784"/>
    <w:rsid w:val="5633268E"/>
    <w:rsid w:val="56358CA8"/>
    <w:rsid w:val="563727B8"/>
    <w:rsid w:val="5639E940"/>
    <w:rsid w:val="563F77B0"/>
    <w:rsid w:val="56433BBE"/>
    <w:rsid w:val="5643E308"/>
    <w:rsid w:val="564E00C6"/>
    <w:rsid w:val="564F9DD1"/>
    <w:rsid w:val="56574FA0"/>
    <w:rsid w:val="565F05AD"/>
    <w:rsid w:val="5663E1E9"/>
    <w:rsid w:val="5666F06C"/>
    <w:rsid w:val="5666FBC0"/>
    <w:rsid w:val="566B4E58"/>
    <w:rsid w:val="566B5624"/>
    <w:rsid w:val="566EF76D"/>
    <w:rsid w:val="5679A63D"/>
    <w:rsid w:val="5679C814"/>
    <w:rsid w:val="567E8F3D"/>
    <w:rsid w:val="5682ED8B"/>
    <w:rsid w:val="5683313C"/>
    <w:rsid w:val="56859370"/>
    <w:rsid w:val="5686F294"/>
    <w:rsid w:val="56891B23"/>
    <w:rsid w:val="568EDC3E"/>
    <w:rsid w:val="5690A1F5"/>
    <w:rsid w:val="56A1EF41"/>
    <w:rsid w:val="56A2E218"/>
    <w:rsid w:val="56AED182"/>
    <w:rsid w:val="56BA04BE"/>
    <w:rsid w:val="56C979E1"/>
    <w:rsid w:val="56CB015D"/>
    <w:rsid w:val="56CF95A6"/>
    <w:rsid w:val="56D73EE8"/>
    <w:rsid w:val="56DAD7FD"/>
    <w:rsid w:val="56DDD319"/>
    <w:rsid w:val="56DEA6C9"/>
    <w:rsid w:val="56E4A3A5"/>
    <w:rsid w:val="56EDC7C5"/>
    <w:rsid w:val="56F0F973"/>
    <w:rsid w:val="56F269F6"/>
    <w:rsid w:val="56F5D75C"/>
    <w:rsid w:val="56F60846"/>
    <w:rsid w:val="56F701B6"/>
    <w:rsid w:val="56F7E2AF"/>
    <w:rsid w:val="56FCCF22"/>
    <w:rsid w:val="56FFE148"/>
    <w:rsid w:val="5701F3F4"/>
    <w:rsid w:val="5702B3C4"/>
    <w:rsid w:val="57199E49"/>
    <w:rsid w:val="571C71D8"/>
    <w:rsid w:val="571CA5E9"/>
    <w:rsid w:val="57220EEC"/>
    <w:rsid w:val="572A57D0"/>
    <w:rsid w:val="572D7223"/>
    <w:rsid w:val="57350146"/>
    <w:rsid w:val="5738AB03"/>
    <w:rsid w:val="5739E675"/>
    <w:rsid w:val="573F6D46"/>
    <w:rsid w:val="574108EA"/>
    <w:rsid w:val="5741F567"/>
    <w:rsid w:val="57472D8F"/>
    <w:rsid w:val="5750B5C5"/>
    <w:rsid w:val="57531534"/>
    <w:rsid w:val="575422B9"/>
    <w:rsid w:val="5755A349"/>
    <w:rsid w:val="575CB52E"/>
    <w:rsid w:val="575D7E07"/>
    <w:rsid w:val="5762FD31"/>
    <w:rsid w:val="576EB2AD"/>
    <w:rsid w:val="576F0886"/>
    <w:rsid w:val="576F4DF1"/>
    <w:rsid w:val="576FB0FE"/>
    <w:rsid w:val="5770574B"/>
    <w:rsid w:val="5771A27C"/>
    <w:rsid w:val="57779128"/>
    <w:rsid w:val="57788F17"/>
    <w:rsid w:val="577D78F6"/>
    <w:rsid w:val="5780BA15"/>
    <w:rsid w:val="578B5321"/>
    <w:rsid w:val="578D15F9"/>
    <w:rsid w:val="578E75B3"/>
    <w:rsid w:val="5791E907"/>
    <w:rsid w:val="57953927"/>
    <w:rsid w:val="57990026"/>
    <w:rsid w:val="57994F68"/>
    <w:rsid w:val="579CB3DB"/>
    <w:rsid w:val="579E7A02"/>
    <w:rsid w:val="57A141EF"/>
    <w:rsid w:val="57A5FC0E"/>
    <w:rsid w:val="57A7627C"/>
    <w:rsid w:val="57AB815A"/>
    <w:rsid w:val="57B12736"/>
    <w:rsid w:val="57B7203F"/>
    <w:rsid w:val="57BA1F73"/>
    <w:rsid w:val="57BA9BD7"/>
    <w:rsid w:val="57BBC388"/>
    <w:rsid w:val="57BCACD4"/>
    <w:rsid w:val="57BD8F9D"/>
    <w:rsid w:val="57BEC276"/>
    <w:rsid w:val="57C0ED9E"/>
    <w:rsid w:val="57C32098"/>
    <w:rsid w:val="57C9157E"/>
    <w:rsid w:val="57CEA219"/>
    <w:rsid w:val="57D18E41"/>
    <w:rsid w:val="57D6AF16"/>
    <w:rsid w:val="57D80A11"/>
    <w:rsid w:val="57DA2FF2"/>
    <w:rsid w:val="57DD7BBC"/>
    <w:rsid w:val="57DD9773"/>
    <w:rsid w:val="57DEE763"/>
    <w:rsid w:val="57DF1A4C"/>
    <w:rsid w:val="57E4529F"/>
    <w:rsid w:val="57E7BA18"/>
    <w:rsid w:val="57E971A7"/>
    <w:rsid w:val="57FB6E2E"/>
    <w:rsid w:val="57FD4CB9"/>
    <w:rsid w:val="57FDB5E6"/>
    <w:rsid w:val="580A7745"/>
    <w:rsid w:val="5811710A"/>
    <w:rsid w:val="58136434"/>
    <w:rsid w:val="58195520"/>
    <w:rsid w:val="581E5F47"/>
    <w:rsid w:val="58206492"/>
    <w:rsid w:val="5820FC95"/>
    <w:rsid w:val="5822DF25"/>
    <w:rsid w:val="58246163"/>
    <w:rsid w:val="582FA1CC"/>
    <w:rsid w:val="582FA79B"/>
    <w:rsid w:val="5830F24D"/>
    <w:rsid w:val="583C9D1A"/>
    <w:rsid w:val="5845C132"/>
    <w:rsid w:val="584958ED"/>
    <w:rsid w:val="58499A1B"/>
    <w:rsid w:val="584AD256"/>
    <w:rsid w:val="584D14C4"/>
    <w:rsid w:val="584EC4F9"/>
    <w:rsid w:val="58507082"/>
    <w:rsid w:val="58545E05"/>
    <w:rsid w:val="5857CD2A"/>
    <w:rsid w:val="585B685F"/>
    <w:rsid w:val="585B76D9"/>
    <w:rsid w:val="585DF1CE"/>
    <w:rsid w:val="585E453B"/>
    <w:rsid w:val="5860C5FB"/>
    <w:rsid w:val="58619F86"/>
    <w:rsid w:val="58647360"/>
    <w:rsid w:val="5867414C"/>
    <w:rsid w:val="586C3A63"/>
    <w:rsid w:val="586E8EF3"/>
    <w:rsid w:val="58784FFA"/>
    <w:rsid w:val="587C39B6"/>
    <w:rsid w:val="587C757E"/>
    <w:rsid w:val="587F0D40"/>
    <w:rsid w:val="588C8ED6"/>
    <w:rsid w:val="588F3364"/>
    <w:rsid w:val="58940720"/>
    <w:rsid w:val="58996CDD"/>
    <w:rsid w:val="589ADFF5"/>
    <w:rsid w:val="589B80C0"/>
    <w:rsid w:val="589DBF91"/>
    <w:rsid w:val="589F36E8"/>
    <w:rsid w:val="589FD146"/>
    <w:rsid w:val="58A4CD75"/>
    <w:rsid w:val="58AC3839"/>
    <w:rsid w:val="58AF00F2"/>
    <w:rsid w:val="58B08E69"/>
    <w:rsid w:val="58B2BC52"/>
    <w:rsid w:val="58B5D3A9"/>
    <w:rsid w:val="58BC6F97"/>
    <w:rsid w:val="58C2ACB2"/>
    <w:rsid w:val="58C437CC"/>
    <w:rsid w:val="58C4B4CC"/>
    <w:rsid w:val="58C4D25B"/>
    <w:rsid w:val="58C53484"/>
    <w:rsid w:val="58C69533"/>
    <w:rsid w:val="58CFFDB1"/>
    <w:rsid w:val="58D20950"/>
    <w:rsid w:val="58E0DDAD"/>
    <w:rsid w:val="58E2CD82"/>
    <w:rsid w:val="58F21C1F"/>
    <w:rsid w:val="58F8BEDE"/>
    <w:rsid w:val="58F979F9"/>
    <w:rsid w:val="58FA1D4C"/>
    <w:rsid w:val="58FA5AE4"/>
    <w:rsid w:val="5901961F"/>
    <w:rsid w:val="5901F819"/>
    <w:rsid w:val="5908C5B8"/>
    <w:rsid w:val="590B9DDE"/>
    <w:rsid w:val="590C4217"/>
    <w:rsid w:val="59133A99"/>
    <w:rsid w:val="59133AB5"/>
    <w:rsid w:val="5915711B"/>
    <w:rsid w:val="591A5316"/>
    <w:rsid w:val="591F29F6"/>
    <w:rsid w:val="59232F2E"/>
    <w:rsid w:val="59236724"/>
    <w:rsid w:val="592AD8E6"/>
    <w:rsid w:val="5931E0B6"/>
    <w:rsid w:val="59399AA1"/>
    <w:rsid w:val="593BC1B1"/>
    <w:rsid w:val="5941BC65"/>
    <w:rsid w:val="59457E2D"/>
    <w:rsid w:val="5949A48D"/>
    <w:rsid w:val="594FB6B8"/>
    <w:rsid w:val="5956CDE3"/>
    <w:rsid w:val="5959D9E7"/>
    <w:rsid w:val="595AFCD0"/>
    <w:rsid w:val="595D4450"/>
    <w:rsid w:val="595D48E2"/>
    <w:rsid w:val="596276B1"/>
    <w:rsid w:val="5965B441"/>
    <w:rsid w:val="5971155C"/>
    <w:rsid w:val="5975E455"/>
    <w:rsid w:val="59780C7D"/>
    <w:rsid w:val="597E6BEE"/>
    <w:rsid w:val="598116D6"/>
    <w:rsid w:val="59819699"/>
    <w:rsid w:val="598432EC"/>
    <w:rsid w:val="598610A7"/>
    <w:rsid w:val="5988FD1B"/>
    <w:rsid w:val="5989B1CC"/>
    <w:rsid w:val="5989B9B4"/>
    <w:rsid w:val="598D223C"/>
    <w:rsid w:val="598D5311"/>
    <w:rsid w:val="59903301"/>
    <w:rsid w:val="5991E71F"/>
    <w:rsid w:val="599EF88B"/>
    <w:rsid w:val="59A00C5D"/>
    <w:rsid w:val="59A0933D"/>
    <w:rsid w:val="59A6A6B7"/>
    <w:rsid w:val="59AAB415"/>
    <w:rsid w:val="59AC88EE"/>
    <w:rsid w:val="59AD15C0"/>
    <w:rsid w:val="59B19287"/>
    <w:rsid w:val="59B475B5"/>
    <w:rsid w:val="59B55C52"/>
    <w:rsid w:val="59BC65CD"/>
    <w:rsid w:val="59CEDBCC"/>
    <w:rsid w:val="59D1396D"/>
    <w:rsid w:val="59D7C88B"/>
    <w:rsid w:val="59D8BDB6"/>
    <w:rsid w:val="59D9F19E"/>
    <w:rsid w:val="59DAF232"/>
    <w:rsid w:val="59E6EEF0"/>
    <w:rsid w:val="59E92D97"/>
    <w:rsid w:val="59E9899C"/>
    <w:rsid w:val="59EB4383"/>
    <w:rsid w:val="59EE0E28"/>
    <w:rsid w:val="59F37168"/>
    <w:rsid w:val="59F9E589"/>
    <w:rsid w:val="59F9EDEE"/>
    <w:rsid w:val="59FD94D4"/>
    <w:rsid w:val="5A06D754"/>
    <w:rsid w:val="5A09A6E2"/>
    <w:rsid w:val="5A0BA255"/>
    <w:rsid w:val="5A12AB75"/>
    <w:rsid w:val="5A155D85"/>
    <w:rsid w:val="5A161E91"/>
    <w:rsid w:val="5A1ACCE2"/>
    <w:rsid w:val="5A2FB38A"/>
    <w:rsid w:val="5A3047A7"/>
    <w:rsid w:val="5A30E3A4"/>
    <w:rsid w:val="5A31BDC0"/>
    <w:rsid w:val="5A328A04"/>
    <w:rsid w:val="5A3A84DD"/>
    <w:rsid w:val="5A415428"/>
    <w:rsid w:val="5A42916E"/>
    <w:rsid w:val="5A4F0ACA"/>
    <w:rsid w:val="5A567341"/>
    <w:rsid w:val="5A58D003"/>
    <w:rsid w:val="5A59DB6C"/>
    <w:rsid w:val="5A5CAC3F"/>
    <w:rsid w:val="5A6B85EC"/>
    <w:rsid w:val="5A743EBE"/>
    <w:rsid w:val="5A7AF6FA"/>
    <w:rsid w:val="5A7C6238"/>
    <w:rsid w:val="5A7EB59B"/>
    <w:rsid w:val="5A7F6E16"/>
    <w:rsid w:val="5A834F1D"/>
    <w:rsid w:val="5A888BAC"/>
    <w:rsid w:val="5A8B2F05"/>
    <w:rsid w:val="5A97EA89"/>
    <w:rsid w:val="5A9948FD"/>
    <w:rsid w:val="5A9B2931"/>
    <w:rsid w:val="5A9FAE23"/>
    <w:rsid w:val="5AA4EBFA"/>
    <w:rsid w:val="5AAA34E3"/>
    <w:rsid w:val="5AAAA4D9"/>
    <w:rsid w:val="5ABB2976"/>
    <w:rsid w:val="5ABD036A"/>
    <w:rsid w:val="5ABD9DA0"/>
    <w:rsid w:val="5AC04418"/>
    <w:rsid w:val="5AC343F1"/>
    <w:rsid w:val="5AC349B1"/>
    <w:rsid w:val="5AC8AD8F"/>
    <w:rsid w:val="5AC9F7C2"/>
    <w:rsid w:val="5ACB1305"/>
    <w:rsid w:val="5ACBF771"/>
    <w:rsid w:val="5ACE2D68"/>
    <w:rsid w:val="5AD57751"/>
    <w:rsid w:val="5ADD5E70"/>
    <w:rsid w:val="5AE39CDE"/>
    <w:rsid w:val="5AEE6982"/>
    <w:rsid w:val="5AF3E65E"/>
    <w:rsid w:val="5AF45AAC"/>
    <w:rsid w:val="5AF5BCEE"/>
    <w:rsid w:val="5AF87E5B"/>
    <w:rsid w:val="5AFCAC60"/>
    <w:rsid w:val="5AFD2690"/>
    <w:rsid w:val="5B023567"/>
    <w:rsid w:val="5B04506B"/>
    <w:rsid w:val="5B05384B"/>
    <w:rsid w:val="5B0D8661"/>
    <w:rsid w:val="5B0FA1FB"/>
    <w:rsid w:val="5B131F17"/>
    <w:rsid w:val="5B151A15"/>
    <w:rsid w:val="5B1810D9"/>
    <w:rsid w:val="5B192BC3"/>
    <w:rsid w:val="5B28ED75"/>
    <w:rsid w:val="5B30C0D6"/>
    <w:rsid w:val="5B328F28"/>
    <w:rsid w:val="5B34848C"/>
    <w:rsid w:val="5B37A6E2"/>
    <w:rsid w:val="5B3FF041"/>
    <w:rsid w:val="5B418AB0"/>
    <w:rsid w:val="5B44EC85"/>
    <w:rsid w:val="5B484629"/>
    <w:rsid w:val="5B51A17C"/>
    <w:rsid w:val="5B662D77"/>
    <w:rsid w:val="5B6BD732"/>
    <w:rsid w:val="5B6BF15A"/>
    <w:rsid w:val="5B6C6988"/>
    <w:rsid w:val="5B6E34BA"/>
    <w:rsid w:val="5B74B358"/>
    <w:rsid w:val="5B757276"/>
    <w:rsid w:val="5B7D24B7"/>
    <w:rsid w:val="5B7E49EE"/>
    <w:rsid w:val="5B834CB5"/>
    <w:rsid w:val="5B88A04D"/>
    <w:rsid w:val="5B8A1475"/>
    <w:rsid w:val="5B8B1AE1"/>
    <w:rsid w:val="5B94104B"/>
    <w:rsid w:val="5B9437D9"/>
    <w:rsid w:val="5B9E127D"/>
    <w:rsid w:val="5BA474C0"/>
    <w:rsid w:val="5BB16677"/>
    <w:rsid w:val="5BB1C2A3"/>
    <w:rsid w:val="5BB1E4C2"/>
    <w:rsid w:val="5BB47F3A"/>
    <w:rsid w:val="5BB4A3DC"/>
    <w:rsid w:val="5BB69A70"/>
    <w:rsid w:val="5BB78AF4"/>
    <w:rsid w:val="5BBC10CD"/>
    <w:rsid w:val="5BC86128"/>
    <w:rsid w:val="5BCF6632"/>
    <w:rsid w:val="5BD7A4DD"/>
    <w:rsid w:val="5BD9A970"/>
    <w:rsid w:val="5BD9E3E7"/>
    <w:rsid w:val="5BDFF7D5"/>
    <w:rsid w:val="5BE76315"/>
    <w:rsid w:val="5BECE76F"/>
    <w:rsid w:val="5BEE859D"/>
    <w:rsid w:val="5BF0E3EE"/>
    <w:rsid w:val="5BFAF0BF"/>
    <w:rsid w:val="5BFAFB52"/>
    <w:rsid w:val="5BFF1F3F"/>
    <w:rsid w:val="5BFF91B5"/>
    <w:rsid w:val="5C00637B"/>
    <w:rsid w:val="5C026AAB"/>
    <w:rsid w:val="5C042574"/>
    <w:rsid w:val="5C0438D7"/>
    <w:rsid w:val="5C16FDD3"/>
    <w:rsid w:val="5C19A0A1"/>
    <w:rsid w:val="5C1A3978"/>
    <w:rsid w:val="5C1BC97A"/>
    <w:rsid w:val="5C1E69B6"/>
    <w:rsid w:val="5C226516"/>
    <w:rsid w:val="5C257DB2"/>
    <w:rsid w:val="5C279F0F"/>
    <w:rsid w:val="5C2B6D55"/>
    <w:rsid w:val="5C2EA2DA"/>
    <w:rsid w:val="5C2F5C05"/>
    <w:rsid w:val="5C3015D7"/>
    <w:rsid w:val="5C32ACD6"/>
    <w:rsid w:val="5C38454C"/>
    <w:rsid w:val="5C398DB2"/>
    <w:rsid w:val="5C3E688F"/>
    <w:rsid w:val="5C4B4C8A"/>
    <w:rsid w:val="5C51DADD"/>
    <w:rsid w:val="5C57293B"/>
    <w:rsid w:val="5C5880D7"/>
    <w:rsid w:val="5C60DDE2"/>
    <w:rsid w:val="5C621B14"/>
    <w:rsid w:val="5C6242B3"/>
    <w:rsid w:val="5C675D9B"/>
    <w:rsid w:val="5C69CD7C"/>
    <w:rsid w:val="5C6BCFFB"/>
    <w:rsid w:val="5C6DFC01"/>
    <w:rsid w:val="5C785BCC"/>
    <w:rsid w:val="5C78AC74"/>
    <w:rsid w:val="5C79C3C5"/>
    <w:rsid w:val="5C7C4BB6"/>
    <w:rsid w:val="5C7E5123"/>
    <w:rsid w:val="5C829345"/>
    <w:rsid w:val="5C8DF94B"/>
    <w:rsid w:val="5C8EE9FB"/>
    <w:rsid w:val="5C94DF51"/>
    <w:rsid w:val="5C97AE37"/>
    <w:rsid w:val="5CA0A416"/>
    <w:rsid w:val="5CA2EFD9"/>
    <w:rsid w:val="5CA621E9"/>
    <w:rsid w:val="5CA6E5DB"/>
    <w:rsid w:val="5CB27EDD"/>
    <w:rsid w:val="5CB2A905"/>
    <w:rsid w:val="5CB415A8"/>
    <w:rsid w:val="5CB639EC"/>
    <w:rsid w:val="5CB8DED1"/>
    <w:rsid w:val="5CB9F7C3"/>
    <w:rsid w:val="5CBCBCF0"/>
    <w:rsid w:val="5CBE7785"/>
    <w:rsid w:val="5CBF4B1E"/>
    <w:rsid w:val="5CC0637C"/>
    <w:rsid w:val="5CCA5347"/>
    <w:rsid w:val="5CCE0CDF"/>
    <w:rsid w:val="5CD37537"/>
    <w:rsid w:val="5CD7E77F"/>
    <w:rsid w:val="5CDBFB7E"/>
    <w:rsid w:val="5CDEFCB3"/>
    <w:rsid w:val="5CDFF0A5"/>
    <w:rsid w:val="5CEDBEC2"/>
    <w:rsid w:val="5CEF6BF6"/>
    <w:rsid w:val="5CF94CD8"/>
    <w:rsid w:val="5CFF7783"/>
    <w:rsid w:val="5D000457"/>
    <w:rsid w:val="5D08FF16"/>
    <w:rsid w:val="5D091328"/>
    <w:rsid w:val="5D0AAB17"/>
    <w:rsid w:val="5D18E245"/>
    <w:rsid w:val="5D245391"/>
    <w:rsid w:val="5D297D0D"/>
    <w:rsid w:val="5D31899E"/>
    <w:rsid w:val="5D3CE749"/>
    <w:rsid w:val="5D3D6343"/>
    <w:rsid w:val="5D3DF19D"/>
    <w:rsid w:val="5D3F2E0F"/>
    <w:rsid w:val="5D3F8264"/>
    <w:rsid w:val="5D47D212"/>
    <w:rsid w:val="5D4B5543"/>
    <w:rsid w:val="5D4CBE53"/>
    <w:rsid w:val="5D4FD38A"/>
    <w:rsid w:val="5D534AEA"/>
    <w:rsid w:val="5D54C365"/>
    <w:rsid w:val="5D56AA57"/>
    <w:rsid w:val="5D5A21C4"/>
    <w:rsid w:val="5D61F751"/>
    <w:rsid w:val="5D6FF50B"/>
    <w:rsid w:val="5D7774DE"/>
    <w:rsid w:val="5D79ADF6"/>
    <w:rsid w:val="5D7B9361"/>
    <w:rsid w:val="5D7BAC38"/>
    <w:rsid w:val="5D82C950"/>
    <w:rsid w:val="5D83D048"/>
    <w:rsid w:val="5D856382"/>
    <w:rsid w:val="5D85FBEC"/>
    <w:rsid w:val="5D8B7797"/>
    <w:rsid w:val="5D8D9103"/>
    <w:rsid w:val="5D8F3A40"/>
    <w:rsid w:val="5D910DB5"/>
    <w:rsid w:val="5D945770"/>
    <w:rsid w:val="5DA0EDFB"/>
    <w:rsid w:val="5DA4F909"/>
    <w:rsid w:val="5DA6ADC6"/>
    <w:rsid w:val="5DA8BA5F"/>
    <w:rsid w:val="5DAC9147"/>
    <w:rsid w:val="5DB68E70"/>
    <w:rsid w:val="5DB956AA"/>
    <w:rsid w:val="5DC08471"/>
    <w:rsid w:val="5DC697A0"/>
    <w:rsid w:val="5DCDD313"/>
    <w:rsid w:val="5DD11D00"/>
    <w:rsid w:val="5DD84B6D"/>
    <w:rsid w:val="5DD92EF7"/>
    <w:rsid w:val="5DEED45D"/>
    <w:rsid w:val="5DF0977E"/>
    <w:rsid w:val="5DF219C3"/>
    <w:rsid w:val="5DF5EF60"/>
    <w:rsid w:val="5DF9404C"/>
    <w:rsid w:val="5DFCA34C"/>
    <w:rsid w:val="5E025250"/>
    <w:rsid w:val="5E03CD38"/>
    <w:rsid w:val="5E04A0AA"/>
    <w:rsid w:val="5E04E1CE"/>
    <w:rsid w:val="5E182983"/>
    <w:rsid w:val="5E191102"/>
    <w:rsid w:val="5E1B0BE3"/>
    <w:rsid w:val="5E2A4923"/>
    <w:rsid w:val="5E373392"/>
    <w:rsid w:val="5E38ABE0"/>
    <w:rsid w:val="5E3DBBBE"/>
    <w:rsid w:val="5E41854B"/>
    <w:rsid w:val="5E41D6D4"/>
    <w:rsid w:val="5E458FC4"/>
    <w:rsid w:val="5E49FB49"/>
    <w:rsid w:val="5E4DC149"/>
    <w:rsid w:val="5E4DFFD2"/>
    <w:rsid w:val="5E5146A8"/>
    <w:rsid w:val="5E587026"/>
    <w:rsid w:val="5E68E8EB"/>
    <w:rsid w:val="5E6EA028"/>
    <w:rsid w:val="5E6F7AB6"/>
    <w:rsid w:val="5E71B97E"/>
    <w:rsid w:val="5E76A5D1"/>
    <w:rsid w:val="5E794CD6"/>
    <w:rsid w:val="5E7D8B22"/>
    <w:rsid w:val="5E81C3E5"/>
    <w:rsid w:val="5E836465"/>
    <w:rsid w:val="5E83730D"/>
    <w:rsid w:val="5E883F13"/>
    <w:rsid w:val="5E885BB6"/>
    <w:rsid w:val="5E88C490"/>
    <w:rsid w:val="5E8B7966"/>
    <w:rsid w:val="5E8FD0A0"/>
    <w:rsid w:val="5E932081"/>
    <w:rsid w:val="5E956FCA"/>
    <w:rsid w:val="5E985038"/>
    <w:rsid w:val="5E9946C8"/>
    <w:rsid w:val="5E9D548E"/>
    <w:rsid w:val="5E9DF626"/>
    <w:rsid w:val="5EA0FC25"/>
    <w:rsid w:val="5EA81675"/>
    <w:rsid w:val="5EA82D71"/>
    <w:rsid w:val="5EA84099"/>
    <w:rsid w:val="5EAC817A"/>
    <w:rsid w:val="5EAC9AC4"/>
    <w:rsid w:val="5EAE580B"/>
    <w:rsid w:val="5EB02129"/>
    <w:rsid w:val="5EB22897"/>
    <w:rsid w:val="5EB43035"/>
    <w:rsid w:val="5EBCBB15"/>
    <w:rsid w:val="5EBF1B8C"/>
    <w:rsid w:val="5EC475B1"/>
    <w:rsid w:val="5ECD49EA"/>
    <w:rsid w:val="5ECE10CC"/>
    <w:rsid w:val="5ED1DEC1"/>
    <w:rsid w:val="5ED5DE4F"/>
    <w:rsid w:val="5ED687B1"/>
    <w:rsid w:val="5ED99DE8"/>
    <w:rsid w:val="5EDDEAA1"/>
    <w:rsid w:val="5EE4CC4D"/>
    <w:rsid w:val="5EE5E4E2"/>
    <w:rsid w:val="5EE90330"/>
    <w:rsid w:val="5EEB1E70"/>
    <w:rsid w:val="5EEE762E"/>
    <w:rsid w:val="5EEEFA0E"/>
    <w:rsid w:val="5EF230D0"/>
    <w:rsid w:val="5EF51785"/>
    <w:rsid w:val="5EF6FFFE"/>
    <w:rsid w:val="5EF7CEAE"/>
    <w:rsid w:val="5EF9BE7B"/>
    <w:rsid w:val="5F0068E2"/>
    <w:rsid w:val="5F03060F"/>
    <w:rsid w:val="5F032A13"/>
    <w:rsid w:val="5F0560DD"/>
    <w:rsid w:val="5F0BEAB3"/>
    <w:rsid w:val="5F0D4926"/>
    <w:rsid w:val="5F0FD754"/>
    <w:rsid w:val="5F100D52"/>
    <w:rsid w:val="5F185FE5"/>
    <w:rsid w:val="5F252538"/>
    <w:rsid w:val="5F26F7A4"/>
    <w:rsid w:val="5F2C987F"/>
    <w:rsid w:val="5F2F4D55"/>
    <w:rsid w:val="5F35FB76"/>
    <w:rsid w:val="5F37C713"/>
    <w:rsid w:val="5F4756D4"/>
    <w:rsid w:val="5F47797E"/>
    <w:rsid w:val="5F5596E7"/>
    <w:rsid w:val="5F55AB29"/>
    <w:rsid w:val="5F56AFAA"/>
    <w:rsid w:val="5F63ABD9"/>
    <w:rsid w:val="5F6F5C75"/>
    <w:rsid w:val="5F6FD24F"/>
    <w:rsid w:val="5F70F023"/>
    <w:rsid w:val="5F728A63"/>
    <w:rsid w:val="5F76972F"/>
    <w:rsid w:val="5F7B123E"/>
    <w:rsid w:val="5F7B82A8"/>
    <w:rsid w:val="5F7CC47B"/>
    <w:rsid w:val="5F820E49"/>
    <w:rsid w:val="5F8274A5"/>
    <w:rsid w:val="5F8730D7"/>
    <w:rsid w:val="5F88DB2F"/>
    <w:rsid w:val="5F8A2F81"/>
    <w:rsid w:val="5F8B16D5"/>
    <w:rsid w:val="5F8CCF2B"/>
    <w:rsid w:val="5F8FEFE2"/>
    <w:rsid w:val="5F902E55"/>
    <w:rsid w:val="5F930FC6"/>
    <w:rsid w:val="5F93846A"/>
    <w:rsid w:val="5F95BC2F"/>
    <w:rsid w:val="5F97988D"/>
    <w:rsid w:val="5F98727D"/>
    <w:rsid w:val="5F9B0A58"/>
    <w:rsid w:val="5FA4ED55"/>
    <w:rsid w:val="5FA5641B"/>
    <w:rsid w:val="5FA60FDC"/>
    <w:rsid w:val="5FA6EF22"/>
    <w:rsid w:val="5FA78450"/>
    <w:rsid w:val="5FAF499D"/>
    <w:rsid w:val="5FB26B4A"/>
    <w:rsid w:val="5FB2707B"/>
    <w:rsid w:val="5FB947CE"/>
    <w:rsid w:val="5FBAF0AB"/>
    <w:rsid w:val="5FBBB038"/>
    <w:rsid w:val="5FBD2AA6"/>
    <w:rsid w:val="5FBDF770"/>
    <w:rsid w:val="5FC0C4CD"/>
    <w:rsid w:val="5FC46B8C"/>
    <w:rsid w:val="5FC6C9F4"/>
    <w:rsid w:val="5FCBA689"/>
    <w:rsid w:val="5FCCF4B5"/>
    <w:rsid w:val="5FD0A345"/>
    <w:rsid w:val="5FD15BC0"/>
    <w:rsid w:val="5FD6D5A0"/>
    <w:rsid w:val="5FD97EAA"/>
    <w:rsid w:val="5FDE8122"/>
    <w:rsid w:val="5FDFEB18"/>
    <w:rsid w:val="5FE1E4D5"/>
    <w:rsid w:val="5FE4D5DB"/>
    <w:rsid w:val="5FEF5CF4"/>
    <w:rsid w:val="5FEF9BE4"/>
    <w:rsid w:val="5FF162DD"/>
    <w:rsid w:val="5FF75C80"/>
    <w:rsid w:val="5FF91BC3"/>
    <w:rsid w:val="5FFD7728"/>
    <w:rsid w:val="6001707F"/>
    <w:rsid w:val="600BE7F8"/>
    <w:rsid w:val="600C2684"/>
    <w:rsid w:val="6011AB12"/>
    <w:rsid w:val="601619CF"/>
    <w:rsid w:val="60201993"/>
    <w:rsid w:val="60225B27"/>
    <w:rsid w:val="602BDB2C"/>
    <w:rsid w:val="6031FC02"/>
    <w:rsid w:val="60350CBC"/>
    <w:rsid w:val="603546FB"/>
    <w:rsid w:val="6035C55F"/>
    <w:rsid w:val="6036BA6D"/>
    <w:rsid w:val="6038D51B"/>
    <w:rsid w:val="603B4ED5"/>
    <w:rsid w:val="603E9E94"/>
    <w:rsid w:val="603F7D17"/>
    <w:rsid w:val="604354EE"/>
    <w:rsid w:val="6044A2B9"/>
    <w:rsid w:val="60462685"/>
    <w:rsid w:val="60498B33"/>
    <w:rsid w:val="6049EDE7"/>
    <w:rsid w:val="604B3D64"/>
    <w:rsid w:val="604C6B02"/>
    <w:rsid w:val="604D6326"/>
    <w:rsid w:val="605483B2"/>
    <w:rsid w:val="60597613"/>
    <w:rsid w:val="605A5E70"/>
    <w:rsid w:val="605D4D64"/>
    <w:rsid w:val="605F14E0"/>
    <w:rsid w:val="60626C83"/>
    <w:rsid w:val="606ABCD0"/>
    <w:rsid w:val="606B0C5D"/>
    <w:rsid w:val="606C1EE9"/>
    <w:rsid w:val="606F4D48"/>
    <w:rsid w:val="6072EA7D"/>
    <w:rsid w:val="60732F83"/>
    <w:rsid w:val="6074AAF1"/>
    <w:rsid w:val="6074FE3F"/>
    <w:rsid w:val="6077458B"/>
    <w:rsid w:val="6077CABD"/>
    <w:rsid w:val="6079A7F9"/>
    <w:rsid w:val="607A1528"/>
    <w:rsid w:val="607AC72F"/>
    <w:rsid w:val="607ACBC5"/>
    <w:rsid w:val="607D8B3C"/>
    <w:rsid w:val="607DE575"/>
    <w:rsid w:val="607FDE00"/>
    <w:rsid w:val="60805A5F"/>
    <w:rsid w:val="6081336E"/>
    <w:rsid w:val="6082011E"/>
    <w:rsid w:val="6089CBB5"/>
    <w:rsid w:val="6089D104"/>
    <w:rsid w:val="608C9658"/>
    <w:rsid w:val="608CA743"/>
    <w:rsid w:val="608E6E85"/>
    <w:rsid w:val="6097A2BF"/>
    <w:rsid w:val="60984FE6"/>
    <w:rsid w:val="609B72F4"/>
    <w:rsid w:val="609F0A60"/>
    <w:rsid w:val="60A1064F"/>
    <w:rsid w:val="60A2DB15"/>
    <w:rsid w:val="60A59FDC"/>
    <w:rsid w:val="60A68CC5"/>
    <w:rsid w:val="60A6A2DE"/>
    <w:rsid w:val="60A7D6F9"/>
    <w:rsid w:val="60AA29A5"/>
    <w:rsid w:val="60AC4E87"/>
    <w:rsid w:val="60BB6625"/>
    <w:rsid w:val="60BD9DA6"/>
    <w:rsid w:val="60BEB300"/>
    <w:rsid w:val="60C3A908"/>
    <w:rsid w:val="60C65C9F"/>
    <w:rsid w:val="60D197E3"/>
    <w:rsid w:val="60D8F76A"/>
    <w:rsid w:val="60E9A464"/>
    <w:rsid w:val="60EA7945"/>
    <w:rsid w:val="60ECD9D5"/>
    <w:rsid w:val="60EF6E55"/>
    <w:rsid w:val="60F0E2EB"/>
    <w:rsid w:val="60F18C7D"/>
    <w:rsid w:val="60F3167F"/>
    <w:rsid w:val="60F34682"/>
    <w:rsid w:val="60FC335F"/>
    <w:rsid w:val="60FD560E"/>
    <w:rsid w:val="60FDF3A0"/>
    <w:rsid w:val="61012AC2"/>
    <w:rsid w:val="61030A59"/>
    <w:rsid w:val="610394C0"/>
    <w:rsid w:val="6107AB5D"/>
    <w:rsid w:val="610FF077"/>
    <w:rsid w:val="6110F8CD"/>
    <w:rsid w:val="61165B1E"/>
    <w:rsid w:val="611FCCB2"/>
    <w:rsid w:val="61224CAF"/>
    <w:rsid w:val="6122D082"/>
    <w:rsid w:val="6125DEAC"/>
    <w:rsid w:val="6126A0D5"/>
    <w:rsid w:val="612F2B5A"/>
    <w:rsid w:val="612FFD51"/>
    <w:rsid w:val="613734E8"/>
    <w:rsid w:val="613A1C76"/>
    <w:rsid w:val="613CDF07"/>
    <w:rsid w:val="6144BD19"/>
    <w:rsid w:val="614966E5"/>
    <w:rsid w:val="614D9012"/>
    <w:rsid w:val="614F4E6B"/>
    <w:rsid w:val="61510093"/>
    <w:rsid w:val="6151251F"/>
    <w:rsid w:val="6157847F"/>
    <w:rsid w:val="6157C189"/>
    <w:rsid w:val="6157C664"/>
    <w:rsid w:val="61590831"/>
    <w:rsid w:val="615FD560"/>
    <w:rsid w:val="6168A858"/>
    <w:rsid w:val="616AF694"/>
    <w:rsid w:val="616B195B"/>
    <w:rsid w:val="6174EBAB"/>
    <w:rsid w:val="61751B7A"/>
    <w:rsid w:val="6177413F"/>
    <w:rsid w:val="6179A9D9"/>
    <w:rsid w:val="617BEF3A"/>
    <w:rsid w:val="617EBF76"/>
    <w:rsid w:val="61840419"/>
    <w:rsid w:val="618C06F3"/>
    <w:rsid w:val="618C488B"/>
    <w:rsid w:val="61903D1E"/>
    <w:rsid w:val="6193C503"/>
    <w:rsid w:val="6198EC4F"/>
    <w:rsid w:val="61994695"/>
    <w:rsid w:val="619A4F81"/>
    <w:rsid w:val="619AD059"/>
    <w:rsid w:val="619F732B"/>
    <w:rsid w:val="61A5B889"/>
    <w:rsid w:val="61A60F4F"/>
    <w:rsid w:val="61AE4A90"/>
    <w:rsid w:val="61B27E53"/>
    <w:rsid w:val="61B2D538"/>
    <w:rsid w:val="61B3899A"/>
    <w:rsid w:val="61B4186F"/>
    <w:rsid w:val="61BC570D"/>
    <w:rsid w:val="61BFFC15"/>
    <w:rsid w:val="61C1E3E6"/>
    <w:rsid w:val="61C96ACE"/>
    <w:rsid w:val="61CD0B77"/>
    <w:rsid w:val="61D3562C"/>
    <w:rsid w:val="61D702E5"/>
    <w:rsid w:val="61D87552"/>
    <w:rsid w:val="61E541DC"/>
    <w:rsid w:val="61E8C2A2"/>
    <w:rsid w:val="61F14C2B"/>
    <w:rsid w:val="61F99BC7"/>
    <w:rsid w:val="61FDCB31"/>
    <w:rsid w:val="62011E35"/>
    <w:rsid w:val="620CA9DE"/>
    <w:rsid w:val="620F04E5"/>
    <w:rsid w:val="62101C90"/>
    <w:rsid w:val="6210F63B"/>
    <w:rsid w:val="62157FC3"/>
    <w:rsid w:val="6218F54C"/>
    <w:rsid w:val="6218F939"/>
    <w:rsid w:val="62193D97"/>
    <w:rsid w:val="621D41E9"/>
    <w:rsid w:val="621DC7B1"/>
    <w:rsid w:val="6221A4A3"/>
    <w:rsid w:val="62237BF7"/>
    <w:rsid w:val="6228BFEF"/>
    <w:rsid w:val="6229F8D4"/>
    <w:rsid w:val="622CF906"/>
    <w:rsid w:val="622EC3A5"/>
    <w:rsid w:val="62338700"/>
    <w:rsid w:val="6233A57A"/>
    <w:rsid w:val="6236E956"/>
    <w:rsid w:val="6237AA05"/>
    <w:rsid w:val="62396E70"/>
    <w:rsid w:val="623A045B"/>
    <w:rsid w:val="6244C6BC"/>
    <w:rsid w:val="62454F1F"/>
    <w:rsid w:val="6247CDC2"/>
    <w:rsid w:val="624CEAB8"/>
    <w:rsid w:val="624FA027"/>
    <w:rsid w:val="625380FB"/>
    <w:rsid w:val="625A7BC3"/>
    <w:rsid w:val="62614713"/>
    <w:rsid w:val="626B3DAB"/>
    <w:rsid w:val="62749616"/>
    <w:rsid w:val="6275976A"/>
    <w:rsid w:val="6277ED8A"/>
    <w:rsid w:val="627C9B17"/>
    <w:rsid w:val="627E2853"/>
    <w:rsid w:val="627FACE2"/>
    <w:rsid w:val="62805622"/>
    <w:rsid w:val="628205D0"/>
    <w:rsid w:val="62833075"/>
    <w:rsid w:val="62843077"/>
    <w:rsid w:val="628A6F77"/>
    <w:rsid w:val="628C13BD"/>
    <w:rsid w:val="628C53B1"/>
    <w:rsid w:val="62933C51"/>
    <w:rsid w:val="6293D752"/>
    <w:rsid w:val="62951063"/>
    <w:rsid w:val="6298BD8F"/>
    <w:rsid w:val="6298CEE4"/>
    <w:rsid w:val="62993002"/>
    <w:rsid w:val="629C45EA"/>
    <w:rsid w:val="62A04A06"/>
    <w:rsid w:val="62A27D24"/>
    <w:rsid w:val="62A5791B"/>
    <w:rsid w:val="62AD1984"/>
    <w:rsid w:val="62B210E4"/>
    <w:rsid w:val="62B56EF8"/>
    <w:rsid w:val="62BC9955"/>
    <w:rsid w:val="62BE77BA"/>
    <w:rsid w:val="62C25B64"/>
    <w:rsid w:val="62C48EAE"/>
    <w:rsid w:val="62C63EF2"/>
    <w:rsid w:val="62CC2E47"/>
    <w:rsid w:val="62CEE73E"/>
    <w:rsid w:val="62D15D83"/>
    <w:rsid w:val="62D337E8"/>
    <w:rsid w:val="62D38A2F"/>
    <w:rsid w:val="62D3B85E"/>
    <w:rsid w:val="62D3D189"/>
    <w:rsid w:val="62DD25A5"/>
    <w:rsid w:val="62DF3F2A"/>
    <w:rsid w:val="62E13596"/>
    <w:rsid w:val="62E3F297"/>
    <w:rsid w:val="62EAAB76"/>
    <w:rsid w:val="62F7D09E"/>
    <w:rsid w:val="62FAE379"/>
    <w:rsid w:val="63023A7F"/>
    <w:rsid w:val="63042B12"/>
    <w:rsid w:val="630B3244"/>
    <w:rsid w:val="630CBDF0"/>
    <w:rsid w:val="630DCDED"/>
    <w:rsid w:val="630F8924"/>
    <w:rsid w:val="63127C80"/>
    <w:rsid w:val="63178D38"/>
    <w:rsid w:val="6317B1BF"/>
    <w:rsid w:val="631AB642"/>
    <w:rsid w:val="631CCDA5"/>
    <w:rsid w:val="631E8191"/>
    <w:rsid w:val="631F3D21"/>
    <w:rsid w:val="631F4C2B"/>
    <w:rsid w:val="6320E0C4"/>
    <w:rsid w:val="6323E57D"/>
    <w:rsid w:val="632C3EA4"/>
    <w:rsid w:val="633A720F"/>
    <w:rsid w:val="633DB6CD"/>
    <w:rsid w:val="6343E6A9"/>
    <w:rsid w:val="63536560"/>
    <w:rsid w:val="635B82F1"/>
    <w:rsid w:val="63620233"/>
    <w:rsid w:val="63674CB6"/>
    <w:rsid w:val="636C5763"/>
    <w:rsid w:val="636F8553"/>
    <w:rsid w:val="6379B417"/>
    <w:rsid w:val="637A1A6E"/>
    <w:rsid w:val="637C0222"/>
    <w:rsid w:val="637CE564"/>
    <w:rsid w:val="63828B5F"/>
    <w:rsid w:val="638314A3"/>
    <w:rsid w:val="6383AF49"/>
    <w:rsid w:val="6387F6FB"/>
    <w:rsid w:val="63888072"/>
    <w:rsid w:val="638C655E"/>
    <w:rsid w:val="638D409B"/>
    <w:rsid w:val="638E1EC8"/>
    <w:rsid w:val="63946455"/>
    <w:rsid w:val="6394B2DD"/>
    <w:rsid w:val="639521AA"/>
    <w:rsid w:val="63A066CE"/>
    <w:rsid w:val="63A2C78F"/>
    <w:rsid w:val="63A77437"/>
    <w:rsid w:val="63A7FD11"/>
    <w:rsid w:val="63AA6D63"/>
    <w:rsid w:val="63AE1F52"/>
    <w:rsid w:val="63AFEECC"/>
    <w:rsid w:val="63B417A8"/>
    <w:rsid w:val="63B52271"/>
    <w:rsid w:val="63C40708"/>
    <w:rsid w:val="63D17604"/>
    <w:rsid w:val="63D8D749"/>
    <w:rsid w:val="63DA5AD2"/>
    <w:rsid w:val="63DA7666"/>
    <w:rsid w:val="63DE7EC2"/>
    <w:rsid w:val="63E0D2EC"/>
    <w:rsid w:val="63E1CF7D"/>
    <w:rsid w:val="63E28855"/>
    <w:rsid w:val="63E28D72"/>
    <w:rsid w:val="63E378E7"/>
    <w:rsid w:val="63E4F7A0"/>
    <w:rsid w:val="63E6BA1C"/>
    <w:rsid w:val="63E9F3DF"/>
    <w:rsid w:val="63EC0C5B"/>
    <w:rsid w:val="63F30124"/>
    <w:rsid w:val="63F54BB3"/>
    <w:rsid w:val="63F8A3E1"/>
    <w:rsid w:val="63FA2083"/>
    <w:rsid w:val="63FF070B"/>
    <w:rsid w:val="63FFA516"/>
    <w:rsid w:val="64037D57"/>
    <w:rsid w:val="64038CF8"/>
    <w:rsid w:val="64092A3B"/>
    <w:rsid w:val="640E46E1"/>
    <w:rsid w:val="640E8985"/>
    <w:rsid w:val="641948F2"/>
    <w:rsid w:val="6419EF60"/>
    <w:rsid w:val="641B2EDD"/>
    <w:rsid w:val="64208EA1"/>
    <w:rsid w:val="6421D5E1"/>
    <w:rsid w:val="64231A37"/>
    <w:rsid w:val="6429E4B8"/>
    <w:rsid w:val="6431D331"/>
    <w:rsid w:val="64367621"/>
    <w:rsid w:val="64397B4C"/>
    <w:rsid w:val="643E52B6"/>
    <w:rsid w:val="643EBC40"/>
    <w:rsid w:val="6441854D"/>
    <w:rsid w:val="64439CA0"/>
    <w:rsid w:val="644AEEF7"/>
    <w:rsid w:val="644F6741"/>
    <w:rsid w:val="64517F2D"/>
    <w:rsid w:val="6453AB81"/>
    <w:rsid w:val="64609AAE"/>
    <w:rsid w:val="6465615D"/>
    <w:rsid w:val="646EE3B4"/>
    <w:rsid w:val="6470396D"/>
    <w:rsid w:val="647159C6"/>
    <w:rsid w:val="647CCD8A"/>
    <w:rsid w:val="6482AD58"/>
    <w:rsid w:val="648D2EEA"/>
    <w:rsid w:val="6495D0FA"/>
    <w:rsid w:val="649ABCD7"/>
    <w:rsid w:val="649BCA96"/>
    <w:rsid w:val="649BE755"/>
    <w:rsid w:val="649DCBCF"/>
    <w:rsid w:val="64A6D4F8"/>
    <w:rsid w:val="64A8917E"/>
    <w:rsid w:val="64AAE55E"/>
    <w:rsid w:val="64AC857B"/>
    <w:rsid w:val="64AEB719"/>
    <w:rsid w:val="64AFEA41"/>
    <w:rsid w:val="64B8B8C4"/>
    <w:rsid w:val="64C2938F"/>
    <w:rsid w:val="64C71EB4"/>
    <w:rsid w:val="64CE6015"/>
    <w:rsid w:val="64D12F7D"/>
    <w:rsid w:val="64D78722"/>
    <w:rsid w:val="64D9AA30"/>
    <w:rsid w:val="64DC0BF4"/>
    <w:rsid w:val="64E04F43"/>
    <w:rsid w:val="64F2904D"/>
    <w:rsid w:val="64F33287"/>
    <w:rsid w:val="64F37CB7"/>
    <w:rsid w:val="64F43278"/>
    <w:rsid w:val="64F98A87"/>
    <w:rsid w:val="64FA917B"/>
    <w:rsid w:val="65026EDE"/>
    <w:rsid w:val="650E520F"/>
    <w:rsid w:val="651085A4"/>
    <w:rsid w:val="65115A91"/>
    <w:rsid w:val="65137035"/>
    <w:rsid w:val="651622E9"/>
    <w:rsid w:val="65177599"/>
    <w:rsid w:val="651A07C7"/>
    <w:rsid w:val="652134B1"/>
    <w:rsid w:val="65214252"/>
    <w:rsid w:val="652742B2"/>
    <w:rsid w:val="6534EA8F"/>
    <w:rsid w:val="6535DE69"/>
    <w:rsid w:val="65365B4B"/>
    <w:rsid w:val="65439304"/>
    <w:rsid w:val="6548E6AD"/>
    <w:rsid w:val="6551032A"/>
    <w:rsid w:val="655166C9"/>
    <w:rsid w:val="6555B081"/>
    <w:rsid w:val="65572991"/>
    <w:rsid w:val="6559422E"/>
    <w:rsid w:val="655B588F"/>
    <w:rsid w:val="656D7434"/>
    <w:rsid w:val="656EFCE7"/>
    <w:rsid w:val="657C695C"/>
    <w:rsid w:val="657D8E73"/>
    <w:rsid w:val="6584EFE7"/>
    <w:rsid w:val="6586C4F9"/>
    <w:rsid w:val="658B2953"/>
    <w:rsid w:val="658CD124"/>
    <w:rsid w:val="659641FE"/>
    <w:rsid w:val="6597F2B2"/>
    <w:rsid w:val="6598EE8A"/>
    <w:rsid w:val="659C2C86"/>
    <w:rsid w:val="659C842C"/>
    <w:rsid w:val="659E690A"/>
    <w:rsid w:val="659E855D"/>
    <w:rsid w:val="659E97CE"/>
    <w:rsid w:val="659EAAB3"/>
    <w:rsid w:val="65A054F9"/>
    <w:rsid w:val="65A11483"/>
    <w:rsid w:val="65A9E6DD"/>
    <w:rsid w:val="65AB12AE"/>
    <w:rsid w:val="65AB983E"/>
    <w:rsid w:val="65ACA01C"/>
    <w:rsid w:val="65B0BFBB"/>
    <w:rsid w:val="65B1DDAB"/>
    <w:rsid w:val="65B2FAC7"/>
    <w:rsid w:val="65BBBE79"/>
    <w:rsid w:val="65BE6F42"/>
    <w:rsid w:val="65C16853"/>
    <w:rsid w:val="65C30590"/>
    <w:rsid w:val="65C9FFDF"/>
    <w:rsid w:val="65CA43F8"/>
    <w:rsid w:val="65CBC627"/>
    <w:rsid w:val="65CBE7E7"/>
    <w:rsid w:val="65CCB7EE"/>
    <w:rsid w:val="65CE31FF"/>
    <w:rsid w:val="65CE386E"/>
    <w:rsid w:val="65CF610C"/>
    <w:rsid w:val="65E3BC3B"/>
    <w:rsid w:val="65E5EA0E"/>
    <w:rsid w:val="65E7AC81"/>
    <w:rsid w:val="65F0F5B3"/>
    <w:rsid w:val="65F54C26"/>
    <w:rsid w:val="660038F3"/>
    <w:rsid w:val="66074A1E"/>
    <w:rsid w:val="660E7CE4"/>
    <w:rsid w:val="660EA113"/>
    <w:rsid w:val="660F5A1E"/>
    <w:rsid w:val="66181164"/>
    <w:rsid w:val="6618C6CF"/>
    <w:rsid w:val="6618D90F"/>
    <w:rsid w:val="66213AF2"/>
    <w:rsid w:val="6621958E"/>
    <w:rsid w:val="662958D6"/>
    <w:rsid w:val="662CEC7B"/>
    <w:rsid w:val="662D0B95"/>
    <w:rsid w:val="6631D310"/>
    <w:rsid w:val="663248BE"/>
    <w:rsid w:val="66363798"/>
    <w:rsid w:val="6647189A"/>
    <w:rsid w:val="664968B5"/>
    <w:rsid w:val="664AA1EA"/>
    <w:rsid w:val="664D292F"/>
    <w:rsid w:val="6651562D"/>
    <w:rsid w:val="665190C3"/>
    <w:rsid w:val="6651EA5A"/>
    <w:rsid w:val="66572E5D"/>
    <w:rsid w:val="665885DC"/>
    <w:rsid w:val="6658C0EF"/>
    <w:rsid w:val="665F3CF6"/>
    <w:rsid w:val="6668A780"/>
    <w:rsid w:val="666F3954"/>
    <w:rsid w:val="6672769A"/>
    <w:rsid w:val="6672FA6C"/>
    <w:rsid w:val="6673A6C4"/>
    <w:rsid w:val="6676809C"/>
    <w:rsid w:val="667A0B59"/>
    <w:rsid w:val="667DF543"/>
    <w:rsid w:val="66832E25"/>
    <w:rsid w:val="66843896"/>
    <w:rsid w:val="6688424E"/>
    <w:rsid w:val="668886E2"/>
    <w:rsid w:val="668A98A6"/>
    <w:rsid w:val="668C519B"/>
    <w:rsid w:val="669A8C71"/>
    <w:rsid w:val="669B2145"/>
    <w:rsid w:val="669C79F0"/>
    <w:rsid w:val="669D54A1"/>
    <w:rsid w:val="66A09E10"/>
    <w:rsid w:val="66A5D72B"/>
    <w:rsid w:val="66A67849"/>
    <w:rsid w:val="66A7E6FF"/>
    <w:rsid w:val="66A8E420"/>
    <w:rsid w:val="66AA621B"/>
    <w:rsid w:val="66AE89A0"/>
    <w:rsid w:val="66B7BEC7"/>
    <w:rsid w:val="66BB5E97"/>
    <w:rsid w:val="66C0659F"/>
    <w:rsid w:val="66C397AC"/>
    <w:rsid w:val="66C7D466"/>
    <w:rsid w:val="66CBA385"/>
    <w:rsid w:val="66CF132F"/>
    <w:rsid w:val="66D23782"/>
    <w:rsid w:val="66D467FB"/>
    <w:rsid w:val="66D665F0"/>
    <w:rsid w:val="66DB4236"/>
    <w:rsid w:val="66DD0DD1"/>
    <w:rsid w:val="66DD9EE7"/>
    <w:rsid w:val="66E02F67"/>
    <w:rsid w:val="66E2167A"/>
    <w:rsid w:val="66E22923"/>
    <w:rsid w:val="66E94DCD"/>
    <w:rsid w:val="66EEC7E0"/>
    <w:rsid w:val="66F01A7E"/>
    <w:rsid w:val="66F2A67E"/>
    <w:rsid w:val="66F58D66"/>
    <w:rsid w:val="66FC248D"/>
    <w:rsid w:val="67007516"/>
    <w:rsid w:val="6702C3B9"/>
    <w:rsid w:val="6705BB85"/>
    <w:rsid w:val="6708B4E5"/>
    <w:rsid w:val="670BF1D5"/>
    <w:rsid w:val="67105044"/>
    <w:rsid w:val="6711210E"/>
    <w:rsid w:val="67183113"/>
    <w:rsid w:val="67218268"/>
    <w:rsid w:val="67220611"/>
    <w:rsid w:val="6723754C"/>
    <w:rsid w:val="672848A7"/>
    <w:rsid w:val="672AEE26"/>
    <w:rsid w:val="672B7B3B"/>
    <w:rsid w:val="672D3EDA"/>
    <w:rsid w:val="672D5501"/>
    <w:rsid w:val="672E8EF8"/>
    <w:rsid w:val="6733DA05"/>
    <w:rsid w:val="67390792"/>
    <w:rsid w:val="67396F10"/>
    <w:rsid w:val="673D9B6A"/>
    <w:rsid w:val="673E98B9"/>
    <w:rsid w:val="673EFB93"/>
    <w:rsid w:val="674422D9"/>
    <w:rsid w:val="6745A37F"/>
    <w:rsid w:val="674635A7"/>
    <w:rsid w:val="67478B0F"/>
    <w:rsid w:val="674836D6"/>
    <w:rsid w:val="674A1A7D"/>
    <w:rsid w:val="674B71A5"/>
    <w:rsid w:val="674D2D39"/>
    <w:rsid w:val="674D7912"/>
    <w:rsid w:val="67539C24"/>
    <w:rsid w:val="6753CFE7"/>
    <w:rsid w:val="6756C140"/>
    <w:rsid w:val="675ACF93"/>
    <w:rsid w:val="6768B0A0"/>
    <w:rsid w:val="676B5549"/>
    <w:rsid w:val="676F1128"/>
    <w:rsid w:val="676FA76F"/>
    <w:rsid w:val="677A0733"/>
    <w:rsid w:val="677CAEB6"/>
    <w:rsid w:val="67888AC8"/>
    <w:rsid w:val="678B000D"/>
    <w:rsid w:val="678BE324"/>
    <w:rsid w:val="67A367B8"/>
    <w:rsid w:val="67A6F5E9"/>
    <w:rsid w:val="67A80417"/>
    <w:rsid w:val="67A8CF87"/>
    <w:rsid w:val="67A913C1"/>
    <w:rsid w:val="67AACCB2"/>
    <w:rsid w:val="67AFE3DB"/>
    <w:rsid w:val="67B1FAAD"/>
    <w:rsid w:val="67B62235"/>
    <w:rsid w:val="67B88B13"/>
    <w:rsid w:val="67C130C4"/>
    <w:rsid w:val="67C37438"/>
    <w:rsid w:val="67CA8091"/>
    <w:rsid w:val="67CD809F"/>
    <w:rsid w:val="67CDA9FF"/>
    <w:rsid w:val="67CDF203"/>
    <w:rsid w:val="67D072DB"/>
    <w:rsid w:val="67D4AB35"/>
    <w:rsid w:val="67D525F7"/>
    <w:rsid w:val="67D7FADC"/>
    <w:rsid w:val="67DD4E01"/>
    <w:rsid w:val="67DDBFD0"/>
    <w:rsid w:val="67E35DE4"/>
    <w:rsid w:val="67E50F13"/>
    <w:rsid w:val="67E6B47D"/>
    <w:rsid w:val="67E81745"/>
    <w:rsid w:val="67EC881B"/>
    <w:rsid w:val="67F15779"/>
    <w:rsid w:val="67F21CA8"/>
    <w:rsid w:val="67F5C2CF"/>
    <w:rsid w:val="67F63318"/>
    <w:rsid w:val="67FBB6E5"/>
    <w:rsid w:val="680212C3"/>
    <w:rsid w:val="680237F8"/>
    <w:rsid w:val="68053812"/>
    <w:rsid w:val="68058364"/>
    <w:rsid w:val="680EC94A"/>
    <w:rsid w:val="680F3A0A"/>
    <w:rsid w:val="68118DD1"/>
    <w:rsid w:val="68137462"/>
    <w:rsid w:val="68164200"/>
    <w:rsid w:val="681A6B2A"/>
    <w:rsid w:val="681B7CA2"/>
    <w:rsid w:val="681D8E74"/>
    <w:rsid w:val="68203F74"/>
    <w:rsid w:val="68208224"/>
    <w:rsid w:val="6821DDB7"/>
    <w:rsid w:val="6821FE91"/>
    <w:rsid w:val="682C423F"/>
    <w:rsid w:val="682D1DB7"/>
    <w:rsid w:val="68331C9F"/>
    <w:rsid w:val="6837757C"/>
    <w:rsid w:val="683E1400"/>
    <w:rsid w:val="68400DD5"/>
    <w:rsid w:val="6843EF71"/>
    <w:rsid w:val="68444144"/>
    <w:rsid w:val="6848390D"/>
    <w:rsid w:val="68488213"/>
    <w:rsid w:val="684E15D8"/>
    <w:rsid w:val="685AC3B5"/>
    <w:rsid w:val="685B94D3"/>
    <w:rsid w:val="685D5A51"/>
    <w:rsid w:val="6869928E"/>
    <w:rsid w:val="6870F5D2"/>
    <w:rsid w:val="68725535"/>
    <w:rsid w:val="68731372"/>
    <w:rsid w:val="6878802F"/>
    <w:rsid w:val="687A7AA3"/>
    <w:rsid w:val="6882EDF1"/>
    <w:rsid w:val="688597EB"/>
    <w:rsid w:val="688AD289"/>
    <w:rsid w:val="688F8C22"/>
    <w:rsid w:val="6892E059"/>
    <w:rsid w:val="6892FDE7"/>
    <w:rsid w:val="689B4B90"/>
    <w:rsid w:val="68A4CE64"/>
    <w:rsid w:val="68B666C4"/>
    <w:rsid w:val="68B6F7F7"/>
    <w:rsid w:val="68B8CDCD"/>
    <w:rsid w:val="68BAD061"/>
    <w:rsid w:val="68C0194E"/>
    <w:rsid w:val="68C38E05"/>
    <w:rsid w:val="68C4495E"/>
    <w:rsid w:val="68C78BC5"/>
    <w:rsid w:val="68C845C3"/>
    <w:rsid w:val="68D0EED1"/>
    <w:rsid w:val="68D5878F"/>
    <w:rsid w:val="68D65408"/>
    <w:rsid w:val="68E54D0C"/>
    <w:rsid w:val="68E8135A"/>
    <w:rsid w:val="68EBC239"/>
    <w:rsid w:val="68F08E15"/>
    <w:rsid w:val="68F40FFE"/>
    <w:rsid w:val="690080F1"/>
    <w:rsid w:val="6901F694"/>
    <w:rsid w:val="6903366A"/>
    <w:rsid w:val="69034BE3"/>
    <w:rsid w:val="69048618"/>
    <w:rsid w:val="69051D28"/>
    <w:rsid w:val="69074960"/>
    <w:rsid w:val="691083E6"/>
    <w:rsid w:val="6917C15D"/>
    <w:rsid w:val="691B8AA4"/>
    <w:rsid w:val="691B91DF"/>
    <w:rsid w:val="69287D8D"/>
    <w:rsid w:val="692A8CEB"/>
    <w:rsid w:val="692C8B97"/>
    <w:rsid w:val="692D57CA"/>
    <w:rsid w:val="693093C8"/>
    <w:rsid w:val="693829F9"/>
    <w:rsid w:val="693C0C8E"/>
    <w:rsid w:val="693C529D"/>
    <w:rsid w:val="693C793A"/>
    <w:rsid w:val="693C7D43"/>
    <w:rsid w:val="693DC4BB"/>
    <w:rsid w:val="693E3F04"/>
    <w:rsid w:val="69422E17"/>
    <w:rsid w:val="6943956C"/>
    <w:rsid w:val="69489945"/>
    <w:rsid w:val="694B2EDB"/>
    <w:rsid w:val="6953A4C9"/>
    <w:rsid w:val="69598161"/>
    <w:rsid w:val="695AF434"/>
    <w:rsid w:val="695C2758"/>
    <w:rsid w:val="6960441E"/>
    <w:rsid w:val="696173C3"/>
    <w:rsid w:val="6963B327"/>
    <w:rsid w:val="696D59B1"/>
    <w:rsid w:val="6970FB5A"/>
    <w:rsid w:val="69764F1A"/>
    <w:rsid w:val="697739D9"/>
    <w:rsid w:val="6977D799"/>
    <w:rsid w:val="697E5A91"/>
    <w:rsid w:val="697F5D4C"/>
    <w:rsid w:val="6980642B"/>
    <w:rsid w:val="6980FABA"/>
    <w:rsid w:val="6981CFB5"/>
    <w:rsid w:val="698303C0"/>
    <w:rsid w:val="69832FC8"/>
    <w:rsid w:val="698BD53A"/>
    <w:rsid w:val="698C46C7"/>
    <w:rsid w:val="6990768F"/>
    <w:rsid w:val="6993DD22"/>
    <w:rsid w:val="699698BF"/>
    <w:rsid w:val="699D4B81"/>
    <w:rsid w:val="69A0DA4D"/>
    <w:rsid w:val="69A2AFEA"/>
    <w:rsid w:val="69A342AF"/>
    <w:rsid w:val="69A418B2"/>
    <w:rsid w:val="69A609C6"/>
    <w:rsid w:val="69AE3AC1"/>
    <w:rsid w:val="69B3F47C"/>
    <w:rsid w:val="69B46036"/>
    <w:rsid w:val="69B49FDD"/>
    <w:rsid w:val="69B6B15D"/>
    <w:rsid w:val="69B7A92C"/>
    <w:rsid w:val="69B9AF6B"/>
    <w:rsid w:val="69C2770F"/>
    <w:rsid w:val="69C55A38"/>
    <w:rsid w:val="69C94075"/>
    <w:rsid w:val="69C95FFA"/>
    <w:rsid w:val="69CF7C82"/>
    <w:rsid w:val="69D16C7B"/>
    <w:rsid w:val="69E202E1"/>
    <w:rsid w:val="69E2AB30"/>
    <w:rsid w:val="69E5E796"/>
    <w:rsid w:val="69F71EFE"/>
    <w:rsid w:val="69F91622"/>
    <w:rsid w:val="69FA8F61"/>
    <w:rsid w:val="6A073B2B"/>
    <w:rsid w:val="6A084758"/>
    <w:rsid w:val="6A08F1CE"/>
    <w:rsid w:val="6A0B5715"/>
    <w:rsid w:val="6A0E79E9"/>
    <w:rsid w:val="6A0EFEE9"/>
    <w:rsid w:val="6A0FC411"/>
    <w:rsid w:val="6A0FDBD6"/>
    <w:rsid w:val="6A10DEE2"/>
    <w:rsid w:val="6A1240E8"/>
    <w:rsid w:val="6A141BB3"/>
    <w:rsid w:val="6A15233B"/>
    <w:rsid w:val="6A15A497"/>
    <w:rsid w:val="6A17311A"/>
    <w:rsid w:val="6A1D069A"/>
    <w:rsid w:val="6A215344"/>
    <w:rsid w:val="6A2589DB"/>
    <w:rsid w:val="6A28275D"/>
    <w:rsid w:val="6A347AA2"/>
    <w:rsid w:val="6A3CE368"/>
    <w:rsid w:val="6A3E1BB2"/>
    <w:rsid w:val="6A3E42D9"/>
    <w:rsid w:val="6A404C38"/>
    <w:rsid w:val="6A44C709"/>
    <w:rsid w:val="6A4CF449"/>
    <w:rsid w:val="6A4E4B5E"/>
    <w:rsid w:val="6A51CB79"/>
    <w:rsid w:val="6A573598"/>
    <w:rsid w:val="6A585776"/>
    <w:rsid w:val="6A59CE5B"/>
    <w:rsid w:val="6A5B6595"/>
    <w:rsid w:val="6A5B8DA9"/>
    <w:rsid w:val="6A613C20"/>
    <w:rsid w:val="6A614BF4"/>
    <w:rsid w:val="6A63C042"/>
    <w:rsid w:val="6A6A09AF"/>
    <w:rsid w:val="6A6AC671"/>
    <w:rsid w:val="6A7611CA"/>
    <w:rsid w:val="6A768CE2"/>
    <w:rsid w:val="6A7994DD"/>
    <w:rsid w:val="6A7F8BE4"/>
    <w:rsid w:val="6A7FE7B9"/>
    <w:rsid w:val="6A810383"/>
    <w:rsid w:val="6A844BF4"/>
    <w:rsid w:val="6A84AB36"/>
    <w:rsid w:val="6A85A130"/>
    <w:rsid w:val="6A984BA8"/>
    <w:rsid w:val="6A9922C4"/>
    <w:rsid w:val="6A9E052D"/>
    <w:rsid w:val="6AA2C94A"/>
    <w:rsid w:val="6AA39E0C"/>
    <w:rsid w:val="6AA6A5B2"/>
    <w:rsid w:val="6AA73EAF"/>
    <w:rsid w:val="6AA78165"/>
    <w:rsid w:val="6AA7B908"/>
    <w:rsid w:val="6AAB07C7"/>
    <w:rsid w:val="6AACE511"/>
    <w:rsid w:val="6AB1B192"/>
    <w:rsid w:val="6ABAE16C"/>
    <w:rsid w:val="6ABB192D"/>
    <w:rsid w:val="6AC31E62"/>
    <w:rsid w:val="6AC8101B"/>
    <w:rsid w:val="6AD6E659"/>
    <w:rsid w:val="6ADCAD6C"/>
    <w:rsid w:val="6ADD388B"/>
    <w:rsid w:val="6ADF970C"/>
    <w:rsid w:val="6AE06CC4"/>
    <w:rsid w:val="6AE21FDA"/>
    <w:rsid w:val="6AE4B2E2"/>
    <w:rsid w:val="6AEC7404"/>
    <w:rsid w:val="6AEF8833"/>
    <w:rsid w:val="6AFA92CA"/>
    <w:rsid w:val="6B0008B1"/>
    <w:rsid w:val="6B0403A8"/>
    <w:rsid w:val="6B04E997"/>
    <w:rsid w:val="6B06CC7F"/>
    <w:rsid w:val="6B0939D5"/>
    <w:rsid w:val="6B0AEA02"/>
    <w:rsid w:val="6B0D76C0"/>
    <w:rsid w:val="6B0EDE28"/>
    <w:rsid w:val="6B131C12"/>
    <w:rsid w:val="6B136481"/>
    <w:rsid w:val="6B196BDF"/>
    <w:rsid w:val="6B22EFDD"/>
    <w:rsid w:val="6B28BA5C"/>
    <w:rsid w:val="6B2BAD46"/>
    <w:rsid w:val="6B31FB40"/>
    <w:rsid w:val="6B365AB3"/>
    <w:rsid w:val="6B36FFB0"/>
    <w:rsid w:val="6B38A373"/>
    <w:rsid w:val="6B3F56B8"/>
    <w:rsid w:val="6B40A697"/>
    <w:rsid w:val="6B4153C6"/>
    <w:rsid w:val="6B45C517"/>
    <w:rsid w:val="6B463A17"/>
    <w:rsid w:val="6B46B127"/>
    <w:rsid w:val="6B49CD2E"/>
    <w:rsid w:val="6B568742"/>
    <w:rsid w:val="6B5916C3"/>
    <w:rsid w:val="6B5D75F0"/>
    <w:rsid w:val="6B5DB0B8"/>
    <w:rsid w:val="6B5EB7ED"/>
    <w:rsid w:val="6B6503CF"/>
    <w:rsid w:val="6B668824"/>
    <w:rsid w:val="6B6A21E4"/>
    <w:rsid w:val="6B6F54C8"/>
    <w:rsid w:val="6B73AFA4"/>
    <w:rsid w:val="6B7DB634"/>
    <w:rsid w:val="6B7FC196"/>
    <w:rsid w:val="6B830613"/>
    <w:rsid w:val="6B858DF1"/>
    <w:rsid w:val="6B866295"/>
    <w:rsid w:val="6B891D57"/>
    <w:rsid w:val="6B8A6FC5"/>
    <w:rsid w:val="6B8BAD89"/>
    <w:rsid w:val="6B8D135C"/>
    <w:rsid w:val="6B94EC84"/>
    <w:rsid w:val="6B95CFC8"/>
    <w:rsid w:val="6B9675FA"/>
    <w:rsid w:val="6B96AEF2"/>
    <w:rsid w:val="6B9AD9BF"/>
    <w:rsid w:val="6B9AF484"/>
    <w:rsid w:val="6B9BEC8C"/>
    <w:rsid w:val="6B9BFF0A"/>
    <w:rsid w:val="6B9C5D63"/>
    <w:rsid w:val="6B9EA1D3"/>
    <w:rsid w:val="6BA5F65E"/>
    <w:rsid w:val="6BAA8C6E"/>
    <w:rsid w:val="6BAD8006"/>
    <w:rsid w:val="6BAED74B"/>
    <w:rsid w:val="6BB41C10"/>
    <w:rsid w:val="6BB5262F"/>
    <w:rsid w:val="6BB971C7"/>
    <w:rsid w:val="6BBC3FB2"/>
    <w:rsid w:val="6BC11D32"/>
    <w:rsid w:val="6BC9AF25"/>
    <w:rsid w:val="6BCC148D"/>
    <w:rsid w:val="6BCC2AFE"/>
    <w:rsid w:val="6BD013B9"/>
    <w:rsid w:val="6BD41F49"/>
    <w:rsid w:val="6BD72E37"/>
    <w:rsid w:val="6BDA0D0A"/>
    <w:rsid w:val="6BDA1C30"/>
    <w:rsid w:val="6BDD6A63"/>
    <w:rsid w:val="6BE33F08"/>
    <w:rsid w:val="6BE60C95"/>
    <w:rsid w:val="6BE65268"/>
    <w:rsid w:val="6BF1504E"/>
    <w:rsid w:val="6BF17BCC"/>
    <w:rsid w:val="6BF3901A"/>
    <w:rsid w:val="6BF3D863"/>
    <w:rsid w:val="6BFC1BDE"/>
    <w:rsid w:val="6BFCBC38"/>
    <w:rsid w:val="6BFE354E"/>
    <w:rsid w:val="6C02C65B"/>
    <w:rsid w:val="6C049B79"/>
    <w:rsid w:val="6C122D3D"/>
    <w:rsid w:val="6C16685E"/>
    <w:rsid w:val="6C173E18"/>
    <w:rsid w:val="6C1833E3"/>
    <w:rsid w:val="6C1E387F"/>
    <w:rsid w:val="6C270E78"/>
    <w:rsid w:val="6C277FB5"/>
    <w:rsid w:val="6C27A638"/>
    <w:rsid w:val="6C2B3BDF"/>
    <w:rsid w:val="6C2DC45F"/>
    <w:rsid w:val="6C36FBEC"/>
    <w:rsid w:val="6C39F2F1"/>
    <w:rsid w:val="6C3DEFC4"/>
    <w:rsid w:val="6C43ECC4"/>
    <w:rsid w:val="6C4571AF"/>
    <w:rsid w:val="6C498A5D"/>
    <w:rsid w:val="6C4BAE54"/>
    <w:rsid w:val="6C4BB6DA"/>
    <w:rsid w:val="6C52231D"/>
    <w:rsid w:val="6C5890BA"/>
    <w:rsid w:val="6C5BD070"/>
    <w:rsid w:val="6C5E0747"/>
    <w:rsid w:val="6C6092A4"/>
    <w:rsid w:val="6C6222A9"/>
    <w:rsid w:val="6C63B85C"/>
    <w:rsid w:val="6C657B6C"/>
    <w:rsid w:val="6C6671A6"/>
    <w:rsid w:val="6C6BB45E"/>
    <w:rsid w:val="6C80BDF5"/>
    <w:rsid w:val="6C85B310"/>
    <w:rsid w:val="6C8C8D91"/>
    <w:rsid w:val="6C8E3039"/>
    <w:rsid w:val="6C901823"/>
    <w:rsid w:val="6C947729"/>
    <w:rsid w:val="6C957A0E"/>
    <w:rsid w:val="6C991296"/>
    <w:rsid w:val="6C9A993F"/>
    <w:rsid w:val="6C9BCB9D"/>
    <w:rsid w:val="6C9DEECC"/>
    <w:rsid w:val="6CA64547"/>
    <w:rsid w:val="6CA6AF16"/>
    <w:rsid w:val="6CBD1DFE"/>
    <w:rsid w:val="6CBF5113"/>
    <w:rsid w:val="6CC1B577"/>
    <w:rsid w:val="6CC3A5AF"/>
    <w:rsid w:val="6CC76482"/>
    <w:rsid w:val="6CC8F3D0"/>
    <w:rsid w:val="6CCA24E0"/>
    <w:rsid w:val="6CCA6118"/>
    <w:rsid w:val="6CCD9BF5"/>
    <w:rsid w:val="6CCE44F8"/>
    <w:rsid w:val="6CD24FC4"/>
    <w:rsid w:val="6CD40A42"/>
    <w:rsid w:val="6CD9D7E4"/>
    <w:rsid w:val="6CE42BC3"/>
    <w:rsid w:val="6CE4F9FB"/>
    <w:rsid w:val="6CE587DD"/>
    <w:rsid w:val="6CE8F399"/>
    <w:rsid w:val="6CF1455B"/>
    <w:rsid w:val="6CF4AC6A"/>
    <w:rsid w:val="6CF53061"/>
    <w:rsid w:val="6CF64CA4"/>
    <w:rsid w:val="6D002EAF"/>
    <w:rsid w:val="6D060C4D"/>
    <w:rsid w:val="6D09FB1F"/>
    <w:rsid w:val="6D0FBFF9"/>
    <w:rsid w:val="6D19F635"/>
    <w:rsid w:val="6D1AF540"/>
    <w:rsid w:val="6D30D542"/>
    <w:rsid w:val="6D34201C"/>
    <w:rsid w:val="6D374C5D"/>
    <w:rsid w:val="6D3CB3F5"/>
    <w:rsid w:val="6D3E90DA"/>
    <w:rsid w:val="6D41BA70"/>
    <w:rsid w:val="6D46B770"/>
    <w:rsid w:val="6D49713E"/>
    <w:rsid w:val="6D4C90BF"/>
    <w:rsid w:val="6D4D16A7"/>
    <w:rsid w:val="6D557237"/>
    <w:rsid w:val="6D5AA302"/>
    <w:rsid w:val="6D5B676F"/>
    <w:rsid w:val="6D688BA1"/>
    <w:rsid w:val="6D6C8389"/>
    <w:rsid w:val="6D6F8F7D"/>
    <w:rsid w:val="6D702A05"/>
    <w:rsid w:val="6D70D23F"/>
    <w:rsid w:val="6D710952"/>
    <w:rsid w:val="6D73508F"/>
    <w:rsid w:val="6D738CB2"/>
    <w:rsid w:val="6D75660A"/>
    <w:rsid w:val="6D7A8D85"/>
    <w:rsid w:val="6D7C6F33"/>
    <w:rsid w:val="6D7DB29A"/>
    <w:rsid w:val="6D7E5E8C"/>
    <w:rsid w:val="6D802A4C"/>
    <w:rsid w:val="6D806D8E"/>
    <w:rsid w:val="6D85F5BA"/>
    <w:rsid w:val="6D874C13"/>
    <w:rsid w:val="6D8DC72F"/>
    <w:rsid w:val="6D8F0A52"/>
    <w:rsid w:val="6D8F709C"/>
    <w:rsid w:val="6D922232"/>
    <w:rsid w:val="6D932DA7"/>
    <w:rsid w:val="6D94D725"/>
    <w:rsid w:val="6D9C044C"/>
    <w:rsid w:val="6D9D6C70"/>
    <w:rsid w:val="6D9DB453"/>
    <w:rsid w:val="6D9E4D10"/>
    <w:rsid w:val="6DA32F73"/>
    <w:rsid w:val="6DA3DDDE"/>
    <w:rsid w:val="6DA47A0E"/>
    <w:rsid w:val="6DA5E573"/>
    <w:rsid w:val="6DA5EC3C"/>
    <w:rsid w:val="6DB0CC2D"/>
    <w:rsid w:val="6DB1E0FF"/>
    <w:rsid w:val="6DB4D0A1"/>
    <w:rsid w:val="6DB54BAC"/>
    <w:rsid w:val="6DB6E7D4"/>
    <w:rsid w:val="6DB8B0A7"/>
    <w:rsid w:val="6DB9AE52"/>
    <w:rsid w:val="6DC1B2CB"/>
    <w:rsid w:val="6DC4A8E7"/>
    <w:rsid w:val="6DC4AF53"/>
    <w:rsid w:val="6DCB1A53"/>
    <w:rsid w:val="6DD22D2F"/>
    <w:rsid w:val="6DD2B48F"/>
    <w:rsid w:val="6DDAC78F"/>
    <w:rsid w:val="6DDBE117"/>
    <w:rsid w:val="6DDE1974"/>
    <w:rsid w:val="6DE01187"/>
    <w:rsid w:val="6DE46CA9"/>
    <w:rsid w:val="6DE494AC"/>
    <w:rsid w:val="6DEA7929"/>
    <w:rsid w:val="6DEE52CD"/>
    <w:rsid w:val="6DEF0DE3"/>
    <w:rsid w:val="6DF182FA"/>
    <w:rsid w:val="6DF1FA24"/>
    <w:rsid w:val="6DF3565E"/>
    <w:rsid w:val="6DF45C4B"/>
    <w:rsid w:val="6DF63E5C"/>
    <w:rsid w:val="6DFA69DF"/>
    <w:rsid w:val="6DFAD2EF"/>
    <w:rsid w:val="6E09C5CF"/>
    <w:rsid w:val="6E0A5990"/>
    <w:rsid w:val="6E0EBCD6"/>
    <w:rsid w:val="6E120CD1"/>
    <w:rsid w:val="6E12E048"/>
    <w:rsid w:val="6E16DC24"/>
    <w:rsid w:val="6E19D159"/>
    <w:rsid w:val="6E1A0C2F"/>
    <w:rsid w:val="6E1CBF77"/>
    <w:rsid w:val="6E1F1710"/>
    <w:rsid w:val="6E27DEBF"/>
    <w:rsid w:val="6E2BD709"/>
    <w:rsid w:val="6E2CD712"/>
    <w:rsid w:val="6E3184F2"/>
    <w:rsid w:val="6E3372F1"/>
    <w:rsid w:val="6E3506F4"/>
    <w:rsid w:val="6E367185"/>
    <w:rsid w:val="6E36D176"/>
    <w:rsid w:val="6E3C9462"/>
    <w:rsid w:val="6E3EB00B"/>
    <w:rsid w:val="6E425D83"/>
    <w:rsid w:val="6E47A100"/>
    <w:rsid w:val="6E57F130"/>
    <w:rsid w:val="6E5916F4"/>
    <w:rsid w:val="6E5AC76F"/>
    <w:rsid w:val="6E5C7B8A"/>
    <w:rsid w:val="6E5D04F8"/>
    <w:rsid w:val="6E6766C8"/>
    <w:rsid w:val="6E67D41B"/>
    <w:rsid w:val="6E6C97BD"/>
    <w:rsid w:val="6E757559"/>
    <w:rsid w:val="6E7869DE"/>
    <w:rsid w:val="6E7D0C80"/>
    <w:rsid w:val="6E82B200"/>
    <w:rsid w:val="6E82CBA9"/>
    <w:rsid w:val="6E83746B"/>
    <w:rsid w:val="6E851DEC"/>
    <w:rsid w:val="6E8EB195"/>
    <w:rsid w:val="6E9104D4"/>
    <w:rsid w:val="6E943C8D"/>
    <w:rsid w:val="6E978B15"/>
    <w:rsid w:val="6E9ED9EA"/>
    <w:rsid w:val="6EA58678"/>
    <w:rsid w:val="6EAB805D"/>
    <w:rsid w:val="6EAF2348"/>
    <w:rsid w:val="6EAFD49E"/>
    <w:rsid w:val="6EB2C538"/>
    <w:rsid w:val="6EB67A64"/>
    <w:rsid w:val="6EBCFFD0"/>
    <w:rsid w:val="6EBD7FB0"/>
    <w:rsid w:val="6EC43CC8"/>
    <w:rsid w:val="6EC4B2AE"/>
    <w:rsid w:val="6EC624E5"/>
    <w:rsid w:val="6EC7233A"/>
    <w:rsid w:val="6EC98398"/>
    <w:rsid w:val="6ECC6286"/>
    <w:rsid w:val="6EDAE87C"/>
    <w:rsid w:val="6EDD3B33"/>
    <w:rsid w:val="6EEABD38"/>
    <w:rsid w:val="6EECE286"/>
    <w:rsid w:val="6EF19BD2"/>
    <w:rsid w:val="6EF1CC7A"/>
    <w:rsid w:val="6EF9BFBB"/>
    <w:rsid w:val="6EFFD09A"/>
    <w:rsid w:val="6F01B0FA"/>
    <w:rsid w:val="6F0BED20"/>
    <w:rsid w:val="6F0F5F51"/>
    <w:rsid w:val="6F13F1AF"/>
    <w:rsid w:val="6F18E666"/>
    <w:rsid w:val="6F194186"/>
    <w:rsid w:val="6F20BA7E"/>
    <w:rsid w:val="6F2440E6"/>
    <w:rsid w:val="6F24D82E"/>
    <w:rsid w:val="6F29F2B9"/>
    <w:rsid w:val="6F2B1E16"/>
    <w:rsid w:val="6F2B2D2D"/>
    <w:rsid w:val="6F2E8854"/>
    <w:rsid w:val="6F3109B4"/>
    <w:rsid w:val="6F369015"/>
    <w:rsid w:val="6F389600"/>
    <w:rsid w:val="6F3D56F4"/>
    <w:rsid w:val="6F4167EE"/>
    <w:rsid w:val="6F429D69"/>
    <w:rsid w:val="6F451D2C"/>
    <w:rsid w:val="6F45B52D"/>
    <w:rsid w:val="6F4B6EC0"/>
    <w:rsid w:val="6F4E08CA"/>
    <w:rsid w:val="6F4EB082"/>
    <w:rsid w:val="6F4EF268"/>
    <w:rsid w:val="6F4F0F57"/>
    <w:rsid w:val="6F4F2ED0"/>
    <w:rsid w:val="6F5348A2"/>
    <w:rsid w:val="6F54609E"/>
    <w:rsid w:val="6F54E62E"/>
    <w:rsid w:val="6F571E28"/>
    <w:rsid w:val="6F5AE4B2"/>
    <w:rsid w:val="6F5B8224"/>
    <w:rsid w:val="6F6729DE"/>
    <w:rsid w:val="6F68A12A"/>
    <w:rsid w:val="6F6B3E72"/>
    <w:rsid w:val="6F6CEEF2"/>
    <w:rsid w:val="6F6D4DB5"/>
    <w:rsid w:val="6F6EEC9E"/>
    <w:rsid w:val="6F708440"/>
    <w:rsid w:val="6F71E205"/>
    <w:rsid w:val="6F73C4D0"/>
    <w:rsid w:val="6F768B2D"/>
    <w:rsid w:val="6F77C5E5"/>
    <w:rsid w:val="6F787629"/>
    <w:rsid w:val="6F79369F"/>
    <w:rsid w:val="6F7C5578"/>
    <w:rsid w:val="6F7D1E17"/>
    <w:rsid w:val="6F7E5841"/>
    <w:rsid w:val="6F7EBC87"/>
    <w:rsid w:val="6F83BC83"/>
    <w:rsid w:val="6F8CE700"/>
    <w:rsid w:val="6F9086D0"/>
    <w:rsid w:val="6F923A90"/>
    <w:rsid w:val="6F97D018"/>
    <w:rsid w:val="6F9964BB"/>
    <w:rsid w:val="6F99A184"/>
    <w:rsid w:val="6F99D8EF"/>
    <w:rsid w:val="6F9D1E08"/>
    <w:rsid w:val="6FA2A9AD"/>
    <w:rsid w:val="6FA71E09"/>
    <w:rsid w:val="6FB4F070"/>
    <w:rsid w:val="6FB9094F"/>
    <w:rsid w:val="6FBAD981"/>
    <w:rsid w:val="6FBCE9A2"/>
    <w:rsid w:val="6FC21018"/>
    <w:rsid w:val="6FC5AE1C"/>
    <w:rsid w:val="6FCA3B04"/>
    <w:rsid w:val="6FD65A9F"/>
    <w:rsid w:val="6FDC0D57"/>
    <w:rsid w:val="6FDFE241"/>
    <w:rsid w:val="6FE2B4D1"/>
    <w:rsid w:val="6FE5A327"/>
    <w:rsid w:val="6FE9A3CB"/>
    <w:rsid w:val="6FEBDAE3"/>
    <w:rsid w:val="6FF5746E"/>
    <w:rsid w:val="6FF5785D"/>
    <w:rsid w:val="6FF5E216"/>
    <w:rsid w:val="6FF808FB"/>
    <w:rsid w:val="6FF8E3AC"/>
    <w:rsid w:val="6FF9F73E"/>
    <w:rsid w:val="6FFAEE50"/>
    <w:rsid w:val="6FFD1CBC"/>
    <w:rsid w:val="6FFDC8B6"/>
    <w:rsid w:val="70035732"/>
    <w:rsid w:val="700EA16E"/>
    <w:rsid w:val="701D3EDF"/>
    <w:rsid w:val="701DD0B2"/>
    <w:rsid w:val="70216BCC"/>
    <w:rsid w:val="70249485"/>
    <w:rsid w:val="7025C443"/>
    <w:rsid w:val="7028A771"/>
    <w:rsid w:val="702A18AF"/>
    <w:rsid w:val="70314100"/>
    <w:rsid w:val="70430D65"/>
    <w:rsid w:val="70462A91"/>
    <w:rsid w:val="704BD1EC"/>
    <w:rsid w:val="704DD3EB"/>
    <w:rsid w:val="704E09C8"/>
    <w:rsid w:val="70522B46"/>
    <w:rsid w:val="7054D0B5"/>
    <w:rsid w:val="7054D332"/>
    <w:rsid w:val="70559372"/>
    <w:rsid w:val="70596404"/>
    <w:rsid w:val="705ED8DA"/>
    <w:rsid w:val="705FEA59"/>
    <w:rsid w:val="70614887"/>
    <w:rsid w:val="7069EE98"/>
    <w:rsid w:val="706A17E6"/>
    <w:rsid w:val="706C3590"/>
    <w:rsid w:val="7073E0F9"/>
    <w:rsid w:val="70784F0D"/>
    <w:rsid w:val="707E1A20"/>
    <w:rsid w:val="7080FDA1"/>
    <w:rsid w:val="708E6723"/>
    <w:rsid w:val="70921F2D"/>
    <w:rsid w:val="70927A10"/>
    <w:rsid w:val="7094C2B3"/>
    <w:rsid w:val="70981F63"/>
    <w:rsid w:val="70985D19"/>
    <w:rsid w:val="709F358A"/>
    <w:rsid w:val="70A15D66"/>
    <w:rsid w:val="70A583D1"/>
    <w:rsid w:val="70AB8856"/>
    <w:rsid w:val="70AE73EB"/>
    <w:rsid w:val="70B6FCF1"/>
    <w:rsid w:val="70B7479F"/>
    <w:rsid w:val="70B9DBE1"/>
    <w:rsid w:val="70BD460B"/>
    <w:rsid w:val="70BE06F2"/>
    <w:rsid w:val="70BF5BD2"/>
    <w:rsid w:val="70C1AE1B"/>
    <w:rsid w:val="70C35F9A"/>
    <w:rsid w:val="70C538A2"/>
    <w:rsid w:val="70C99793"/>
    <w:rsid w:val="70C9A63F"/>
    <w:rsid w:val="70D8EE1F"/>
    <w:rsid w:val="70DA5CA3"/>
    <w:rsid w:val="70E0A370"/>
    <w:rsid w:val="70E5583E"/>
    <w:rsid w:val="70E64D0F"/>
    <w:rsid w:val="70E888E7"/>
    <w:rsid w:val="70EC0B61"/>
    <w:rsid w:val="70F18963"/>
    <w:rsid w:val="70F3C83C"/>
    <w:rsid w:val="70F57D22"/>
    <w:rsid w:val="70FF7FD7"/>
    <w:rsid w:val="710128D6"/>
    <w:rsid w:val="7102C242"/>
    <w:rsid w:val="710D6933"/>
    <w:rsid w:val="710DC8C4"/>
    <w:rsid w:val="71104AB4"/>
    <w:rsid w:val="7113991B"/>
    <w:rsid w:val="7116F55B"/>
    <w:rsid w:val="7118108B"/>
    <w:rsid w:val="711C853D"/>
    <w:rsid w:val="712455A0"/>
    <w:rsid w:val="712881FB"/>
    <w:rsid w:val="71299483"/>
    <w:rsid w:val="712BD5BA"/>
    <w:rsid w:val="713186BE"/>
    <w:rsid w:val="713667CD"/>
    <w:rsid w:val="7138107F"/>
    <w:rsid w:val="713E5564"/>
    <w:rsid w:val="7141FC0C"/>
    <w:rsid w:val="71532386"/>
    <w:rsid w:val="71545BA8"/>
    <w:rsid w:val="7157AD25"/>
    <w:rsid w:val="715A2C6D"/>
    <w:rsid w:val="7167BF52"/>
    <w:rsid w:val="7169125E"/>
    <w:rsid w:val="716E5031"/>
    <w:rsid w:val="716E6118"/>
    <w:rsid w:val="7170CDC7"/>
    <w:rsid w:val="7171D10F"/>
    <w:rsid w:val="7174FD32"/>
    <w:rsid w:val="717936FD"/>
    <w:rsid w:val="717A02B3"/>
    <w:rsid w:val="717B71FD"/>
    <w:rsid w:val="7182B09A"/>
    <w:rsid w:val="71883D1A"/>
    <w:rsid w:val="718EE522"/>
    <w:rsid w:val="718FA9E1"/>
    <w:rsid w:val="719355F6"/>
    <w:rsid w:val="719A7300"/>
    <w:rsid w:val="719FC7AE"/>
    <w:rsid w:val="71A6A212"/>
    <w:rsid w:val="71A82566"/>
    <w:rsid w:val="71AE7FA7"/>
    <w:rsid w:val="71AEB863"/>
    <w:rsid w:val="71B0D74E"/>
    <w:rsid w:val="71B8DC24"/>
    <w:rsid w:val="71BC1A8D"/>
    <w:rsid w:val="71BEB84B"/>
    <w:rsid w:val="71C141A6"/>
    <w:rsid w:val="71C2C672"/>
    <w:rsid w:val="71C79724"/>
    <w:rsid w:val="71C9C7DE"/>
    <w:rsid w:val="71D09FB3"/>
    <w:rsid w:val="71D15096"/>
    <w:rsid w:val="71D7A7D0"/>
    <w:rsid w:val="71DB3620"/>
    <w:rsid w:val="71DBCBA0"/>
    <w:rsid w:val="71DC1E6A"/>
    <w:rsid w:val="71DD0D34"/>
    <w:rsid w:val="71E7A443"/>
    <w:rsid w:val="71EBDE56"/>
    <w:rsid w:val="71EDCCFE"/>
    <w:rsid w:val="71EF40FC"/>
    <w:rsid w:val="71F10EDD"/>
    <w:rsid w:val="71FB8906"/>
    <w:rsid w:val="720667FF"/>
    <w:rsid w:val="720C3FDA"/>
    <w:rsid w:val="720D7399"/>
    <w:rsid w:val="720E6436"/>
    <w:rsid w:val="720F4200"/>
    <w:rsid w:val="7214A31B"/>
    <w:rsid w:val="7216F72F"/>
    <w:rsid w:val="721C66C9"/>
    <w:rsid w:val="721EDBA4"/>
    <w:rsid w:val="72208E1A"/>
    <w:rsid w:val="722091E0"/>
    <w:rsid w:val="7222474B"/>
    <w:rsid w:val="722A1E1E"/>
    <w:rsid w:val="722B1B8D"/>
    <w:rsid w:val="722BA6AF"/>
    <w:rsid w:val="722D1A31"/>
    <w:rsid w:val="7236F166"/>
    <w:rsid w:val="723EAB07"/>
    <w:rsid w:val="72416B7F"/>
    <w:rsid w:val="7243D0B6"/>
    <w:rsid w:val="72465DD3"/>
    <w:rsid w:val="724764B5"/>
    <w:rsid w:val="724D8F6E"/>
    <w:rsid w:val="725E8EF4"/>
    <w:rsid w:val="72610DB4"/>
    <w:rsid w:val="72622876"/>
    <w:rsid w:val="7264883F"/>
    <w:rsid w:val="726492C5"/>
    <w:rsid w:val="726B3E90"/>
    <w:rsid w:val="726D6908"/>
    <w:rsid w:val="72728D35"/>
    <w:rsid w:val="72741415"/>
    <w:rsid w:val="7274A55E"/>
    <w:rsid w:val="72755E89"/>
    <w:rsid w:val="7275D78F"/>
    <w:rsid w:val="727979FF"/>
    <w:rsid w:val="727F2334"/>
    <w:rsid w:val="72874265"/>
    <w:rsid w:val="728773F0"/>
    <w:rsid w:val="72893429"/>
    <w:rsid w:val="728D3A17"/>
    <w:rsid w:val="728DB092"/>
    <w:rsid w:val="728F6E52"/>
    <w:rsid w:val="72931636"/>
    <w:rsid w:val="729FEB60"/>
    <w:rsid w:val="729FFF04"/>
    <w:rsid w:val="72A1E22F"/>
    <w:rsid w:val="72A70FA0"/>
    <w:rsid w:val="72AE9374"/>
    <w:rsid w:val="72B86454"/>
    <w:rsid w:val="72BA99FA"/>
    <w:rsid w:val="72C5101B"/>
    <w:rsid w:val="72CA1ABD"/>
    <w:rsid w:val="72CC081F"/>
    <w:rsid w:val="72D1CB79"/>
    <w:rsid w:val="72D1FD08"/>
    <w:rsid w:val="72D3836E"/>
    <w:rsid w:val="72D3E3D5"/>
    <w:rsid w:val="72E2D21A"/>
    <w:rsid w:val="72E40FED"/>
    <w:rsid w:val="72E4ED22"/>
    <w:rsid w:val="72EBB205"/>
    <w:rsid w:val="72EC4B29"/>
    <w:rsid w:val="72ED1E91"/>
    <w:rsid w:val="72F6852A"/>
    <w:rsid w:val="7308CA0E"/>
    <w:rsid w:val="730D5F88"/>
    <w:rsid w:val="730DB39B"/>
    <w:rsid w:val="7313F5C1"/>
    <w:rsid w:val="731860E4"/>
    <w:rsid w:val="731C53E9"/>
    <w:rsid w:val="733512C9"/>
    <w:rsid w:val="73353AD1"/>
    <w:rsid w:val="7337EE82"/>
    <w:rsid w:val="7338781E"/>
    <w:rsid w:val="73420D39"/>
    <w:rsid w:val="73456970"/>
    <w:rsid w:val="734B9EE7"/>
    <w:rsid w:val="73562B51"/>
    <w:rsid w:val="73712EA8"/>
    <w:rsid w:val="737387AD"/>
    <w:rsid w:val="7373C9A1"/>
    <w:rsid w:val="737FF033"/>
    <w:rsid w:val="738A3001"/>
    <w:rsid w:val="738CE1C3"/>
    <w:rsid w:val="738F30F2"/>
    <w:rsid w:val="738FA168"/>
    <w:rsid w:val="7390C88C"/>
    <w:rsid w:val="7396C6F3"/>
    <w:rsid w:val="73994C24"/>
    <w:rsid w:val="739B8E3B"/>
    <w:rsid w:val="739F0196"/>
    <w:rsid w:val="73A070BB"/>
    <w:rsid w:val="73A3F01F"/>
    <w:rsid w:val="73AA4FB5"/>
    <w:rsid w:val="73B08FB7"/>
    <w:rsid w:val="73B396F9"/>
    <w:rsid w:val="73B7E202"/>
    <w:rsid w:val="73B82C57"/>
    <w:rsid w:val="73B8B613"/>
    <w:rsid w:val="73B922B5"/>
    <w:rsid w:val="73BAC614"/>
    <w:rsid w:val="73BEE1D8"/>
    <w:rsid w:val="73C1EB7C"/>
    <w:rsid w:val="73C5F1E2"/>
    <w:rsid w:val="73C6884A"/>
    <w:rsid w:val="73C85B49"/>
    <w:rsid w:val="73C89EBB"/>
    <w:rsid w:val="73C9B14F"/>
    <w:rsid w:val="73CF147B"/>
    <w:rsid w:val="73CFD117"/>
    <w:rsid w:val="73D1D7EA"/>
    <w:rsid w:val="73D36A35"/>
    <w:rsid w:val="73D93F47"/>
    <w:rsid w:val="73E0E4B6"/>
    <w:rsid w:val="73E22A82"/>
    <w:rsid w:val="73E51157"/>
    <w:rsid w:val="73E5FEBD"/>
    <w:rsid w:val="73E98604"/>
    <w:rsid w:val="73E9D996"/>
    <w:rsid w:val="73E9E6C4"/>
    <w:rsid w:val="73F2DCF2"/>
    <w:rsid w:val="73F930A1"/>
    <w:rsid w:val="73FAB95C"/>
    <w:rsid w:val="73FB9CB4"/>
    <w:rsid w:val="74023548"/>
    <w:rsid w:val="7404B49F"/>
    <w:rsid w:val="7406AFE7"/>
    <w:rsid w:val="74094F70"/>
    <w:rsid w:val="740CF7E7"/>
    <w:rsid w:val="740D9995"/>
    <w:rsid w:val="740F2BE8"/>
    <w:rsid w:val="74107834"/>
    <w:rsid w:val="7410BA28"/>
    <w:rsid w:val="7418E181"/>
    <w:rsid w:val="741A4C45"/>
    <w:rsid w:val="741BB4D8"/>
    <w:rsid w:val="741D993A"/>
    <w:rsid w:val="741E16D9"/>
    <w:rsid w:val="741E67A5"/>
    <w:rsid w:val="7420F1D6"/>
    <w:rsid w:val="74273882"/>
    <w:rsid w:val="7429A049"/>
    <w:rsid w:val="7434AFB1"/>
    <w:rsid w:val="7434D098"/>
    <w:rsid w:val="74366774"/>
    <w:rsid w:val="743925F1"/>
    <w:rsid w:val="7440D742"/>
    <w:rsid w:val="7442EBE4"/>
    <w:rsid w:val="744AFCDB"/>
    <w:rsid w:val="7451CDA4"/>
    <w:rsid w:val="7452B12E"/>
    <w:rsid w:val="7457E7EF"/>
    <w:rsid w:val="745BC005"/>
    <w:rsid w:val="745D981C"/>
    <w:rsid w:val="745FA914"/>
    <w:rsid w:val="74667E15"/>
    <w:rsid w:val="7466CB39"/>
    <w:rsid w:val="746A23EB"/>
    <w:rsid w:val="746F87DA"/>
    <w:rsid w:val="74743EF9"/>
    <w:rsid w:val="747636E5"/>
    <w:rsid w:val="747C4DD3"/>
    <w:rsid w:val="747E561C"/>
    <w:rsid w:val="747E6B88"/>
    <w:rsid w:val="7483199B"/>
    <w:rsid w:val="74853D05"/>
    <w:rsid w:val="748B3CAA"/>
    <w:rsid w:val="748D3239"/>
    <w:rsid w:val="74904279"/>
    <w:rsid w:val="7495097E"/>
    <w:rsid w:val="749B3493"/>
    <w:rsid w:val="749B5122"/>
    <w:rsid w:val="749D35C7"/>
    <w:rsid w:val="749DDA2B"/>
    <w:rsid w:val="749E3FA6"/>
    <w:rsid w:val="74A16D59"/>
    <w:rsid w:val="74A2CAE1"/>
    <w:rsid w:val="74AA71A1"/>
    <w:rsid w:val="74AE242A"/>
    <w:rsid w:val="74B13BDC"/>
    <w:rsid w:val="74B699A4"/>
    <w:rsid w:val="74C36BCE"/>
    <w:rsid w:val="74C4D8E2"/>
    <w:rsid w:val="74C4E1FA"/>
    <w:rsid w:val="74C9606F"/>
    <w:rsid w:val="74C99870"/>
    <w:rsid w:val="74CB90F5"/>
    <w:rsid w:val="74CBAF29"/>
    <w:rsid w:val="74D39AD0"/>
    <w:rsid w:val="74D86547"/>
    <w:rsid w:val="74DAB53B"/>
    <w:rsid w:val="74E0D9D3"/>
    <w:rsid w:val="74E118D6"/>
    <w:rsid w:val="74E30AD4"/>
    <w:rsid w:val="74E4A81C"/>
    <w:rsid w:val="74E60242"/>
    <w:rsid w:val="74E69FDF"/>
    <w:rsid w:val="74E9433C"/>
    <w:rsid w:val="74EB07F1"/>
    <w:rsid w:val="74ECD86B"/>
    <w:rsid w:val="74ED4184"/>
    <w:rsid w:val="74F241F3"/>
    <w:rsid w:val="7504281D"/>
    <w:rsid w:val="750953D9"/>
    <w:rsid w:val="750A5F11"/>
    <w:rsid w:val="750BE839"/>
    <w:rsid w:val="750C8EDA"/>
    <w:rsid w:val="75110468"/>
    <w:rsid w:val="7512CDB1"/>
    <w:rsid w:val="75184F19"/>
    <w:rsid w:val="7519C83A"/>
    <w:rsid w:val="751A4C49"/>
    <w:rsid w:val="751AAA9D"/>
    <w:rsid w:val="7521A6D1"/>
    <w:rsid w:val="752207BD"/>
    <w:rsid w:val="7524F302"/>
    <w:rsid w:val="752583D4"/>
    <w:rsid w:val="75293A9D"/>
    <w:rsid w:val="752FD58C"/>
    <w:rsid w:val="7533FB39"/>
    <w:rsid w:val="7536BF78"/>
    <w:rsid w:val="753A99CD"/>
    <w:rsid w:val="7543A0DE"/>
    <w:rsid w:val="7545CF34"/>
    <w:rsid w:val="75486D8D"/>
    <w:rsid w:val="754D1AE6"/>
    <w:rsid w:val="754D7ACA"/>
    <w:rsid w:val="754DFE06"/>
    <w:rsid w:val="755C5F0F"/>
    <w:rsid w:val="75666B71"/>
    <w:rsid w:val="7567732B"/>
    <w:rsid w:val="756DBA78"/>
    <w:rsid w:val="756E151E"/>
    <w:rsid w:val="757273D1"/>
    <w:rsid w:val="7574B056"/>
    <w:rsid w:val="757AF739"/>
    <w:rsid w:val="7586D0A9"/>
    <w:rsid w:val="7589C95D"/>
    <w:rsid w:val="758DE5F0"/>
    <w:rsid w:val="75910599"/>
    <w:rsid w:val="75940EF1"/>
    <w:rsid w:val="75961FA4"/>
    <w:rsid w:val="7596379A"/>
    <w:rsid w:val="7599C32D"/>
    <w:rsid w:val="759DF9C3"/>
    <w:rsid w:val="75A5CB1C"/>
    <w:rsid w:val="75A94D53"/>
    <w:rsid w:val="75AB67CE"/>
    <w:rsid w:val="75B3EB9B"/>
    <w:rsid w:val="75B5E103"/>
    <w:rsid w:val="75C18F7C"/>
    <w:rsid w:val="75D68388"/>
    <w:rsid w:val="75D80FDE"/>
    <w:rsid w:val="75DAB17A"/>
    <w:rsid w:val="75DCE418"/>
    <w:rsid w:val="75DE4696"/>
    <w:rsid w:val="75E392C8"/>
    <w:rsid w:val="75E6295C"/>
    <w:rsid w:val="75EDB7CD"/>
    <w:rsid w:val="75EE3D4F"/>
    <w:rsid w:val="75EFB169"/>
    <w:rsid w:val="75F12016"/>
    <w:rsid w:val="75F472BF"/>
    <w:rsid w:val="75F4C74A"/>
    <w:rsid w:val="75F87122"/>
    <w:rsid w:val="75F9CE39"/>
    <w:rsid w:val="76013D0C"/>
    <w:rsid w:val="760752A7"/>
    <w:rsid w:val="760807AA"/>
    <w:rsid w:val="7611A3A9"/>
    <w:rsid w:val="76146A8A"/>
    <w:rsid w:val="76153925"/>
    <w:rsid w:val="761C2E02"/>
    <w:rsid w:val="761EB52E"/>
    <w:rsid w:val="76286DB6"/>
    <w:rsid w:val="762BA109"/>
    <w:rsid w:val="762CB002"/>
    <w:rsid w:val="7637CA4E"/>
    <w:rsid w:val="7638B91E"/>
    <w:rsid w:val="76396CF2"/>
    <w:rsid w:val="763D991B"/>
    <w:rsid w:val="763DCFFA"/>
    <w:rsid w:val="7642B396"/>
    <w:rsid w:val="764903F7"/>
    <w:rsid w:val="765197D5"/>
    <w:rsid w:val="765AA5F1"/>
    <w:rsid w:val="765B2FC8"/>
    <w:rsid w:val="765C6DE5"/>
    <w:rsid w:val="765F3510"/>
    <w:rsid w:val="7665616E"/>
    <w:rsid w:val="766D357D"/>
    <w:rsid w:val="766E9FEF"/>
    <w:rsid w:val="768660FE"/>
    <w:rsid w:val="768DBF5F"/>
    <w:rsid w:val="7691A6BB"/>
    <w:rsid w:val="769C1215"/>
    <w:rsid w:val="76A15E34"/>
    <w:rsid w:val="76A17513"/>
    <w:rsid w:val="76A5CE0C"/>
    <w:rsid w:val="76A7D773"/>
    <w:rsid w:val="76B0B752"/>
    <w:rsid w:val="76B37355"/>
    <w:rsid w:val="76B3C789"/>
    <w:rsid w:val="76B51B96"/>
    <w:rsid w:val="76B752E5"/>
    <w:rsid w:val="76BA7264"/>
    <w:rsid w:val="76BBD612"/>
    <w:rsid w:val="76BE730A"/>
    <w:rsid w:val="76C271E2"/>
    <w:rsid w:val="76C4F08D"/>
    <w:rsid w:val="76C6DC42"/>
    <w:rsid w:val="76C748BA"/>
    <w:rsid w:val="76CB3807"/>
    <w:rsid w:val="76CCC314"/>
    <w:rsid w:val="76CF5EC8"/>
    <w:rsid w:val="76D221D2"/>
    <w:rsid w:val="76D22613"/>
    <w:rsid w:val="76D42885"/>
    <w:rsid w:val="76D60C2D"/>
    <w:rsid w:val="76DB40E5"/>
    <w:rsid w:val="76DB947C"/>
    <w:rsid w:val="76DC32CB"/>
    <w:rsid w:val="76DC9D73"/>
    <w:rsid w:val="76E46E18"/>
    <w:rsid w:val="76E8E7B3"/>
    <w:rsid w:val="76EB4C18"/>
    <w:rsid w:val="76F0584E"/>
    <w:rsid w:val="76F35A1C"/>
    <w:rsid w:val="76F3ED48"/>
    <w:rsid w:val="76F69142"/>
    <w:rsid w:val="76F7AA98"/>
    <w:rsid w:val="76F7EEEE"/>
    <w:rsid w:val="76FA8A5E"/>
    <w:rsid w:val="76FB3531"/>
    <w:rsid w:val="76FBD336"/>
    <w:rsid w:val="76FE230B"/>
    <w:rsid w:val="77033048"/>
    <w:rsid w:val="77091C07"/>
    <w:rsid w:val="77095FC2"/>
    <w:rsid w:val="770E8C5B"/>
    <w:rsid w:val="771171DF"/>
    <w:rsid w:val="7717395A"/>
    <w:rsid w:val="771846CB"/>
    <w:rsid w:val="77197461"/>
    <w:rsid w:val="771D4927"/>
    <w:rsid w:val="7723C233"/>
    <w:rsid w:val="77246509"/>
    <w:rsid w:val="772521F5"/>
    <w:rsid w:val="7726CEEC"/>
    <w:rsid w:val="7730AB1B"/>
    <w:rsid w:val="77318855"/>
    <w:rsid w:val="7734BB08"/>
    <w:rsid w:val="773CB76B"/>
    <w:rsid w:val="773F3CA9"/>
    <w:rsid w:val="774BD859"/>
    <w:rsid w:val="774ED08D"/>
    <w:rsid w:val="77526210"/>
    <w:rsid w:val="7753DF96"/>
    <w:rsid w:val="7758C12A"/>
    <w:rsid w:val="775AE813"/>
    <w:rsid w:val="775C8479"/>
    <w:rsid w:val="775EBC56"/>
    <w:rsid w:val="775FFD23"/>
    <w:rsid w:val="7762FF0B"/>
    <w:rsid w:val="7765B8BC"/>
    <w:rsid w:val="7771D098"/>
    <w:rsid w:val="7775D63F"/>
    <w:rsid w:val="7778247E"/>
    <w:rsid w:val="77796B55"/>
    <w:rsid w:val="777D0115"/>
    <w:rsid w:val="777D9502"/>
    <w:rsid w:val="77805A80"/>
    <w:rsid w:val="77826C99"/>
    <w:rsid w:val="77857E2E"/>
    <w:rsid w:val="7789E60C"/>
    <w:rsid w:val="77959187"/>
    <w:rsid w:val="779B2780"/>
    <w:rsid w:val="779E1081"/>
    <w:rsid w:val="77A2CBCD"/>
    <w:rsid w:val="77A601CB"/>
    <w:rsid w:val="77ACBAB3"/>
    <w:rsid w:val="77ACF38E"/>
    <w:rsid w:val="77AD44BD"/>
    <w:rsid w:val="77AEB0C3"/>
    <w:rsid w:val="77AF972A"/>
    <w:rsid w:val="77B610B4"/>
    <w:rsid w:val="77B7DAFC"/>
    <w:rsid w:val="77BB6C91"/>
    <w:rsid w:val="77BE336F"/>
    <w:rsid w:val="77BE967B"/>
    <w:rsid w:val="77C0746A"/>
    <w:rsid w:val="77C56597"/>
    <w:rsid w:val="77CFB1C4"/>
    <w:rsid w:val="77CFC7FF"/>
    <w:rsid w:val="77D581A6"/>
    <w:rsid w:val="77DEB8CA"/>
    <w:rsid w:val="77EBBFF6"/>
    <w:rsid w:val="77EF5A14"/>
    <w:rsid w:val="77F02589"/>
    <w:rsid w:val="77F4F7BA"/>
    <w:rsid w:val="77F52854"/>
    <w:rsid w:val="77F71389"/>
    <w:rsid w:val="77F7C8FE"/>
    <w:rsid w:val="77FB842D"/>
    <w:rsid w:val="77FB8D20"/>
    <w:rsid w:val="77FC9B96"/>
    <w:rsid w:val="77FEEC58"/>
    <w:rsid w:val="780304F6"/>
    <w:rsid w:val="78047FE8"/>
    <w:rsid w:val="780687FB"/>
    <w:rsid w:val="780A0810"/>
    <w:rsid w:val="780A31D7"/>
    <w:rsid w:val="780DEDDC"/>
    <w:rsid w:val="780F511F"/>
    <w:rsid w:val="780F65F4"/>
    <w:rsid w:val="780FEE01"/>
    <w:rsid w:val="78101BE0"/>
    <w:rsid w:val="7811D1FA"/>
    <w:rsid w:val="78169E87"/>
    <w:rsid w:val="7818BD1F"/>
    <w:rsid w:val="781974C3"/>
    <w:rsid w:val="781C17FA"/>
    <w:rsid w:val="781C3B19"/>
    <w:rsid w:val="781E6B68"/>
    <w:rsid w:val="7823CABE"/>
    <w:rsid w:val="7825338C"/>
    <w:rsid w:val="782592C5"/>
    <w:rsid w:val="783113AF"/>
    <w:rsid w:val="7831A727"/>
    <w:rsid w:val="7832D416"/>
    <w:rsid w:val="783426DD"/>
    <w:rsid w:val="783448A3"/>
    <w:rsid w:val="7837F297"/>
    <w:rsid w:val="7838C218"/>
    <w:rsid w:val="783C9432"/>
    <w:rsid w:val="783F0904"/>
    <w:rsid w:val="7845127A"/>
    <w:rsid w:val="78451601"/>
    <w:rsid w:val="784B0C94"/>
    <w:rsid w:val="784F67A3"/>
    <w:rsid w:val="784FCB47"/>
    <w:rsid w:val="7857CCD7"/>
    <w:rsid w:val="785829CA"/>
    <w:rsid w:val="785887E9"/>
    <w:rsid w:val="785C12ED"/>
    <w:rsid w:val="7860AFDE"/>
    <w:rsid w:val="78613564"/>
    <w:rsid w:val="7863C5A3"/>
    <w:rsid w:val="7863F4E9"/>
    <w:rsid w:val="78659ED7"/>
    <w:rsid w:val="78698CAA"/>
    <w:rsid w:val="786E54CB"/>
    <w:rsid w:val="786F6BDC"/>
    <w:rsid w:val="787C675D"/>
    <w:rsid w:val="787DDB96"/>
    <w:rsid w:val="78823E20"/>
    <w:rsid w:val="7888EBA1"/>
    <w:rsid w:val="78898EB5"/>
    <w:rsid w:val="7889E5C4"/>
    <w:rsid w:val="788D4F21"/>
    <w:rsid w:val="78985F2A"/>
    <w:rsid w:val="78994F0F"/>
    <w:rsid w:val="78A23AA9"/>
    <w:rsid w:val="78A4B1C3"/>
    <w:rsid w:val="78A4D972"/>
    <w:rsid w:val="78A5C1FB"/>
    <w:rsid w:val="78A71656"/>
    <w:rsid w:val="78AA9010"/>
    <w:rsid w:val="78AAA615"/>
    <w:rsid w:val="78AC6F73"/>
    <w:rsid w:val="78B9407B"/>
    <w:rsid w:val="78BD691A"/>
    <w:rsid w:val="78BE0EB0"/>
    <w:rsid w:val="78BE1FBE"/>
    <w:rsid w:val="78BF7844"/>
    <w:rsid w:val="78C33943"/>
    <w:rsid w:val="78C407FA"/>
    <w:rsid w:val="78C5802E"/>
    <w:rsid w:val="78C9A55B"/>
    <w:rsid w:val="78D09D40"/>
    <w:rsid w:val="78D55B43"/>
    <w:rsid w:val="78D6C741"/>
    <w:rsid w:val="78D7E234"/>
    <w:rsid w:val="78D8C076"/>
    <w:rsid w:val="78DB53B3"/>
    <w:rsid w:val="78DC0082"/>
    <w:rsid w:val="78DC14CC"/>
    <w:rsid w:val="78DD1FE2"/>
    <w:rsid w:val="78E3A862"/>
    <w:rsid w:val="78E91B21"/>
    <w:rsid w:val="78EB0D2A"/>
    <w:rsid w:val="78EBCC05"/>
    <w:rsid w:val="78F47661"/>
    <w:rsid w:val="78F8E4A8"/>
    <w:rsid w:val="78FB3620"/>
    <w:rsid w:val="79013F81"/>
    <w:rsid w:val="7909E4F0"/>
    <w:rsid w:val="790DA512"/>
    <w:rsid w:val="79101DD1"/>
    <w:rsid w:val="79109897"/>
    <w:rsid w:val="791108DB"/>
    <w:rsid w:val="79126C62"/>
    <w:rsid w:val="791A090A"/>
    <w:rsid w:val="791CEC7D"/>
    <w:rsid w:val="791E8CEE"/>
    <w:rsid w:val="7920768E"/>
    <w:rsid w:val="7922BD7C"/>
    <w:rsid w:val="7926B9B0"/>
    <w:rsid w:val="79293C82"/>
    <w:rsid w:val="7929B684"/>
    <w:rsid w:val="7929CAB8"/>
    <w:rsid w:val="792B1464"/>
    <w:rsid w:val="792DB941"/>
    <w:rsid w:val="793179AC"/>
    <w:rsid w:val="7932ABE2"/>
    <w:rsid w:val="79380DD9"/>
    <w:rsid w:val="79387087"/>
    <w:rsid w:val="793C75E5"/>
    <w:rsid w:val="7942E6F6"/>
    <w:rsid w:val="79435F98"/>
    <w:rsid w:val="794629CE"/>
    <w:rsid w:val="7947C691"/>
    <w:rsid w:val="7949460A"/>
    <w:rsid w:val="79544672"/>
    <w:rsid w:val="7958A9D7"/>
    <w:rsid w:val="7959CC31"/>
    <w:rsid w:val="79603390"/>
    <w:rsid w:val="79680E20"/>
    <w:rsid w:val="7973561A"/>
    <w:rsid w:val="797C7036"/>
    <w:rsid w:val="797EAABD"/>
    <w:rsid w:val="7980BBEE"/>
    <w:rsid w:val="79852EBE"/>
    <w:rsid w:val="798716D3"/>
    <w:rsid w:val="79899A3E"/>
    <w:rsid w:val="799392BC"/>
    <w:rsid w:val="7997C6AA"/>
    <w:rsid w:val="799B2D43"/>
    <w:rsid w:val="799B8F99"/>
    <w:rsid w:val="799D98FB"/>
    <w:rsid w:val="799E13B8"/>
    <w:rsid w:val="799EF591"/>
    <w:rsid w:val="799F0F4C"/>
    <w:rsid w:val="79A174F2"/>
    <w:rsid w:val="79A4103B"/>
    <w:rsid w:val="79A723A7"/>
    <w:rsid w:val="79A9F4A0"/>
    <w:rsid w:val="79AEAEC0"/>
    <w:rsid w:val="79B49E61"/>
    <w:rsid w:val="79B84E0A"/>
    <w:rsid w:val="79C0968A"/>
    <w:rsid w:val="79CA9CA4"/>
    <w:rsid w:val="79D2AAA2"/>
    <w:rsid w:val="79D476C3"/>
    <w:rsid w:val="79D5F07E"/>
    <w:rsid w:val="79D6EA08"/>
    <w:rsid w:val="79D76B6A"/>
    <w:rsid w:val="79DAB05C"/>
    <w:rsid w:val="79DECB05"/>
    <w:rsid w:val="79E3BEFE"/>
    <w:rsid w:val="79E50B69"/>
    <w:rsid w:val="79E9BFB5"/>
    <w:rsid w:val="79ECC0B6"/>
    <w:rsid w:val="79F483B2"/>
    <w:rsid w:val="79FF749A"/>
    <w:rsid w:val="7A006787"/>
    <w:rsid w:val="7A09902D"/>
    <w:rsid w:val="7A105B04"/>
    <w:rsid w:val="7A165D04"/>
    <w:rsid w:val="7A1819AE"/>
    <w:rsid w:val="7A1C55F6"/>
    <w:rsid w:val="7A268BB5"/>
    <w:rsid w:val="7A29F943"/>
    <w:rsid w:val="7A2E1F71"/>
    <w:rsid w:val="7A33E8E9"/>
    <w:rsid w:val="7A35330A"/>
    <w:rsid w:val="7A35D18D"/>
    <w:rsid w:val="7A35D823"/>
    <w:rsid w:val="7A4598DF"/>
    <w:rsid w:val="7A49657B"/>
    <w:rsid w:val="7A4C0388"/>
    <w:rsid w:val="7A549523"/>
    <w:rsid w:val="7A5771EB"/>
    <w:rsid w:val="7A594FAF"/>
    <w:rsid w:val="7A6D4C5C"/>
    <w:rsid w:val="7A6E0323"/>
    <w:rsid w:val="7A6FB330"/>
    <w:rsid w:val="7A715866"/>
    <w:rsid w:val="7A71A1A1"/>
    <w:rsid w:val="7A721BE5"/>
    <w:rsid w:val="7A777148"/>
    <w:rsid w:val="7A84850E"/>
    <w:rsid w:val="7A8B9F41"/>
    <w:rsid w:val="7A8D0305"/>
    <w:rsid w:val="7A8DD5AD"/>
    <w:rsid w:val="7A91119A"/>
    <w:rsid w:val="7A916CA3"/>
    <w:rsid w:val="7A921D6E"/>
    <w:rsid w:val="7A93BFD1"/>
    <w:rsid w:val="7A9549D3"/>
    <w:rsid w:val="7A9A86E7"/>
    <w:rsid w:val="7A9B7DE9"/>
    <w:rsid w:val="7A9C5B09"/>
    <w:rsid w:val="7A9D7C8B"/>
    <w:rsid w:val="7A9EAA1F"/>
    <w:rsid w:val="7AA17722"/>
    <w:rsid w:val="7AA2061E"/>
    <w:rsid w:val="7AABAFFB"/>
    <w:rsid w:val="7AADC862"/>
    <w:rsid w:val="7AB01CDF"/>
    <w:rsid w:val="7AB5216A"/>
    <w:rsid w:val="7ABFF3C0"/>
    <w:rsid w:val="7AC413B1"/>
    <w:rsid w:val="7AC42F07"/>
    <w:rsid w:val="7AC4BEBD"/>
    <w:rsid w:val="7AC5AF6F"/>
    <w:rsid w:val="7AC8941C"/>
    <w:rsid w:val="7AC9392B"/>
    <w:rsid w:val="7ACEA955"/>
    <w:rsid w:val="7AD139E5"/>
    <w:rsid w:val="7AD21FFF"/>
    <w:rsid w:val="7AD65624"/>
    <w:rsid w:val="7ADAC8E0"/>
    <w:rsid w:val="7AE32875"/>
    <w:rsid w:val="7AE9A6F7"/>
    <w:rsid w:val="7AEB6565"/>
    <w:rsid w:val="7AEC8DBE"/>
    <w:rsid w:val="7AECA7DF"/>
    <w:rsid w:val="7AF7FA6C"/>
    <w:rsid w:val="7AF90FE9"/>
    <w:rsid w:val="7AFE178D"/>
    <w:rsid w:val="7B014E85"/>
    <w:rsid w:val="7B029E87"/>
    <w:rsid w:val="7B0DB8D7"/>
    <w:rsid w:val="7B10FF43"/>
    <w:rsid w:val="7B13672B"/>
    <w:rsid w:val="7B159F04"/>
    <w:rsid w:val="7B1BB4D6"/>
    <w:rsid w:val="7B311FF7"/>
    <w:rsid w:val="7B328799"/>
    <w:rsid w:val="7B39DB96"/>
    <w:rsid w:val="7B3E78F5"/>
    <w:rsid w:val="7B4213CA"/>
    <w:rsid w:val="7B44E465"/>
    <w:rsid w:val="7B4BD8C3"/>
    <w:rsid w:val="7B520B52"/>
    <w:rsid w:val="7B58EEFC"/>
    <w:rsid w:val="7B5B80AA"/>
    <w:rsid w:val="7B5F724A"/>
    <w:rsid w:val="7B606CA8"/>
    <w:rsid w:val="7B61F178"/>
    <w:rsid w:val="7B668FFA"/>
    <w:rsid w:val="7B6DA2C8"/>
    <w:rsid w:val="7B6E7109"/>
    <w:rsid w:val="7B72FEDB"/>
    <w:rsid w:val="7B7F5754"/>
    <w:rsid w:val="7B7F79E8"/>
    <w:rsid w:val="7B844380"/>
    <w:rsid w:val="7B899164"/>
    <w:rsid w:val="7B8A7325"/>
    <w:rsid w:val="7B8CD0AC"/>
    <w:rsid w:val="7B8EC6F1"/>
    <w:rsid w:val="7B938B2F"/>
    <w:rsid w:val="7B984C49"/>
    <w:rsid w:val="7B9A4ED5"/>
    <w:rsid w:val="7B9B9848"/>
    <w:rsid w:val="7BA091BB"/>
    <w:rsid w:val="7BA17264"/>
    <w:rsid w:val="7BA4142F"/>
    <w:rsid w:val="7BA43E86"/>
    <w:rsid w:val="7BA9A699"/>
    <w:rsid w:val="7BAB9BD5"/>
    <w:rsid w:val="7BADCF39"/>
    <w:rsid w:val="7BB3CA5E"/>
    <w:rsid w:val="7BB6C76C"/>
    <w:rsid w:val="7BBBAEAC"/>
    <w:rsid w:val="7BBEB08F"/>
    <w:rsid w:val="7BBECEA0"/>
    <w:rsid w:val="7BC090DE"/>
    <w:rsid w:val="7BC1E281"/>
    <w:rsid w:val="7BC359B3"/>
    <w:rsid w:val="7BC9190A"/>
    <w:rsid w:val="7BCA2349"/>
    <w:rsid w:val="7BCB5C6B"/>
    <w:rsid w:val="7BCB67AE"/>
    <w:rsid w:val="7BCC43AC"/>
    <w:rsid w:val="7BD5CB8E"/>
    <w:rsid w:val="7BD643B8"/>
    <w:rsid w:val="7BD8859C"/>
    <w:rsid w:val="7BDFC4D9"/>
    <w:rsid w:val="7BE005D7"/>
    <w:rsid w:val="7BE00AC6"/>
    <w:rsid w:val="7BE17BB6"/>
    <w:rsid w:val="7BE5B8A8"/>
    <w:rsid w:val="7BE9E13D"/>
    <w:rsid w:val="7BEF7B12"/>
    <w:rsid w:val="7BF4A7CE"/>
    <w:rsid w:val="7BF92D30"/>
    <w:rsid w:val="7BFE30D3"/>
    <w:rsid w:val="7BFE3533"/>
    <w:rsid w:val="7C06C018"/>
    <w:rsid w:val="7C0724CA"/>
    <w:rsid w:val="7C072EA6"/>
    <w:rsid w:val="7C07DA72"/>
    <w:rsid w:val="7C0BF008"/>
    <w:rsid w:val="7C157849"/>
    <w:rsid w:val="7C199C0A"/>
    <w:rsid w:val="7C209AEE"/>
    <w:rsid w:val="7C252D20"/>
    <w:rsid w:val="7C29C79A"/>
    <w:rsid w:val="7C359D3D"/>
    <w:rsid w:val="7C3A6FB1"/>
    <w:rsid w:val="7C3C7F6C"/>
    <w:rsid w:val="7C3F5DA6"/>
    <w:rsid w:val="7C4082F0"/>
    <w:rsid w:val="7C40BAE6"/>
    <w:rsid w:val="7C4117F7"/>
    <w:rsid w:val="7C4AC4EB"/>
    <w:rsid w:val="7C4C89AE"/>
    <w:rsid w:val="7C4D4353"/>
    <w:rsid w:val="7C4F1DFF"/>
    <w:rsid w:val="7C50EB47"/>
    <w:rsid w:val="7C511E9D"/>
    <w:rsid w:val="7C55B205"/>
    <w:rsid w:val="7C560442"/>
    <w:rsid w:val="7C5851FD"/>
    <w:rsid w:val="7C59468A"/>
    <w:rsid w:val="7C5A9049"/>
    <w:rsid w:val="7C5AFA9B"/>
    <w:rsid w:val="7C64E6EA"/>
    <w:rsid w:val="7C6873CB"/>
    <w:rsid w:val="7C7210F3"/>
    <w:rsid w:val="7C7741F7"/>
    <w:rsid w:val="7C7A2B87"/>
    <w:rsid w:val="7C80219A"/>
    <w:rsid w:val="7C883F52"/>
    <w:rsid w:val="7C8A00AB"/>
    <w:rsid w:val="7C8ADF53"/>
    <w:rsid w:val="7C90DC82"/>
    <w:rsid w:val="7C9625EC"/>
    <w:rsid w:val="7C9ED48E"/>
    <w:rsid w:val="7CA0D7CE"/>
    <w:rsid w:val="7CA16080"/>
    <w:rsid w:val="7CA1B347"/>
    <w:rsid w:val="7CA22E16"/>
    <w:rsid w:val="7CB46866"/>
    <w:rsid w:val="7CB503BC"/>
    <w:rsid w:val="7CBBA788"/>
    <w:rsid w:val="7CBFFBF7"/>
    <w:rsid w:val="7CC53DFD"/>
    <w:rsid w:val="7CC61F9C"/>
    <w:rsid w:val="7CC82A63"/>
    <w:rsid w:val="7CCAE60F"/>
    <w:rsid w:val="7CCC0813"/>
    <w:rsid w:val="7CCFAA76"/>
    <w:rsid w:val="7CD33F66"/>
    <w:rsid w:val="7CD61B8B"/>
    <w:rsid w:val="7CD954D1"/>
    <w:rsid w:val="7CD995E0"/>
    <w:rsid w:val="7CDBD15A"/>
    <w:rsid w:val="7CDC0AEC"/>
    <w:rsid w:val="7CDC210C"/>
    <w:rsid w:val="7CDCE60E"/>
    <w:rsid w:val="7CDE7272"/>
    <w:rsid w:val="7CDF0E65"/>
    <w:rsid w:val="7CE5057A"/>
    <w:rsid w:val="7CECBDB7"/>
    <w:rsid w:val="7CF25F9A"/>
    <w:rsid w:val="7CF5BE08"/>
    <w:rsid w:val="7CF857B1"/>
    <w:rsid w:val="7D02538F"/>
    <w:rsid w:val="7D0360CC"/>
    <w:rsid w:val="7D1918EE"/>
    <w:rsid w:val="7D1C9B1B"/>
    <w:rsid w:val="7D204A01"/>
    <w:rsid w:val="7D210C98"/>
    <w:rsid w:val="7D23B40F"/>
    <w:rsid w:val="7D26E2E6"/>
    <w:rsid w:val="7D27D527"/>
    <w:rsid w:val="7D2D638B"/>
    <w:rsid w:val="7D331ACC"/>
    <w:rsid w:val="7D357467"/>
    <w:rsid w:val="7D425868"/>
    <w:rsid w:val="7D46C6AA"/>
    <w:rsid w:val="7D4B0CC6"/>
    <w:rsid w:val="7D4D43C7"/>
    <w:rsid w:val="7D596827"/>
    <w:rsid w:val="7D5B3EB3"/>
    <w:rsid w:val="7D5BE37B"/>
    <w:rsid w:val="7D611281"/>
    <w:rsid w:val="7D61EA91"/>
    <w:rsid w:val="7D65BC3B"/>
    <w:rsid w:val="7D667442"/>
    <w:rsid w:val="7D668CF2"/>
    <w:rsid w:val="7D66E6C0"/>
    <w:rsid w:val="7D6FE7BE"/>
    <w:rsid w:val="7D799430"/>
    <w:rsid w:val="7D79D3E4"/>
    <w:rsid w:val="7D7AF01A"/>
    <w:rsid w:val="7D864D22"/>
    <w:rsid w:val="7D88E61A"/>
    <w:rsid w:val="7D8EA2D4"/>
    <w:rsid w:val="7D9154CD"/>
    <w:rsid w:val="7D915B74"/>
    <w:rsid w:val="7D91B274"/>
    <w:rsid w:val="7D95F861"/>
    <w:rsid w:val="7D9630D0"/>
    <w:rsid w:val="7D9DC03D"/>
    <w:rsid w:val="7D9E0119"/>
    <w:rsid w:val="7DA1CB17"/>
    <w:rsid w:val="7DA7A95A"/>
    <w:rsid w:val="7DAA09B8"/>
    <w:rsid w:val="7DAAA7E2"/>
    <w:rsid w:val="7DAAC145"/>
    <w:rsid w:val="7DAC2894"/>
    <w:rsid w:val="7DB2C1A3"/>
    <w:rsid w:val="7DB75185"/>
    <w:rsid w:val="7DC21684"/>
    <w:rsid w:val="7DCA0F80"/>
    <w:rsid w:val="7DCCB3B0"/>
    <w:rsid w:val="7DD0F866"/>
    <w:rsid w:val="7DD65253"/>
    <w:rsid w:val="7DDBC3D3"/>
    <w:rsid w:val="7DDCE945"/>
    <w:rsid w:val="7DDFBB15"/>
    <w:rsid w:val="7DE0949F"/>
    <w:rsid w:val="7DE0D102"/>
    <w:rsid w:val="7DE5121B"/>
    <w:rsid w:val="7DE6176B"/>
    <w:rsid w:val="7DE72DE7"/>
    <w:rsid w:val="7DEA1955"/>
    <w:rsid w:val="7DEDEE2D"/>
    <w:rsid w:val="7DF11F79"/>
    <w:rsid w:val="7DF4FE8E"/>
    <w:rsid w:val="7DF91D2C"/>
    <w:rsid w:val="7E039C74"/>
    <w:rsid w:val="7E095DCF"/>
    <w:rsid w:val="7E0BD1DC"/>
    <w:rsid w:val="7E0E4C53"/>
    <w:rsid w:val="7E16C5A0"/>
    <w:rsid w:val="7E1CC227"/>
    <w:rsid w:val="7E1DA0FE"/>
    <w:rsid w:val="7E2623AB"/>
    <w:rsid w:val="7E26A2DA"/>
    <w:rsid w:val="7E31DEE2"/>
    <w:rsid w:val="7E3735FF"/>
    <w:rsid w:val="7E45EB54"/>
    <w:rsid w:val="7E505883"/>
    <w:rsid w:val="7E547BAC"/>
    <w:rsid w:val="7E548ED5"/>
    <w:rsid w:val="7E59D74F"/>
    <w:rsid w:val="7E5A2896"/>
    <w:rsid w:val="7E5ADBD8"/>
    <w:rsid w:val="7E606975"/>
    <w:rsid w:val="7E6191F8"/>
    <w:rsid w:val="7E62382B"/>
    <w:rsid w:val="7E642E73"/>
    <w:rsid w:val="7E648935"/>
    <w:rsid w:val="7E698231"/>
    <w:rsid w:val="7E6A4EFB"/>
    <w:rsid w:val="7E737479"/>
    <w:rsid w:val="7E7515C2"/>
    <w:rsid w:val="7E772D6B"/>
    <w:rsid w:val="7E794ADA"/>
    <w:rsid w:val="7E797623"/>
    <w:rsid w:val="7E7CF827"/>
    <w:rsid w:val="7E7D2A22"/>
    <w:rsid w:val="7E84DD7A"/>
    <w:rsid w:val="7E8AACC7"/>
    <w:rsid w:val="7E8C94B3"/>
    <w:rsid w:val="7E902A71"/>
    <w:rsid w:val="7E96A87F"/>
    <w:rsid w:val="7E97E553"/>
    <w:rsid w:val="7E98EBE1"/>
    <w:rsid w:val="7E9C5FAE"/>
    <w:rsid w:val="7E9D76AB"/>
    <w:rsid w:val="7E9EAAE0"/>
    <w:rsid w:val="7E9F9BD9"/>
    <w:rsid w:val="7EA0443E"/>
    <w:rsid w:val="7EA0A4C7"/>
    <w:rsid w:val="7EA59EBD"/>
    <w:rsid w:val="7EA87279"/>
    <w:rsid w:val="7EA908B6"/>
    <w:rsid w:val="7EAA8268"/>
    <w:rsid w:val="7EABF2D0"/>
    <w:rsid w:val="7EAE2790"/>
    <w:rsid w:val="7EAEB21B"/>
    <w:rsid w:val="7EB18D65"/>
    <w:rsid w:val="7EB285D6"/>
    <w:rsid w:val="7EC3F479"/>
    <w:rsid w:val="7EC49921"/>
    <w:rsid w:val="7EC7BCFA"/>
    <w:rsid w:val="7ECAE650"/>
    <w:rsid w:val="7ECD071B"/>
    <w:rsid w:val="7ED01119"/>
    <w:rsid w:val="7ED5DDFC"/>
    <w:rsid w:val="7ED66939"/>
    <w:rsid w:val="7EE28976"/>
    <w:rsid w:val="7EE2D478"/>
    <w:rsid w:val="7EECCAAB"/>
    <w:rsid w:val="7EEE4DCD"/>
    <w:rsid w:val="7EEEF684"/>
    <w:rsid w:val="7EEFF382"/>
    <w:rsid w:val="7EF51E37"/>
    <w:rsid w:val="7EFC1E4A"/>
    <w:rsid w:val="7EFE5448"/>
    <w:rsid w:val="7EFF2971"/>
    <w:rsid w:val="7F02772F"/>
    <w:rsid w:val="7F0E77E3"/>
    <w:rsid w:val="7F0F12D2"/>
    <w:rsid w:val="7F1586FC"/>
    <w:rsid w:val="7F17A2C5"/>
    <w:rsid w:val="7F1B5CCC"/>
    <w:rsid w:val="7F1DC7E3"/>
    <w:rsid w:val="7F22CF5C"/>
    <w:rsid w:val="7F277B9C"/>
    <w:rsid w:val="7F2926C4"/>
    <w:rsid w:val="7F2A004C"/>
    <w:rsid w:val="7F3181FD"/>
    <w:rsid w:val="7F331015"/>
    <w:rsid w:val="7F39E176"/>
    <w:rsid w:val="7F39ED96"/>
    <w:rsid w:val="7F3BE373"/>
    <w:rsid w:val="7F3E147D"/>
    <w:rsid w:val="7F40B0D4"/>
    <w:rsid w:val="7F473BDE"/>
    <w:rsid w:val="7F498BDA"/>
    <w:rsid w:val="7F4D5627"/>
    <w:rsid w:val="7F4DCB9C"/>
    <w:rsid w:val="7F5005FA"/>
    <w:rsid w:val="7F58044A"/>
    <w:rsid w:val="7F5F675B"/>
    <w:rsid w:val="7F643DD4"/>
    <w:rsid w:val="7F65F694"/>
    <w:rsid w:val="7F67C444"/>
    <w:rsid w:val="7F6BFE76"/>
    <w:rsid w:val="7F6CE29F"/>
    <w:rsid w:val="7F6D4659"/>
    <w:rsid w:val="7F740BB7"/>
    <w:rsid w:val="7F79E771"/>
    <w:rsid w:val="7F7C4A96"/>
    <w:rsid w:val="7F7DEE6A"/>
    <w:rsid w:val="7F809E13"/>
    <w:rsid w:val="7F81D27F"/>
    <w:rsid w:val="7F86AB0A"/>
    <w:rsid w:val="7F89ADC4"/>
    <w:rsid w:val="7F8CCCAA"/>
    <w:rsid w:val="7F933D70"/>
    <w:rsid w:val="7F9DE860"/>
    <w:rsid w:val="7FA2385C"/>
    <w:rsid w:val="7FA30D25"/>
    <w:rsid w:val="7FA8AA5F"/>
    <w:rsid w:val="7FADA23F"/>
    <w:rsid w:val="7FAEDFD7"/>
    <w:rsid w:val="7FAEF8A8"/>
    <w:rsid w:val="7FAF2363"/>
    <w:rsid w:val="7FAF455D"/>
    <w:rsid w:val="7FB39223"/>
    <w:rsid w:val="7FB537A9"/>
    <w:rsid w:val="7FBE9FB2"/>
    <w:rsid w:val="7FC68BD5"/>
    <w:rsid w:val="7FC74147"/>
    <w:rsid w:val="7FC984E3"/>
    <w:rsid w:val="7FC9C474"/>
    <w:rsid w:val="7FCA2F05"/>
    <w:rsid w:val="7FCA94FD"/>
    <w:rsid w:val="7FDB84E9"/>
    <w:rsid w:val="7FE4D5E6"/>
    <w:rsid w:val="7FE4F7F5"/>
    <w:rsid w:val="7FE6E286"/>
    <w:rsid w:val="7FE71C43"/>
    <w:rsid w:val="7FE98681"/>
    <w:rsid w:val="7FF0F352"/>
    <w:rsid w:val="7FF8C0B4"/>
    <w:rsid w:val="7FFDDE93"/>
    <w:rsid w:val="7FFE70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B8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qFormat/>
    <w:rsid w:val="002A52C1"/>
    <w:pPr>
      <w:pageBreakBefore/>
      <w:numPr>
        <w:numId w:val="53"/>
      </w:numPr>
      <w:spacing w:after="240" w:line="240" w:lineRule="auto"/>
      <w:outlineLvl w:val="1"/>
    </w:pPr>
    <w:rPr>
      <w:rFonts w:eastAsiaTheme="minorEastAsia"/>
      <w:bCs/>
      <w:color w:val="197C7D"/>
      <w:sz w:val="56"/>
      <w:szCs w:val="28"/>
      <w:lang w:eastAsia="ja-JP"/>
    </w:rPr>
  </w:style>
  <w:style w:type="paragraph" w:styleId="Heading3">
    <w:name w:val="heading 3"/>
    <w:next w:val="Normal"/>
    <w:link w:val="Heading3Char"/>
    <w:uiPriority w:val="4"/>
    <w:qFormat/>
    <w:rsid w:val="00C44B4B"/>
    <w:pPr>
      <w:keepNext/>
      <w:keepLines/>
      <w:numPr>
        <w:ilvl w:val="1"/>
        <w:numId w:val="53"/>
      </w:numPr>
      <w:tabs>
        <w:tab w:val="left" w:pos="851"/>
      </w:tabs>
      <w:spacing w:before="360" w:after="24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7A0B5B"/>
    <w:pPr>
      <w:keepNext/>
      <w:numPr>
        <w:ilvl w:val="2"/>
        <w:numId w:val="53"/>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9"/>
    <w:qFormat/>
    <w:rsid w:val="00BB325C"/>
    <w:pPr>
      <w:keepNext/>
      <w:keepLines/>
      <w:numPr>
        <w:ilvl w:val="3"/>
        <w:numId w:val="53"/>
      </w:numPr>
      <w:spacing w:after="0" w:line="240" w:lineRule="auto"/>
      <w:outlineLvl w:val="4"/>
    </w:pPr>
    <w:rPr>
      <w:rFonts w:ascii="Calibri" w:hAnsi="Calibri"/>
      <w:b/>
      <w:sz w:val="24"/>
      <w:szCs w:val="24"/>
      <w:lang w:val="en-US"/>
    </w:rPr>
  </w:style>
  <w:style w:type="paragraph" w:styleId="Heading6">
    <w:name w:val="heading 6"/>
    <w:basedOn w:val="Normal"/>
    <w:next w:val="Normal"/>
    <w:link w:val="Heading6Char"/>
    <w:uiPriority w:val="9"/>
    <w:semiHidden/>
    <w:unhideWhenUsed/>
    <w:qFormat/>
    <w:rsid w:val="00616B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6B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6B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6B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2A52C1"/>
    <w:rPr>
      <w:rFonts w:asciiTheme="minorHAnsi" w:eastAsiaTheme="minorEastAsia" w:hAnsiTheme="minorHAnsi" w:cstheme="minorBidi"/>
      <w:bCs/>
      <w:color w:val="197C7D"/>
      <w:sz w:val="56"/>
      <w:szCs w:val="28"/>
      <w:lang w:eastAsia="ja-JP"/>
    </w:rPr>
  </w:style>
  <w:style w:type="character" w:customStyle="1" w:styleId="Heading3Char">
    <w:name w:val="Heading 3 Char"/>
    <w:basedOn w:val="DefaultParagraphFont"/>
    <w:link w:val="Heading3"/>
    <w:uiPriority w:val="4"/>
    <w:rsid w:val="00C44B4B"/>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7A0B5B"/>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9"/>
    <w:rsid w:val="00BB325C"/>
    <w:rPr>
      <w:rFonts w:ascii="Calibri" w:eastAsiaTheme="minorHAnsi" w:hAnsi="Calibri" w:cstheme="minorBidi"/>
      <w:b/>
      <w:sz w:val="24"/>
      <w:szCs w:val="24"/>
      <w:lang w:val="en-US" w:eastAsia="en-US"/>
    </w:rPr>
  </w:style>
  <w:style w:type="paragraph" w:styleId="Quote">
    <w:name w:val="Quote"/>
    <w:basedOn w:val="Normal"/>
    <w:next w:val="Normal"/>
    <w:link w:val="QuoteChar"/>
    <w:uiPriority w:val="29"/>
    <w:qFormat/>
    <w:pPr>
      <w:ind w:left="709" w:right="567"/>
    </w:pPr>
    <w:rPr>
      <w:iCs/>
      <w:color w:val="000000"/>
    </w:rPr>
  </w:style>
  <w:style w:type="character" w:customStyle="1" w:styleId="QuoteChar">
    <w:name w:val="Quote Char"/>
    <w:basedOn w:val="DefaultParagraphFont"/>
    <w:link w:val="Quote"/>
    <w:uiPriority w:val="29"/>
    <w:rPr>
      <w:rFonts w:eastAsiaTheme="minorHAnsi" w:cstheme="minorBidi"/>
      <w:iCs/>
      <w:color w:val="000000"/>
      <w:sz w:val="22"/>
      <w:szCs w:val="22"/>
      <w:lang w:eastAsia="en-US"/>
    </w:rPr>
  </w:style>
  <w:style w:type="paragraph" w:customStyle="1" w:styleId="BoxText">
    <w:name w:val="Box Text"/>
    <w:basedOn w:val="Normal"/>
    <w:uiPriority w:val="19"/>
    <w:qFormat/>
    <w:rsid w:val="00764062"/>
    <w:pPr>
      <w:spacing w:before="60"/>
    </w:pPr>
    <w:rPr>
      <w:sz w:val="20"/>
      <w:szCs w:val="20"/>
    </w:rPr>
  </w:style>
  <w:style w:type="paragraph" w:styleId="Caption">
    <w:name w:val="caption"/>
    <w:basedOn w:val="Normal"/>
    <w:next w:val="Normal"/>
    <w:uiPriority w:val="12"/>
    <w:qFormat/>
    <w:rsid w:val="00C915A5"/>
    <w:pPr>
      <w:keepNext/>
      <w:spacing w:after="120" w:line="240" w:lineRule="auto"/>
    </w:pPr>
    <w:rPr>
      <w:rFonts w:ascii="Calibri" w:hAnsi="Calibri"/>
      <w:b/>
      <w:bC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列出段,Lists"/>
    <w:basedOn w:val="Normal"/>
    <w:link w:val="ListParagraphChar"/>
    <w:uiPriority w:val="34"/>
    <w:qFormat/>
    <w:rsid w:val="00F86D6C"/>
    <w:pPr>
      <w:ind w:left="720"/>
      <w:contextualSpacing/>
    </w:pPr>
  </w:style>
  <w:style w:type="paragraph" w:styleId="Subtitle">
    <w:name w:val="Subtitle"/>
    <w:basedOn w:val="Heading1"/>
    <w:next w:val="Normal"/>
    <w:link w:val="SubtitleChar"/>
    <w:uiPriority w:val="11"/>
    <w:qFormat/>
    <w:rsid w:val="00DF01A1"/>
    <w:pPr>
      <w:spacing w:before="120"/>
    </w:pPr>
    <w:rPr>
      <w:b w:val="0"/>
      <w:sz w:val="56"/>
      <w:szCs w:val="56"/>
    </w:rPr>
  </w:style>
  <w:style w:type="character" w:customStyle="1" w:styleId="SubtitleChar">
    <w:name w:val="Subtitle Char"/>
    <w:basedOn w:val="DefaultParagraphFont"/>
    <w:link w:val="Subtitle"/>
    <w:uiPriority w:val="11"/>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9C1F84"/>
    <w:pPr>
      <w:numPr>
        <w:numId w:val="16"/>
      </w:numPr>
      <w:spacing w:after="160"/>
      <w:contextualSpacing/>
    </w:pPr>
    <w:rPr>
      <w:rFonts w:ascii="Calibri" w:hAnsi="Calibri" w:cs="Calibri"/>
      <w:lang w:eastAsia="ja-JP"/>
    </w:r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ListNumber"/>
    <w:uiPriority w:val="8"/>
    <w:rsid w:val="005071CF"/>
  </w:style>
  <w:style w:type="paragraph" w:styleId="ListNumber">
    <w:name w:val="List Number"/>
    <w:basedOn w:val="ListNumber2"/>
    <w:uiPriority w:val="9"/>
    <w:qFormat/>
    <w:rsid w:val="002B5908"/>
    <w:pPr>
      <w:numPr>
        <w:numId w:val="0"/>
      </w:numPr>
      <w:ind w:left="720" w:hanging="360"/>
    </w:pPr>
  </w:style>
  <w:style w:type="paragraph" w:styleId="ListNumber2">
    <w:name w:val="List Number 2"/>
    <w:uiPriority w:val="10"/>
    <w:qFormat/>
    <w:rsid w:val="005071CF"/>
    <w:pPr>
      <w:numPr>
        <w:numId w:val="11"/>
      </w:numPr>
      <w:tabs>
        <w:tab w:val="left" w:pos="851"/>
      </w:tabs>
      <w:spacing w:before="60" w:after="240" w:line="276" w:lineRule="auto"/>
      <w:ind w:left="714" w:hanging="357"/>
      <w:contextualSpacing/>
    </w:pPr>
    <w:rPr>
      <w:rFonts w:asciiTheme="minorHAnsi" w:eastAsiaTheme="minorEastAsia" w:hAnsiTheme="minorHAnsi"/>
      <w:sz w:val="22"/>
      <w:szCs w:val="24"/>
      <w:lang w:eastAsia="en-US"/>
    </w:rPr>
  </w:style>
  <w:style w:type="paragraph" w:styleId="ListNumber3">
    <w:name w:val="List Number 3"/>
    <w:uiPriority w:val="11"/>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Normal"/>
    <w:uiPriority w:val="21"/>
    <w:qFormat/>
    <w:rsid w:val="00DF2EE1"/>
    <w:pPr>
      <w:numPr>
        <w:numId w:val="9"/>
      </w:numPr>
      <w:spacing w:before="60" w:after="240"/>
      <w:contextualSpacing/>
    </w:pPr>
    <w:rPr>
      <w:rFonts w:ascii="Calibri" w:hAnsi="Calibri" w:cs="Calibri"/>
      <w:sz w:val="20"/>
      <w:szCs w:val="20"/>
    </w:rPr>
  </w:style>
  <w:style w:type="paragraph" w:customStyle="1" w:styleId="TableBullet1">
    <w:name w:val="Table Bullet 1"/>
    <w:basedOn w:val="TableText"/>
    <w:uiPriority w:val="15"/>
    <w:qFormat/>
    <w:rsid w:val="00644854"/>
    <w:pPr>
      <w:numPr>
        <w:numId w:val="1"/>
      </w:numPr>
      <w:ind w:left="284" w:hanging="284"/>
    </w:pPr>
    <w:rPr>
      <w:sz w:val="20"/>
      <w:szCs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Normal"/>
    <w:uiPriority w:val="22"/>
    <w:qFormat/>
    <w:rsid w:val="00833DAD"/>
    <w:pPr>
      <w:spacing w:before="120" w:line="264" w:lineRule="auto"/>
      <w:contextualSpacing/>
    </w:pPr>
    <w:rPr>
      <w:sz w:val="20"/>
      <w:szCs w:val="20"/>
    </w:rPr>
  </w:style>
  <w:style w:type="numbering" w:customStyle="1" w:styleId="List1">
    <w:name w:val="List1"/>
    <w:basedOn w:val="NoList"/>
    <w:uiPriority w:val="99"/>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2"/>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2160" w:hanging="36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5"/>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qFormat/>
    <w:locked/>
    <w:rPr>
      <w:i/>
      <w:iCs/>
      <w:color w:val="197C7D" w:themeColor="accent1"/>
    </w:rPr>
  </w:style>
  <w:style w:type="paragraph" w:customStyle="1" w:styleId="TableBullet2">
    <w:name w:val="Table Bullet 2"/>
    <w:basedOn w:val="ListBullet2"/>
    <w:qFormat/>
    <w:rsid w:val="003334CF"/>
    <w:pPr>
      <w:tabs>
        <w:tab w:val="num" w:pos="423"/>
      </w:tabs>
      <w:spacing w:after="0" w:line="240" w:lineRule="auto"/>
      <w:ind w:left="426" w:hanging="284"/>
    </w:pPr>
  </w:style>
  <w:style w:type="numbering" w:customStyle="1" w:styleId="TableBulletlist">
    <w:name w:val="Table Bullet list"/>
    <w:uiPriority w:val="99"/>
    <w:pPr>
      <w:numPr>
        <w:numId w:val="4"/>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D38E5"/>
    <w:rPr>
      <w:rFonts w:asciiTheme="minorHAnsi" w:eastAsiaTheme="minorHAnsi" w:hAnsiTheme="minorHAnsi" w:cstheme="minorBidi"/>
      <w:sz w:val="22"/>
      <w:szCs w:val="22"/>
      <w:lang w:eastAsia="en-US"/>
    </w:rPr>
  </w:style>
  <w:style w:type="paragraph" w:customStyle="1" w:styleId="BOXHeading2">
    <w:name w:val="BOX Heading 2"/>
    <w:basedOn w:val="Heading2"/>
    <w:next w:val="Normal"/>
    <w:uiPriority w:val="6"/>
    <w:rsid w:val="00F72A2B"/>
    <w:pPr>
      <w:keepNext/>
      <w:keepLines/>
      <w:pageBreakBefore w:val="0"/>
      <w:numPr>
        <w:numId w:val="0"/>
      </w:numPr>
      <w:pBdr>
        <w:top w:val="single" w:sz="48" w:space="1" w:color="E0E8F2"/>
        <w:left w:val="single" w:sz="48" w:space="4" w:color="E0E8F2"/>
        <w:bottom w:val="single" w:sz="48" w:space="1" w:color="E0E8F2"/>
        <w:right w:val="single" w:sz="48" w:space="4" w:color="E0E8F2"/>
      </w:pBdr>
      <w:shd w:val="clear" w:color="auto" w:fill="E0E8F2"/>
      <w:spacing w:before="240" w:after="160"/>
      <w:ind w:left="227" w:right="227"/>
    </w:pPr>
    <w:rPr>
      <w:rFonts w:asciiTheme="majorHAnsi" w:eastAsiaTheme="majorEastAsia" w:hAnsiTheme="majorHAnsi" w:cstheme="majorBidi"/>
      <w:bCs w:val="0"/>
      <w:color w:val="197C7D" w:themeColor="accent1"/>
      <w:sz w:val="36"/>
      <w:lang w:eastAsia="en-US"/>
    </w:rPr>
  </w:style>
  <w:style w:type="paragraph" w:customStyle="1" w:styleId="BOXNumberedList">
    <w:name w:val="BOX Numbered List"/>
    <w:basedOn w:val="Normal"/>
    <w:uiPriority w:val="5"/>
    <w:qFormat/>
    <w:rsid w:val="00F72A2B"/>
    <w:pPr>
      <w:numPr>
        <w:numId w:val="6"/>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after="160" w:line="264" w:lineRule="auto"/>
      <w:ind w:right="227"/>
    </w:pPr>
    <w:rPr>
      <w:rFonts w:eastAsiaTheme="minorEastAsia"/>
      <w:color w:val="000000" w:themeColor="text1"/>
      <w:szCs w:val="21"/>
    </w:rPr>
  </w:style>
  <w:style w:type="paragraph" w:customStyle="1" w:styleId="BOXBulletedList">
    <w:name w:val="BOX Bulleted List"/>
    <w:basedOn w:val="BoxText"/>
    <w:uiPriority w:val="5"/>
    <w:rsid w:val="00F72A2B"/>
    <w:pPr>
      <w:numPr>
        <w:numId w:val="7"/>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before="0" w:after="160" w:line="264" w:lineRule="auto"/>
      <w:ind w:right="227"/>
    </w:pPr>
    <w:rPr>
      <w:rFonts w:eastAsiaTheme="minorEastAsia"/>
      <w:color w:val="000000" w:themeColor="text1"/>
      <w:sz w:val="22"/>
      <w:szCs w:val="21"/>
    </w:rPr>
  </w:style>
  <w:style w:type="table" w:customStyle="1" w:styleId="Custom1">
    <w:name w:val="Custom 1"/>
    <w:basedOn w:val="TableNormal"/>
    <w:uiPriority w:val="99"/>
    <w:rsid w:val="00F72A2B"/>
    <w:rPr>
      <w:rFonts w:asciiTheme="minorHAnsi" w:eastAsiaTheme="minorEastAsia" w:hAnsiTheme="minorHAnsi" w:cstheme="minorBidi"/>
      <w:sz w:val="18"/>
      <w:szCs w:val="21"/>
      <w:lang w:eastAsia="en-US"/>
    </w:rPr>
    <w:tblPr>
      <w:tblStyleRowBandSize w:val="1"/>
      <w:tblBorders>
        <w:top w:val="single" w:sz="4" w:space="0" w:color="197C7D" w:themeColor="accent1"/>
        <w:bottom w:val="single" w:sz="12" w:space="0" w:color="197C7D" w:themeColor="accent1"/>
        <w:insideH w:val="single" w:sz="4" w:space="0" w:color="197C7D" w:themeColor="accent1"/>
      </w:tblBorders>
      <w:tblCellMar>
        <w:top w:w="57" w:type="dxa"/>
        <w:bottom w:w="57" w:type="dxa"/>
      </w:tblCellMar>
    </w:tblPr>
    <w:tblStylePr w:type="firstRow">
      <w:rPr>
        <w:rFonts w:asciiTheme="minorHAnsi" w:hAnsiTheme="minorHAnsi"/>
        <w:b/>
        <w:sz w:val="18"/>
      </w:rPr>
      <w:tblPr/>
      <w:tcPr>
        <w:shd w:val="clear" w:color="auto" w:fill="197C7D" w:themeFill="accent1"/>
      </w:tcPr>
    </w:tblStylePr>
    <w:tblStylePr w:type="band1Horz">
      <w:tblPr/>
      <w:tcPr>
        <w:shd w:val="clear" w:color="auto" w:fill="083A42" w:themeFill="background2"/>
      </w:tcPr>
    </w:tblStylePr>
  </w:style>
  <w:style w:type="paragraph" w:styleId="NoSpacing">
    <w:name w:val="No Spacing"/>
    <w:uiPriority w:val="1"/>
    <w:rsid w:val="00114ED1"/>
    <w:rPr>
      <w:rFonts w:asciiTheme="minorHAnsi" w:eastAsiaTheme="minorHAnsi" w:hAnsiTheme="minorHAnsi" w:cstheme="minorBidi"/>
      <w:sz w:val="22"/>
      <w:szCs w:val="22"/>
      <w:lang w:eastAsia="en-US"/>
    </w:rPr>
  </w:style>
  <w:style w:type="paragraph" w:styleId="Revision">
    <w:name w:val="Revision"/>
    <w:hidden/>
    <w:uiPriority w:val="99"/>
    <w:semiHidden/>
    <w:rsid w:val="00D25D5C"/>
    <w:rPr>
      <w:rFonts w:asciiTheme="minorHAnsi" w:eastAsiaTheme="minorHAnsi" w:hAnsiTheme="minorHAnsi" w:cstheme="minorBidi"/>
      <w:sz w:val="22"/>
      <w:szCs w:val="22"/>
      <w:lang w:eastAsia="en-US"/>
    </w:rPr>
  </w:style>
  <w:style w:type="table" w:styleId="GridTable5Dark-Accent2">
    <w:name w:val="Grid Table 5 Dark Accent 2"/>
    <w:basedOn w:val="TableNormal"/>
    <w:uiPriority w:val="50"/>
    <w:rsid w:val="00D25D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2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C1A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C1A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C1A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C1AC" w:themeFill="accent2"/>
      </w:tcPr>
    </w:tblStylePr>
    <w:tblStylePr w:type="band1Vert">
      <w:tblPr/>
      <w:tcPr>
        <w:shd w:val="clear" w:color="auto" w:fill="B2E6DD" w:themeFill="accent2" w:themeFillTint="66"/>
      </w:tcPr>
    </w:tblStylePr>
    <w:tblStylePr w:type="band1Horz">
      <w:tblPr/>
      <w:tcPr>
        <w:shd w:val="clear" w:color="auto" w:fill="B2E6DD" w:themeFill="accent2" w:themeFillTint="66"/>
      </w:tcPr>
    </w:tblStylePr>
  </w:style>
  <w:style w:type="table" w:styleId="GridTable4-Accent2">
    <w:name w:val="Grid Table 4 Accent 2"/>
    <w:basedOn w:val="TableNormal"/>
    <w:uiPriority w:val="49"/>
    <w:rsid w:val="00D25D5C"/>
    <w:tblPr>
      <w:tblStyleRowBandSize w:val="1"/>
      <w:tblStyleColBandSize w:val="1"/>
      <w:tblBorders>
        <w:top w:val="single" w:sz="4" w:space="0" w:color="8CD9CD" w:themeColor="accent2" w:themeTint="99"/>
        <w:left w:val="single" w:sz="4" w:space="0" w:color="8CD9CD" w:themeColor="accent2" w:themeTint="99"/>
        <w:bottom w:val="single" w:sz="4" w:space="0" w:color="8CD9CD" w:themeColor="accent2" w:themeTint="99"/>
        <w:right w:val="single" w:sz="4" w:space="0" w:color="8CD9CD" w:themeColor="accent2" w:themeTint="99"/>
        <w:insideH w:val="single" w:sz="4" w:space="0" w:color="8CD9CD" w:themeColor="accent2" w:themeTint="99"/>
        <w:insideV w:val="single" w:sz="4" w:space="0" w:color="8CD9CD" w:themeColor="accent2" w:themeTint="99"/>
      </w:tblBorders>
    </w:tblPr>
    <w:tblStylePr w:type="firstRow">
      <w:rPr>
        <w:b/>
        <w:bCs/>
        <w:color w:val="FFFFFF" w:themeColor="background1"/>
      </w:rPr>
      <w:tblPr/>
      <w:tcPr>
        <w:tcBorders>
          <w:top w:val="single" w:sz="4" w:space="0" w:color="40C1AC" w:themeColor="accent2"/>
          <w:left w:val="single" w:sz="4" w:space="0" w:color="40C1AC" w:themeColor="accent2"/>
          <w:bottom w:val="single" w:sz="4" w:space="0" w:color="40C1AC" w:themeColor="accent2"/>
          <w:right w:val="single" w:sz="4" w:space="0" w:color="40C1AC" w:themeColor="accent2"/>
          <w:insideH w:val="nil"/>
          <w:insideV w:val="nil"/>
        </w:tcBorders>
        <w:shd w:val="clear" w:color="auto" w:fill="40C1AC" w:themeFill="accent2"/>
      </w:tcPr>
    </w:tblStylePr>
    <w:tblStylePr w:type="lastRow">
      <w:rPr>
        <w:b/>
        <w:bCs/>
      </w:rPr>
      <w:tblPr/>
      <w:tcPr>
        <w:tcBorders>
          <w:top w:val="double" w:sz="4" w:space="0" w:color="40C1AC" w:themeColor="accent2"/>
        </w:tcBorders>
      </w:tcPr>
    </w:tblStylePr>
    <w:tblStylePr w:type="firstCol">
      <w:rPr>
        <w:b/>
        <w:bCs/>
      </w:rPr>
    </w:tblStylePr>
    <w:tblStylePr w:type="lastCol">
      <w:rPr>
        <w:b/>
        <w:bCs/>
      </w:rPr>
    </w:tblStylePr>
    <w:tblStylePr w:type="band1Vert">
      <w:tblPr/>
      <w:tcPr>
        <w:shd w:val="clear" w:color="auto" w:fill="D8F2EE" w:themeFill="accent2" w:themeFillTint="33"/>
      </w:tcPr>
    </w:tblStylePr>
    <w:tblStylePr w:type="band1Horz">
      <w:tblPr/>
      <w:tcPr>
        <w:shd w:val="clear" w:color="auto" w:fill="D8F2EE" w:themeFill="accent2" w:themeFillTint="33"/>
      </w:tcPr>
    </w:tblStylePr>
  </w:style>
  <w:style w:type="table" w:styleId="GridTable3-Accent2">
    <w:name w:val="Grid Table 3 Accent 2"/>
    <w:basedOn w:val="TableNormal"/>
    <w:uiPriority w:val="48"/>
    <w:rsid w:val="00D25D5C"/>
    <w:tblPr>
      <w:tblStyleRowBandSize w:val="1"/>
      <w:tblStyleColBandSize w:val="1"/>
      <w:tblBorders>
        <w:top w:val="single" w:sz="4" w:space="0" w:color="8CD9CD" w:themeColor="accent2" w:themeTint="99"/>
        <w:left w:val="single" w:sz="4" w:space="0" w:color="8CD9CD" w:themeColor="accent2" w:themeTint="99"/>
        <w:bottom w:val="single" w:sz="4" w:space="0" w:color="8CD9CD" w:themeColor="accent2" w:themeTint="99"/>
        <w:right w:val="single" w:sz="4" w:space="0" w:color="8CD9CD" w:themeColor="accent2" w:themeTint="99"/>
        <w:insideH w:val="single" w:sz="4" w:space="0" w:color="8CD9CD" w:themeColor="accent2" w:themeTint="99"/>
        <w:insideV w:val="single" w:sz="4" w:space="0" w:color="8CD9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2EE" w:themeFill="accent2" w:themeFillTint="33"/>
      </w:tcPr>
    </w:tblStylePr>
    <w:tblStylePr w:type="band1Horz">
      <w:tblPr/>
      <w:tcPr>
        <w:shd w:val="clear" w:color="auto" w:fill="D8F2EE" w:themeFill="accent2" w:themeFillTint="33"/>
      </w:tcPr>
    </w:tblStylePr>
    <w:tblStylePr w:type="neCell">
      <w:tblPr/>
      <w:tcPr>
        <w:tcBorders>
          <w:bottom w:val="single" w:sz="4" w:space="0" w:color="8CD9CD" w:themeColor="accent2" w:themeTint="99"/>
        </w:tcBorders>
      </w:tcPr>
    </w:tblStylePr>
    <w:tblStylePr w:type="nwCell">
      <w:tblPr/>
      <w:tcPr>
        <w:tcBorders>
          <w:bottom w:val="single" w:sz="4" w:space="0" w:color="8CD9CD" w:themeColor="accent2" w:themeTint="99"/>
        </w:tcBorders>
      </w:tcPr>
    </w:tblStylePr>
    <w:tblStylePr w:type="seCell">
      <w:tblPr/>
      <w:tcPr>
        <w:tcBorders>
          <w:top w:val="single" w:sz="4" w:space="0" w:color="8CD9CD" w:themeColor="accent2" w:themeTint="99"/>
        </w:tcBorders>
      </w:tcPr>
    </w:tblStylePr>
    <w:tblStylePr w:type="swCell">
      <w:tblPr/>
      <w:tcPr>
        <w:tcBorders>
          <w:top w:val="single" w:sz="4" w:space="0" w:color="8CD9CD" w:themeColor="accent2" w:themeTint="99"/>
        </w:tcBorders>
      </w:tcPr>
    </w:tblStylePr>
  </w:style>
  <w:style w:type="table" w:styleId="ListTable3-Accent2">
    <w:name w:val="List Table 3 Accent 2"/>
    <w:basedOn w:val="TableNormal"/>
    <w:uiPriority w:val="48"/>
    <w:rsid w:val="00D25D5C"/>
    <w:tblPr>
      <w:tblStyleRowBandSize w:val="1"/>
      <w:tblStyleColBandSize w:val="1"/>
      <w:tblBorders>
        <w:top w:val="single" w:sz="4" w:space="0" w:color="40C1AC" w:themeColor="accent2"/>
        <w:left w:val="single" w:sz="4" w:space="0" w:color="40C1AC" w:themeColor="accent2"/>
        <w:bottom w:val="single" w:sz="4" w:space="0" w:color="40C1AC" w:themeColor="accent2"/>
        <w:right w:val="single" w:sz="4" w:space="0" w:color="40C1AC" w:themeColor="accent2"/>
      </w:tblBorders>
    </w:tblPr>
    <w:tblStylePr w:type="firstRow">
      <w:rPr>
        <w:b/>
        <w:bCs/>
        <w:color w:val="FFFFFF" w:themeColor="background1"/>
      </w:rPr>
      <w:tblPr/>
      <w:tcPr>
        <w:shd w:val="clear" w:color="auto" w:fill="40C1AC" w:themeFill="accent2"/>
      </w:tcPr>
    </w:tblStylePr>
    <w:tblStylePr w:type="lastRow">
      <w:rPr>
        <w:b/>
        <w:bCs/>
      </w:rPr>
      <w:tblPr/>
      <w:tcPr>
        <w:tcBorders>
          <w:top w:val="double" w:sz="4" w:space="0" w:color="40C1A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C1AC" w:themeColor="accent2"/>
          <w:right w:val="single" w:sz="4" w:space="0" w:color="40C1AC" w:themeColor="accent2"/>
        </w:tcBorders>
      </w:tcPr>
    </w:tblStylePr>
    <w:tblStylePr w:type="band1Horz">
      <w:tblPr/>
      <w:tcPr>
        <w:tcBorders>
          <w:top w:val="single" w:sz="4" w:space="0" w:color="40C1AC" w:themeColor="accent2"/>
          <w:bottom w:val="single" w:sz="4" w:space="0" w:color="40C1A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C1AC" w:themeColor="accent2"/>
          <w:left w:val="nil"/>
        </w:tcBorders>
      </w:tcPr>
    </w:tblStylePr>
    <w:tblStylePr w:type="swCell">
      <w:tblPr/>
      <w:tcPr>
        <w:tcBorders>
          <w:top w:val="double" w:sz="4" w:space="0" w:color="40C1AC" w:themeColor="accent2"/>
          <w:right w:val="nil"/>
        </w:tcBorders>
      </w:tcPr>
    </w:tblStylePr>
  </w:style>
  <w:style w:type="table" w:styleId="ListTable4-Accent2">
    <w:name w:val="List Table 4 Accent 2"/>
    <w:basedOn w:val="TableNormal"/>
    <w:uiPriority w:val="49"/>
    <w:rsid w:val="00D25D5C"/>
    <w:tblPr>
      <w:tblStyleRowBandSize w:val="1"/>
      <w:tblStyleColBandSize w:val="1"/>
      <w:tblBorders>
        <w:top w:val="single" w:sz="4" w:space="0" w:color="8CD9CD" w:themeColor="accent2" w:themeTint="99"/>
        <w:left w:val="single" w:sz="4" w:space="0" w:color="8CD9CD" w:themeColor="accent2" w:themeTint="99"/>
        <w:bottom w:val="single" w:sz="4" w:space="0" w:color="8CD9CD" w:themeColor="accent2" w:themeTint="99"/>
        <w:right w:val="single" w:sz="4" w:space="0" w:color="8CD9CD" w:themeColor="accent2" w:themeTint="99"/>
        <w:insideH w:val="single" w:sz="4" w:space="0" w:color="8CD9CD" w:themeColor="accent2" w:themeTint="99"/>
      </w:tblBorders>
    </w:tblPr>
    <w:tblStylePr w:type="firstRow">
      <w:rPr>
        <w:b/>
        <w:bCs/>
        <w:color w:val="FFFFFF" w:themeColor="background1"/>
      </w:rPr>
      <w:tblPr/>
      <w:tcPr>
        <w:tcBorders>
          <w:top w:val="single" w:sz="4" w:space="0" w:color="40C1AC" w:themeColor="accent2"/>
          <w:left w:val="single" w:sz="4" w:space="0" w:color="40C1AC" w:themeColor="accent2"/>
          <w:bottom w:val="single" w:sz="4" w:space="0" w:color="40C1AC" w:themeColor="accent2"/>
          <w:right w:val="single" w:sz="4" w:space="0" w:color="40C1AC" w:themeColor="accent2"/>
          <w:insideH w:val="nil"/>
        </w:tcBorders>
        <w:shd w:val="clear" w:color="auto" w:fill="40C1AC" w:themeFill="accent2"/>
      </w:tcPr>
    </w:tblStylePr>
    <w:tblStylePr w:type="lastRow">
      <w:rPr>
        <w:b/>
        <w:bCs/>
      </w:rPr>
      <w:tblPr/>
      <w:tcPr>
        <w:tcBorders>
          <w:top w:val="double" w:sz="4" w:space="0" w:color="8CD9CD" w:themeColor="accent2" w:themeTint="99"/>
        </w:tcBorders>
      </w:tcPr>
    </w:tblStylePr>
    <w:tblStylePr w:type="firstCol">
      <w:rPr>
        <w:b/>
        <w:bCs/>
      </w:rPr>
    </w:tblStylePr>
    <w:tblStylePr w:type="lastCol">
      <w:rPr>
        <w:b/>
        <w:bCs/>
      </w:rPr>
    </w:tblStylePr>
    <w:tblStylePr w:type="band1Vert">
      <w:tblPr/>
      <w:tcPr>
        <w:shd w:val="clear" w:color="auto" w:fill="D8F2EE" w:themeFill="accent2" w:themeFillTint="33"/>
      </w:tcPr>
    </w:tblStylePr>
    <w:tblStylePr w:type="band1Horz">
      <w:tblPr/>
      <w:tcPr>
        <w:shd w:val="clear" w:color="auto" w:fill="D8F2EE" w:themeFill="accent2" w:themeFillTint="33"/>
      </w:tcPr>
    </w:tblStylePr>
  </w:style>
  <w:style w:type="table" w:styleId="GridTable4-Accent1">
    <w:name w:val="Grid Table 4 Accent 1"/>
    <w:basedOn w:val="TableNormal"/>
    <w:uiPriority w:val="49"/>
    <w:rsid w:val="00D25D5C"/>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TableGridLight">
    <w:name w:val="Grid Table Light"/>
    <w:basedOn w:val="TableNormal"/>
    <w:uiPriority w:val="40"/>
    <w:rsid w:val="006E1E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E42808"/>
    <w:tblPr>
      <w:tblStyleRowBandSize w:val="1"/>
      <w:tblStyleColBandSize w:val="1"/>
      <w:tblBorders>
        <w:top w:val="single" w:sz="4" w:space="0" w:color="197C7D" w:themeColor="accent1"/>
        <w:left w:val="single" w:sz="4" w:space="0" w:color="197C7D" w:themeColor="accent1"/>
        <w:bottom w:val="single" w:sz="4" w:space="0" w:color="197C7D" w:themeColor="accent1"/>
        <w:right w:val="single" w:sz="4" w:space="0" w:color="197C7D" w:themeColor="accent1"/>
      </w:tblBorders>
    </w:tblPr>
    <w:tblStylePr w:type="firstRow">
      <w:rPr>
        <w:b/>
        <w:bCs/>
        <w:color w:val="FFFFFF" w:themeColor="background1"/>
      </w:rPr>
      <w:tblPr/>
      <w:tcPr>
        <w:shd w:val="clear" w:color="auto" w:fill="197C7D" w:themeFill="accent1"/>
      </w:tcPr>
    </w:tblStylePr>
    <w:tblStylePr w:type="lastRow">
      <w:rPr>
        <w:b/>
        <w:bCs/>
      </w:rPr>
      <w:tblPr/>
      <w:tcPr>
        <w:tcBorders>
          <w:top w:val="double" w:sz="4" w:space="0" w:color="197C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7C7D" w:themeColor="accent1"/>
          <w:right w:val="single" w:sz="4" w:space="0" w:color="197C7D" w:themeColor="accent1"/>
        </w:tcBorders>
      </w:tcPr>
    </w:tblStylePr>
    <w:tblStylePr w:type="band1Horz">
      <w:tblPr/>
      <w:tcPr>
        <w:tcBorders>
          <w:top w:val="single" w:sz="4" w:space="0" w:color="197C7D" w:themeColor="accent1"/>
          <w:bottom w:val="single" w:sz="4" w:space="0" w:color="197C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7C7D" w:themeColor="accent1"/>
          <w:left w:val="nil"/>
        </w:tcBorders>
      </w:tcPr>
    </w:tblStylePr>
    <w:tblStylePr w:type="swCell">
      <w:tblPr/>
      <w:tcPr>
        <w:tcBorders>
          <w:top w:val="double" w:sz="4" w:space="0" w:color="197C7D" w:themeColor="accent1"/>
          <w:right w:val="nil"/>
        </w:tcBorders>
      </w:tcPr>
    </w:tblStylePr>
  </w:style>
  <w:style w:type="character" w:styleId="Mention">
    <w:name w:val="Mention"/>
    <w:basedOn w:val="DefaultParagraphFont"/>
    <w:uiPriority w:val="99"/>
    <w:unhideWhenUsed/>
    <w:rsid w:val="00875926"/>
    <w:rPr>
      <w:color w:val="2B579A"/>
      <w:shd w:val="clear" w:color="auto" w:fill="E1DFDD"/>
    </w:rPr>
  </w:style>
  <w:style w:type="table" w:styleId="PlainTable5">
    <w:name w:val="Plain Table 5"/>
    <w:basedOn w:val="TableNormal"/>
    <w:uiPriority w:val="45"/>
    <w:rsid w:val="00994FB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E2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C38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7C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7C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7C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7C7D" w:themeFill="accent1"/>
      </w:tcPr>
    </w:tblStylePr>
    <w:tblStylePr w:type="band1Vert">
      <w:tblPr/>
      <w:tcPr>
        <w:shd w:val="clear" w:color="auto" w:fill="87E5E7" w:themeFill="accent1" w:themeFillTint="66"/>
      </w:tcPr>
    </w:tblStylePr>
    <w:tblStylePr w:type="band1Horz">
      <w:tblPr/>
      <w:tcPr>
        <w:shd w:val="clear" w:color="auto" w:fill="87E5E7" w:themeFill="accent1" w:themeFillTint="66"/>
      </w:tcPr>
    </w:tblStylePr>
  </w:style>
  <w:style w:type="character" w:customStyle="1" w:styleId="Heading6Char">
    <w:name w:val="Heading 6 Char"/>
    <w:basedOn w:val="DefaultParagraphFont"/>
    <w:link w:val="Heading6"/>
    <w:uiPriority w:val="9"/>
    <w:semiHidden/>
    <w:rsid w:val="00616B11"/>
    <w:rPr>
      <w:rFonts w:asciiTheme="minorHAnsi" w:eastAsiaTheme="majorEastAsia" w:hAnsiTheme="minorHAnsi" w:cstheme="majorBidi"/>
      <w:i/>
      <w:iCs/>
      <w:color w:val="595959" w:themeColor="text1" w:themeTint="A6"/>
      <w:sz w:val="22"/>
      <w:szCs w:val="22"/>
      <w:lang w:eastAsia="en-US"/>
    </w:rPr>
  </w:style>
  <w:style w:type="character" w:customStyle="1" w:styleId="Heading7Char">
    <w:name w:val="Heading 7 Char"/>
    <w:basedOn w:val="DefaultParagraphFont"/>
    <w:link w:val="Heading7"/>
    <w:uiPriority w:val="9"/>
    <w:semiHidden/>
    <w:rsid w:val="00616B11"/>
    <w:rPr>
      <w:rFonts w:asciiTheme="minorHAnsi" w:eastAsiaTheme="majorEastAsia" w:hAnsiTheme="minorHAnsi" w:cstheme="majorBidi"/>
      <w:color w:val="595959" w:themeColor="text1" w:themeTint="A6"/>
      <w:sz w:val="22"/>
      <w:szCs w:val="22"/>
      <w:lang w:eastAsia="en-US"/>
    </w:rPr>
  </w:style>
  <w:style w:type="character" w:customStyle="1" w:styleId="Heading8Char">
    <w:name w:val="Heading 8 Char"/>
    <w:basedOn w:val="DefaultParagraphFont"/>
    <w:link w:val="Heading8"/>
    <w:uiPriority w:val="9"/>
    <w:semiHidden/>
    <w:rsid w:val="00616B11"/>
    <w:rPr>
      <w:rFonts w:asciiTheme="minorHAnsi" w:eastAsiaTheme="majorEastAsia" w:hAnsiTheme="minorHAnsi" w:cstheme="majorBidi"/>
      <w:i/>
      <w:iCs/>
      <w:color w:val="272727" w:themeColor="text1" w:themeTint="D8"/>
      <w:sz w:val="22"/>
      <w:szCs w:val="22"/>
      <w:lang w:eastAsia="en-US"/>
    </w:rPr>
  </w:style>
  <w:style w:type="character" w:customStyle="1" w:styleId="Heading9Char">
    <w:name w:val="Heading 9 Char"/>
    <w:basedOn w:val="DefaultParagraphFont"/>
    <w:link w:val="Heading9"/>
    <w:uiPriority w:val="9"/>
    <w:semiHidden/>
    <w:rsid w:val="00616B11"/>
    <w:rPr>
      <w:rFonts w:asciiTheme="minorHAnsi" w:eastAsiaTheme="majorEastAsia" w:hAnsiTheme="minorHAnsi" w:cstheme="majorBidi"/>
      <w:color w:val="272727" w:themeColor="text1" w:themeTint="D8"/>
      <w:sz w:val="22"/>
      <w:szCs w:val="22"/>
      <w:lang w:eastAsia="en-US"/>
    </w:rPr>
  </w:style>
  <w:style w:type="paragraph" w:styleId="IntenseQuote">
    <w:name w:val="Intense Quote"/>
    <w:basedOn w:val="Normal"/>
    <w:next w:val="Normal"/>
    <w:link w:val="IntenseQuoteChar"/>
    <w:uiPriority w:val="30"/>
    <w:qFormat/>
    <w:locked/>
    <w:rsid w:val="00616B11"/>
    <w:pPr>
      <w:pBdr>
        <w:top w:val="single" w:sz="4" w:space="10" w:color="125C5D" w:themeColor="accent1" w:themeShade="BF"/>
        <w:bottom w:val="single" w:sz="4" w:space="10" w:color="125C5D" w:themeColor="accent1" w:themeShade="BF"/>
      </w:pBdr>
      <w:spacing w:before="360" w:after="360"/>
      <w:ind w:left="864" w:right="864"/>
      <w:jc w:val="center"/>
    </w:pPr>
    <w:rPr>
      <w:i/>
      <w:iCs/>
      <w:color w:val="125C5D" w:themeColor="accent1" w:themeShade="BF"/>
    </w:rPr>
  </w:style>
  <w:style w:type="character" w:customStyle="1" w:styleId="IntenseQuoteChar">
    <w:name w:val="Intense Quote Char"/>
    <w:basedOn w:val="DefaultParagraphFont"/>
    <w:link w:val="IntenseQuote"/>
    <w:uiPriority w:val="30"/>
    <w:rsid w:val="00616B11"/>
    <w:rPr>
      <w:rFonts w:asciiTheme="minorHAnsi" w:eastAsiaTheme="minorHAnsi" w:hAnsiTheme="minorHAnsi" w:cstheme="minorBidi"/>
      <w:i/>
      <w:iCs/>
      <w:color w:val="125C5D" w:themeColor="accent1" w:themeShade="BF"/>
      <w:sz w:val="22"/>
      <w:szCs w:val="22"/>
      <w:lang w:eastAsia="en-US"/>
    </w:rPr>
  </w:style>
  <w:style w:type="character" w:styleId="IntenseReference">
    <w:name w:val="Intense Reference"/>
    <w:basedOn w:val="DefaultParagraphFont"/>
    <w:uiPriority w:val="32"/>
    <w:qFormat/>
    <w:locked/>
    <w:rsid w:val="00616B11"/>
    <w:rPr>
      <w:b/>
      <w:bCs/>
      <w:smallCaps/>
      <w:color w:val="125C5D" w:themeColor="accent1" w:themeShade="BF"/>
      <w:spacing w:val="5"/>
    </w:rPr>
  </w:style>
  <w:style w:type="table" w:styleId="ListTable4-Accent1">
    <w:name w:val="List Table 4 Accent 1"/>
    <w:basedOn w:val="TableNormal"/>
    <w:uiPriority w:val="49"/>
    <w:rsid w:val="00616B11"/>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tcBorders>
        <w:shd w:val="clear" w:color="auto" w:fill="197C7D" w:themeFill="accent1"/>
      </w:tcPr>
    </w:tblStylePr>
    <w:tblStylePr w:type="lastRow">
      <w:rPr>
        <w:b/>
        <w:bCs/>
      </w:rPr>
      <w:tblPr/>
      <w:tcPr>
        <w:tcBorders>
          <w:top w:val="double" w:sz="4" w:space="0" w:color="4BD9DB" w:themeColor="accent1" w:themeTint="99"/>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paragraph" w:customStyle="1" w:styleId="paragraph">
    <w:name w:val="paragraph"/>
    <w:basedOn w:val="Normal"/>
    <w:rsid w:val="00616B1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16B11"/>
  </w:style>
  <w:style w:type="paragraph" w:customStyle="1" w:styleId="pf0">
    <w:name w:val="pf0"/>
    <w:basedOn w:val="Normal"/>
    <w:rsid w:val="00BC466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text0">
    <w:name w:val="Table text"/>
    <w:basedOn w:val="Normal"/>
    <w:qFormat/>
    <w:rsid w:val="00164CE1"/>
    <w:pPr>
      <w:spacing w:before="60" w:after="60" w:line="240" w:lineRule="auto"/>
    </w:pPr>
    <w:rPr>
      <w:rFonts w:ascii="Calibri" w:eastAsia="Times New Roman" w:hAnsi="Calibri" w:cs="Times New Roman"/>
      <w:sz w:val="20"/>
      <w:szCs w:val="20"/>
      <w:lang w:eastAsia="en-AU"/>
    </w:rPr>
  </w:style>
  <w:style w:type="table" w:styleId="PlainTable2">
    <w:name w:val="Plain Table 2"/>
    <w:basedOn w:val="TableNormal"/>
    <w:uiPriority w:val="42"/>
    <w:rsid w:val="008162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rsid w:val="00F32780"/>
    <w:pPr>
      <w:tabs>
        <w:tab w:val="left" w:pos="851"/>
        <w:tab w:val="right" w:leader="dot" w:pos="9060"/>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819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6247862">
      <w:bodyDiv w:val="1"/>
      <w:marLeft w:val="0"/>
      <w:marRight w:val="0"/>
      <w:marTop w:val="0"/>
      <w:marBottom w:val="0"/>
      <w:divBdr>
        <w:top w:val="none" w:sz="0" w:space="0" w:color="auto"/>
        <w:left w:val="none" w:sz="0" w:space="0" w:color="auto"/>
        <w:bottom w:val="none" w:sz="0" w:space="0" w:color="auto"/>
        <w:right w:val="none" w:sz="0" w:space="0" w:color="auto"/>
      </w:divBdr>
      <w:divsChild>
        <w:div w:id="315114664">
          <w:marLeft w:val="0"/>
          <w:marRight w:val="0"/>
          <w:marTop w:val="0"/>
          <w:marBottom w:val="0"/>
          <w:divBdr>
            <w:top w:val="none" w:sz="0" w:space="0" w:color="auto"/>
            <w:left w:val="none" w:sz="0" w:space="0" w:color="auto"/>
            <w:bottom w:val="none" w:sz="0" w:space="0" w:color="auto"/>
            <w:right w:val="none" w:sz="0" w:space="0" w:color="auto"/>
          </w:divBdr>
        </w:div>
        <w:div w:id="919019218">
          <w:marLeft w:val="0"/>
          <w:marRight w:val="0"/>
          <w:marTop w:val="0"/>
          <w:marBottom w:val="0"/>
          <w:divBdr>
            <w:top w:val="none" w:sz="0" w:space="0" w:color="auto"/>
            <w:left w:val="none" w:sz="0" w:space="0" w:color="auto"/>
            <w:bottom w:val="none" w:sz="0" w:space="0" w:color="auto"/>
            <w:right w:val="none" w:sz="0" w:space="0" w:color="auto"/>
          </w:divBdr>
        </w:div>
        <w:div w:id="1215458957">
          <w:marLeft w:val="0"/>
          <w:marRight w:val="0"/>
          <w:marTop w:val="0"/>
          <w:marBottom w:val="0"/>
          <w:divBdr>
            <w:top w:val="none" w:sz="0" w:space="0" w:color="auto"/>
            <w:left w:val="none" w:sz="0" w:space="0" w:color="auto"/>
            <w:bottom w:val="none" w:sz="0" w:space="0" w:color="auto"/>
            <w:right w:val="none" w:sz="0" w:space="0" w:color="auto"/>
          </w:divBdr>
        </w:div>
        <w:div w:id="1819682729">
          <w:marLeft w:val="0"/>
          <w:marRight w:val="0"/>
          <w:marTop w:val="0"/>
          <w:marBottom w:val="0"/>
          <w:divBdr>
            <w:top w:val="none" w:sz="0" w:space="0" w:color="auto"/>
            <w:left w:val="none" w:sz="0" w:space="0" w:color="auto"/>
            <w:bottom w:val="none" w:sz="0" w:space="0" w:color="auto"/>
            <w:right w:val="none" w:sz="0" w:space="0" w:color="auto"/>
          </w:divBdr>
        </w:div>
      </w:divsChild>
    </w:div>
    <w:div w:id="6326183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9542">
      <w:bodyDiv w:val="1"/>
      <w:marLeft w:val="0"/>
      <w:marRight w:val="0"/>
      <w:marTop w:val="0"/>
      <w:marBottom w:val="0"/>
      <w:divBdr>
        <w:top w:val="none" w:sz="0" w:space="0" w:color="auto"/>
        <w:left w:val="none" w:sz="0" w:space="0" w:color="auto"/>
        <w:bottom w:val="none" w:sz="0" w:space="0" w:color="auto"/>
        <w:right w:val="none" w:sz="0" w:space="0" w:color="auto"/>
      </w:divBdr>
      <w:divsChild>
        <w:div w:id="942884718">
          <w:marLeft w:val="0"/>
          <w:marRight w:val="0"/>
          <w:marTop w:val="0"/>
          <w:marBottom w:val="0"/>
          <w:divBdr>
            <w:top w:val="none" w:sz="0" w:space="0" w:color="auto"/>
            <w:left w:val="none" w:sz="0" w:space="0" w:color="auto"/>
            <w:bottom w:val="none" w:sz="0" w:space="0" w:color="auto"/>
            <w:right w:val="none" w:sz="0" w:space="0" w:color="auto"/>
          </w:divBdr>
        </w:div>
        <w:div w:id="1083842894">
          <w:marLeft w:val="0"/>
          <w:marRight w:val="0"/>
          <w:marTop w:val="0"/>
          <w:marBottom w:val="0"/>
          <w:divBdr>
            <w:top w:val="none" w:sz="0" w:space="0" w:color="auto"/>
            <w:left w:val="none" w:sz="0" w:space="0" w:color="auto"/>
            <w:bottom w:val="none" w:sz="0" w:space="0" w:color="auto"/>
            <w:right w:val="none" w:sz="0" w:space="0" w:color="auto"/>
          </w:divBdr>
        </w:div>
        <w:div w:id="1393046044">
          <w:marLeft w:val="0"/>
          <w:marRight w:val="0"/>
          <w:marTop w:val="0"/>
          <w:marBottom w:val="0"/>
          <w:divBdr>
            <w:top w:val="none" w:sz="0" w:space="0" w:color="auto"/>
            <w:left w:val="none" w:sz="0" w:space="0" w:color="auto"/>
            <w:bottom w:val="none" w:sz="0" w:space="0" w:color="auto"/>
            <w:right w:val="none" w:sz="0" w:space="0" w:color="auto"/>
          </w:divBdr>
        </w:div>
        <w:div w:id="1632444678">
          <w:marLeft w:val="0"/>
          <w:marRight w:val="0"/>
          <w:marTop w:val="0"/>
          <w:marBottom w:val="0"/>
          <w:divBdr>
            <w:top w:val="none" w:sz="0" w:space="0" w:color="auto"/>
            <w:left w:val="none" w:sz="0" w:space="0" w:color="auto"/>
            <w:bottom w:val="none" w:sz="0" w:space="0" w:color="auto"/>
            <w:right w:val="none" w:sz="0" w:space="0" w:color="auto"/>
          </w:divBdr>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9544126">
      <w:bodyDiv w:val="1"/>
      <w:marLeft w:val="0"/>
      <w:marRight w:val="0"/>
      <w:marTop w:val="0"/>
      <w:marBottom w:val="0"/>
      <w:divBdr>
        <w:top w:val="none" w:sz="0" w:space="0" w:color="auto"/>
        <w:left w:val="none" w:sz="0" w:space="0" w:color="auto"/>
        <w:bottom w:val="none" w:sz="0" w:space="0" w:color="auto"/>
        <w:right w:val="none" w:sz="0" w:space="0" w:color="auto"/>
      </w:divBdr>
      <w:divsChild>
        <w:div w:id="131558822">
          <w:marLeft w:val="0"/>
          <w:marRight w:val="0"/>
          <w:marTop w:val="0"/>
          <w:marBottom w:val="0"/>
          <w:divBdr>
            <w:top w:val="none" w:sz="0" w:space="0" w:color="auto"/>
            <w:left w:val="none" w:sz="0" w:space="0" w:color="auto"/>
            <w:bottom w:val="none" w:sz="0" w:space="0" w:color="auto"/>
            <w:right w:val="none" w:sz="0" w:space="0" w:color="auto"/>
          </w:divBdr>
        </w:div>
        <w:div w:id="309672922">
          <w:marLeft w:val="0"/>
          <w:marRight w:val="0"/>
          <w:marTop w:val="0"/>
          <w:marBottom w:val="0"/>
          <w:divBdr>
            <w:top w:val="none" w:sz="0" w:space="0" w:color="auto"/>
            <w:left w:val="none" w:sz="0" w:space="0" w:color="auto"/>
            <w:bottom w:val="none" w:sz="0" w:space="0" w:color="auto"/>
            <w:right w:val="none" w:sz="0" w:space="0" w:color="auto"/>
          </w:divBdr>
        </w:div>
        <w:div w:id="356662840">
          <w:marLeft w:val="0"/>
          <w:marRight w:val="0"/>
          <w:marTop w:val="0"/>
          <w:marBottom w:val="0"/>
          <w:divBdr>
            <w:top w:val="none" w:sz="0" w:space="0" w:color="auto"/>
            <w:left w:val="none" w:sz="0" w:space="0" w:color="auto"/>
            <w:bottom w:val="none" w:sz="0" w:space="0" w:color="auto"/>
            <w:right w:val="none" w:sz="0" w:space="0" w:color="auto"/>
          </w:divBdr>
          <w:divsChild>
            <w:div w:id="107743926">
              <w:marLeft w:val="0"/>
              <w:marRight w:val="0"/>
              <w:marTop w:val="0"/>
              <w:marBottom w:val="0"/>
              <w:divBdr>
                <w:top w:val="none" w:sz="0" w:space="0" w:color="auto"/>
                <w:left w:val="none" w:sz="0" w:space="0" w:color="auto"/>
                <w:bottom w:val="none" w:sz="0" w:space="0" w:color="auto"/>
                <w:right w:val="none" w:sz="0" w:space="0" w:color="auto"/>
              </w:divBdr>
            </w:div>
            <w:div w:id="128136517">
              <w:marLeft w:val="0"/>
              <w:marRight w:val="0"/>
              <w:marTop w:val="0"/>
              <w:marBottom w:val="0"/>
              <w:divBdr>
                <w:top w:val="none" w:sz="0" w:space="0" w:color="auto"/>
                <w:left w:val="none" w:sz="0" w:space="0" w:color="auto"/>
                <w:bottom w:val="none" w:sz="0" w:space="0" w:color="auto"/>
                <w:right w:val="none" w:sz="0" w:space="0" w:color="auto"/>
              </w:divBdr>
            </w:div>
            <w:div w:id="411510717">
              <w:marLeft w:val="0"/>
              <w:marRight w:val="0"/>
              <w:marTop w:val="0"/>
              <w:marBottom w:val="0"/>
              <w:divBdr>
                <w:top w:val="none" w:sz="0" w:space="0" w:color="auto"/>
                <w:left w:val="none" w:sz="0" w:space="0" w:color="auto"/>
                <w:bottom w:val="none" w:sz="0" w:space="0" w:color="auto"/>
                <w:right w:val="none" w:sz="0" w:space="0" w:color="auto"/>
              </w:divBdr>
            </w:div>
            <w:div w:id="484049595">
              <w:marLeft w:val="0"/>
              <w:marRight w:val="0"/>
              <w:marTop w:val="0"/>
              <w:marBottom w:val="0"/>
              <w:divBdr>
                <w:top w:val="none" w:sz="0" w:space="0" w:color="auto"/>
                <w:left w:val="none" w:sz="0" w:space="0" w:color="auto"/>
                <w:bottom w:val="none" w:sz="0" w:space="0" w:color="auto"/>
                <w:right w:val="none" w:sz="0" w:space="0" w:color="auto"/>
              </w:divBdr>
            </w:div>
            <w:div w:id="488445476">
              <w:marLeft w:val="0"/>
              <w:marRight w:val="0"/>
              <w:marTop w:val="0"/>
              <w:marBottom w:val="0"/>
              <w:divBdr>
                <w:top w:val="none" w:sz="0" w:space="0" w:color="auto"/>
                <w:left w:val="none" w:sz="0" w:space="0" w:color="auto"/>
                <w:bottom w:val="none" w:sz="0" w:space="0" w:color="auto"/>
                <w:right w:val="none" w:sz="0" w:space="0" w:color="auto"/>
              </w:divBdr>
            </w:div>
            <w:div w:id="520319645">
              <w:marLeft w:val="0"/>
              <w:marRight w:val="0"/>
              <w:marTop w:val="0"/>
              <w:marBottom w:val="0"/>
              <w:divBdr>
                <w:top w:val="none" w:sz="0" w:space="0" w:color="auto"/>
                <w:left w:val="none" w:sz="0" w:space="0" w:color="auto"/>
                <w:bottom w:val="none" w:sz="0" w:space="0" w:color="auto"/>
                <w:right w:val="none" w:sz="0" w:space="0" w:color="auto"/>
              </w:divBdr>
            </w:div>
            <w:div w:id="592855742">
              <w:marLeft w:val="0"/>
              <w:marRight w:val="0"/>
              <w:marTop w:val="0"/>
              <w:marBottom w:val="0"/>
              <w:divBdr>
                <w:top w:val="none" w:sz="0" w:space="0" w:color="auto"/>
                <w:left w:val="none" w:sz="0" w:space="0" w:color="auto"/>
                <w:bottom w:val="none" w:sz="0" w:space="0" w:color="auto"/>
                <w:right w:val="none" w:sz="0" w:space="0" w:color="auto"/>
              </w:divBdr>
            </w:div>
            <w:div w:id="1300956668">
              <w:marLeft w:val="0"/>
              <w:marRight w:val="0"/>
              <w:marTop w:val="0"/>
              <w:marBottom w:val="0"/>
              <w:divBdr>
                <w:top w:val="none" w:sz="0" w:space="0" w:color="auto"/>
                <w:left w:val="none" w:sz="0" w:space="0" w:color="auto"/>
                <w:bottom w:val="none" w:sz="0" w:space="0" w:color="auto"/>
                <w:right w:val="none" w:sz="0" w:space="0" w:color="auto"/>
              </w:divBdr>
            </w:div>
            <w:div w:id="1445423749">
              <w:marLeft w:val="0"/>
              <w:marRight w:val="0"/>
              <w:marTop w:val="0"/>
              <w:marBottom w:val="0"/>
              <w:divBdr>
                <w:top w:val="none" w:sz="0" w:space="0" w:color="auto"/>
                <w:left w:val="none" w:sz="0" w:space="0" w:color="auto"/>
                <w:bottom w:val="none" w:sz="0" w:space="0" w:color="auto"/>
                <w:right w:val="none" w:sz="0" w:space="0" w:color="auto"/>
              </w:divBdr>
            </w:div>
            <w:div w:id="2073304781">
              <w:marLeft w:val="0"/>
              <w:marRight w:val="0"/>
              <w:marTop w:val="0"/>
              <w:marBottom w:val="0"/>
              <w:divBdr>
                <w:top w:val="none" w:sz="0" w:space="0" w:color="auto"/>
                <w:left w:val="none" w:sz="0" w:space="0" w:color="auto"/>
                <w:bottom w:val="none" w:sz="0" w:space="0" w:color="auto"/>
                <w:right w:val="none" w:sz="0" w:space="0" w:color="auto"/>
              </w:divBdr>
            </w:div>
          </w:divsChild>
        </w:div>
        <w:div w:id="442193526">
          <w:marLeft w:val="0"/>
          <w:marRight w:val="0"/>
          <w:marTop w:val="0"/>
          <w:marBottom w:val="0"/>
          <w:divBdr>
            <w:top w:val="none" w:sz="0" w:space="0" w:color="auto"/>
            <w:left w:val="none" w:sz="0" w:space="0" w:color="auto"/>
            <w:bottom w:val="none" w:sz="0" w:space="0" w:color="auto"/>
            <w:right w:val="none" w:sz="0" w:space="0" w:color="auto"/>
          </w:divBdr>
          <w:divsChild>
            <w:div w:id="321470506">
              <w:marLeft w:val="-75"/>
              <w:marRight w:val="0"/>
              <w:marTop w:val="30"/>
              <w:marBottom w:val="30"/>
              <w:divBdr>
                <w:top w:val="none" w:sz="0" w:space="0" w:color="auto"/>
                <w:left w:val="none" w:sz="0" w:space="0" w:color="auto"/>
                <w:bottom w:val="none" w:sz="0" w:space="0" w:color="auto"/>
                <w:right w:val="none" w:sz="0" w:space="0" w:color="auto"/>
              </w:divBdr>
              <w:divsChild>
                <w:div w:id="664481640">
                  <w:marLeft w:val="0"/>
                  <w:marRight w:val="0"/>
                  <w:marTop w:val="0"/>
                  <w:marBottom w:val="0"/>
                  <w:divBdr>
                    <w:top w:val="none" w:sz="0" w:space="0" w:color="auto"/>
                    <w:left w:val="none" w:sz="0" w:space="0" w:color="auto"/>
                    <w:bottom w:val="none" w:sz="0" w:space="0" w:color="auto"/>
                    <w:right w:val="none" w:sz="0" w:space="0" w:color="auto"/>
                  </w:divBdr>
                  <w:divsChild>
                    <w:div w:id="813252290">
                      <w:marLeft w:val="0"/>
                      <w:marRight w:val="0"/>
                      <w:marTop w:val="0"/>
                      <w:marBottom w:val="0"/>
                      <w:divBdr>
                        <w:top w:val="none" w:sz="0" w:space="0" w:color="auto"/>
                        <w:left w:val="none" w:sz="0" w:space="0" w:color="auto"/>
                        <w:bottom w:val="none" w:sz="0" w:space="0" w:color="auto"/>
                        <w:right w:val="none" w:sz="0" w:space="0" w:color="auto"/>
                      </w:divBdr>
                    </w:div>
                    <w:div w:id="923226783">
                      <w:marLeft w:val="0"/>
                      <w:marRight w:val="0"/>
                      <w:marTop w:val="0"/>
                      <w:marBottom w:val="0"/>
                      <w:divBdr>
                        <w:top w:val="none" w:sz="0" w:space="0" w:color="auto"/>
                        <w:left w:val="none" w:sz="0" w:space="0" w:color="auto"/>
                        <w:bottom w:val="none" w:sz="0" w:space="0" w:color="auto"/>
                        <w:right w:val="none" w:sz="0" w:space="0" w:color="auto"/>
                      </w:divBdr>
                    </w:div>
                    <w:div w:id="1158308689">
                      <w:marLeft w:val="0"/>
                      <w:marRight w:val="0"/>
                      <w:marTop w:val="0"/>
                      <w:marBottom w:val="0"/>
                      <w:divBdr>
                        <w:top w:val="none" w:sz="0" w:space="0" w:color="auto"/>
                        <w:left w:val="none" w:sz="0" w:space="0" w:color="auto"/>
                        <w:bottom w:val="none" w:sz="0" w:space="0" w:color="auto"/>
                        <w:right w:val="none" w:sz="0" w:space="0" w:color="auto"/>
                      </w:divBdr>
                    </w:div>
                    <w:div w:id="1304778222">
                      <w:marLeft w:val="0"/>
                      <w:marRight w:val="0"/>
                      <w:marTop w:val="0"/>
                      <w:marBottom w:val="0"/>
                      <w:divBdr>
                        <w:top w:val="none" w:sz="0" w:space="0" w:color="auto"/>
                        <w:left w:val="none" w:sz="0" w:space="0" w:color="auto"/>
                        <w:bottom w:val="none" w:sz="0" w:space="0" w:color="auto"/>
                        <w:right w:val="none" w:sz="0" w:space="0" w:color="auto"/>
                      </w:divBdr>
                    </w:div>
                  </w:divsChild>
                </w:div>
                <w:div w:id="852301625">
                  <w:marLeft w:val="0"/>
                  <w:marRight w:val="0"/>
                  <w:marTop w:val="0"/>
                  <w:marBottom w:val="0"/>
                  <w:divBdr>
                    <w:top w:val="none" w:sz="0" w:space="0" w:color="auto"/>
                    <w:left w:val="none" w:sz="0" w:space="0" w:color="auto"/>
                    <w:bottom w:val="none" w:sz="0" w:space="0" w:color="auto"/>
                    <w:right w:val="none" w:sz="0" w:space="0" w:color="auto"/>
                  </w:divBdr>
                  <w:divsChild>
                    <w:div w:id="566066803">
                      <w:marLeft w:val="0"/>
                      <w:marRight w:val="0"/>
                      <w:marTop w:val="0"/>
                      <w:marBottom w:val="0"/>
                      <w:divBdr>
                        <w:top w:val="none" w:sz="0" w:space="0" w:color="auto"/>
                        <w:left w:val="none" w:sz="0" w:space="0" w:color="auto"/>
                        <w:bottom w:val="none" w:sz="0" w:space="0" w:color="auto"/>
                        <w:right w:val="none" w:sz="0" w:space="0" w:color="auto"/>
                      </w:divBdr>
                    </w:div>
                    <w:div w:id="685521134">
                      <w:marLeft w:val="0"/>
                      <w:marRight w:val="0"/>
                      <w:marTop w:val="0"/>
                      <w:marBottom w:val="0"/>
                      <w:divBdr>
                        <w:top w:val="none" w:sz="0" w:space="0" w:color="auto"/>
                        <w:left w:val="none" w:sz="0" w:space="0" w:color="auto"/>
                        <w:bottom w:val="none" w:sz="0" w:space="0" w:color="auto"/>
                        <w:right w:val="none" w:sz="0" w:space="0" w:color="auto"/>
                      </w:divBdr>
                    </w:div>
                    <w:div w:id="825785314">
                      <w:marLeft w:val="0"/>
                      <w:marRight w:val="0"/>
                      <w:marTop w:val="0"/>
                      <w:marBottom w:val="0"/>
                      <w:divBdr>
                        <w:top w:val="none" w:sz="0" w:space="0" w:color="auto"/>
                        <w:left w:val="none" w:sz="0" w:space="0" w:color="auto"/>
                        <w:bottom w:val="none" w:sz="0" w:space="0" w:color="auto"/>
                        <w:right w:val="none" w:sz="0" w:space="0" w:color="auto"/>
                      </w:divBdr>
                    </w:div>
                    <w:div w:id="2077048611">
                      <w:marLeft w:val="0"/>
                      <w:marRight w:val="0"/>
                      <w:marTop w:val="0"/>
                      <w:marBottom w:val="0"/>
                      <w:divBdr>
                        <w:top w:val="none" w:sz="0" w:space="0" w:color="auto"/>
                        <w:left w:val="none" w:sz="0" w:space="0" w:color="auto"/>
                        <w:bottom w:val="none" w:sz="0" w:space="0" w:color="auto"/>
                        <w:right w:val="none" w:sz="0" w:space="0" w:color="auto"/>
                      </w:divBdr>
                    </w:div>
                  </w:divsChild>
                </w:div>
                <w:div w:id="1585725317">
                  <w:marLeft w:val="0"/>
                  <w:marRight w:val="0"/>
                  <w:marTop w:val="0"/>
                  <w:marBottom w:val="0"/>
                  <w:divBdr>
                    <w:top w:val="none" w:sz="0" w:space="0" w:color="auto"/>
                    <w:left w:val="none" w:sz="0" w:space="0" w:color="auto"/>
                    <w:bottom w:val="none" w:sz="0" w:space="0" w:color="auto"/>
                    <w:right w:val="none" w:sz="0" w:space="0" w:color="auto"/>
                  </w:divBdr>
                  <w:divsChild>
                    <w:div w:id="99223082">
                      <w:marLeft w:val="0"/>
                      <w:marRight w:val="0"/>
                      <w:marTop w:val="0"/>
                      <w:marBottom w:val="0"/>
                      <w:divBdr>
                        <w:top w:val="none" w:sz="0" w:space="0" w:color="auto"/>
                        <w:left w:val="none" w:sz="0" w:space="0" w:color="auto"/>
                        <w:bottom w:val="none" w:sz="0" w:space="0" w:color="auto"/>
                        <w:right w:val="none" w:sz="0" w:space="0" w:color="auto"/>
                      </w:divBdr>
                    </w:div>
                    <w:div w:id="472062890">
                      <w:marLeft w:val="0"/>
                      <w:marRight w:val="0"/>
                      <w:marTop w:val="0"/>
                      <w:marBottom w:val="0"/>
                      <w:divBdr>
                        <w:top w:val="none" w:sz="0" w:space="0" w:color="auto"/>
                        <w:left w:val="none" w:sz="0" w:space="0" w:color="auto"/>
                        <w:bottom w:val="none" w:sz="0" w:space="0" w:color="auto"/>
                        <w:right w:val="none" w:sz="0" w:space="0" w:color="auto"/>
                      </w:divBdr>
                    </w:div>
                    <w:div w:id="786660058">
                      <w:marLeft w:val="0"/>
                      <w:marRight w:val="0"/>
                      <w:marTop w:val="0"/>
                      <w:marBottom w:val="0"/>
                      <w:divBdr>
                        <w:top w:val="none" w:sz="0" w:space="0" w:color="auto"/>
                        <w:left w:val="none" w:sz="0" w:space="0" w:color="auto"/>
                        <w:bottom w:val="none" w:sz="0" w:space="0" w:color="auto"/>
                        <w:right w:val="none" w:sz="0" w:space="0" w:color="auto"/>
                      </w:divBdr>
                    </w:div>
                  </w:divsChild>
                </w:div>
                <w:div w:id="1635065793">
                  <w:marLeft w:val="0"/>
                  <w:marRight w:val="0"/>
                  <w:marTop w:val="0"/>
                  <w:marBottom w:val="0"/>
                  <w:divBdr>
                    <w:top w:val="none" w:sz="0" w:space="0" w:color="auto"/>
                    <w:left w:val="none" w:sz="0" w:space="0" w:color="auto"/>
                    <w:bottom w:val="none" w:sz="0" w:space="0" w:color="auto"/>
                    <w:right w:val="none" w:sz="0" w:space="0" w:color="auto"/>
                  </w:divBdr>
                  <w:divsChild>
                    <w:div w:id="1823764817">
                      <w:marLeft w:val="0"/>
                      <w:marRight w:val="0"/>
                      <w:marTop w:val="0"/>
                      <w:marBottom w:val="0"/>
                      <w:divBdr>
                        <w:top w:val="none" w:sz="0" w:space="0" w:color="auto"/>
                        <w:left w:val="none" w:sz="0" w:space="0" w:color="auto"/>
                        <w:bottom w:val="none" w:sz="0" w:space="0" w:color="auto"/>
                        <w:right w:val="none" w:sz="0" w:space="0" w:color="auto"/>
                      </w:divBdr>
                    </w:div>
                  </w:divsChild>
                </w:div>
                <w:div w:id="1967077860">
                  <w:marLeft w:val="0"/>
                  <w:marRight w:val="0"/>
                  <w:marTop w:val="0"/>
                  <w:marBottom w:val="0"/>
                  <w:divBdr>
                    <w:top w:val="none" w:sz="0" w:space="0" w:color="auto"/>
                    <w:left w:val="none" w:sz="0" w:space="0" w:color="auto"/>
                    <w:bottom w:val="none" w:sz="0" w:space="0" w:color="auto"/>
                    <w:right w:val="none" w:sz="0" w:space="0" w:color="auto"/>
                  </w:divBdr>
                  <w:divsChild>
                    <w:div w:id="2069109608">
                      <w:marLeft w:val="0"/>
                      <w:marRight w:val="0"/>
                      <w:marTop w:val="0"/>
                      <w:marBottom w:val="0"/>
                      <w:divBdr>
                        <w:top w:val="none" w:sz="0" w:space="0" w:color="auto"/>
                        <w:left w:val="none" w:sz="0" w:space="0" w:color="auto"/>
                        <w:bottom w:val="none" w:sz="0" w:space="0" w:color="auto"/>
                        <w:right w:val="none" w:sz="0" w:space="0" w:color="auto"/>
                      </w:divBdr>
                    </w:div>
                  </w:divsChild>
                </w:div>
                <w:div w:id="2102682047">
                  <w:marLeft w:val="0"/>
                  <w:marRight w:val="0"/>
                  <w:marTop w:val="0"/>
                  <w:marBottom w:val="0"/>
                  <w:divBdr>
                    <w:top w:val="none" w:sz="0" w:space="0" w:color="auto"/>
                    <w:left w:val="none" w:sz="0" w:space="0" w:color="auto"/>
                    <w:bottom w:val="none" w:sz="0" w:space="0" w:color="auto"/>
                    <w:right w:val="none" w:sz="0" w:space="0" w:color="auto"/>
                  </w:divBdr>
                  <w:divsChild>
                    <w:div w:id="9880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74107">
          <w:marLeft w:val="0"/>
          <w:marRight w:val="0"/>
          <w:marTop w:val="0"/>
          <w:marBottom w:val="0"/>
          <w:divBdr>
            <w:top w:val="none" w:sz="0" w:space="0" w:color="auto"/>
            <w:left w:val="none" w:sz="0" w:space="0" w:color="auto"/>
            <w:bottom w:val="none" w:sz="0" w:space="0" w:color="auto"/>
            <w:right w:val="none" w:sz="0" w:space="0" w:color="auto"/>
          </w:divBdr>
        </w:div>
        <w:div w:id="590435810">
          <w:marLeft w:val="0"/>
          <w:marRight w:val="0"/>
          <w:marTop w:val="0"/>
          <w:marBottom w:val="0"/>
          <w:divBdr>
            <w:top w:val="none" w:sz="0" w:space="0" w:color="auto"/>
            <w:left w:val="none" w:sz="0" w:space="0" w:color="auto"/>
            <w:bottom w:val="none" w:sz="0" w:space="0" w:color="auto"/>
            <w:right w:val="none" w:sz="0" w:space="0" w:color="auto"/>
          </w:divBdr>
        </w:div>
        <w:div w:id="719325316">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321617497">
          <w:marLeft w:val="0"/>
          <w:marRight w:val="0"/>
          <w:marTop w:val="0"/>
          <w:marBottom w:val="0"/>
          <w:divBdr>
            <w:top w:val="none" w:sz="0" w:space="0" w:color="auto"/>
            <w:left w:val="none" w:sz="0" w:space="0" w:color="auto"/>
            <w:bottom w:val="none" w:sz="0" w:space="0" w:color="auto"/>
            <w:right w:val="none" w:sz="0" w:space="0" w:color="auto"/>
          </w:divBdr>
          <w:divsChild>
            <w:div w:id="257449526">
              <w:marLeft w:val="-75"/>
              <w:marRight w:val="0"/>
              <w:marTop w:val="30"/>
              <w:marBottom w:val="30"/>
              <w:divBdr>
                <w:top w:val="none" w:sz="0" w:space="0" w:color="auto"/>
                <w:left w:val="none" w:sz="0" w:space="0" w:color="auto"/>
                <w:bottom w:val="none" w:sz="0" w:space="0" w:color="auto"/>
                <w:right w:val="none" w:sz="0" w:space="0" w:color="auto"/>
              </w:divBdr>
              <w:divsChild>
                <w:div w:id="101847932">
                  <w:marLeft w:val="0"/>
                  <w:marRight w:val="0"/>
                  <w:marTop w:val="0"/>
                  <w:marBottom w:val="0"/>
                  <w:divBdr>
                    <w:top w:val="none" w:sz="0" w:space="0" w:color="auto"/>
                    <w:left w:val="none" w:sz="0" w:space="0" w:color="auto"/>
                    <w:bottom w:val="none" w:sz="0" w:space="0" w:color="auto"/>
                    <w:right w:val="none" w:sz="0" w:space="0" w:color="auto"/>
                  </w:divBdr>
                  <w:divsChild>
                    <w:div w:id="1098067394">
                      <w:marLeft w:val="0"/>
                      <w:marRight w:val="0"/>
                      <w:marTop w:val="0"/>
                      <w:marBottom w:val="0"/>
                      <w:divBdr>
                        <w:top w:val="none" w:sz="0" w:space="0" w:color="auto"/>
                        <w:left w:val="none" w:sz="0" w:space="0" w:color="auto"/>
                        <w:bottom w:val="none" w:sz="0" w:space="0" w:color="auto"/>
                        <w:right w:val="none" w:sz="0" w:space="0" w:color="auto"/>
                      </w:divBdr>
                    </w:div>
                  </w:divsChild>
                </w:div>
                <w:div w:id="380833461">
                  <w:marLeft w:val="0"/>
                  <w:marRight w:val="0"/>
                  <w:marTop w:val="0"/>
                  <w:marBottom w:val="0"/>
                  <w:divBdr>
                    <w:top w:val="none" w:sz="0" w:space="0" w:color="auto"/>
                    <w:left w:val="none" w:sz="0" w:space="0" w:color="auto"/>
                    <w:bottom w:val="none" w:sz="0" w:space="0" w:color="auto"/>
                    <w:right w:val="none" w:sz="0" w:space="0" w:color="auto"/>
                  </w:divBdr>
                  <w:divsChild>
                    <w:div w:id="556629658">
                      <w:marLeft w:val="0"/>
                      <w:marRight w:val="0"/>
                      <w:marTop w:val="0"/>
                      <w:marBottom w:val="0"/>
                      <w:divBdr>
                        <w:top w:val="none" w:sz="0" w:space="0" w:color="auto"/>
                        <w:left w:val="none" w:sz="0" w:space="0" w:color="auto"/>
                        <w:bottom w:val="none" w:sz="0" w:space="0" w:color="auto"/>
                        <w:right w:val="none" w:sz="0" w:space="0" w:color="auto"/>
                      </w:divBdr>
                    </w:div>
                  </w:divsChild>
                </w:div>
                <w:div w:id="383527229">
                  <w:marLeft w:val="0"/>
                  <w:marRight w:val="0"/>
                  <w:marTop w:val="0"/>
                  <w:marBottom w:val="0"/>
                  <w:divBdr>
                    <w:top w:val="none" w:sz="0" w:space="0" w:color="auto"/>
                    <w:left w:val="none" w:sz="0" w:space="0" w:color="auto"/>
                    <w:bottom w:val="none" w:sz="0" w:space="0" w:color="auto"/>
                    <w:right w:val="none" w:sz="0" w:space="0" w:color="auto"/>
                  </w:divBdr>
                  <w:divsChild>
                    <w:div w:id="20324672">
                      <w:marLeft w:val="0"/>
                      <w:marRight w:val="0"/>
                      <w:marTop w:val="0"/>
                      <w:marBottom w:val="0"/>
                      <w:divBdr>
                        <w:top w:val="none" w:sz="0" w:space="0" w:color="auto"/>
                        <w:left w:val="none" w:sz="0" w:space="0" w:color="auto"/>
                        <w:bottom w:val="none" w:sz="0" w:space="0" w:color="auto"/>
                        <w:right w:val="none" w:sz="0" w:space="0" w:color="auto"/>
                      </w:divBdr>
                    </w:div>
                  </w:divsChild>
                </w:div>
                <w:div w:id="502665254">
                  <w:marLeft w:val="0"/>
                  <w:marRight w:val="0"/>
                  <w:marTop w:val="0"/>
                  <w:marBottom w:val="0"/>
                  <w:divBdr>
                    <w:top w:val="none" w:sz="0" w:space="0" w:color="auto"/>
                    <w:left w:val="none" w:sz="0" w:space="0" w:color="auto"/>
                    <w:bottom w:val="none" w:sz="0" w:space="0" w:color="auto"/>
                    <w:right w:val="none" w:sz="0" w:space="0" w:color="auto"/>
                  </w:divBdr>
                  <w:divsChild>
                    <w:div w:id="428695706">
                      <w:marLeft w:val="0"/>
                      <w:marRight w:val="0"/>
                      <w:marTop w:val="0"/>
                      <w:marBottom w:val="0"/>
                      <w:divBdr>
                        <w:top w:val="none" w:sz="0" w:space="0" w:color="auto"/>
                        <w:left w:val="none" w:sz="0" w:space="0" w:color="auto"/>
                        <w:bottom w:val="none" w:sz="0" w:space="0" w:color="auto"/>
                        <w:right w:val="none" w:sz="0" w:space="0" w:color="auto"/>
                      </w:divBdr>
                    </w:div>
                  </w:divsChild>
                </w:div>
                <w:div w:id="889221206">
                  <w:marLeft w:val="0"/>
                  <w:marRight w:val="0"/>
                  <w:marTop w:val="0"/>
                  <w:marBottom w:val="0"/>
                  <w:divBdr>
                    <w:top w:val="none" w:sz="0" w:space="0" w:color="auto"/>
                    <w:left w:val="none" w:sz="0" w:space="0" w:color="auto"/>
                    <w:bottom w:val="none" w:sz="0" w:space="0" w:color="auto"/>
                    <w:right w:val="none" w:sz="0" w:space="0" w:color="auto"/>
                  </w:divBdr>
                  <w:divsChild>
                    <w:div w:id="1323503338">
                      <w:marLeft w:val="0"/>
                      <w:marRight w:val="0"/>
                      <w:marTop w:val="0"/>
                      <w:marBottom w:val="0"/>
                      <w:divBdr>
                        <w:top w:val="none" w:sz="0" w:space="0" w:color="auto"/>
                        <w:left w:val="none" w:sz="0" w:space="0" w:color="auto"/>
                        <w:bottom w:val="none" w:sz="0" w:space="0" w:color="auto"/>
                        <w:right w:val="none" w:sz="0" w:space="0" w:color="auto"/>
                      </w:divBdr>
                    </w:div>
                  </w:divsChild>
                </w:div>
                <w:div w:id="896891334">
                  <w:marLeft w:val="0"/>
                  <w:marRight w:val="0"/>
                  <w:marTop w:val="0"/>
                  <w:marBottom w:val="0"/>
                  <w:divBdr>
                    <w:top w:val="none" w:sz="0" w:space="0" w:color="auto"/>
                    <w:left w:val="none" w:sz="0" w:space="0" w:color="auto"/>
                    <w:bottom w:val="none" w:sz="0" w:space="0" w:color="auto"/>
                    <w:right w:val="none" w:sz="0" w:space="0" w:color="auto"/>
                  </w:divBdr>
                  <w:divsChild>
                    <w:div w:id="826555064">
                      <w:marLeft w:val="0"/>
                      <w:marRight w:val="0"/>
                      <w:marTop w:val="0"/>
                      <w:marBottom w:val="0"/>
                      <w:divBdr>
                        <w:top w:val="none" w:sz="0" w:space="0" w:color="auto"/>
                        <w:left w:val="none" w:sz="0" w:space="0" w:color="auto"/>
                        <w:bottom w:val="none" w:sz="0" w:space="0" w:color="auto"/>
                        <w:right w:val="none" w:sz="0" w:space="0" w:color="auto"/>
                      </w:divBdr>
                    </w:div>
                  </w:divsChild>
                </w:div>
                <w:div w:id="1016418641">
                  <w:marLeft w:val="0"/>
                  <w:marRight w:val="0"/>
                  <w:marTop w:val="0"/>
                  <w:marBottom w:val="0"/>
                  <w:divBdr>
                    <w:top w:val="none" w:sz="0" w:space="0" w:color="auto"/>
                    <w:left w:val="none" w:sz="0" w:space="0" w:color="auto"/>
                    <w:bottom w:val="none" w:sz="0" w:space="0" w:color="auto"/>
                    <w:right w:val="none" w:sz="0" w:space="0" w:color="auto"/>
                  </w:divBdr>
                  <w:divsChild>
                    <w:div w:id="523056410">
                      <w:marLeft w:val="0"/>
                      <w:marRight w:val="0"/>
                      <w:marTop w:val="0"/>
                      <w:marBottom w:val="0"/>
                      <w:divBdr>
                        <w:top w:val="none" w:sz="0" w:space="0" w:color="auto"/>
                        <w:left w:val="none" w:sz="0" w:space="0" w:color="auto"/>
                        <w:bottom w:val="none" w:sz="0" w:space="0" w:color="auto"/>
                        <w:right w:val="none" w:sz="0" w:space="0" w:color="auto"/>
                      </w:divBdr>
                    </w:div>
                  </w:divsChild>
                </w:div>
                <w:div w:id="1188179041">
                  <w:marLeft w:val="0"/>
                  <w:marRight w:val="0"/>
                  <w:marTop w:val="0"/>
                  <w:marBottom w:val="0"/>
                  <w:divBdr>
                    <w:top w:val="none" w:sz="0" w:space="0" w:color="auto"/>
                    <w:left w:val="none" w:sz="0" w:space="0" w:color="auto"/>
                    <w:bottom w:val="none" w:sz="0" w:space="0" w:color="auto"/>
                    <w:right w:val="none" w:sz="0" w:space="0" w:color="auto"/>
                  </w:divBdr>
                  <w:divsChild>
                    <w:div w:id="132871598">
                      <w:marLeft w:val="0"/>
                      <w:marRight w:val="0"/>
                      <w:marTop w:val="0"/>
                      <w:marBottom w:val="0"/>
                      <w:divBdr>
                        <w:top w:val="none" w:sz="0" w:space="0" w:color="auto"/>
                        <w:left w:val="none" w:sz="0" w:space="0" w:color="auto"/>
                        <w:bottom w:val="none" w:sz="0" w:space="0" w:color="auto"/>
                        <w:right w:val="none" w:sz="0" w:space="0" w:color="auto"/>
                      </w:divBdr>
                    </w:div>
                  </w:divsChild>
                </w:div>
                <w:div w:id="1224608606">
                  <w:marLeft w:val="0"/>
                  <w:marRight w:val="0"/>
                  <w:marTop w:val="0"/>
                  <w:marBottom w:val="0"/>
                  <w:divBdr>
                    <w:top w:val="none" w:sz="0" w:space="0" w:color="auto"/>
                    <w:left w:val="none" w:sz="0" w:space="0" w:color="auto"/>
                    <w:bottom w:val="none" w:sz="0" w:space="0" w:color="auto"/>
                    <w:right w:val="none" w:sz="0" w:space="0" w:color="auto"/>
                  </w:divBdr>
                  <w:divsChild>
                    <w:div w:id="186217305">
                      <w:marLeft w:val="0"/>
                      <w:marRight w:val="0"/>
                      <w:marTop w:val="0"/>
                      <w:marBottom w:val="0"/>
                      <w:divBdr>
                        <w:top w:val="none" w:sz="0" w:space="0" w:color="auto"/>
                        <w:left w:val="none" w:sz="0" w:space="0" w:color="auto"/>
                        <w:bottom w:val="none" w:sz="0" w:space="0" w:color="auto"/>
                        <w:right w:val="none" w:sz="0" w:space="0" w:color="auto"/>
                      </w:divBdr>
                    </w:div>
                  </w:divsChild>
                </w:div>
                <w:div w:id="1735011757">
                  <w:marLeft w:val="0"/>
                  <w:marRight w:val="0"/>
                  <w:marTop w:val="0"/>
                  <w:marBottom w:val="0"/>
                  <w:divBdr>
                    <w:top w:val="none" w:sz="0" w:space="0" w:color="auto"/>
                    <w:left w:val="none" w:sz="0" w:space="0" w:color="auto"/>
                    <w:bottom w:val="none" w:sz="0" w:space="0" w:color="auto"/>
                    <w:right w:val="none" w:sz="0" w:space="0" w:color="auto"/>
                  </w:divBdr>
                  <w:divsChild>
                    <w:div w:id="10610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9730">
          <w:marLeft w:val="0"/>
          <w:marRight w:val="0"/>
          <w:marTop w:val="0"/>
          <w:marBottom w:val="0"/>
          <w:divBdr>
            <w:top w:val="none" w:sz="0" w:space="0" w:color="auto"/>
            <w:left w:val="none" w:sz="0" w:space="0" w:color="auto"/>
            <w:bottom w:val="none" w:sz="0" w:space="0" w:color="auto"/>
            <w:right w:val="none" w:sz="0" w:space="0" w:color="auto"/>
          </w:divBdr>
        </w:div>
        <w:div w:id="1787387057">
          <w:marLeft w:val="0"/>
          <w:marRight w:val="0"/>
          <w:marTop w:val="0"/>
          <w:marBottom w:val="0"/>
          <w:divBdr>
            <w:top w:val="none" w:sz="0" w:space="0" w:color="auto"/>
            <w:left w:val="none" w:sz="0" w:space="0" w:color="auto"/>
            <w:bottom w:val="none" w:sz="0" w:space="0" w:color="auto"/>
            <w:right w:val="none" w:sz="0" w:space="0" w:color="auto"/>
          </w:divBdr>
        </w:div>
      </w:divsChild>
    </w:div>
    <w:div w:id="210772582">
      <w:bodyDiv w:val="1"/>
      <w:marLeft w:val="0"/>
      <w:marRight w:val="0"/>
      <w:marTop w:val="0"/>
      <w:marBottom w:val="0"/>
      <w:divBdr>
        <w:top w:val="none" w:sz="0" w:space="0" w:color="auto"/>
        <w:left w:val="none" w:sz="0" w:space="0" w:color="auto"/>
        <w:bottom w:val="none" w:sz="0" w:space="0" w:color="auto"/>
        <w:right w:val="none" w:sz="0" w:space="0" w:color="auto"/>
      </w:divBdr>
    </w:div>
    <w:div w:id="212927016">
      <w:bodyDiv w:val="1"/>
      <w:marLeft w:val="0"/>
      <w:marRight w:val="0"/>
      <w:marTop w:val="0"/>
      <w:marBottom w:val="0"/>
      <w:divBdr>
        <w:top w:val="none" w:sz="0" w:space="0" w:color="auto"/>
        <w:left w:val="none" w:sz="0" w:space="0" w:color="auto"/>
        <w:bottom w:val="none" w:sz="0" w:space="0" w:color="auto"/>
        <w:right w:val="none" w:sz="0" w:space="0" w:color="auto"/>
      </w:divBdr>
    </w:div>
    <w:div w:id="244925847">
      <w:bodyDiv w:val="1"/>
      <w:marLeft w:val="0"/>
      <w:marRight w:val="0"/>
      <w:marTop w:val="0"/>
      <w:marBottom w:val="0"/>
      <w:divBdr>
        <w:top w:val="none" w:sz="0" w:space="0" w:color="auto"/>
        <w:left w:val="none" w:sz="0" w:space="0" w:color="auto"/>
        <w:bottom w:val="none" w:sz="0" w:space="0" w:color="auto"/>
        <w:right w:val="none" w:sz="0" w:space="0" w:color="auto"/>
      </w:divBdr>
      <w:divsChild>
        <w:div w:id="616526291">
          <w:marLeft w:val="0"/>
          <w:marRight w:val="0"/>
          <w:marTop w:val="0"/>
          <w:marBottom w:val="0"/>
          <w:divBdr>
            <w:top w:val="none" w:sz="0" w:space="0" w:color="auto"/>
            <w:left w:val="none" w:sz="0" w:space="0" w:color="auto"/>
            <w:bottom w:val="none" w:sz="0" w:space="0" w:color="auto"/>
            <w:right w:val="none" w:sz="0" w:space="0" w:color="auto"/>
          </w:divBdr>
        </w:div>
        <w:div w:id="849293569">
          <w:marLeft w:val="0"/>
          <w:marRight w:val="0"/>
          <w:marTop w:val="0"/>
          <w:marBottom w:val="0"/>
          <w:divBdr>
            <w:top w:val="none" w:sz="0" w:space="0" w:color="auto"/>
            <w:left w:val="none" w:sz="0" w:space="0" w:color="auto"/>
            <w:bottom w:val="none" w:sz="0" w:space="0" w:color="auto"/>
            <w:right w:val="none" w:sz="0" w:space="0" w:color="auto"/>
          </w:divBdr>
          <w:divsChild>
            <w:div w:id="1622952172">
              <w:marLeft w:val="-75"/>
              <w:marRight w:val="0"/>
              <w:marTop w:val="30"/>
              <w:marBottom w:val="30"/>
              <w:divBdr>
                <w:top w:val="none" w:sz="0" w:space="0" w:color="auto"/>
                <w:left w:val="none" w:sz="0" w:space="0" w:color="auto"/>
                <w:bottom w:val="none" w:sz="0" w:space="0" w:color="auto"/>
                <w:right w:val="none" w:sz="0" w:space="0" w:color="auto"/>
              </w:divBdr>
              <w:divsChild>
                <w:div w:id="33429034">
                  <w:marLeft w:val="0"/>
                  <w:marRight w:val="0"/>
                  <w:marTop w:val="0"/>
                  <w:marBottom w:val="0"/>
                  <w:divBdr>
                    <w:top w:val="none" w:sz="0" w:space="0" w:color="auto"/>
                    <w:left w:val="none" w:sz="0" w:space="0" w:color="auto"/>
                    <w:bottom w:val="none" w:sz="0" w:space="0" w:color="auto"/>
                    <w:right w:val="none" w:sz="0" w:space="0" w:color="auto"/>
                  </w:divBdr>
                  <w:divsChild>
                    <w:div w:id="203710706">
                      <w:marLeft w:val="0"/>
                      <w:marRight w:val="0"/>
                      <w:marTop w:val="0"/>
                      <w:marBottom w:val="0"/>
                      <w:divBdr>
                        <w:top w:val="none" w:sz="0" w:space="0" w:color="auto"/>
                        <w:left w:val="none" w:sz="0" w:space="0" w:color="auto"/>
                        <w:bottom w:val="none" w:sz="0" w:space="0" w:color="auto"/>
                        <w:right w:val="none" w:sz="0" w:space="0" w:color="auto"/>
                      </w:divBdr>
                    </w:div>
                    <w:div w:id="814495715">
                      <w:marLeft w:val="0"/>
                      <w:marRight w:val="0"/>
                      <w:marTop w:val="0"/>
                      <w:marBottom w:val="0"/>
                      <w:divBdr>
                        <w:top w:val="none" w:sz="0" w:space="0" w:color="auto"/>
                        <w:left w:val="none" w:sz="0" w:space="0" w:color="auto"/>
                        <w:bottom w:val="none" w:sz="0" w:space="0" w:color="auto"/>
                        <w:right w:val="none" w:sz="0" w:space="0" w:color="auto"/>
                      </w:divBdr>
                    </w:div>
                    <w:div w:id="958531858">
                      <w:marLeft w:val="0"/>
                      <w:marRight w:val="0"/>
                      <w:marTop w:val="0"/>
                      <w:marBottom w:val="0"/>
                      <w:divBdr>
                        <w:top w:val="none" w:sz="0" w:space="0" w:color="auto"/>
                        <w:left w:val="none" w:sz="0" w:space="0" w:color="auto"/>
                        <w:bottom w:val="none" w:sz="0" w:space="0" w:color="auto"/>
                        <w:right w:val="none" w:sz="0" w:space="0" w:color="auto"/>
                      </w:divBdr>
                    </w:div>
                    <w:div w:id="1013872910">
                      <w:marLeft w:val="0"/>
                      <w:marRight w:val="0"/>
                      <w:marTop w:val="0"/>
                      <w:marBottom w:val="0"/>
                      <w:divBdr>
                        <w:top w:val="none" w:sz="0" w:space="0" w:color="auto"/>
                        <w:left w:val="none" w:sz="0" w:space="0" w:color="auto"/>
                        <w:bottom w:val="none" w:sz="0" w:space="0" w:color="auto"/>
                        <w:right w:val="none" w:sz="0" w:space="0" w:color="auto"/>
                      </w:divBdr>
                    </w:div>
                  </w:divsChild>
                </w:div>
                <w:div w:id="710694343">
                  <w:marLeft w:val="0"/>
                  <w:marRight w:val="0"/>
                  <w:marTop w:val="0"/>
                  <w:marBottom w:val="0"/>
                  <w:divBdr>
                    <w:top w:val="none" w:sz="0" w:space="0" w:color="auto"/>
                    <w:left w:val="none" w:sz="0" w:space="0" w:color="auto"/>
                    <w:bottom w:val="none" w:sz="0" w:space="0" w:color="auto"/>
                    <w:right w:val="none" w:sz="0" w:space="0" w:color="auto"/>
                  </w:divBdr>
                  <w:divsChild>
                    <w:div w:id="1487043590">
                      <w:marLeft w:val="0"/>
                      <w:marRight w:val="0"/>
                      <w:marTop w:val="0"/>
                      <w:marBottom w:val="0"/>
                      <w:divBdr>
                        <w:top w:val="none" w:sz="0" w:space="0" w:color="auto"/>
                        <w:left w:val="none" w:sz="0" w:space="0" w:color="auto"/>
                        <w:bottom w:val="none" w:sz="0" w:space="0" w:color="auto"/>
                        <w:right w:val="none" w:sz="0" w:space="0" w:color="auto"/>
                      </w:divBdr>
                    </w:div>
                  </w:divsChild>
                </w:div>
                <w:div w:id="1051269253">
                  <w:marLeft w:val="0"/>
                  <w:marRight w:val="0"/>
                  <w:marTop w:val="0"/>
                  <w:marBottom w:val="0"/>
                  <w:divBdr>
                    <w:top w:val="none" w:sz="0" w:space="0" w:color="auto"/>
                    <w:left w:val="none" w:sz="0" w:space="0" w:color="auto"/>
                    <w:bottom w:val="none" w:sz="0" w:space="0" w:color="auto"/>
                    <w:right w:val="none" w:sz="0" w:space="0" w:color="auto"/>
                  </w:divBdr>
                  <w:divsChild>
                    <w:div w:id="433550939">
                      <w:marLeft w:val="0"/>
                      <w:marRight w:val="0"/>
                      <w:marTop w:val="0"/>
                      <w:marBottom w:val="0"/>
                      <w:divBdr>
                        <w:top w:val="none" w:sz="0" w:space="0" w:color="auto"/>
                        <w:left w:val="none" w:sz="0" w:space="0" w:color="auto"/>
                        <w:bottom w:val="none" w:sz="0" w:space="0" w:color="auto"/>
                        <w:right w:val="none" w:sz="0" w:space="0" w:color="auto"/>
                      </w:divBdr>
                    </w:div>
                  </w:divsChild>
                </w:div>
                <w:div w:id="1111557715">
                  <w:marLeft w:val="0"/>
                  <w:marRight w:val="0"/>
                  <w:marTop w:val="0"/>
                  <w:marBottom w:val="0"/>
                  <w:divBdr>
                    <w:top w:val="none" w:sz="0" w:space="0" w:color="auto"/>
                    <w:left w:val="none" w:sz="0" w:space="0" w:color="auto"/>
                    <w:bottom w:val="none" w:sz="0" w:space="0" w:color="auto"/>
                    <w:right w:val="none" w:sz="0" w:space="0" w:color="auto"/>
                  </w:divBdr>
                  <w:divsChild>
                    <w:div w:id="1012417065">
                      <w:marLeft w:val="0"/>
                      <w:marRight w:val="0"/>
                      <w:marTop w:val="0"/>
                      <w:marBottom w:val="0"/>
                      <w:divBdr>
                        <w:top w:val="none" w:sz="0" w:space="0" w:color="auto"/>
                        <w:left w:val="none" w:sz="0" w:space="0" w:color="auto"/>
                        <w:bottom w:val="none" w:sz="0" w:space="0" w:color="auto"/>
                        <w:right w:val="none" w:sz="0" w:space="0" w:color="auto"/>
                      </w:divBdr>
                    </w:div>
                  </w:divsChild>
                </w:div>
                <w:div w:id="1725910109">
                  <w:marLeft w:val="0"/>
                  <w:marRight w:val="0"/>
                  <w:marTop w:val="0"/>
                  <w:marBottom w:val="0"/>
                  <w:divBdr>
                    <w:top w:val="none" w:sz="0" w:space="0" w:color="auto"/>
                    <w:left w:val="none" w:sz="0" w:space="0" w:color="auto"/>
                    <w:bottom w:val="none" w:sz="0" w:space="0" w:color="auto"/>
                    <w:right w:val="none" w:sz="0" w:space="0" w:color="auto"/>
                  </w:divBdr>
                  <w:divsChild>
                    <w:div w:id="1226259079">
                      <w:marLeft w:val="0"/>
                      <w:marRight w:val="0"/>
                      <w:marTop w:val="0"/>
                      <w:marBottom w:val="0"/>
                      <w:divBdr>
                        <w:top w:val="none" w:sz="0" w:space="0" w:color="auto"/>
                        <w:left w:val="none" w:sz="0" w:space="0" w:color="auto"/>
                        <w:bottom w:val="none" w:sz="0" w:space="0" w:color="auto"/>
                        <w:right w:val="none" w:sz="0" w:space="0" w:color="auto"/>
                      </w:divBdr>
                    </w:div>
                    <w:div w:id="1679766701">
                      <w:marLeft w:val="0"/>
                      <w:marRight w:val="0"/>
                      <w:marTop w:val="0"/>
                      <w:marBottom w:val="0"/>
                      <w:divBdr>
                        <w:top w:val="none" w:sz="0" w:space="0" w:color="auto"/>
                        <w:left w:val="none" w:sz="0" w:space="0" w:color="auto"/>
                        <w:bottom w:val="none" w:sz="0" w:space="0" w:color="auto"/>
                        <w:right w:val="none" w:sz="0" w:space="0" w:color="auto"/>
                      </w:divBdr>
                    </w:div>
                  </w:divsChild>
                </w:div>
                <w:div w:id="1740327962">
                  <w:marLeft w:val="0"/>
                  <w:marRight w:val="0"/>
                  <w:marTop w:val="0"/>
                  <w:marBottom w:val="0"/>
                  <w:divBdr>
                    <w:top w:val="none" w:sz="0" w:space="0" w:color="auto"/>
                    <w:left w:val="none" w:sz="0" w:space="0" w:color="auto"/>
                    <w:bottom w:val="none" w:sz="0" w:space="0" w:color="auto"/>
                    <w:right w:val="none" w:sz="0" w:space="0" w:color="auto"/>
                  </w:divBdr>
                  <w:divsChild>
                    <w:div w:id="780565255">
                      <w:marLeft w:val="0"/>
                      <w:marRight w:val="0"/>
                      <w:marTop w:val="0"/>
                      <w:marBottom w:val="0"/>
                      <w:divBdr>
                        <w:top w:val="none" w:sz="0" w:space="0" w:color="auto"/>
                        <w:left w:val="none" w:sz="0" w:space="0" w:color="auto"/>
                        <w:bottom w:val="none" w:sz="0" w:space="0" w:color="auto"/>
                        <w:right w:val="none" w:sz="0" w:space="0" w:color="auto"/>
                      </w:divBdr>
                    </w:div>
                    <w:div w:id="20324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699583">
      <w:bodyDiv w:val="1"/>
      <w:marLeft w:val="0"/>
      <w:marRight w:val="0"/>
      <w:marTop w:val="0"/>
      <w:marBottom w:val="0"/>
      <w:divBdr>
        <w:top w:val="none" w:sz="0" w:space="0" w:color="auto"/>
        <w:left w:val="none" w:sz="0" w:space="0" w:color="auto"/>
        <w:bottom w:val="none" w:sz="0" w:space="0" w:color="auto"/>
        <w:right w:val="none" w:sz="0" w:space="0" w:color="auto"/>
      </w:divBdr>
    </w:div>
    <w:div w:id="259534155">
      <w:bodyDiv w:val="1"/>
      <w:marLeft w:val="0"/>
      <w:marRight w:val="0"/>
      <w:marTop w:val="0"/>
      <w:marBottom w:val="0"/>
      <w:divBdr>
        <w:top w:val="none" w:sz="0" w:space="0" w:color="auto"/>
        <w:left w:val="none" w:sz="0" w:space="0" w:color="auto"/>
        <w:bottom w:val="none" w:sz="0" w:space="0" w:color="auto"/>
        <w:right w:val="none" w:sz="0" w:space="0" w:color="auto"/>
      </w:divBdr>
    </w:div>
    <w:div w:id="294796754">
      <w:bodyDiv w:val="1"/>
      <w:marLeft w:val="0"/>
      <w:marRight w:val="0"/>
      <w:marTop w:val="0"/>
      <w:marBottom w:val="0"/>
      <w:divBdr>
        <w:top w:val="none" w:sz="0" w:space="0" w:color="auto"/>
        <w:left w:val="none" w:sz="0" w:space="0" w:color="auto"/>
        <w:bottom w:val="none" w:sz="0" w:space="0" w:color="auto"/>
        <w:right w:val="none" w:sz="0" w:space="0" w:color="auto"/>
      </w:divBdr>
    </w:div>
    <w:div w:id="336200338">
      <w:bodyDiv w:val="1"/>
      <w:marLeft w:val="0"/>
      <w:marRight w:val="0"/>
      <w:marTop w:val="0"/>
      <w:marBottom w:val="0"/>
      <w:divBdr>
        <w:top w:val="none" w:sz="0" w:space="0" w:color="auto"/>
        <w:left w:val="none" w:sz="0" w:space="0" w:color="auto"/>
        <w:bottom w:val="none" w:sz="0" w:space="0" w:color="auto"/>
        <w:right w:val="none" w:sz="0" w:space="0" w:color="auto"/>
      </w:divBdr>
    </w:div>
    <w:div w:id="34170776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0827368">
      <w:bodyDiv w:val="1"/>
      <w:marLeft w:val="0"/>
      <w:marRight w:val="0"/>
      <w:marTop w:val="0"/>
      <w:marBottom w:val="0"/>
      <w:divBdr>
        <w:top w:val="none" w:sz="0" w:space="0" w:color="auto"/>
        <w:left w:val="none" w:sz="0" w:space="0" w:color="auto"/>
        <w:bottom w:val="none" w:sz="0" w:space="0" w:color="auto"/>
        <w:right w:val="none" w:sz="0" w:space="0" w:color="auto"/>
      </w:divBdr>
      <w:divsChild>
        <w:div w:id="1884974889">
          <w:marLeft w:val="0"/>
          <w:marRight w:val="0"/>
          <w:marTop w:val="0"/>
          <w:marBottom w:val="0"/>
          <w:divBdr>
            <w:top w:val="none" w:sz="0" w:space="0" w:color="auto"/>
            <w:left w:val="none" w:sz="0" w:space="0" w:color="auto"/>
            <w:bottom w:val="none" w:sz="0" w:space="0" w:color="auto"/>
            <w:right w:val="none" w:sz="0" w:space="0" w:color="auto"/>
          </w:divBdr>
        </w:div>
      </w:divsChild>
    </w:div>
    <w:div w:id="471336033">
      <w:bodyDiv w:val="1"/>
      <w:marLeft w:val="0"/>
      <w:marRight w:val="0"/>
      <w:marTop w:val="0"/>
      <w:marBottom w:val="0"/>
      <w:divBdr>
        <w:top w:val="none" w:sz="0" w:space="0" w:color="auto"/>
        <w:left w:val="none" w:sz="0" w:space="0" w:color="auto"/>
        <w:bottom w:val="none" w:sz="0" w:space="0" w:color="auto"/>
        <w:right w:val="none" w:sz="0" w:space="0" w:color="auto"/>
      </w:divBdr>
    </w:div>
    <w:div w:id="477577354">
      <w:bodyDiv w:val="1"/>
      <w:marLeft w:val="0"/>
      <w:marRight w:val="0"/>
      <w:marTop w:val="0"/>
      <w:marBottom w:val="0"/>
      <w:divBdr>
        <w:top w:val="none" w:sz="0" w:space="0" w:color="auto"/>
        <w:left w:val="none" w:sz="0" w:space="0" w:color="auto"/>
        <w:bottom w:val="none" w:sz="0" w:space="0" w:color="auto"/>
        <w:right w:val="none" w:sz="0" w:space="0" w:color="auto"/>
      </w:divBdr>
    </w:div>
    <w:div w:id="497304578">
      <w:bodyDiv w:val="1"/>
      <w:marLeft w:val="0"/>
      <w:marRight w:val="0"/>
      <w:marTop w:val="0"/>
      <w:marBottom w:val="0"/>
      <w:divBdr>
        <w:top w:val="none" w:sz="0" w:space="0" w:color="auto"/>
        <w:left w:val="none" w:sz="0" w:space="0" w:color="auto"/>
        <w:bottom w:val="none" w:sz="0" w:space="0" w:color="auto"/>
        <w:right w:val="none" w:sz="0" w:space="0" w:color="auto"/>
      </w:divBdr>
      <w:divsChild>
        <w:div w:id="1415473039">
          <w:marLeft w:val="0"/>
          <w:marRight w:val="0"/>
          <w:marTop w:val="0"/>
          <w:marBottom w:val="0"/>
          <w:divBdr>
            <w:top w:val="none" w:sz="0" w:space="0" w:color="auto"/>
            <w:left w:val="none" w:sz="0" w:space="0" w:color="auto"/>
            <w:bottom w:val="none" w:sz="0" w:space="0" w:color="auto"/>
            <w:right w:val="none" w:sz="0" w:space="0" w:color="auto"/>
          </w:divBdr>
        </w:div>
        <w:div w:id="1938906860">
          <w:marLeft w:val="0"/>
          <w:marRight w:val="0"/>
          <w:marTop w:val="0"/>
          <w:marBottom w:val="0"/>
          <w:divBdr>
            <w:top w:val="none" w:sz="0" w:space="0" w:color="auto"/>
            <w:left w:val="none" w:sz="0" w:space="0" w:color="auto"/>
            <w:bottom w:val="none" w:sz="0" w:space="0" w:color="auto"/>
            <w:right w:val="none" w:sz="0" w:space="0" w:color="auto"/>
          </w:divBdr>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8256274">
      <w:bodyDiv w:val="1"/>
      <w:marLeft w:val="0"/>
      <w:marRight w:val="0"/>
      <w:marTop w:val="0"/>
      <w:marBottom w:val="0"/>
      <w:divBdr>
        <w:top w:val="none" w:sz="0" w:space="0" w:color="auto"/>
        <w:left w:val="none" w:sz="0" w:space="0" w:color="auto"/>
        <w:bottom w:val="none" w:sz="0" w:space="0" w:color="auto"/>
        <w:right w:val="none" w:sz="0" w:space="0" w:color="auto"/>
      </w:divBdr>
    </w:div>
    <w:div w:id="530268327">
      <w:bodyDiv w:val="1"/>
      <w:marLeft w:val="0"/>
      <w:marRight w:val="0"/>
      <w:marTop w:val="0"/>
      <w:marBottom w:val="0"/>
      <w:divBdr>
        <w:top w:val="none" w:sz="0" w:space="0" w:color="auto"/>
        <w:left w:val="none" w:sz="0" w:space="0" w:color="auto"/>
        <w:bottom w:val="none" w:sz="0" w:space="0" w:color="auto"/>
        <w:right w:val="none" w:sz="0" w:space="0" w:color="auto"/>
      </w:divBdr>
      <w:divsChild>
        <w:div w:id="12850554">
          <w:marLeft w:val="0"/>
          <w:marRight w:val="0"/>
          <w:marTop w:val="0"/>
          <w:marBottom w:val="0"/>
          <w:divBdr>
            <w:top w:val="none" w:sz="0" w:space="0" w:color="auto"/>
            <w:left w:val="none" w:sz="0" w:space="0" w:color="auto"/>
            <w:bottom w:val="none" w:sz="0" w:space="0" w:color="auto"/>
            <w:right w:val="none" w:sz="0" w:space="0" w:color="auto"/>
          </w:divBdr>
        </w:div>
        <w:div w:id="1187325271">
          <w:marLeft w:val="0"/>
          <w:marRight w:val="0"/>
          <w:marTop w:val="0"/>
          <w:marBottom w:val="0"/>
          <w:divBdr>
            <w:top w:val="none" w:sz="0" w:space="0" w:color="auto"/>
            <w:left w:val="none" w:sz="0" w:space="0" w:color="auto"/>
            <w:bottom w:val="none" w:sz="0" w:space="0" w:color="auto"/>
            <w:right w:val="none" w:sz="0" w:space="0" w:color="auto"/>
          </w:divBdr>
          <w:divsChild>
            <w:div w:id="1969124459">
              <w:marLeft w:val="0"/>
              <w:marRight w:val="0"/>
              <w:marTop w:val="30"/>
              <w:marBottom w:val="30"/>
              <w:divBdr>
                <w:top w:val="none" w:sz="0" w:space="0" w:color="auto"/>
                <w:left w:val="none" w:sz="0" w:space="0" w:color="auto"/>
                <w:bottom w:val="none" w:sz="0" w:space="0" w:color="auto"/>
                <w:right w:val="none" w:sz="0" w:space="0" w:color="auto"/>
              </w:divBdr>
              <w:divsChild>
                <w:div w:id="713239318">
                  <w:marLeft w:val="0"/>
                  <w:marRight w:val="0"/>
                  <w:marTop w:val="0"/>
                  <w:marBottom w:val="0"/>
                  <w:divBdr>
                    <w:top w:val="none" w:sz="0" w:space="0" w:color="auto"/>
                    <w:left w:val="none" w:sz="0" w:space="0" w:color="auto"/>
                    <w:bottom w:val="none" w:sz="0" w:space="0" w:color="auto"/>
                    <w:right w:val="none" w:sz="0" w:space="0" w:color="auto"/>
                  </w:divBdr>
                  <w:divsChild>
                    <w:div w:id="75907344">
                      <w:marLeft w:val="0"/>
                      <w:marRight w:val="0"/>
                      <w:marTop w:val="0"/>
                      <w:marBottom w:val="0"/>
                      <w:divBdr>
                        <w:top w:val="none" w:sz="0" w:space="0" w:color="auto"/>
                        <w:left w:val="none" w:sz="0" w:space="0" w:color="auto"/>
                        <w:bottom w:val="none" w:sz="0" w:space="0" w:color="auto"/>
                        <w:right w:val="none" w:sz="0" w:space="0" w:color="auto"/>
                      </w:divBdr>
                    </w:div>
                    <w:div w:id="460998976">
                      <w:marLeft w:val="0"/>
                      <w:marRight w:val="0"/>
                      <w:marTop w:val="0"/>
                      <w:marBottom w:val="0"/>
                      <w:divBdr>
                        <w:top w:val="none" w:sz="0" w:space="0" w:color="auto"/>
                        <w:left w:val="none" w:sz="0" w:space="0" w:color="auto"/>
                        <w:bottom w:val="none" w:sz="0" w:space="0" w:color="auto"/>
                        <w:right w:val="none" w:sz="0" w:space="0" w:color="auto"/>
                      </w:divBdr>
                    </w:div>
                    <w:div w:id="816341444">
                      <w:marLeft w:val="0"/>
                      <w:marRight w:val="0"/>
                      <w:marTop w:val="0"/>
                      <w:marBottom w:val="0"/>
                      <w:divBdr>
                        <w:top w:val="none" w:sz="0" w:space="0" w:color="auto"/>
                        <w:left w:val="none" w:sz="0" w:space="0" w:color="auto"/>
                        <w:bottom w:val="none" w:sz="0" w:space="0" w:color="auto"/>
                        <w:right w:val="none" w:sz="0" w:space="0" w:color="auto"/>
                      </w:divBdr>
                    </w:div>
                    <w:div w:id="1372535595">
                      <w:marLeft w:val="0"/>
                      <w:marRight w:val="0"/>
                      <w:marTop w:val="0"/>
                      <w:marBottom w:val="0"/>
                      <w:divBdr>
                        <w:top w:val="none" w:sz="0" w:space="0" w:color="auto"/>
                        <w:left w:val="none" w:sz="0" w:space="0" w:color="auto"/>
                        <w:bottom w:val="none" w:sz="0" w:space="0" w:color="auto"/>
                        <w:right w:val="none" w:sz="0" w:space="0" w:color="auto"/>
                      </w:divBdr>
                    </w:div>
                  </w:divsChild>
                </w:div>
                <w:div w:id="1384253235">
                  <w:marLeft w:val="0"/>
                  <w:marRight w:val="0"/>
                  <w:marTop w:val="0"/>
                  <w:marBottom w:val="0"/>
                  <w:divBdr>
                    <w:top w:val="none" w:sz="0" w:space="0" w:color="auto"/>
                    <w:left w:val="none" w:sz="0" w:space="0" w:color="auto"/>
                    <w:bottom w:val="none" w:sz="0" w:space="0" w:color="auto"/>
                    <w:right w:val="none" w:sz="0" w:space="0" w:color="auto"/>
                  </w:divBdr>
                  <w:divsChild>
                    <w:div w:id="2031758214">
                      <w:marLeft w:val="0"/>
                      <w:marRight w:val="0"/>
                      <w:marTop w:val="0"/>
                      <w:marBottom w:val="0"/>
                      <w:divBdr>
                        <w:top w:val="none" w:sz="0" w:space="0" w:color="auto"/>
                        <w:left w:val="none" w:sz="0" w:space="0" w:color="auto"/>
                        <w:bottom w:val="none" w:sz="0" w:space="0" w:color="auto"/>
                        <w:right w:val="none" w:sz="0" w:space="0" w:color="auto"/>
                      </w:divBdr>
                    </w:div>
                  </w:divsChild>
                </w:div>
                <w:div w:id="1850827041">
                  <w:marLeft w:val="0"/>
                  <w:marRight w:val="0"/>
                  <w:marTop w:val="0"/>
                  <w:marBottom w:val="0"/>
                  <w:divBdr>
                    <w:top w:val="none" w:sz="0" w:space="0" w:color="auto"/>
                    <w:left w:val="none" w:sz="0" w:space="0" w:color="auto"/>
                    <w:bottom w:val="none" w:sz="0" w:space="0" w:color="auto"/>
                    <w:right w:val="none" w:sz="0" w:space="0" w:color="auto"/>
                  </w:divBdr>
                  <w:divsChild>
                    <w:div w:id="1754932239">
                      <w:marLeft w:val="0"/>
                      <w:marRight w:val="0"/>
                      <w:marTop w:val="0"/>
                      <w:marBottom w:val="0"/>
                      <w:divBdr>
                        <w:top w:val="none" w:sz="0" w:space="0" w:color="auto"/>
                        <w:left w:val="none" w:sz="0" w:space="0" w:color="auto"/>
                        <w:bottom w:val="none" w:sz="0" w:space="0" w:color="auto"/>
                        <w:right w:val="none" w:sz="0" w:space="0" w:color="auto"/>
                      </w:divBdr>
                    </w:div>
                  </w:divsChild>
                </w:div>
                <w:div w:id="1886940570">
                  <w:marLeft w:val="0"/>
                  <w:marRight w:val="0"/>
                  <w:marTop w:val="0"/>
                  <w:marBottom w:val="0"/>
                  <w:divBdr>
                    <w:top w:val="none" w:sz="0" w:space="0" w:color="auto"/>
                    <w:left w:val="none" w:sz="0" w:space="0" w:color="auto"/>
                    <w:bottom w:val="none" w:sz="0" w:space="0" w:color="auto"/>
                    <w:right w:val="none" w:sz="0" w:space="0" w:color="auto"/>
                  </w:divBdr>
                  <w:divsChild>
                    <w:div w:id="2102023357">
                      <w:marLeft w:val="0"/>
                      <w:marRight w:val="0"/>
                      <w:marTop w:val="0"/>
                      <w:marBottom w:val="0"/>
                      <w:divBdr>
                        <w:top w:val="none" w:sz="0" w:space="0" w:color="auto"/>
                        <w:left w:val="none" w:sz="0" w:space="0" w:color="auto"/>
                        <w:bottom w:val="none" w:sz="0" w:space="0" w:color="auto"/>
                        <w:right w:val="none" w:sz="0" w:space="0" w:color="auto"/>
                      </w:divBdr>
                    </w:div>
                  </w:divsChild>
                </w:div>
                <w:div w:id="2103454161">
                  <w:marLeft w:val="0"/>
                  <w:marRight w:val="0"/>
                  <w:marTop w:val="0"/>
                  <w:marBottom w:val="0"/>
                  <w:divBdr>
                    <w:top w:val="none" w:sz="0" w:space="0" w:color="auto"/>
                    <w:left w:val="none" w:sz="0" w:space="0" w:color="auto"/>
                    <w:bottom w:val="none" w:sz="0" w:space="0" w:color="auto"/>
                    <w:right w:val="none" w:sz="0" w:space="0" w:color="auto"/>
                  </w:divBdr>
                  <w:divsChild>
                    <w:div w:id="167982021">
                      <w:marLeft w:val="0"/>
                      <w:marRight w:val="0"/>
                      <w:marTop w:val="0"/>
                      <w:marBottom w:val="0"/>
                      <w:divBdr>
                        <w:top w:val="none" w:sz="0" w:space="0" w:color="auto"/>
                        <w:left w:val="none" w:sz="0" w:space="0" w:color="auto"/>
                        <w:bottom w:val="none" w:sz="0" w:space="0" w:color="auto"/>
                        <w:right w:val="none" w:sz="0" w:space="0" w:color="auto"/>
                      </w:divBdr>
                    </w:div>
                    <w:div w:id="561789222">
                      <w:marLeft w:val="0"/>
                      <w:marRight w:val="0"/>
                      <w:marTop w:val="0"/>
                      <w:marBottom w:val="0"/>
                      <w:divBdr>
                        <w:top w:val="none" w:sz="0" w:space="0" w:color="auto"/>
                        <w:left w:val="none" w:sz="0" w:space="0" w:color="auto"/>
                        <w:bottom w:val="none" w:sz="0" w:space="0" w:color="auto"/>
                        <w:right w:val="none" w:sz="0" w:space="0" w:color="auto"/>
                      </w:divBdr>
                    </w:div>
                    <w:div w:id="1548223395">
                      <w:marLeft w:val="0"/>
                      <w:marRight w:val="0"/>
                      <w:marTop w:val="0"/>
                      <w:marBottom w:val="0"/>
                      <w:divBdr>
                        <w:top w:val="none" w:sz="0" w:space="0" w:color="auto"/>
                        <w:left w:val="none" w:sz="0" w:space="0" w:color="auto"/>
                        <w:bottom w:val="none" w:sz="0" w:space="0" w:color="auto"/>
                        <w:right w:val="none" w:sz="0" w:space="0" w:color="auto"/>
                      </w:divBdr>
                    </w:div>
                  </w:divsChild>
                </w:div>
                <w:div w:id="2141340639">
                  <w:marLeft w:val="0"/>
                  <w:marRight w:val="0"/>
                  <w:marTop w:val="0"/>
                  <w:marBottom w:val="0"/>
                  <w:divBdr>
                    <w:top w:val="none" w:sz="0" w:space="0" w:color="auto"/>
                    <w:left w:val="none" w:sz="0" w:space="0" w:color="auto"/>
                    <w:bottom w:val="none" w:sz="0" w:space="0" w:color="auto"/>
                    <w:right w:val="none" w:sz="0" w:space="0" w:color="auto"/>
                  </w:divBdr>
                  <w:divsChild>
                    <w:div w:id="1353724211">
                      <w:marLeft w:val="0"/>
                      <w:marRight w:val="0"/>
                      <w:marTop w:val="0"/>
                      <w:marBottom w:val="0"/>
                      <w:divBdr>
                        <w:top w:val="none" w:sz="0" w:space="0" w:color="auto"/>
                        <w:left w:val="none" w:sz="0" w:space="0" w:color="auto"/>
                        <w:bottom w:val="none" w:sz="0" w:space="0" w:color="auto"/>
                        <w:right w:val="none" w:sz="0" w:space="0" w:color="auto"/>
                      </w:divBdr>
                    </w:div>
                    <w:div w:id="1821648385">
                      <w:marLeft w:val="0"/>
                      <w:marRight w:val="0"/>
                      <w:marTop w:val="0"/>
                      <w:marBottom w:val="0"/>
                      <w:divBdr>
                        <w:top w:val="none" w:sz="0" w:space="0" w:color="auto"/>
                        <w:left w:val="none" w:sz="0" w:space="0" w:color="auto"/>
                        <w:bottom w:val="none" w:sz="0" w:space="0" w:color="auto"/>
                        <w:right w:val="none" w:sz="0" w:space="0" w:color="auto"/>
                      </w:divBdr>
                    </w:div>
                    <w:div w:id="20717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33652">
      <w:bodyDiv w:val="1"/>
      <w:marLeft w:val="0"/>
      <w:marRight w:val="0"/>
      <w:marTop w:val="0"/>
      <w:marBottom w:val="0"/>
      <w:divBdr>
        <w:top w:val="none" w:sz="0" w:space="0" w:color="auto"/>
        <w:left w:val="none" w:sz="0" w:space="0" w:color="auto"/>
        <w:bottom w:val="none" w:sz="0" w:space="0" w:color="auto"/>
        <w:right w:val="none" w:sz="0" w:space="0" w:color="auto"/>
      </w:divBdr>
    </w:div>
    <w:div w:id="542835623">
      <w:bodyDiv w:val="1"/>
      <w:marLeft w:val="0"/>
      <w:marRight w:val="0"/>
      <w:marTop w:val="0"/>
      <w:marBottom w:val="0"/>
      <w:divBdr>
        <w:top w:val="none" w:sz="0" w:space="0" w:color="auto"/>
        <w:left w:val="none" w:sz="0" w:space="0" w:color="auto"/>
        <w:bottom w:val="none" w:sz="0" w:space="0" w:color="auto"/>
        <w:right w:val="none" w:sz="0" w:space="0" w:color="auto"/>
      </w:divBdr>
    </w:div>
    <w:div w:id="556667163">
      <w:bodyDiv w:val="1"/>
      <w:marLeft w:val="0"/>
      <w:marRight w:val="0"/>
      <w:marTop w:val="0"/>
      <w:marBottom w:val="0"/>
      <w:divBdr>
        <w:top w:val="none" w:sz="0" w:space="0" w:color="auto"/>
        <w:left w:val="none" w:sz="0" w:space="0" w:color="auto"/>
        <w:bottom w:val="none" w:sz="0" w:space="0" w:color="auto"/>
        <w:right w:val="none" w:sz="0" w:space="0" w:color="auto"/>
      </w:divBdr>
    </w:div>
    <w:div w:id="60130477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459060">
      <w:bodyDiv w:val="1"/>
      <w:marLeft w:val="0"/>
      <w:marRight w:val="0"/>
      <w:marTop w:val="0"/>
      <w:marBottom w:val="0"/>
      <w:divBdr>
        <w:top w:val="none" w:sz="0" w:space="0" w:color="auto"/>
        <w:left w:val="none" w:sz="0" w:space="0" w:color="auto"/>
        <w:bottom w:val="none" w:sz="0" w:space="0" w:color="auto"/>
        <w:right w:val="none" w:sz="0" w:space="0" w:color="auto"/>
      </w:divBdr>
      <w:divsChild>
        <w:div w:id="810442056">
          <w:marLeft w:val="0"/>
          <w:marRight w:val="0"/>
          <w:marTop w:val="0"/>
          <w:marBottom w:val="0"/>
          <w:divBdr>
            <w:top w:val="none" w:sz="0" w:space="0" w:color="auto"/>
            <w:left w:val="none" w:sz="0" w:space="0" w:color="auto"/>
            <w:bottom w:val="none" w:sz="0" w:space="0" w:color="auto"/>
            <w:right w:val="none" w:sz="0" w:space="0" w:color="auto"/>
          </w:divBdr>
        </w:div>
      </w:divsChild>
    </w:div>
    <w:div w:id="661542404">
      <w:bodyDiv w:val="1"/>
      <w:marLeft w:val="0"/>
      <w:marRight w:val="0"/>
      <w:marTop w:val="0"/>
      <w:marBottom w:val="0"/>
      <w:divBdr>
        <w:top w:val="none" w:sz="0" w:space="0" w:color="auto"/>
        <w:left w:val="none" w:sz="0" w:space="0" w:color="auto"/>
        <w:bottom w:val="none" w:sz="0" w:space="0" w:color="auto"/>
        <w:right w:val="none" w:sz="0" w:space="0" w:color="auto"/>
      </w:divBdr>
    </w:div>
    <w:div w:id="670715201">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23843">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34549">
      <w:bodyDiv w:val="1"/>
      <w:marLeft w:val="0"/>
      <w:marRight w:val="0"/>
      <w:marTop w:val="0"/>
      <w:marBottom w:val="0"/>
      <w:divBdr>
        <w:top w:val="none" w:sz="0" w:space="0" w:color="auto"/>
        <w:left w:val="none" w:sz="0" w:space="0" w:color="auto"/>
        <w:bottom w:val="none" w:sz="0" w:space="0" w:color="auto"/>
        <w:right w:val="none" w:sz="0" w:space="0" w:color="auto"/>
      </w:divBdr>
    </w:div>
    <w:div w:id="74167947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848963">
      <w:bodyDiv w:val="1"/>
      <w:marLeft w:val="0"/>
      <w:marRight w:val="0"/>
      <w:marTop w:val="0"/>
      <w:marBottom w:val="0"/>
      <w:divBdr>
        <w:top w:val="none" w:sz="0" w:space="0" w:color="auto"/>
        <w:left w:val="none" w:sz="0" w:space="0" w:color="auto"/>
        <w:bottom w:val="none" w:sz="0" w:space="0" w:color="auto"/>
        <w:right w:val="none" w:sz="0" w:space="0" w:color="auto"/>
      </w:divBdr>
    </w:div>
    <w:div w:id="85938942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1376583">
      <w:bodyDiv w:val="1"/>
      <w:marLeft w:val="0"/>
      <w:marRight w:val="0"/>
      <w:marTop w:val="0"/>
      <w:marBottom w:val="0"/>
      <w:divBdr>
        <w:top w:val="none" w:sz="0" w:space="0" w:color="auto"/>
        <w:left w:val="none" w:sz="0" w:space="0" w:color="auto"/>
        <w:bottom w:val="none" w:sz="0" w:space="0" w:color="auto"/>
        <w:right w:val="none" w:sz="0" w:space="0" w:color="auto"/>
      </w:divBdr>
    </w:div>
    <w:div w:id="964504871">
      <w:bodyDiv w:val="1"/>
      <w:marLeft w:val="0"/>
      <w:marRight w:val="0"/>
      <w:marTop w:val="0"/>
      <w:marBottom w:val="0"/>
      <w:divBdr>
        <w:top w:val="none" w:sz="0" w:space="0" w:color="auto"/>
        <w:left w:val="none" w:sz="0" w:space="0" w:color="auto"/>
        <w:bottom w:val="none" w:sz="0" w:space="0" w:color="auto"/>
        <w:right w:val="none" w:sz="0" w:space="0" w:color="auto"/>
      </w:divBdr>
    </w:div>
    <w:div w:id="965238083">
      <w:bodyDiv w:val="1"/>
      <w:marLeft w:val="0"/>
      <w:marRight w:val="0"/>
      <w:marTop w:val="0"/>
      <w:marBottom w:val="0"/>
      <w:divBdr>
        <w:top w:val="none" w:sz="0" w:space="0" w:color="auto"/>
        <w:left w:val="none" w:sz="0" w:space="0" w:color="auto"/>
        <w:bottom w:val="none" w:sz="0" w:space="0" w:color="auto"/>
        <w:right w:val="none" w:sz="0" w:space="0" w:color="auto"/>
      </w:divBdr>
    </w:div>
    <w:div w:id="990450404">
      <w:bodyDiv w:val="1"/>
      <w:marLeft w:val="0"/>
      <w:marRight w:val="0"/>
      <w:marTop w:val="0"/>
      <w:marBottom w:val="0"/>
      <w:divBdr>
        <w:top w:val="none" w:sz="0" w:space="0" w:color="auto"/>
        <w:left w:val="none" w:sz="0" w:space="0" w:color="auto"/>
        <w:bottom w:val="none" w:sz="0" w:space="0" w:color="auto"/>
        <w:right w:val="none" w:sz="0" w:space="0" w:color="auto"/>
      </w:divBdr>
      <w:divsChild>
        <w:div w:id="46689742">
          <w:marLeft w:val="0"/>
          <w:marRight w:val="0"/>
          <w:marTop w:val="0"/>
          <w:marBottom w:val="0"/>
          <w:divBdr>
            <w:top w:val="none" w:sz="0" w:space="0" w:color="auto"/>
            <w:left w:val="none" w:sz="0" w:space="0" w:color="auto"/>
            <w:bottom w:val="none" w:sz="0" w:space="0" w:color="auto"/>
            <w:right w:val="none" w:sz="0" w:space="0" w:color="auto"/>
          </w:divBdr>
        </w:div>
        <w:div w:id="136268119">
          <w:marLeft w:val="0"/>
          <w:marRight w:val="0"/>
          <w:marTop w:val="0"/>
          <w:marBottom w:val="0"/>
          <w:divBdr>
            <w:top w:val="none" w:sz="0" w:space="0" w:color="auto"/>
            <w:left w:val="none" w:sz="0" w:space="0" w:color="auto"/>
            <w:bottom w:val="none" w:sz="0" w:space="0" w:color="auto"/>
            <w:right w:val="none" w:sz="0" w:space="0" w:color="auto"/>
          </w:divBdr>
          <w:divsChild>
            <w:div w:id="980579563">
              <w:marLeft w:val="-75"/>
              <w:marRight w:val="0"/>
              <w:marTop w:val="30"/>
              <w:marBottom w:val="30"/>
              <w:divBdr>
                <w:top w:val="none" w:sz="0" w:space="0" w:color="auto"/>
                <w:left w:val="none" w:sz="0" w:space="0" w:color="auto"/>
                <w:bottom w:val="none" w:sz="0" w:space="0" w:color="auto"/>
                <w:right w:val="none" w:sz="0" w:space="0" w:color="auto"/>
              </w:divBdr>
              <w:divsChild>
                <w:div w:id="121387025">
                  <w:marLeft w:val="0"/>
                  <w:marRight w:val="0"/>
                  <w:marTop w:val="0"/>
                  <w:marBottom w:val="0"/>
                  <w:divBdr>
                    <w:top w:val="none" w:sz="0" w:space="0" w:color="auto"/>
                    <w:left w:val="none" w:sz="0" w:space="0" w:color="auto"/>
                    <w:bottom w:val="none" w:sz="0" w:space="0" w:color="auto"/>
                    <w:right w:val="none" w:sz="0" w:space="0" w:color="auto"/>
                  </w:divBdr>
                  <w:divsChild>
                    <w:div w:id="335575322">
                      <w:marLeft w:val="0"/>
                      <w:marRight w:val="0"/>
                      <w:marTop w:val="0"/>
                      <w:marBottom w:val="0"/>
                      <w:divBdr>
                        <w:top w:val="none" w:sz="0" w:space="0" w:color="auto"/>
                        <w:left w:val="none" w:sz="0" w:space="0" w:color="auto"/>
                        <w:bottom w:val="none" w:sz="0" w:space="0" w:color="auto"/>
                        <w:right w:val="none" w:sz="0" w:space="0" w:color="auto"/>
                      </w:divBdr>
                    </w:div>
                    <w:div w:id="369033945">
                      <w:marLeft w:val="0"/>
                      <w:marRight w:val="0"/>
                      <w:marTop w:val="0"/>
                      <w:marBottom w:val="0"/>
                      <w:divBdr>
                        <w:top w:val="none" w:sz="0" w:space="0" w:color="auto"/>
                        <w:left w:val="none" w:sz="0" w:space="0" w:color="auto"/>
                        <w:bottom w:val="none" w:sz="0" w:space="0" w:color="auto"/>
                        <w:right w:val="none" w:sz="0" w:space="0" w:color="auto"/>
                      </w:divBdr>
                    </w:div>
                    <w:div w:id="746732535">
                      <w:marLeft w:val="0"/>
                      <w:marRight w:val="0"/>
                      <w:marTop w:val="0"/>
                      <w:marBottom w:val="0"/>
                      <w:divBdr>
                        <w:top w:val="none" w:sz="0" w:space="0" w:color="auto"/>
                        <w:left w:val="none" w:sz="0" w:space="0" w:color="auto"/>
                        <w:bottom w:val="none" w:sz="0" w:space="0" w:color="auto"/>
                        <w:right w:val="none" w:sz="0" w:space="0" w:color="auto"/>
                      </w:divBdr>
                    </w:div>
                    <w:div w:id="1342319646">
                      <w:marLeft w:val="0"/>
                      <w:marRight w:val="0"/>
                      <w:marTop w:val="0"/>
                      <w:marBottom w:val="0"/>
                      <w:divBdr>
                        <w:top w:val="none" w:sz="0" w:space="0" w:color="auto"/>
                        <w:left w:val="none" w:sz="0" w:space="0" w:color="auto"/>
                        <w:bottom w:val="none" w:sz="0" w:space="0" w:color="auto"/>
                        <w:right w:val="none" w:sz="0" w:space="0" w:color="auto"/>
                      </w:divBdr>
                    </w:div>
                  </w:divsChild>
                </w:div>
                <w:div w:id="493450365">
                  <w:marLeft w:val="0"/>
                  <w:marRight w:val="0"/>
                  <w:marTop w:val="0"/>
                  <w:marBottom w:val="0"/>
                  <w:divBdr>
                    <w:top w:val="none" w:sz="0" w:space="0" w:color="auto"/>
                    <w:left w:val="none" w:sz="0" w:space="0" w:color="auto"/>
                    <w:bottom w:val="none" w:sz="0" w:space="0" w:color="auto"/>
                    <w:right w:val="none" w:sz="0" w:space="0" w:color="auto"/>
                  </w:divBdr>
                  <w:divsChild>
                    <w:div w:id="468597828">
                      <w:marLeft w:val="0"/>
                      <w:marRight w:val="0"/>
                      <w:marTop w:val="0"/>
                      <w:marBottom w:val="0"/>
                      <w:divBdr>
                        <w:top w:val="none" w:sz="0" w:space="0" w:color="auto"/>
                        <w:left w:val="none" w:sz="0" w:space="0" w:color="auto"/>
                        <w:bottom w:val="none" w:sz="0" w:space="0" w:color="auto"/>
                        <w:right w:val="none" w:sz="0" w:space="0" w:color="auto"/>
                      </w:divBdr>
                    </w:div>
                  </w:divsChild>
                </w:div>
                <w:div w:id="653295025">
                  <w:marLeft w:val="0"/>
                  <w:marRight w:val="0"/>
                  <w:marTop w:val="0"/>
                  <w:marBottom w:val="0"/>
                  <w:divBdr>
                    <w:top w:val="none" w:sz="0" w:space="0" w:color="auto"/>
                    <w:left w:val="none" w:sz="0" w:space="0" w:color="auto"/>
                    <w:bottom w:val="none" w:sz="0" w:space="0" w:color="auto"/>
                    <w:right w:val="none" w:sz="0" w:space="0" w:color="auto"/>
                  </w:divBdr>
                  <w:divsChild>
                    <w:div w:id="1022587875">
                      <w:marLeft w:val="0"/>
                      <w:marRight w:val="0"/>
                      <w:marTop w:val="0"/>
                      <w:marBottom w:val="0"/>
                      <w:divBdr>
                        <w:top w:val="none" w:sz="0" w:space="0" w:color="auto"/>
                        <w:left w:val="none" w:sz="0" w:space="0" w:color="auto"/>
                        <w:bottom w:val="none" w:sz="0" w:space="0" w:color="auto"/>
                        <w:right w:val="none" w:sz="0" w:space="0" w:color="auto"/>
                      </w:divBdr>
                    </w:div>
                    <w:div w:id="1459449177">
                      <w:marLeft w:val="0"/>
                      <w:marRight w:val="0"/>
                      <w:marTop w:val="0"/>
                      <w:marBottom w:val="0"/>
                      <w:divBdr>
                        <w:top w:val="none" w:sz="0" w:space="0" w:color="auto"/>
                        <w:left w:val="none" w:sz="0" w:space="0" w:color="auto"/>
                        <w:bottom w:val="none" w:sz="0" w:space="0" w:color="auto"/>
                        <w:right w:val="none" w:sz="0" w:space="0" w:color="auto"/>
                      </w:divBdr>
                    </w:div>
                    <w:div w:id="2127499560">
                      <w:marLeft w:val="0"/>
                      <w:marRight w:val="0"/>
                      <w:marTop w:val="0"/>
                      <w:marBottom w:val="0"/>
                      <w:divBdr>
                        <w:top w:val="none" w:sz="0" w:space="0" w:color="auto"/>
                        <w:left w:val="none" w:sz="0" w:space="0" w:color="auto"/>
                        <w:bottom w:val="none" w:sz="0" w:space="0" w:color="auto"/>
                        <w:right w:val="none" w:sz="0" w:space="0" w:color="auto"/>
                      </w:divBdr>
                    </w:div>
                  </w:divsChild>
                </w:div>
                <w:div w:id="837429746">
                  <w:marLeft w:val="0"/>
                  <w:marRight w:val="0"/>
                  <w:marTop w:val="0"/>
                  <w:marBottom w:val="0"/>
                  <w:divBdr>
                    <w:top w:val="none" w:sz="0" w:space="0" w:color="auto"/>
                    <w:left w:val="none" w:sz="0" w:space="0" w:color="auto"/>
                    <w:bottom w:val="none" w:sz="0" w:space="0" w:color="auto"/>
                    <w:right w:val="none" w:sz="0" w:space="0" w:color="auto"/>
                  </w:divBdr>
                  <w:divsChild>
                    <w:div w:id="261838495">
                      <w:marLeft w:val="0"/>
                      <w:marRight w:val="0"/>
                      <w:marTop w:val="0"/>
                      <w:marBottom w:val="0"/>
                      <w:divBdr>
                        <w:top w:val="none" w:sz="0" w:space="0" w:color="auto"/>
                        <w:left w:val="none" w:sz="0" w:space="0" w:color="auto"/>
                        <w:bottom w:val="none" w:sz="0" w:space="0" w:color="auto"/>
                        <w:right w:val="none" w:sz="0" w:space="0" w:color="auto"/>
                      </w:divBdr>
                    </w:div>
                  </w:divsChild>
                </w:div>
                <w:div w:id="1499733439">
                  <w:marLeft w:val="0"/>
                  <w:marRight w:val="0"/>
                  <w:marTop w:val="0"/>
                  <w:marBottom w:val="0"/>
                  <w:divBdr>
                    <w:top w:val="none" w:sz="0" w:space="0" w:color="auto"/>
                    <w:left w:val="none" w:sz="0" w:space="0" w:color="auto"/>
                    <w:bottom w:val="none" w:sz="0" w:space="0" w:color="auto"/>
                    <w:right w:val="none" w:sz="0" w:space="0" w:color="auto"/>
                  </w:divBdr>
                  <w:divsChild>
                    <w:div w:id="1813668933">
                      <w:marLeft w:val="0"/>
                      <w:marRight w:val="0"/>
                      <w:marTop w:val="0"/>
                      <w:marBottom w:val="0"/>
                      <w:divBdr>
                        <w:top w:val="none" w:sz="0" w:space="0" w:color="auto"/>
                        <w:left w:val="none" w:sz="0" w:space="0" w:color="auto"/>
                        <w:bottom w:val="none" w:sz="0" w:space="0" w:color="auto"/>
                        <w:right w:val="none" w:sz="0" w:space="0" w:color="auto"/>
                      </w:divBdr>
                    </w:div>
                  </w:divsChild>
                </w:div>
                <w:div w:id="1811096334">
                  <w:marLeft w:val="0"/>
                  <w:marRight w:val="0"/>
                  <w:marTop w:val="0"/>
                  <w:marBottom w:val="0"/>
                  <w:divBdr>
                    <w:top w:val="none" w:sz="0" w:space="0" w:color="auto"/>
                    <w:left w:val="none" w:sz="0" w:space="0" w:color="auto"/>
                    <w:bottom w:val="none" w:sz="0" w:space="0" w:color="auto"/>
                    <w:right w:val="none" w:sz="0" w:space="0" w:color="auto"/>
                  </w:divBdr>
                  <w:divsChild>
                    <w:div w:id="41364847">
                      <w:marLeft w:val="0"/>
                      <w:marRight w:val="0"/>
                      <w:marTop w:val="0"/>
                      <w:marBottom w:val="0"/>
                      <w:divBdr>
                        <w:top w:val="none" w:sz="0" w:space="0" w:color="auto"/>
                        <w:left w:val="none" w:sz="0" w:space="0" w:color="auto"/>
                        <w:bottom w:val="none" w:sz="0" w:space="0" w:color="auto"/>
                        <w:right w:val="none" w:sz="0" w:space="0" w:color="auto"/>
                      </w:divBdr>
                    </w:div>
                    <w:div w:id="1292781746">
                      <w:marLeft w:val="0"/>
                      <w:marRight w:val="0"/>
                      <w:marTop w:val="0"/>
                      <w:marBottom w:val="0"/>
                      <w:divBdr>
                        <w:top w:val="none" w:sz="0" w:space="0" w:color="auto"/>
                        <w:left w:val="none" w:sz="0" w:space="0" w:color="auto"/>
                        <w:bottom w:val="none" w:sz="0" w:space="0" w:color="auto"/>
                        <w:right w:val="none" w:sz="0" w:space="0" w:color="auto"/>
                      </w:divBdr>
                    </w:div>
                    <w:div w:id="1750038108">
                      <w:marLeft w:val="0"/>
                      <w:marRight w:val="0"/>
                      <w:marTop w:val="0"/>
                      <w:marBottom w:val="0"/>
                      <w:divBdr>
                        <w:top w:val="none" w:sz="0" w:space="0" w:color="auto"/>
                        <w:left w:val="none" w:sz="0" w:space="0" w:color="auto"/>
                        <w:bottom w:val="none" w:sz="0" w:space="0" w:color="auto"/>
                        <w:right w:val="none" w:sz="0" w:space="0" w:color="auto"/>
                      </w:divBdr>
                    </w:div>
                    <w:div w:id="21411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9588">
          <w:marLeft w:val="0"/>
          <w:marRight w:val="0"/>
          <w:marTop w:val="0"/>
          <w:marBottom w:val="0"/>
          <w:divBdr>
            <w:top w:val="none" w:sz="0" w:space="0" w:color="auto"/>
            <w:left w:val="none" w:sz="0" w:space="0" w:color="auto"/>
            <w:bottom w:val="none" w:sz="0" w:space="0" w:color="auto"/>
            <w:right w:val="none" w:sz="0" w:space="0" w:color="auto"/>
          </w:divBdr>
        </w:div>
        <w:div w:id="305207598">
          <w:marLeft w:val="0"/>
          <w:marRight w:val="0"/>
          <w:marTop w:val="0"/>
          <w:marBottom w:val="0"/>
          <w:divBdr>
            <w:top w:val="none" w:sz="0" w:space="0" w:color="auto"/>
            <w:left w:val="none" w:sz="0" w:space="0" w:color="auto"/>
            <w:bottom w:val="none" w:sz="0" w:space="0" w:color="auto"/>
            <w:right w:val="none" w:sz="0" w:space="0" w:color="auto"/>
          </w:divBdr>
        </w:div>
        <w:div w:id="538668487">
          <w:marLeft w:val="0"/>
          <w:marRight w:val="0"/>
          <w:marTop w:val="0"/>
          <w:marBottom w:val="0"/>
          <w:divBdr>
            <w:top w:val="none" w:sz="0" w:space="0" w:color="auto"/>
            <w:left w:val="none" w:sz="0" w:space="0" w:color="auto"/>
            <w:bottom w:val="none" w:sz="0" w:space="0" w:color="auto"/>
            <w:right w:val="none" w:sz="0" w:space="0" w:color="auto"/>
          </w:divBdr>
        </w:div>
        <w:div w:id="1788115993">
          <w:marLeft w:val="0"/>
          <w:marRight w:val="0"/>
          <w:marTop w:val="0"/>
          <w:marBottom w:val="0"/>
          <w:divBdr>
            <w:top w:val="none" w:sz="0" w:space="0" w:color="auto"/>
            <w:left w:val="none" w:sz="0" w:space="0" w:color="auto"/>
            <w:bottom w:val="none" w:sz="0" w:space="0" w:color="auto"/>
            <w:right w:val="none" w:sz="0" w:space="0" w:color="auto"/>
          </w:divBdr>
        </w:div>
        <w:div w:id="1800100433">
          <w:marLeft w:val="0"/>
          <w:marRight w:val="0"/>
          <w:marTop w:val="0"/>
          <w:marBottom w:val="0"/>
          <w:divBdr>
            <w:top w:val="none" w:sz="0" w:space="0" w:color="auto"/>
            <w:left w:val="none" w:sz="0" w:space="0" w:color="auto"/>
            <w:bottom w:val="none" w:sz="0" w:space="0" w:color="auto"/>
            <w:right w:val="none" w:sz="0" w:space="0" w:color="auto"/>
          </w:divBdr>
        </w:div>
        <w:div w:id="1816219511">
          <w:marLeft w:val="0"/>
          <w:marRight w:val="0"/>
          <w:marTop w:val="0"/>
          <w:marBottom w:val="0"/>
          <w:divBdr>
            <w:top w:val="none" w:sz="0" w:space="0" w:color="auto"/>
            <w:left w:val="none" w:sz="0" w:space="0" w:color="auto"/>
            <w:bottom w:val="none" w:sz="0" w:space="0" w:color="auto"/>
            <w:right w:val="none" w:sz="0" w:space="0" w:color="auto"/>
          </w:divBdr>
        </w:div>
        <w:div w:id="1987279292">
          <w:marLeft w:val="0"/>
          <w:marRight w:val="0"/>
          <w:marTop w:val="0"/>
          <w:marBottom w:val="0"/>
          <w:divBdr>
            <w:top w:val="none" w:sz="0" w:space="0" w:color="auto"/>
            <w:left w:val="none" w:sz="0" w:space="0" w:color="auto"/>
            <w:bottom w:val="none" w:sz="0" w:space="0" w:color="auto"/>
            <w:right w:val="none" w:sz="0" w:space="0" w:color="auto"/>
          </w:divBdr>
        </w:div>
        <w:div w:id="2093888220">
          <w:marLeft w:val="0"/>
          <w:marRight w:val="0"/>
          <w:marTop w:val="0"/>
          <w:marBottom w:val="0"/>
          <w:divBdr>
            <w:top w:val="none" w:sz="0" w:space="0" w:color="auto"/>
            <w:left w:val="none" w:sz="0" w:space="0" w:color="auto"/>
            <w:bottom w:val="none" w:sz="0" w:space="0" w:color="auto"/>
            <w:right w:val="none" w:sz="0" w:space="0" w:color="auto"/>
          </w:divBdr>
          <w:divsChild>
            <w:div w:id="25839884">
              <w:marLeft w:val="0"/>
              <w:marRight w:val="0"/>
              <w:marTop w:val="0"/>
              <w:marBottom w:val="0"/>
              <w:divBdr>
                <w:top w:val="none" w:sz="0" w:space="0" w:color="auto"/>
                <w:left w:val="none" w:sz="0" w:space="0" w:color="auto"/>
                <w:bottom w:val="none" w:sz="0" w:space="0" w:color="auto"/>
                <w:right w:val="none" w:sz="0" w:space="0" w:color="auto"/>
              </w:divBdr>
            </w:div>
            <w:div w:id="78796896">
              <w:marLeft w:val="0"/>
              <w:marRight w:val="0"/>
              <w:marTop w:val="0"/>
              <w:marBottom w:val="0"/>
              <w:divBdr>
                <w:top w:val="none" w:sz="0" w:space="0" w:color="auto"/>
                <w:left w:val="none" w:sz="0" w:space="0" w:color="auto"/>
                <w:bottom w:val="none" w:sz="0" w:space="0" w:color="auto"/>
                <w:right w:val="none" w:sz="0" w:space="0" w:color="auto"/>
              </w:divBdr>
            </w:div>
            <w:div w:id="449789016">
              <w:marLeft w:val="0"/>
              <w:marRight w:val="0"/>
              <w:marTop w:val="0"/>
              <w:marBottom w:val="0"/>
              <w:divBdr>
                <w:top w:val="none" w:sz="0" w:space="0" w:color="auto"/>
                <w:left w:val="none" w:sz="0" w:space="0" w:color="auto"/>
                <w:bottom w:val="none" w:sz="0" w:space="0" w:color="auto"/>
                <w:right w:val="none" w:sz="0" w:space="0" w:color="auto"/>
              </w:divBdr>
            </w:div>
            <w:div w:id="782067379">
              <w:marLeft w:val="0"/>
              <w:marRight w:val="0"/>
              <w:marTop w:val="0"/>
              <w:marBottom w:val="0"/>
              <w:divBdr>
                <w:top w:val="none" w:sz="0" w:space="0" w:color="auto"/>
                <w:left w:val="none" w:sz="0" w:space="0" w:color="auto"/>
                <w:bottom w:val="none" w:sz="0" w:space="0" w:color="auto"/>
                <w:right w:val="none" w:sz="0" w:space="0" w:color="auto"/>
              </w:divBdr>
            </w:div>
            <w:div w:id="871117818">
              <w:marLeft w:val="0"/>
              <w:marRight w:val="0"/>
              <w:marTop w:val="0"/>
              <w:marBottom w:val="0"/>
              <w:divBdr>
                <w:top w:val="none" w:sz="0" w:space="0" w:color="auto"/>
                <w:left w:val="none" w:sz="0" w:space="0" w:color="auto"/>
                <w:bottom w:val="none" w:sz="0" w:space="0" w:color="auto"/>
                <w:right w:val="none" w:sz="0" w:space="0" w:color="auto"/>
              </w:divBdr>
            </w:div>
            <w:div w:id="1415516940">
              <w:marLeft w:val="0"/>
              <w:marRight w:val="0"/>
              <w:marTop w:val="0"/>
              <w:marBottom w:val="0"/>
              <w:divBdr>
                <w:top w:val="none" w:sz="0" w:space="0" w:color="auto"/>
                <w:left w:val="none" w:sz="0" w:space="0" w:color="auto"/>
                <w:bottom w:val="none" w:sz="0" w:space="0" w:color="auto"/>
                <w:right w:val="none" w:sz="0" w:space="0" w:color="auto"/>
              </w:divBdr>
            </w:div>
            <w:div w:id="1955399792">
              <w:marLeft w:val="0"/>
              <w:marRight w:val="0"/>
              <w:marTop w:val="0"/>
              <w:marBottom w:val="0"/>
              <w:divBdr>
                <w:top w:val="none" w:sz="0" w:space="0" w:color="auto"/>
                <w:left w:val="none" w:sz="0" w:space="0" w:color="auto"/>
                <w:bottom w:val="none" w:sz="0" w:space="0" w:color="auto"/>
                <w:right w:val="none" w:sz="0" w:space="0" w:color="auto"/>
              </w:divBdr>
            </w:div>
            <w:div w:id="1988510297">
              <w:marLeft w:val="0"/>
              <w:marRight w:val="0"/>
              <w:marTop w:val="0"/>
              <w:marBottom w:val="0"/>
              <w:divBdr>
                <w:top w:val="none" w:sz="0" w:space="0" w:color="auto"/>
                <w:left w:val="none" w:sz="0" w:space="0" w:color="auto"/>
                <w:bottom w:val="none" w:sz="0" w:space="0" w:color="auto"/>
                <w:right w:val="none" w:sz="0" w:space="0" w:color="auto"/>
              </w:divBdr>
            </w:div>
            <w:div w:id="2118482168">
              <w:marLeft w:val="0"/>
              <w:marRight w:val="0"/>
              <w:marTop w:val="0"/>
              <w:marBottom w:val="0"/>
              <w:divBdr>
                <w:top w:val="none" w:sz="0" w:space="0" w:color="auto"/>
                <w:left w:val="none" w:sz="0" w:space="0" w:color="auto"/>
                <w:bottom w:val="none" w:sz="0" w:space="0" w:color="auto"/>
                <w:right w:val="none" w:sz="0" w:space="0" w:color="auto"/>
              </w:divBdr>
            </w:div>
            <w:div w:id="2128230276">
              <w:marLeft w:val="0"/>
              <w:marRight w:val="0"/>
              <w:marTop w:val="0"/>
              <w:marBottom w:val="0"/>
              <w:divBdr>
                <w:top w:val="none" w:sz="0" w:space="0" w:color="auto"/>
                <w:left w:val="none" w:sz="0" w:space="0" w:color="auto"/>
                <w:bottom w:val="none" w:sz="0" w:space="0" w:color="auto"/>
                <w:right w:val="none" w:sz="0" w:space="0" w:color="auto"/>
              </w:divBdr>
            </w:div>
          </w:divsChild>
        </w:div>
        <w:div w:id="2124415326">
          <w:marLeft w:val="0"/>
          <w:marRight w:val="0"/>
          <w:marTop w:val="0"/>
          <w:marBottom w:val="0"/>
          <w:divBdr>
            <w:top w:val="none" w:sz="0" w:space="0" w:color="auto"/>
            <w:left w:val="none" w:sz="0" w:space="0" w:color="auto"/>
            <w:bottom w:val="none" w:sz="0" w:space="0" w:color="auto"/>
            <w:right w:val="none" w:sz="0" w:space="0" w:color="auto"/>
          </w:divBdr>
          <w:divsChild>
            <w:div w:id="1973359457">
              <w:marLeft w:val="-75"/>
              <w:marRight w:val="0"/>
              <w:marTop w:val="30"/>
              <w:marBottom w:val="30"/>
              <w:divBdr>
                <w:top w:val="none" w:sz="0" w:space="0" w:color="auto"/>
                <w:left w:val="none" w:sz="0" w:space="0" w:color="auto"/>
                <w:bottom w:val="none" w:sz="0" w:space="0" w:color="auto"/>
                <w:right w:val="none" w:sz="0" w:space="0" w:color="auto"/>
              </w:divBdr>
              <w:divsChild>
                <w:div w:id="232476443">
                  <w:marLeft w:val="0"/>
                  <w:marRight w:val="0"/>
                  <w:marTop w:val="0"/>
                  <w:marBottom w:val="0"/>
                  <w:divBdr>
                    <w:top w:val="none" w:sz="0" w:space="0" w:color="auto"/>
                    <w:left w:val="none" w:sz="0" w:space="0" w:color="auto"/>
                    <w:bottom w:val="none" w:sz="0" w:space="0" w:color="auto"/>
                    <w:right w:val="none" w:sz="0" w:space="0" w:color="auto"/>
                  </w:divBdr>
                  <w:divsChild>
                    <w:div w:id="576981770">
                      <w:marLeft w:val="0"/>
                      <w:marRight w:val="0"/>
                      <w:marTop w:val="0"/>
                      <w:marBottom w:val="0"/>
                      <w:divBdr>
                        <w:top w:val="none" w:sz="0" w:space="0" w:color="auto"/>
                        <w:left w:val="none" w:sz="0" w:space="0" w:color="auto"/>
                        <w:bottom w:val="none" w:sz="0" w:space="0" w:color="auto"/>
                        <w:right w:val="none" w:sz="0" w:space="0" w:color="auto"/>
                      </w:divBdr>
                    </w:div>
                  </w:divsChild>
                </w:div>
                <w:div w:id="317541954">
                  <w:marLeft w:val="0"/>
                  <w:marRight w:val="0"/>
                  <w:marTop w:val="0"/>
                  <w:marBottom w:val="0"/>
                  <w:divBdr>
                    <w:top w:val="none" w:sz="0" w:space="0" w:color="auto"/>
                    <w:left w:val="none" w:sz="0" w:space="0" w:color="auto"/>
                    <w:bottom w:val="none" w:sz="0" w:space="0" w:color="auto"/>
                    <w:right w:val="none" w:sz="0" w:space="0" w:color="auto"/>
                  </w:divBdr>
                  <w:divsChild>
                    <w:div w:id="797987820">
                      <w:marLeft w:val="0"/>
                      <w:marRight w:val="0"/>
                      <w:marTop w:val="0"/>
                      <w:marBottom w:val="0"/>
                      <w:divBdr>
                        <w:top w:val="none" w:sz="0" w:space="0" w:color="auto"/>
                        <w:left w:val="none" w:sz="0" w:space="0" w:color="auto"/>
                        <w:bottom w:val="none" w:sz="0" w:space="0" w:color="auto"/>
                        <w:right w:val="none" w:sz="0" w:space="0" w:color="auto"/>
                      </w:divBdr>
                    </w:div>
                  </w:divsChild>
                </w:div>
                <w:div w:id="558053457">
                  <w:marLeft w:val="0"/>
                  <w:marRight w:val="0"/>
                  <w:marTop w:val="0"/>
                  <w:marBottom w:val="0"/>
                  <w:divBdr>
                    <w:top w:val="none" w:sz="0" w:space="0" w:color="auto"/>
                    <w:left w:val="none" w:sz="0" w:space="0" w:color="auto"/>
                    <w:bottom w:val="none" w:sz="0" w:space="0" w:color="auto"/>
                    <w:right w:val="none" w:sz="0" w:space="0" w:color="auto"/>
                  </w:divBdr>
                  <w:divsChild>
                    <w:div w:id="734860964">
                      <w:marLeft w:val="0"/>
                      <w:marRight w:val="0"/>
                      <w:marTop w:val="0"/>
                      <w:marBottom w:val="0"/>
                      <w:divBdr>
                        <w:top w:val="none" w:sz="0" w:space="0" w:color="auto"/>
                        <w:left w:val="none" w:sz="0" w:space="0" w:color="auto"/>
                        <w:bottom w:val="none" w:sz="0" w:space="0" w:color="auto"/>
                        <w:right w:val="none" w:sz="0" w:space="0" w:color="auto"/>
                      </w:divBdr>
                    </w:div>
                  </w:divsChild>
                </w:div>
                <w:div w:id="730272433">
                  <w:marLeft w:val="0"/>
                  <w:marRight w:val="0"/>
                  <w:marTop w:val="0"/>
                  <w:marBottom w:val="0"/>
                  <w:divBdr>
                    <w:top w:val="none" w:sz="0" w:space="0" w:color="auto"/>
                    <w:left w:val="none" w:sz="0" w:space="0" w:color="auto"/>
                    <w:bottom w:val="none" w:sz="0" w:space="0" w:color="auto"/>
                    <w:right w:val="none" w:sz="0" w:space="0" w:color="auto"/>
                  </w:divBdr>
                  <w:divsChild>
                    <w:div w:id="311296224">
                      <w:marLeft w:val="0"/>
                      <w:marRight w:val="0"/>
                      <w:marTop w:val="0"/>
                      <w:marBottom w:val="0"/>
                      <w:divBdr>
                        <w:top w:val="none" w:sz="0" w:space="0" w:color="auto"/>
                        <w:left w:val="none" w:sz="0" w:space="0" w:color="auto"/>
                        <w:bottom w:val="none" w:sz="0" w:space="0" w:color="auto"/>
                        <w:right w:val="none" w:sz="0" w:space="0" w:color="auto"/>
                      </w:divBdr>
                    </w:div>
                  </w:divsChild>
                </w:div>
                <w:div w:id="1278097352">
                  <w:marLeft w:val="0"/>
                  <w:marRight w:val="0"/>
                  <w:marTop w:val="0"/>
                  <w:marBottom w:val="0"/>
                  <w:divBdr>
                    <w:top w:val="none" w:sz="0" w:space="0" w:color="auto"/>
                    <w:left w:val="none" w:sz="0" w:space="0" w:color="auto"/>
                    <w:bottom w:val="none" w:sz="0" w:space="0" w:color="auto"/>
                    <w:right w:val="none" w:sz="0" w:space="0" w:color="auto"/>
                  </w:divBdr>
                  <w:divsChild>
                    <w:div w:id="680161877">
                      <w:marLeft w:val="0"/>
                      <w:marRight w:val="0"/>
                      <w:marTop w:val="0"/>
                      <w:marBottom w:val="0"/>
                      <w:divBdr>
                        <w:top w:val="none" w:sz="0" w:space="0" w:color="auto"/>
                        <w:left w:val="none" w:sz="0" w:space="0" w:color="auto"/>
                        <w:bottom w:val="none" w:sz="0" w:space="0" w:color="auto"/>
                        <w:right w:val="none" w:sz="0" w:space="0" w:color="auto"/>
                      </w:divBdr>
                    </w:div>
                  </w:divsChild>
                </w:div>
                <w:div w:id="1505509935">
                  <w:marLeft w:val="0"/>
                  <w:marRight w:val="0"/>
                  <w:marTop w:val="0"/>
                  <w:marBottom w:val="0"/>
                  <w:divBdr>
                    <w:top w:val="none" w:sz="0" w:space="0" w:color="auto"/>
                    <w:left w:val="none" w:sz="0" w:space="0" w:color="auto"/>
                    <w:bottom w:val="none" w:sz="0" w:space="0" w:color="auto"/>
                    <w:right w:val="none" w:sz="0" w:space="0" w:color="auto"/>
                  </w:divBdr>
                  <w:divsChild>
                    <w:div w:id="331615115">
                      <w:marLeft w:val="0"/>
                      <w:marRight w:val="0"/>
                      <w:marTop w:val="0"/>
                      <w:marBottom w:val="0"/>
                      <w:divBdr>
                        <w:top w:val="none" w:sz="0" w:space="0" w:color="auto"/>
                        <w:left w:val="none" w:sz="0" w:space="0" w:color="auto"/>
                        <w:bottom w:val="none" w:sz="0" w:space="0" w:color="auto"/>
                        <w:right w:val="none" w:sz="0" w:space="0" w:color="auto"/>
                      </w:divBdr>
                    </w:div>
                  </w:divsChild>
                </w:div>
                <w:div w:id="1579362519">
                  <w:marLeft w:val="0"/>
                  <w:marRight w:val="0"/>
                  <w:marTop w:val="0"/>
                  <w:marBottom w:val="0"/>
                  <w:divBdr>
                    <w:top w:val="none" w:sz="0" w:space="0" w:color="auto"/>
                    <w:left w:val="none" w:sz="0" w:space="0" w:color="auto"/>
                    <w:bottom w:val="none" w:sz="0" w:space="0" w:color="auto"/>
                    <w:right w:val="none" w:sz="0" w:space="0" w:color="auto"/>
                  </w:divBdr>
                  <w:divsChild>
                    <w:div w:id="144319333">
                      <w:marLeft w:val="0"/>
                      <w:marRight w:val="0"/>
                      <w:marTop w:val="0"/>
                      <w:marBottom w:val="0"/>
                      <w:divBdr>
                        <w:top w:val="none" w:sz="0" w:space="0" w:color="auto"/>
                        <w:left w:val="none" w:sz="0" w:space="0" w:color="auto"/>
                        <w:bottom w:val="none" w:sz="0" w:space="0" w:color="auto"/>
                        <w:right w:val="none" w:sz="0" w:space="0" w:color="auto"/>
                      </w:divBdr>
                    </w:div>
                  </w:divsChild>
                </w:div>
                <w:div w:id="1752464700">
                  <w:marLeft w:val="0"/>
                  <w:marRight w:val="0"/>
                  <w:marTop w:val="0"/>
                  <w:marBottom w:val="0"/>
                  <w:divBdr>
                    <w:top w:val="none" w:sz="0" w:space="0" w:color="auto"/>
                    <w:left w:val="none" w:sz="0" w:space="0" w:color="auto"/>
                    <w:bottom w:val="none" w:sz="0" w:space="0" w:color="auto"/>
                    <w:right w:val="none" w:sz="0" w:space="0" w:color="auto"/>
                  </w:divBdr>
                  <w:divsChild>
                    <w:div w:id="1535772602">
                      <w:marLeft w:val="0"/>
                      <w:marRight w:val="0"/>
                      <w:marTop w:val="0"/>
                      <w:marBottom w:val="0"/>
                      <w:divBdr>
                        <w:top w:val="none" w:sz="0" w:space="0" w:color="auto"/>
                        <w:left w:val="none" w:sz="0" w:space="0" w:color="auto"/>
                        <w:bottom w:val="none" w:sz="0" w:space="0" w:color="auto"/>
                        <w:right w:val="none" w:sz="0" w:space="0" w:color="auto"/>
                      </w:divBdr>
                    </w:div>
                  </w:divsChild>
                </w:div>
                <w:div w:id="1886942871">
                  <w:marLeft w:val="0"/>
                  <w:marRight w:val="0"/>
                  <w:marTop w:val="0"/>
                  <w:marBottom w:val="0"/>
                  <w:divBdr>
                    <w:top w:val="none" w:sz="0" w:space="0" w:color="auto"/>
                    <w:left w:val="none" w:sz="0" w:space="0" w:color="auto"/>
                    <w:bottom w:val="none" w:sz="0" w:space="0" w:color="auto"/>
                    <w:right w:val="none" w:sz="0" w:space="0" w:color="auto"/>
                  </w:divBdr>
                  <w:divsChild>
                    <w:div w:id="1191337980">
                      <w:marLeft w:val="0"/>
                      <w:marRight w:val="0"/>
                      <w:marTop w:val="0"/>
                      <w:marBottom w:val="0"/>
                      <w:divBdr>
                        <w:top w:val="none" w:sz="0" w:space="0" w:color="auto"/>
                        <w:left w:val="none" w:sz="0" w:space="0" w:color="auto"/>
                        <w:bottom w:val="none" w:sz="0" w:space="0" w:color="auto"/>
                        <w:right w:val="none" w:sz="0" w:space="0" w:color="auto"/>
                      </w:divBdr>
                    </w:div>
                  </w:divsChild>
                </w:div>
                <w:div w:id="2043360167">
                  <w:marLeft w:val="0"/>
                  <w:marRight w:val="0"/>
                  <w:marTop w:val="0"/>
                  <w:marBottom w:val="0"/>
                  <w:divBdr>
                    <w:top w:val="none" w:sz="0" w:space="0" w:color="auto"/>
                    <w:left w:val="none" w:sz="0" w:space="0" w:color="auto"/>
                    <w:bottom w:val="none" w:sz="0" w:space="0" w:color="auto"/>
                    <w:right w:val="none" w:sz="0" w:space="0" w:color="auto"/>
                  </w:divBdr>
                  <w:divsChild>
                    <w:div w:id="13046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148331">
      <w:bodyDiv w:val="1"/>
      <w:marLeft w:val="0"/>
      <w:marRight w:val="0"/>
      <w:marTop w:val="0"/>
      <w:marBottom w:val="0"/>
      <w:divBdr>
        <w:top w:val="none" w:sz="0" w:space="0" w:color="auto"/>
        <w:left w:val="none" w:sz="0" w:space="0" w:color="auto"/>
        <w:bottom w:val="none" w:sz="0" w:space="0" w:color="auto"/>
        <w:right w:val="none" w:sz="0" w:space="0" w:color="auto"/>
      </w:divBdr>
      <w:divsChild>
        <w:div w:id="34425953">
          <w:marLeft w:val="0"/>
          <w:marRight w:val="0"/>
          <w:marTop w:val="0"/>
          <w:marBottom w:val="0"/>
          <w:divBdr>
            <w:top w:val="none" w:sz="0" w:space="0" w:color="auto"/>
            <w:left w:val="none" w:sz="0" w:space="0" w:color="auto"/>
            <w:bottom w:val="none" w:sz="0" w:space="0" w:color="auto"/>
            <w:right w:val="none" w:sz="0" w:space="0" w:color="auto"/>
          </w:divBdr>
          <w:divsChild>
            <w:div w:id="200243899">
              <w:marLeft w:val="0"/>
              <w:marRight w:val="0"/>
              <w:marTop w:val="30"/>
              <w:marBottom w:val="30"/>
              <w:divBdr>
                <w:top w:val="none" w:sz="0" w:space="0" w:color="auto"/>
                <w:left w:val="none" w:sz="0" w:space="0" w:color="auto"/>
                <w:bottom w:val="none" w:sz="0" w:space="0" w:color="auto"/>
                <w:right w:val="none" w:sz="0" w:space="0" w:color="auto"/>
              </w:divBdr>
              <w:divsChild>
                <w:div w:id="65343840">
                  <w:marLeft w:val="0"/>
                  <w:marRight w:val="0"/>
                  <w:marTop w:val="0"/>
                  <w:marBottom w:val="0"/>
                  <w:divBdr>
                    <w:top w:val="none" w:sz="0" w:space="0" w:color="auto"/>
                    <w:left w:val="none" w:sz="0" w:space="0" w:color="auto"/>
                    <w:bottom w:val="none" w:sz="0" w:space="0" w:color="auto"/>
                    <w:right w:val="none" w:sz="0" w:space="0" w:color="auto"/>
                  </w:divBdr>
                  <w:divsChild>
                    <w:div w:id="345864314">
                      <w:marLeft w:val="0"/>
                      <w:marRight w:val="0"/>
                      <w:marTop w:val="0"/>
                      <w:marBottom w:val="0"/>
                      <w:divBdr>
                        <w:top w:val="none" w:sz="0" w:space="0" w:color="auto"/>
                        <w:left w:val="none" w:sz="0" w:space="0" w:color="auto"/>
                        <w:bottom w:val="none" w:sz="0" w:space="0" w:color="auto"/>
                        <w:right w:val="none" w:sz="0" w:space="0" w:color="auto"/>
                      </w:divBdr>
                    </w:div>
                    <w:div w:id="598176115">
                      <w:marLeft w:val="0"/>
                      <w:marRight w:val="0"/>
                      <w:marTop w:val="0"/>
                      <w:marBottom w:val="0"/>
                      <w:divBdr>
                        <w:top w:val="none" w:sz="0" w:space="0" w:color="auto"/>
                        <w:left w:val="none" w:sz="0" w:space="0" w:color="auto"/>
                        <w:bottom w:val="none" w:sz="0" w:space="0" w:color="auto"/>
                        <w:right w:val="none" w:sz="0" w:space="0" w:color="auto"/>
                      </w:divBdr>
                    </w:div>
                    <w:div w:id="1146816617">
                      <w:marLeft w:val="0"/>
                      <w:marRight w:val="0"/>
                      <w:marTop w:val="0"/>
                      <w:marBottom w:val="0"/>
                      <w:divBdr>
                        <w:top w:val="none" w:sz="0" w:space="0" w:color="auto"/>
                        <w:left w:val="none" w:sz="0" w:space="0" w:color="auto"/>
                        <w:bottom w:val="none" w:sz="0" w:space="0" w:color="auto"/>
                        <w:right w:val="none" w:sz="0" w:space="0" w:color="auto"/>
                      </w:divBdr>
                    </w:div>
                    <w:div w:id="2072579103">
                      <w:marLeft w:val="0"/>
                      <w:marRight w:val="0"/>
                      <w:marTop w:val="0"/>
                      <w:marBottom w:val="0"/>
                      <w:divBdr>
                        <w:top w:val="none" w:sz="0" w:space="0" w:color="auto"/>
                        <w:left w:val="none" w:sz="0" w:space="0" w:color="auto"/>
                        <w:bottom w:val="none" w:sz="0" w:space="0" w:color="auto"/>
                        <w:right w:val="none" w:sz="0" w:space="0" w:color="auto"/>
                      </w:divBdr>
                    </w:div>
                  </w:divsChild>
                </w:div>
                <w:div w:id="492648964">
                  <w:marLeft w:val="0"/>
                  <w:marRight w:val="0"/>
                  <w:marTop w:val="0"/>
                  <w:marBottom w:val="0"/>
                  <w:divBdr>
                    <w:top w:val="none" w:sz="0" w:space="0" w:color="auto"/>
                    <w:left w:val="none" w:sz="0" w:space="0" w:color="auto"/>
                    <w:bottom w:val="none" w:sz="0" w:space="0" w:color="auto"/>
                    <w:right w:val="none" w:sz="0" w:space="0" w:color="auto"/>
                  </w:divBdr>
                  <w:divsChild>
                    <w:div w:id="1499345244">
                      <w:marLeft w:val="0"/>
                      <w:marRight w:val="0"/>
                      <w:marTop w:val="0"/>
                      <w:marBottom w:val="0"/>
                      <w:divBdr>
                        <w:top w:val="none" w:sz="0" w:space="0" w:color="auto"/>
                        <w:left w:val="none" w:sz="0" w:space="0" w:color="auto"/>
                        <w:bottom w:val="none" w:sz="0" w:space="0" w:color="auto"/>
                        <w:right w:val="none" w:sz="0" w:space="0" w:color="auto"/>
                      </w:divBdr>
                    </w:div>
                  </w:divsChild>
                </w:div>
                <w:div w:id="517738341">
                  <w:marLeft w:val="0"/>
                  <w:marRight w:val="0"/>
                  <w:marTop w:val="0"/>
                  <w:marBottom w:val="0"/>
                  <w:divBdr>
                    <w:top w:val="none" w:sz="0" w:space="0" w:color="auto"/>
                    <w:left w:val="none" w:sz="0" w:space="0" w:color="auto"/>
                    <w:bottom w:val="none" w:sz="0" w:space="0" w:color="auto"/>
                    <w:right w:val="none" w:sz="0" w:space="0" w:color="auto"/>
                  </w:divBdr>
                  <w:divsChild>
                    <w:div w:id="788084180">
                      <w:marLeft w:val="0"/>
                      <w:marRight w:val="0"/>
                      <w:marTop w:val="0"/>
                      <w:marBottom w:val="0"/>
                      <w:divBdr>
                        <w:top w:val="none" w:sz="0" w:space="0" w:color="auto"/>
                        <w:left w:val="none" w:sz="0" w:space="0" w:color="auto"/>
                        <w:bottom w:val="none" w:sz="0" w:space="0" w:color="auto"/>
                        <w:right w:val="none" w:sz="0" w:space="0" w:color="auto"/>
                      </w:divBdr>
                    </w:div>
                  </w:divsChild>
                </w:div>
                <w:div w:id="539709676">
                  <w:marLeft w:val="0"/>
                  <w:marRight w:val="0"/>
                  <w:marTop w:val="0"/>
                  <w:marBottom w:val="0"/>
                  <w:divBdr>
                    <w:top w:val="none" w:sz="0" w:space="0" w:color="auto"/>
                    <w:left w:val="none" w:sz="0" w:space="0" w:color="auto"/>
                    <w:bottom w:val="none" w:sz="0" w:space="0" w:color="auto"/>
                    <w:right w:val="none" w:sz="0" w:space="0" w:color="auto"/>
                  </w:divBdr>
                  <w:divsChild>
                    <w:div w:id="2089112863">
                      <w:marLeft w:val="0"/>
                      <w:marRight w:val="0"/>
                      <w:marTop w:val="0"/>
                      <w:marBottom w:val="0"/>
                      <w:divBdr>
                        <w:top w:val="none" w:sz="0" w:space="0" w:color="auto"/>
                        <w:left w:val="none" w:sz="0" w:space="0" w:color="auto"/>
                        <w:bottom w:val="none" w:sz="0" w:space="0" w:color="auto"/>
                        <w:right w:val="none" w:sz="0" w:space="0" w:color="auto"/>
                      </w:divBdr>
                    </w:div>
                  </w:divsChild>
                </w:div>
                <w:div w:id="1490828295">
                  <w:marLeft w:val="0"/>
                  <w:marRight w:val="0"/>
                  <w:marTop w:val="0"/>
                  <w:marBottom w:val="0"/>
                  <w:divBdr>
                    <w:top w:val="none" w:sz="0" w:space="0" w:color="auto"/>
                    <w:left w:val="none" w:sz="0" w:space="0" w:color="auto"/>
                    <w:bottom w:val="none" w:sz="0" w:space="0" w:color="auto"/>
                    <w:right w:val="none" w:sz="0" w:space="0" w:color="auto"/>
                  </w:divBdr>
                  <w:divsChild>
                    <w:div w:id="763959879">
                      <w:marLeft w:val="0"/>
                      <w:marRight w:val="0"/>
                      <w:marTop w:val="0"/>
                      <w:marBottom w:val="0"/>
                      <w:divBdr>
                        <w:top w:val="none" w:sz="0" w:space="0" w:color="auto"/>
                        <w:left w:val="none" w:sz="0" w:space="0" w:color="auto"/>
                        <w:bottom w:val="none" w:sz="0" w:space="0" w:color="auto"/>
                        <w:right w:val="none" w:sz="0" w:space="0" w:color="auto"/>
                      </w:divBdr>
                    </w:div>
                    <w:div w:id="922255355">
                      <w:marLeft w:val="0"/>
                      <w:marRight w:val="0"/>
                      <w:marTop w:val="0"/>
                      <w:marBottom w:val="0"/>
                      <w:divBdr>
                        <w:top w:val="none" w:sz="0" w:space="0" w:color="auto"/>
                        <w:left w:val="none" w:sz="0" w:space="0" w:color="auto"/>
                        <w:bottom w:val="none" w:sz="0" w:space="0" w:color="auto"/>
                        <w:right w:val="none" w:sz="0" w:space="0" w:color="auto"/>
                      </w:divBdr>
                    </w:div>
                    <w:div w:id="1903784667">
                      <w:marLeft w:val="0"/>
                      <w:marRight w:val="0"/>
                      <w:marTop w:val="0"/>
                      <w:marBottom w:val="0"/>
                      <w:divBdr>
                        <w:top w:val="none" w:sz="0" w:space="0" w:color="auto"/>
                        <w:left w:val="none" w:sz="0" w:space="0" w:color="auto"/>
                        <w:bottom w:val="none" w:sz="0" w:space="0" w:color="auto"/>
                        <w:right w:val="none" w:sz="0" w:space="0" w:color="auto"/>
                      </w:divBdr>
                    </w:div>
                  </w:divsChild>
                </w:div>
                <w:div w:id="2125883650">
                  <w:marLeft w:val="0"/>
                  <w:marRight w:val="0"/>
                  <w:marTop w:val="0"/>
                  <w:marBottom w:val="0"/>
                  <w:divBdr>
                    <w:top w:val="none" w:sz="0" w:space="0" w:color="auto"/>
                    <w:left w:val="none" w:sz="0" w:space="0" w:color="auto"/>
                    <w:bottom w:val="none" w:sz="0" w:space="0" w:color="auto"/>
                    <w:right w:val="none" w:sz="0" w:space="0" w:color="auto"/>
                  </w:divBdr>
                  <w:divsChild>
                    <w:div w:id="201600410">
                      <w:marLeft w:val="0"/>
                      <w:marRight w:val="0"/>
                      <w:marTop w:val="0"/>
                      <w:marBottom w:val="0"/>
                      <w:divBdr>
                        <w:top w:val="none" w:sz="0" w:space="0" w:color="auto"/>
                        <w:left w:val="none" w:sz="0" w:space="0" w:color="auto"/>
                        <w:bottom w:val="none" w:sz="0" w:space="0" w:color="auto"/>
                        <w:right w:val="none" w:sz="0" w:space="0" w:color="auto"/>
                      </w:divBdr>
                    </w:div>
                    <w:div w:id="436027251">
                      <w:marLeft w:val="0"/>
                      <w:marRight w:val="0"/>
                      <w:marTop w:val="0"/>
                      <w:marBottom w:val="0"/>
                      <w:divBdr>
                        <w:top w:val="none" w:sz="0" w:space="0" w:color="auto"/>
                        <w:left w:val="none" w:sz="0" w:space="0" w:color="auto"/>
                        <w:bottom w:val="none" w:sz="0" w:space="0" w:color="auto"/>
                        <w:right w:val="none" w:sz="0" w:space="0" w:color="auto"/>
                      </w:divBdr>
                    </w:div>
                    <w:div w:id="10620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28809">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0276636">
      <w:bodyDiv w:val="1"/>
      <w:marLeft w:val="0"/>
      <w:marRight w:val="0"/>
      <w:marTop w:val="0"/>
      <w:marBottom w:val="0"/>
      <w:divBdr>
        <w:top w:val="none" w:sz="0" w:space="0" w:color="auto"/>
        <w:left w:val="none" w:sz="0" w:space="0" w:color="auto"/>
        <w:bottom w:val="none" w:sz="0" w:space="0" w:color="auto"/>
        <w:right w:val="none" w:sz="0" w:space="0" w:color="auto"/>
      </w:divBdr>
    </w:div>
    <w:div w:id="1048340739">
      <w:bodyDiv w:val="1"/>
      <w:marLeft w:val="0"/>
      <w:marRight w:val="0"/>
      <w:marTop w:val="0"/>
      <w:marBottom w:val="0"/>
      <w:divBdr>
        <w:top w:val="none" w:sz="0" w:space="0" w:color="auto"/>
        <w:left w:val="none" w:sz="0" w:space="0" w:color="auto"/>
        <w:bottom w:val="none" w:sz="0" w:space="0" w:color="auto"/>
        <w:right w:val="none" w:sz="0" w:space="0" w:color="auto"/>
      </w:divBdr>
    </w:div>
    <w:div w:id="1054350278">
      <w:bodyDiv w:val="1"/>
      <w:marLeft w:val="0"/>
      <w:marRight w:val="0"/>
      <w:marTop w:val="0"/>
      <w:marBottom w:val="0"/>
      <w:divBdr>
        <w:top w:val="none" w:sz="0" w:space="0" w:color="auto"/>
        <w:left w:val="none" w:sz="0" w:space="0" w:color="auto"/>
        <w:bottom w:val="none" w:sz="0" w:space="0" w:color="auto"/>
        <w:right w:val="none" w:sz="0" w:space="0" w:color="auto"/>
      </w:divBdr>
    </w:div>
    <w:div w:id="1072460993">
      <w:bodyDiv w:val="1"/>
      <w:marLeft w:val="0"/>
      <w:marRight w:val="0"/>
      <w:marTop w:val="0"/>
      <w:marBottom w:val="0"/>
      <w:divBdr>
        <w:top w:val="none" w:sz="0" w:space="0" w:color="auto"/>
        <w:left w:val="none" w:sz="0" w:space="0" w:color="auto"/>
        <w:bottom w:val="none" w:sz="0" w:space="0" w:color="auto"/>
        <w:right w:val="none" w:sz="0" w:space="0" w:color="auto"/>
      </w:divBdr>
      <w:divsChild>
        <w:div w:id="732965439">
          <w:marLeft w:val="0"/>
          <w:marRight w:val="0"/>
          <w:marTop w:val="0"/>
          <w:marBottom w:val="0"/>
          <w:divBdr>
            <w:top w:val="none" w:sz="0" w:space="0" w:color="auto"/>
            <w:left w:val="none" w:sz="0" w:space="0" w:color="auto"/>
            <w:bottom w:val="none" w:sz="0" w:space="0" w:color="auto"/>
            <w:right w:val="none" w:sz="0" w:space="0" w:color="auto"/>
          </w:divBdr>
        </w:div>
        <w:div w:id="2062055297">
          <w:marLeft w:val="0"/>
          <w:marRight w:val="0"/>
          <w:marTop w:val="0"/>
          <w:marBottom w:val="0"/>
          <w:divBdr>
            <w:top w:val="none" w:sz="0" w:space="0" w:color="auto"/>
            <w:left w:val="none" w:sz="0" w:space="0" w:color="auto"/>
            <w:bottom w:val="none" w:sz="0" w:space="0" w:color="auto"/>
            <w:right w:val="none" w:sz="0" w:space="0" w:color="auto"/>
          </w:divBdr>
        </w:div>
      </w:divsChild>
    </w:div>
    <w:div w:id="1083601283">
      <w:bodyDiv w:val="1"/>
      <w:marLeft w:val="0"/>
      <w:marRight w:val="0"/>
      <w:marTop w:val="0"/>
      <w:marBottom w:val="0"/>
      <w:divBdr>
        <w:top w:val="none" w:sz="0" w:space="0" w:color="auto"/>
        <w:left w:val="none" w:sz="0" w:space="0" w:color="auto"/>
        <w:bottom w:val="none" w:sz="0" w:space="0" w:color="auto"/>
        <w:right w:val="none" w:sz="0" w:space="0" w:color="auto"/>
      </w:divBdr>
    </w:div>
    <w:div w:id="1090471335">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679005">
      <w:bodyDiv w:val="1"/>
      <w:marLeft w:val="0"/>
      <w:marRight w:val="0"/>
      <w:marTop w:val="0"/>
      <w:marBottom w:val="0"/>
      <w:divBdr>
        <w:top w:val="none" w:sz="0" w:space="0" w:color="auto"/>
        <w:left w:val="none" w:sz="0" w:space="0" w:color="auto"/>
        <w:bottom w:val="none" w:sz="0" w:space="0" w:color="auto"/>
        <w:right w:val="none" w:sz="0" w:space="0" w:color="auto"/>
      </w:divBdr>
    </w:div>
    <w:div w:id="1154372547">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4151422">
      <w:bodyDiv w:val="1"/>
      <w:marLeft w:val="0"/>
      <w:marRight w:val="0"/>
      <w:marTop w:val="0"/>
      <w:marBottom w:val="0"/>
      <w:divBdr>
        <w:top w:val="none" w:sz="0" w:space="0" w:color="auto"/>
        <w:left w:val="none" w:sz="0" w:space="0" w:color="auto"/>
        <w:bottom w:val="none" w:sz="0" w:space="0" w:color="auto"/>
        <w:right w:val="none" w:sz="0" w:space="0" w:color="auto"/>
      </w:divBdr>
    </w:div>
    <w:div w:id="1206405525">
      <w:bodyDiv w:val="1"/>
      <w:marLeft w:val="0"/>
      <w:marRight w:val="0"/>
      <w:marTop w:val="0"/>
      <w:marBottom w:val="0"/>
      <w:divBdr>
        <w:top w:val="none" w:sz="0" w:space="0" w:color="auto"/>
        <w:left w:val="none" w:sz="0" w:space="0" w:color="auto"/>
        <w:bottom w:val="none" w:sz="0" w:space="0" w:color="auto"/>
        <w:right w:val="none" w:sz="0" w:space="0" w:color="auto"/>
      </w:divBdr>
    </w:div>
    <w:div w:id="1238594140">
      <w:bodyDiv w:val="1"/>
      <w:marLeft w:val="0"/>
      <w:marRight w:val="0"/>
      <w:marTop w:val="0"/>
      <w:marBottom w:val="0"/>
      <w:divBdr>
        <w:top w:val="none" w:sz="0" w:space="0" w:color="auto"/>
        <w:left w:val="none" w:sz="0" w:space="0" w:color="auto"/>
        <w:bottom w:val="none" w:sz="0" w:space="0" w:color="auto"/>
        <w:right w:val="none" w:sz="0" w:space="0" w:color="auto"/>
      </w:divBdr>
    </w:div>
    <w:div w:id="1247690285">
      <w:bodyDiv w:val="1"/>
      <w:marLeft w:val="0"/>
      <w:marRight w:val="0"/>
      <w:marTop w:val="0"/>
      <w:marBottom w:val="0"/>
      <w:divBdr>
        <w:top w:val="none" w:sz="0" w:space="0" w:color="auto"/>
        <w:left w:val="none" w:sz="0" w:space="0" w:color="auto"/>
        <w:bottom w:val="none" w:sz="0" w:space="0" w:color="auto"/>
        <w:right w:val="none" w:sz="0" w:space="0" w:color="auto"/>
      </w:divBdr>
    </w:div>
    <w:div w:id="125764040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896768">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224813">
      <w:bodyDiv w:val="1"/>
      <w:marLeft w:val="0"/>
      <w:marRight w:val="0"/>
      <w:marTop w:val="0"/>
      <w:marBottom w:val="0"/>
      <w:divBdr>
        <w:top w:val="none" w:sz="0" w:space="0" w:color="auto"/>
        <w:left w:val="none" w:sz="0" w:space="0" w:color="auto"/>
        <w:bottom w:val="none" w:sz="0" w:space="0" w:color="auto"/>
        <w:right w:val="none" w:sz="0" w:space="0" w:color="auto"/>
      </w:divBdr>
    </w:div>
    <w:div w:id="1317494368">
      <w:bodyDiv w:val="1"/>
      <w:marLeft w:val="0"/>
      <w:marRight w:val="0"/>
      <w:marTop w:val="0"/>
      <w:marBottom w:val="0"/>
      <w:divBdr>
        <w:top w:val="none" w:sz="0" w:space="0" w:color="auto"/>
        <w:left w:val="none" w:sz="0" w:space="0" w:color="auto"/>
        <w:bottom w:val="none" w:sz="0" w:space="0" w:color="auto"/>
        <w:right w:val="none" w:sz="0" w:space="0" w:color="auto"/>
      </w:divBdr>
      <w:divsChild>
        <w:div w:id="66731411">
          <w:marLeft w:val="0"/>
          <w:marRight w:val="0"/>
          <w:marTop w:val="0"/>
          <w:marBottom w:val="0"/>
          <w:divBdr>
            <w:top w:val="none" w:sz="0" w:space="0" w:color="auto"/>
            <w:left w:val="none" w:sz="0" w:space="0" w:color="auto"/>
            <w:bottom w:val="none" w:sz="0" w:space="0" w:color="auto"/>
            <w:right w:val="none" w:sz="0" w:space="0" w:color="auto"/>
          </w:divBdr>
          <w:divsChild>
            <w:div w:id="32317671">
              <w:marLeft w:val="0"/>
              <w:marRight w:val="0"/>
              <w:marTop w:val="0"/>
              <w:marBottom w:val="0"/>
              <w:divBdr>
                <w:top w:val="none" w:sz="0" w:space="0" w:color="auto"/>
                <w:left w:val="none" w:sz="0" w:space="0" w:color="auto"/>
                <w:bottom w:val="none" w:sz="0" w:space="0" w:color="auto"/>
                <w:right w:val="none" w:sz="0" w:space="0" w:color="auto"/>
              </w:divBdr>
            </w:div>
            <w:div w:id="1258249713">
              <w:marLeft w:val="0"/>
              <w:marRight w:val="0"/>
              <w:marTop w:val="0"/>
              <w:marBottom w:val="0"/>
              <w:divBdr>
                <w:top w:val="none" w:sz="0" w:space="0" w:color="auto"/>
                <w:left w:val="none" w:sz="0" w:space="0" w:color="auto"/>
                <w:bottom w:val="none" w:sz="0" w:space="0" w:color="auto"/>
                <w:right w:val="none" w:sz="0" w:space="0" w:color="auto"/>
              </w:divBdr>
            </w:div>
          </w:divsChild>
        </w:div>
        <w:div w:id="242692187">
          <w:marLeft w:val="0"/>
          <w:marRight w:val="0"/>
          <w:marTop w:val="0"/>
          <w:marBottom w:val="0"/>
          <w:divBdr>
            <w:top w:val="none" w:sz="0" w:space="0" w:color="auto"/>
            <w:left w:val="none" w:sz="0" w:space="0" w:color="auto"/>
            <w:bottom w:val="none" w:sz="0" w:space="0" w:color="auto"/>
            <w:right w:val="none" w:sz="0" w:space="0" w:color="auto"/>
          </w:divBdr>
          <w:divsChild>
            <w:div w:id="962225939">
              <w:marLeft w:val="0"/>
              <w:marRight w:val="0"/>
              <w:marTop w:val="0"/>
              <w:marBottom w:val="0"/>
              <w:divBdr>
                <w:top w:val="none" w:sz="0" w:space="0" w:color="auto"/>
                <w:left w:val="none" w:sz="0" w:space="0" w:color="auto"/>
                <w:bottom w:val="none" w:sz="0" w:space="0" w:color="auto"/>
                <w:right w:val="none" w:sz="0" w:space="0" w:color="auto"/>
              </w:divBdr>
            </w:div>
            <w:div w:id="1082529107">
              <w:marLeft w:val="0"/>
              <w:marRight w:val="0"/>
              <w:marTop w:val="0"/>
              <w:marBottom w:val="0"/>
              <w:divBdr>
                <w:top w:val="none" w:sz="0" w:space="0" w:color="auto"/>
                <w:left w:val="none" w:sz="0" w:space="0" w:color="auto"/>
                <w:bottom w:val="none" w:sz="0" w:space="0" w:color="auto"/>
                <w:right w:val="none" w:sz="0" w:space="0" w:color="auto"/>
              </w:divBdr>
            </w:div>
            <w:div w:id="1115099826">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sChild>
        </w:div>
        <w:div w:id="314145688">
          <w:marLeft w:val="0"/>
          <w:marRight w:val="0"/>
          <w:marTop w:val="0"/>
          <w:marBottom w:val="0"/>
          <w:divBdr>
            <w:top w:val="none" w:sz="0" w:space="0" w:color="auto"/>
            <w:left w:val="none" w:sz="0" w:space="0" w:color="auto"/>
            <w:bottom w:val="none" w:sz="0" w:space="0" w:color="auto"/>
            <w:right w:val="none" w:sz="0" w:space="0" w:color="auto"/>
          </w:divBdr>
          <w:divsChild>
            <w:div w:id="1545948302">
              <w:marLeft w:val="0"/>
              <w:marRight w:val="0"/>
              <w:marTop w:val="0"/>
              <w:marBottom w:val="0"/>
              <w:divBdr>
                <w:top w:val="none" w:sz="0" w:space="0" w:color="auto"/>
                <w:left w:val="none" w:sz="0" w:space="0" w:color="auto"/>
                <w:bottom w:val="none" w:sz="0" w:space="0" w:color="auto"/>
                <w:right w:val="none" w:sz="0" w:space="0" w:color="auto"/>
              </w:divBdr>
            </w:div>
          </w:divsChild>
        </w:div>
        <w:div w:id="358511391">
          <w:marLeft w:val="0"/>
          <w:marRight w:val="0"/>
          <w:marTop w:val="0"/>
          <w:marBottom w:val="0"/>
          <w:divBdr>
            <w:top w:val="none" w:sz="0" w:space="0" w:color="auto"/>
            <w:left w:val="none" w:sz="0" w:space="0" w:color="auto"/>
            <w:bottom w:val="none" w:sz="0" w:space="0" w:color="auto"/>
            <w:right w:val="none" w:sz="0" w:space="0" w:color="auto"/>
          </w:divBdr>
          <w:divsChild>
            <w:div w:id="961031820">
              <w:marLeft w:val="0"/>
              <w:marRight w:val="0"/>
              <w:marTop w:val="0"/>
              <w:marBottom w:val="0"/>
              <w:divBdr>
                <w:top w:val="none" w:sz="0" w:space="0" w:color="auto"/>
                <w:left w:val="none" w:sz="0" w:space="0" w:color="auto"/>
                <w:bottom w:val="none" w:sz="0" w:space="0" w:color="auto"/>
                <w:right w:val="none" w:sz="0" w:space="0" w:color="auto"/>
              </w:divBdr>
            </w:div>
            <w:div w:id="964626404">
              <w:marLeft w:val="0"/>
              <w:marRight w:val="0"/>
              <w:marTop w:val="0"/>
              <w:marBottom w:val="0"/>
              <w:divBdr>
                <w:top w:val="none" w:sz="0" w:space="0" w:color="auto"/>
                <w:left w:val="none" w:sz="0" w:space="0" w:color="auto"/>
                <w:bottom w:val="none" w:sz="0" w:space="0" w:color="auto"/>
                <w:right w:val="none" w:sz="0" w:space="0" w:color="auto"/>
              </w:divBdr>
            </w:div>
            <w:div w:id="1028214043">
              <w:marLeft w:val="0"/>
              <w:marRight w:val="0"/>
              <w:marTop w:val="0"/>
              <w:marBottom w:val="0"/>
              <w:divBdr>
                <w:top w:val="none" w:sz="0" w:space="0" w:color="auto"/>
                <w:left w:val="none" w:sz="0" w:space="0" w:color="auto"/>
                <w:bottom w:val="none" w:sz="0" w:space="0" w:color="auto"/>
                <w:right w:val="none" w:sz="0" w:space="0" w:color="auto"/>
              </w:divBdr>
            </w:div>
            <w:div w:id="1291548668">
              <w:marLeft w:val="0"/>
              <w:marRight w:val="0"/>
              <w:marTop w:val="0"/>
              <w:marBottom w:val="0"/>
              <w:divBdr>
                <w:top w:val="none" w:sz="0" w:space="0" w:color="auto"/>
                <w:left w:val="none" w:sz="0" w:space="0" w:color="auto"/>
                <w:bottom w:val="none" w:sz="0" w:space="0" w:color="auto"/>
                <w:right w:val="none" w:sz="0" w:space="0" w:color="auto"/>
              </w:divBdr>
            </w:div>
          </w:divsChild>
        </w:div>
        <w:div w:id="409087681">
          <w:marLeft w:val="0"/>
          <w:marRight w:val="0"/>
          <w:marTop w:val="0"/>
          <w:marBottom w:val="0"/>
          <w:divBdr>
            <w:top w:val="none" w:sz="0" w:space="0" w:color="auto"/>
            <w:left w:val="none" w:sz="0" w:space="0" w:color="auto"/>
            <w:bottom w:val="none" w:sz="0" w:space="0" w:color="auto"/>
            <w:right w:val="none" w:sz="0" w:space="0" w:color="auto"/>
          </w:divBdr>
          <w:divsChild>
            <w:div w:id="83453386">
              <w:marLeft w:val="0"/>
              <w:marRight w:val="0"/>
              <w:marTop w:val="0"/>
              <w:marBottom w:val="0"/>
              <w:divBdr>
                <w:top w:val="none" w:sz="0" w:space="0" w:color="auto"/>
                <w:left w:val="none" w:sz="0" w:space="0" w:color="auto"/>
                <w:bottom w:val="none" w:sz="0" w:space="0" w:color="auto"/>
                <w:right w:val="none" w:sz="0" w:space="0" w:color="auto"/>
              </w:divBdr>
            </w:div>
            <w:div w:id="360977493">
              <w:marLeft w:val="0"/>
              <w:marRight w:val="0"/>
              <w:marTop w:val="0"/>
              <w:marBottom w:val="0"/>
              <w:divBdr>
                <w:top w:val="none" w:sz="0" w:space="0" w:color="auto"/>
                <w:left w:val="none" w:sz="0" w:space="0" w:color="auto"/>
                <w:bottom w:val="none" w:sz="0" w:space="0" w:color="auto"/>
                <w:right w:val="none" w:sz="0" w:space="0" w:color="auto"/>
              </w:divBdr>
            </w:div>
            <w:div w:id="755710535">
              <w:marLeft w:val="0"/>
              <w:marRight w:val="0"/>
              <w:marTop w:val="0"/>
              <w:marBottom w:val="0"/>
              <w:divBdr>
                <w:top w:val="none" w:sz="0" w:space="0" w:color="auto"/>
                <w:left w:val="none" w:sz="0" w:space="0" w:color="auto"/>
                <w:bottom w:val="none" w:sz="0" w:space="0" w:color="auto"/>
                <w:right w:val="none" w:sz="0" w:space="0" w:color="auto"/>
              </w:divBdr>
            </w:div>
          </w:divsChild>
        </w:div>
        <w:div w:id="415707492">
          <w:marLeft w:val="0"/>
          <w:marRight w:val="0"/>
          <w:marTop w:val="0"/>
          <w:marBottom w:val="0"/>
          <w:divBdr>
            <w:top w:val="none" w:sz="0" w:space="0" w:color="auto"/>
            <w:left w:val="none" w:sz="0" w:space="0" w:color="auto"/>
            <w:bottom w:val="none" w:sz="0" w:space="0" w:color="auto"/>
            <w:right w:val="none" w:sz="0" w:space="0" w:color="auto"/>
          </w:divBdr>
          <w:divsChild>
            <w:div w:id="902259202">
              <w:marLeft w:val="0"/>
              <w:marRight w:val="0"/>
              <w:marTop w:val="0"/>
              <w:marBottom w:val="0"/>
              <w:divBdr>
                <w:top w:val="none" w:sz="0" w:space="0" w:color="auto"/>
                <w:left w:val="none" w:sz="0" w:space="0" w:color="auto"/>
                <w:bottom w:val="none" w:sz="0" w:space="0" w:color="auto"/>
                <w:right w:val="none" w:sz="0" w:space="0" w:color="auto"/>
              </w:divBdr>
            </w:div>
          </w:divsChild>
        </w:div>
        <w:div w:id="788934075">
          <w:marLeft w:val="0"/>
          <w:marRight w:val="0"/>
          <w:marTop w:val="0"/>
          <w:marBottom w:val="0"/>
          <w:divBdr>
            <w:top w:val="none" w:sz="0" w:space="0" w:color="auto"/>
            <w:left w:val="none" w:sz="0" w:space="0" w:color="auto"/>
            <w:bottom w:val="none" w:sz="0" w:space="0" w:color="auto"/>
            <w:right w:val="none" w:sz="0" w:space="0" w:color="auto"/>
          </w:divBdr>
          <w:divsChild>
            <w:div w:id="284585287">
              <w:marLeft w:val="0"/>
              <w:marRight w:val="0"/>
              <w:marTop w:val="0"/>
              <w:marBottom w:val="0"/>
              <w:divBdr>
                <w:top w:val="none" w:sz="0" w:space="0" w:color="auto"/>
                <w:left w:val="none" w:sz="0" w:space="0" w:color="auto"/>
                <w:bottom w:val="none" w:sz="0" w:space="0" w:color="auto"/>
                <w:right w:val="none" w:sz="0" w:space="0" w:color="auto"/>
              </w:divBdr>
            </w:div>
            <w:div w:id="2019195123">
              <w:marLeft w:val="0"/>
              <w:marRight w:val="0"/>
              <w:marTop w:val="0"/>
              <w:marBottom w:val="0"/>
              <w:divBdr>
                <w:top w:val="none" w:sz="0" w:space="0" w:color="auto"/>
                <w:left w:val="none" w:sz="0" w:space="0" w:color="auto"/>
                <w:bottom w:val="none" w:sz="0" w:space="0" w:color="auto"/>
                <w:right w:val="none" w:sz="0" w:space="0" w:color="auto"/>
              </w:divBdr>
            </w:div>
          </w:divsChild>
        </w:div>
        <w:div w:id="1000306431">
          <w:marLeft w:val="0"/>
          <w:marRight w:val="0"/>
          <w:marTop w:val="0"/>
          <w:marBottom w:val="0"/>
          <w:divBdr>
            <w:top w:val="none" w:sz="0" w:space="0" w:color="auto"/>
            <w:left w:val="none" w:sz="0" w:space="0" w:color="auto"/>
            <w:bottom w:val="none" w:sz="0" w:space="0" w:color="auto"/>
            <w:right w:val="none" w:sz="0" w:space="0" w:color="auto"/>
          </w:divBdr>
          <w:divsChild>
            <w:div w:id="721053731">
              <w:marLeft w:val="0"/>
              <w:marRight w:val="0"/>
              <w:marTop w:val="0"/>
              <w:marBottom w:val="0"/>
              <w:divBdr>
                <w:top w:val="none" w:sz="0" w:space="0" w:color="auto"/>
                <w:left w:val="none" w:sz="0" w:space="0" w:color="auto"/>
                <w:bottom w:val="none" w:sz="0" w:space="0" w:color="auto"/>
                <w:right w:val="none" w:sz="0" w:space="0" w:color="auto"/>
              </w:divBdr>
            </w:div>
            <w:div w:id="771170252">
              <w:marLeft w:val="0"/>
              <w:marRight w:val="0"/>
              <w:marTop w:val="0"/>
              <w:marBottom w:val="0"/>
              <w:divBdr>
                <w:top w:val="none" w:sz="0" w:space="0" w:color="auto"/>
                <w:left w:val="none" w:sz="0" w:space="0" w:color="auto"/>
                <w:bottom w:val="none" w:sz="0" w:space="0" w:color="auto"/>
                <w:right w:val="none" w:sz="0" w:space="0" w:color="auto"/>
              </w:divBdr>
            </w:div>
            <w:div w:id="918365895">
              <w:marLeft w:val="0"/>
              <w:marRight w:val="0"/>
              <w:marTop w:val="0"/>
              <w:marBottom w:val="0"/>
              <w:divBdr>
                <w:top w:val="none" w:sz="0" w:space="0" w:color="auto"/>
                <w:left w:val="none" w:sz="0" w:space="0" w:color="auto"/>
                <w:bottom w:val="none" w:sz="0" w:space="0" w:color="auto"/>
                <w:right w:val="none" w:sz="0" w:space="0" w:color="auto"/>
              </w:divBdr>
            </w:div>
            <w:div w:id="2024236351">
              <w:marLeft w:val="0"/>
              <w:marRight w:val="0"/>
              <w:marTop w:val="0"/>
              <w:marBottom w:val="0"/>
              <w:divBdr>
                <w:top w:val="none" w:sz="0" w:space="0" w:color="auto"/>
                <w:left w:val="none" w:sz="0" w:space="0" w:color="auto"/>
                <w:bottom w:val="none" w:sz="0" w:space="0" w:color="auto"/>
                <w:right w:val="none" w:sz="0" w:space="0" w:color="auto"/>
              </w:divBdr>
            </w:div>
          </w:divsChild>
        </w:div>
        <w:div w:id="1046833515">
          <w:marLeft w:val="0"/>
          <w:marRight w:val="0"/>
          <w:marTop w:val="0"/>
          <w:marBottom w:val="0"/>
          <w:divBdr>
            <w:top w:val="none" w:sz="0" w:space="0" w:color="auto"/>
            <w:left w:val="none" w:sz="0" w:space="0" w:color="auto"/>
            <w:bottom w:val="none" w:sz="0" w:space="0" w:color="auto"/>
            <w:right w:val="none" w:sz="0" w:space="0" w:color="auto"/>
          </w:divBdr>
          <w:divsChild>
            <w:div w:id="459036763">
              <w:marLeft w:val="0"/>
              <w:marRight w:val="0"/>
              <w:marTop w:val="0"/>
              <w:marBottom w:val="0"/>
              <w:divBdr>
                <w:top w:val="none" w:sz="0" w:space="0" w:color="auto"/>
                <w:left w:val="none" w:sz="0" w:space="0" w:color="auto"/>
                <w:bottom w:val="none" w:sz="0" w:space="0" w:color="auto"/>
                <w:right w:val="none" w:sz="0" w:space="0" w:color="auto"/>
              </w:divBdr>
            </w:div>
          </w:divsChild>
        </w:div>
        <w:div w:id="1080099450">
          <w:marLeft w:val="0"/>
          <w:marRight w:val="0"/>
          <w:marTop w:val="0"/>
          <w:marBottom w:val="0"/>
          <w:divBdr>
            <w:top w:val="none" w:sz="0" w:space="0" w:color="auto"/>
            <w:left w:val="none" w:sz="0" w:space="0" w:color="auto"/>
            <w:bottom w:val="none" w:sz="0" w:space="0" w:color="auto"/>
            <w:right w:val="none" w:sz="0" w:space="0" w:color="auto"/>
          </w:divBdr>
          <w:divsChild>
            <w:div w:id="1629706398">
              <w:marLeft w:val="0"/>
              <w:marRight w:val="0"/>
              <w:marTop w:val="0"/>
              <w:marBottom w:val="0"/>
              <w:divBdr>
                <w:top w:val="none" w:sz="0" w:space="0" w:color="auto"/>
                <w:left w:val="none" w:sz="0" w:space="0" w:color="auto"/>
                <w:bottom w:val="none" w:sz="0" w:space="0" w:color="auto"/>
                <w:right w:val="none" w:sz="0" w:space="0" w:color="auto"/>
              </w:divBdr>
            </w:div>
          </w:divsChild>
        </w:div>
        <w:div w:id="1178302730">
          <w:marLeft w:val="0"/>
          <w:marRight w:val="0"/>
          <w:marTop w:val="0"/>
          <w:marBottom w:val="0"/>
          <w:divBdr>
            <w:top w:val="none" w:sz="0" w:space="0" w:color="auto"/>
            <w:left w:val="none" w:sz="0" w:space="0" w:color="auto"/>
            <w:bottom w:val="none" w:sz="0" w:space="0" w:color="auto"/>
            <w:right w:val="none" w:sz="0" w:space="0" w:color="auto"/>
          </w:divBdr>
          <w:divsChild>
            <w:div w:id="463812490">
              <w:marLeft w:val="0"/>
              <w:marRight w:val="0"/>
              <w:marTop w:val="0"/>
              <w:marBottom w:val="0"/>
              <w:divBdr>
                <w:top w:val="none" w:sz="0" w:space="0" w:color="auto"/>
                <w:left w:val="none" w:sz="0" w:space="0" w:color="auto"/>
                <w:bottom w:val="none" w:sz="0" w:space="0" w:color="auto"/>
                <w:right w:val="none" w:sz="0" w:space="0" w:color="auto"/>
              </w:divBdr>
            </w:div>
          </w:divsChild>
        </w:div>
        <w:div w:id="1224222462">
          <w:marLeft w:val="0"/>
          <w:marRight w:val="0"/>
          <w:marTop w:val="0"/>
          <w:marBottom w:val="0"/>
          <w:divBdr>
            <w:top w:val="none" w:sz="0" w:space="0" w:color="auto"/>
            <w:left w:val="none" w:sz="0" w:space="0" w:color="auto"/>
            <w:bottom w:val="none" w:sz="0" w:space="0" w:color="auto"/>
            <w:right w:val="none" w:sz="0" w:space="0" w:color="auto"/>
          </w:divBdr>
          <w:divsChild>
            <w:div w:id="1018579691">
              <w:marLeft w:val="0"/>
              <w:marRight w:val="0"/>
              <w:marTop w:val="0"/>
              <w:marBottom w:val="0"/>
              <w:divBdr>
                <w:top w:val="none" w:sz="0" w:space="0" w:color="auto"/>
                <w:left w:val="none" w:sz="0" w:space="0" w:color="auto"/>
                <w:bottom w:val="none" w:sz="0" w:space="0" w:color="auto"/>
                <w:right w:val="none" w:sz="0" w:space="0" w:color="auto"/>
              </w:divBdr>
            </w:div>
            <w:div w:id="1051155061">
              <w:marLeft w:val="0"/>
              <w:marRight w:val="0"/>
              <w:marTop w:val="0"/>
              <w:marBottom w:val="0"/>
              <w:divBdr>
                <w:top w:val="none" w:sz="0" w:space="0" w:color="auto"/>
                <w:left w:val="none" w:sz="0" w:space="0" w:color="auto"/>
                <w:bottom w:val="none" w:sz="0" w:space="0" w:color="auto"/>
                <w:right w:val="none" w:sz="0" w:space="0" w:color="auto"/>
              </w:divBdr>
            </w:div>
            <w:div w:id="1462574614">
              <w:marLeft w:val="0"/>
              <w:marRight w:val="0"/>
              <w:marTop w:val="0"/>
              <w:marBottom w:val="0"/>
              <w:divBdr>
                <w:top w:val="none" w:sz="0" w:space="0" w:color="auto"/>
                <w:left w:val="none" w:sz="0" w:space="0" w:color="auto"/>
                <w:bottom w:val="none" w:sz="0" w:space="0" w:color="auto"/>
                <w:right w:val="none" w:sz="0" w:space="0" w:color="auto"/>
              </w:divBdr>
            </w:div>
          </w:divsChild>
        </w:div>
        <w:div w:id="1224634029">
          <w:marLeft w:val="0"/>
          <w:marRight w:val="0"/>
          <w:marTop w:val="0"/>
          <w:marBottom w:val="0"/>
          <w:divBdr>
            <w:top w:val="none" w:sz="0" w:space="0" w:color="auto"/>
            <w:left w:val="none" w:sz="0" w:space="0" w:color="auto"/>
            <w:bottom w:val="none" w:sz="0" w:space="0" w:color="auto"/>
            <w:right w:val="none" w:sz="0" w:space="0" w:color="auto"/>
          </w:divBdr>
          <w:divsChild>
            <w:div w:id="1803500410">
              <w:marLeft w:val="0"/>
              <w:marRight w:val="0"/>
              <w:marTop w:val="0"/>
              <w:marBottom w:val="0"/>
              <w:divBdr>
                <w:top w:val="none" w:sz="0" w:space="0" w:color="auto"/>
                <w:left w:val="none" w:sz="0" w:space="0" w:color="auto"/>
                <w:bottom w:val="none" w:sz="0" w:space="0" w:color="auto"/>
                <w:right w:val="none" w:sz="0" w:space="0" w:color="auto"/>
              </w:divBdr>
            </w:div>
          </w:divsChild>
        </w:div>
        <w:div w:id="1301226850">
          <w:marLeft w:val="0"/>
          <w:marRight w:val="0"/>
          <w:marTop w:val="0"/>
          <w:marBottom w:val="0"/>
          <w:divBdr>
            <w:top w:val="none" w:sz="0" w:space="0" w:color="auto"/>
            <w:left w:val="none" w:sz="0" w:space="0" w:color="auto"/>
            <w:bottom w:val="none" w:sz="0" w:space="0" w:color="auto"/>
            <w:right w:val="none" w:sz="0" w:space="0" w:color="auto"/>
          </w:divBdr>
          <w:divsChild>
            <w:div w:id="68895347">
              <w:marLeft w:val="0"/>
              <w:marRight w:val="0"/>
              <w:marTop w:val="0"/>
              <w:marBottom w:val="0"/>
              <w:divBdr>
                <w:top w:val="none" w:sz="0" w:space="0" w:color="auto"/>
                <w:left w:val="none" w:sz="0" w:space="0" w:color="auto"/>
                <w:bottom w:val="none" w:sz="0" w:space="0" w:color="auto"/>
                <w:right w:val="none" w:sz="0" w:space="0" w:color="auto"/>
              </w:divBdr>
            </w:div>
            <w:div w:id="1920669644">
              <w:marLeft w:val="0"/>
              <w:marRight w:val="0"/>
              <w:marTop w:val="0"/>
              <w:marBottom w:val="0"/>
              <w:divBdr>
                <w:top w:val="none" w:sz="0" w:space="0" w:color="auto"/>
                <w:left w:val="none" w:sz="0" w:space="0" w:color="auto"/>
                <w:bottom w:val="none" w:sz="0" w:space="0" w:color="auto"/>
                <w:right w:val="none" w:sz="0" w:space="0" w:color="auto"/>
              </w:divBdr>
            </w:div>
            <w:div w:id="1971010430">
              <w:marLeft w:val="0"/>
              <w:marRight w:val="0"/>
              <w:marTop w:val="0"/>
              <w:marBottom w:val="0"/>
              <w:divBdr>
                <w:top w:val="none" w:sz="0" w:space="0" w:color="auto"/>
                <w:left w:val="none" w:sz="0" w:space="0" w:color="auto"/>
                <w:bottom w:val="none" w:sz="0" w:space="0" w:color="auto"/>
                <w:right w:val="none" w:sz="0" w:space="0" w:color="auto"/>
              </w:divBdr>
            </w:div>
          </w:divsChild>
        </w:div>
        <w:div w:id="1817068288">
          <w:marLeft w:val="0"/>
          <w:marRight w:val="0"/>
          <w:marTop w:val="0"/>
          <w:marBottom w:val="0"/>
          <w:divBdr>
            <w:top w:val="none" w:sz="0" w:space="0" w:color="auto"/>
            <w:left w:val="none" w:sz="0" w:space="0" w:color="auto"/>
            <w:bottom w:val="none" w:sz="0" w:space="0" w:color="auto"/>
            <w:right w:val="none" w:sz="0" w:space="0" w:color="auto"/>
          </w:divBdr>
          <w:divsChild>
            <w:div w:id="342900081">
              <w:marLeft w:val="0"/>
              <w:marRight w:val="0"/>
              <w:marTop w:val="0"/>
              <w:marBottom w:val="0"/>
              <w:divBdr>
                <w:top w:val="none" w:sz="0" w:space="0" w:color="auto"/>
                <w:left w:val="none" w:sz="0" w:space="0" w:color="auto"/>
                <w:bottom w:val="none" w:sz="0" w:space="0" w:color="auto"/>
                <w:right w:val="none" w:sz="0" w:space="0" w:color="auto"/>
              </w:divBdr>
            </w:div>
            <w:div w:id="481194925">
              <w:marLeft w:val="0"/>
              <w:marRight w:val="0"/>
              <w:marTop w:val="0"/>
              <w:marBottom w:val="0"/>
              <w:divBdr>
                <w:top w:val="none" w:sz="0" w:space="0" w:color="auto"/>
                <w:left w:val="none" w:sz="0" w:space="0" w:color="auto"/>
                <w:bottom w:val="none" w:sz="0" w:space="0" w:color="auto"/>
                <w:right w:val="none" w:sz="0" w:space="0" w:color="auto"/>
              </w:divBdr>
            </w:div>
            <w:div w:id="795368635">
              <w:marLeft w:val="0"/>
              <w:marRight w:val="0"/>
              <w:marTop w:val="0"/>
              <w:marBottom w:val="0"/>
              <w:divBdr>
                <w:top w:val="none" w:sz="0" w:space="0" w:color="auto"/>
                <w:left w:val="none" w:sz="0" w:space="0" w:color="auto"/>
                <w:bottom w:val="none" w:sz="0" w:space="0" w:color="auto"/>
                <w:right w:val="none" w:sz="0" w:space="0" w:color="auto"/>
              </w:divBdr>
            </w:div>
            <w:div w:id="999119165">
              <w:marLeft w:val="0"/>
              <w:marRight w:val="0"/>
              <w:marTop w:val="0"/>
              <w:marBottom w:val="0"/>
              <w:divBdr>
                <w:top w:val="none" w:sz="0" w:space="0" w:color="auto"/>
                <w:left w:val="none" w:sz="0" w:space="0" w:color="auto"/>
                <w:bottom w:val="none" w:sz="0" w:space="0" w:color="auto"/>
                <w:right w:val="none" w:sz="0" w:space="0" w:color="auto"/>
              </w:divBdr>
            </w:div>
            <w:div w:id="1513715096">
              <w:marLeft w:val="0"/>
              <w:marRight w:val="0"/>
              <w:marTop w:val="0"/>
              <w:marBottom w:val="0"/>
              <w:divBdr>
                <w:top w:val="none" w:sz="0" w:space="0" w:color="auto"/>
                <w:left w:val="none" w:sz="0" w:space="0" w:color="auto"/>
                <w:bottom w:val="none" w:sz="0" w:space="0" w:color="auto"/>
                <w:right w:val="none" w:sz="0" w:space="0" w:color="auto"/>
              </w:divBdr>
            </w:div>
          </w:divsChild>
        </w:div>
        <w:div w:id="1877766598">
          <w:marLeft w:val="0"/>
          <w:marRight w:val="0"/>
          <w:marTop w:val="0"/>
          <w:marBottom w:val="0"/>
          <w:divBdr>
            <w:top w:val="none" w:sz="0" w:space="0" w:color="auto"/>
            <w:left w:val="none" w:sz="0" w:space="0" w:color="auto"/>
            <w:bottom w:val="none" w:sz="0" w:space="0" w:color="auto"/>
            <w:right w:val="none" w:sz="0" w:space="0" w:color="auto"/>
          </w:divBdr>
          <w:divsChild>
            <w:div w:id="3541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9600">
      <w:bodyDiv w:val="1"/>
      <w:marLeft w:val="0"/>
      <w:marRight w:val="0"/>
      <w:marTop w:val="0"/>
      <w:marBottom w:val="0"/>
      <w:divBdr>
        <w:top w:val="none" w:sz="0" w:space="0" w:color="auto"/>
        <w:left w:val="none" w:sz="0" w:space="0" w:color="auto"/>
        <w:bottom w:val="none" w:sz="0" w:space="0" w:color="auto"/>
        <w:right w:val="none" w:sz="0" w:space="0" w:color="auto"/>
      </w:divBdr>
    </w:div>
    <w:div w:id="1321957943">
      <w:bodyDiv w:val="1"/>
      <w:marLeft w:val="0"/>
      <w:marRight w:val="0"/>
      <w:marTop w:val="0"/>
      <w:marBottom w:val="0"/>
      <w:divBdr>
        <w:top w:val="none" w:sz="0" w:space="0" w:color="auto"/>
        <w:left w:val="none" w:sz="0" w:space="0" w:color="auto"/>
        <w:bottom w:val="none" w:sz="0" w:space="0" w:color="auto"/>
        <w:right w:val="none" w:sz="0" w:space="0" w:color="auto"/>
      </w:divBdr>
    </w:div>
    <w:div w:id="133059912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650822">
      <w:bodyDiv w:val="1"/>
      <w:marLeft w:val="0"/>
      <w:marRight w:val="0"/>
      <w:marTop w:val="0"/>
      <w:marBottom w:val="0"/>
      <w:divBdr>
        <w:top w:val="none" w:sz="0" w:space="0" w:color="auto"/>
        <w:left w:val="none" w:sz="0" w:space="0" w:color="auto"/>
        <w:bottom w:val="none" w:sz="0" w:space="0" w:color="auto"/>
        <w:right w:val="none" w:sz="0" w:space="0" w:color="auto"/>
      </w:divBdr>
    </w:div>
    <w:div w:id="1394616684">
      <w:bodyDiv w:val="1"/>
      <w:marLeft w:val="0"/>
      <w:marRight w:val="0"/>
      <w:marTop w:val="0"/>
      <w:marBottom w:val="0"/>
      <w:divBdr>
        <w:top w:val="none" w:sz="0" w:space="0" w:color="auto"/>
        <w:left w:val="none" w:sz="0" w:space="0" w:color="auto"/>
        <w:bottom w:val="none" w:sz="0" w:space="0" w:color="auto"/>
        <w:right w:val="none" w:sz="0" w:space="0" w:color="auto"/>
      </w:divBdr>
      <w:divsChild>
        <w:div w:id="307056787">
          <w:marLeft w:val="0"/>
          <w:marRight w:val="0"/>
          <w:marTop w:val="0"/>
          <w:marBottom w:val="0"/>
          <w:divBdr>
            <w:top w:val="none" w:sz="0" w:space="0" w:color="auto"/>
            <w:left w:val="none" w:sz="0" w:space="0" w:color="auto"/>
            <w:bottom w:val="none" w:sz="0" w:space="0" w:color="auto"/>
            <w:right w:val="none" w:sz="0" w:space="0" w:color="auto"/>
          </w:divBdr>
        </w:div>
        <w:div w:id="342325508">
          <w:marLeft w:val="0"/>
          <w:marRight w:val="0"/>
          <w:marTop w:val="0"/>
          <w:marBottom w:val="0"/>
          <w:divBdr>
            <w:top w:val="none" w:sz="0" w:space="0" w:color="auto"/>
            <w:left w:val="none" w:sz="0" w:space="0" w:color="auto"/>
            <w:bottom w:val="none" w:sz="0" w:space="0" w:color="auto"/>
            <w:right w:val="none" w:sz="0" w:space="0" w:color="auto"/>
          </w:divBdr>
        </w:div>
        <w:div w:id="887033330">
          <w:marLeft w:val="0"/>
          <w:marRight w:val="0"/>
          <w:marTop w:val="0"/>
          <w:marBottom w:val="0"/>
          <w:divBdr>
            <w:top w:val="none" w:sz="0" w:space="0" w:color="auto"/>
            <w:left w:val="none" w:sz="0" w:space="0" w:color="auto"/>
            <w:bottom w:val="none" w:sz="0" w:space="0" w:color="auto"/>
            <w:right w:val="none" w:sz="0" w:space="0" w:color="auto"/>
          </w:divBdr>
        </w:div>
        <w:div w:id="959653129">
          <w:marLeft w:val="0"/>
          <w:marRight w:val="0"/>
          <w:marTop w:val="0"/>
          <w:marBottom w:val="0"/>
          <w:divBdr>
            <w:top w:val="none" w:sz="0" w:space="0" w:color="auto"/>
            <w:left w:val="none" w:sz="0" w:space="0" w:color="auto"/>
            <w:bottom w:val="none" w:sz="0" w:space="0" w:color="auto"/>
            <w:right w:val="none" w:sz="0" w:space="0" w:color="auto"/>
          </w:divBdr>
        </w:div>
        <w:div w:id="971520948">
          <w:marLeft w:val="0"/>
          <w:marRight w:val="0"/>
          <w:marTop w:val="0"/>
          <w:marBottom w:val="0"/>
          <w:divBdr>
            <w:top w:val="none" w:sz="0" w:space="0" w:color="auto"/>
            <w:left w:val="none" w:sz="0" w:space="0" w:color="auto"/>
            <w:bottom w:val="none" w:sz="0" w:space="0" w:color="auto"/>
            <w:right w:val="none" w:sz="0" w:space="0" w:color="auto"/>
          </w:divBdr>
          <w:divsChild>
            <w:div w:id="1804077188">
              <w:marLeft w:val="-75"/>
              <w:marRight w:val="0"/>
              <w:marTop w:val="30"/>
              <w:marBottom w:val="30"/>
              <w:divBdr>
                <w:top w:val="none" w:sz="0" w:space="0" w:color="auto"/>
                <w:left w:val="none" w:sz="0" w:space="0" w:color="auto"/>
                <w:bottom w:val="none" w:sz="0" w:space="0" w:color="auto"/>
                <w:right w:val="none" w:sz="0" w:space="0" w:color="auto"/>
              </w:divBdr>
              <w:divsChild>
                <w:div w:id="361056248">
                  <w:marLeft w:val="0"/>
                  <w:marRight w:val="0"/>
                  <w:marTop w:val="0"/>
                  <w:marBottom w:val="0"/>
                  <w:divBdr>
                    <w:top w:val="none" w:sz="0" w:space="0" w:color="auto"/>
                    <w:left w:val="none" w:sz="0" w:space="0" w:color="auto"/>
                    <w:bottom w:val="none" w:sz="0" w:space="0" w:color="auto"/>
                    <w:right w:val="none" w:sz="0" w:space="0" w:color="auto"/>
                  </w:divBdr>
                  <w:divsChild>
                    <w:div w:id="941954120">
                      <w:marLeft w:val="0"/>
                      <w:marRight w:val="0"/>
                      <w:marTop w:val="0"/>
                      <w:marBottom w:val="0"/>
                      <w:divBdr>
                        <w:top w:val="none" w:sz="0" w:space="0" w:color="auto"/>
                        <w:left w:val="none" w:sz="0" w:space="0" w:color="auto"/>
                        <w:bottom w:val="none" w:sz="0" w:space="0" w:color="auto"/>
                        <w:right w:val="none" w:sz="0" w:space="0" w:color="auto"/>
                      </w:divBdr>
                    </w:div>
                  </w:divsChild>
                </w:div>
                <w:div w:id="822544352">
                  <w:marLeft w:val="0"/>
                  <w:marRight w:val="0"/>
                  <w:marTop w:val="0"/>
                  <w:marBottom w:val="0"/>
                  <w:divBdr>
                    <w:top w:val="none" w:sz="0" w:space="0" w:color="auto"/>
                    <w:left w:val="none" w:sz="0" w:space="0" w:color="auto"/>
                    <w:bottom w:val="none" w:sz="0" w:space="0" w:color="auto"/>
                    <w:right w:val="none" w:sz="0" w:space="0" w:color="auto"/>
                  </w:divBdr>
                  <w:divsChild>
                    <w:div w:id="1257252134">
                      <w:marLeft w:val="0"/>
                      <w:marRight w:val="0"/>
                      <w:marTop w:val="0"/>
                      <w:marBottom w:val="0"/>
                      <w:divBdr>
                        <w:top w:val="none" w:sz="0" w:space="0" w:color="auto"/>
                        <w:left w:val="none" w:sz="0" w:space="0" w:color="auto"/>
                        <w:bottom w:val="none" w:sz="0" w:space="0" w:color="auto"/>
                        <w:right w:val="none" w:sz="0" w:space="0" w:color="auto"/>
                      </w:divBdr>
                    </w:div>
                  </w:divsChild>
                </w:div>
                <w:div w:id="877477540">
                  <w:marLeft w:val="0"/>
                  <w:marRight w:val="0"/>
                  <w:marTop w:val="0"/>
                  <w:marBottom w:val="0"/>
                  <w:divBdr>
                    <w:top w:val="none" w:sz="0" w:space="0" w:color="auto"/>
                    <w:left w:val="none" w:sz="0" w:space="0" w:color="auto"/>
                    <w:bottom w:val="none" w:sz="0" w:space="0" w:color="auto"/>
                    <w:right w:val="none" w:sz="0" w:space="0" w:color="auto"/>
                  </w:divBdr>
                  <w:divsChild>
                    <w:div w:id="273248319">
                      <w:marLeft w:val="0"/>
                      <w:marRight w:val="0"/>
                      <w:marTop w:val="0"/>
                      <w:marBottom w:val="0"/>
                      <w:divBdr>
                        <w:top w:val="none" w:sz="0" w:space="0" w:color="auto"/>
                        <w:left w:val="none" w:sz="0" w:space="0" w:color="auto"/>
                        <w:bottom w:val="none" w:sz="0" w:space="0" w:color="auto"/>
                        <w:right w:val="none" w:sz="0" w:space="0" w:color="auto"/>
                      </w:divBdr>
                    </w:div>
                    <w:div w:id="1184826760">
                      <w:marLeft w:val="0"/>
                      <w:marRight w:val="0"/>
                      <w:marTop w:val="0"/>
                      <w:marBottom w:val="0"/>
                      <w:divBdr>
                        <w:top w:val="none" w:sz="0" w:space="0" w:color="auto"/>
                        <w:left w:val="none" w:sz="0" w:space="0" w:color="auto"/>
                        <w:bottom w:val="none" w:sz="0" w:space="0" w:color="auto"/>
                        <w:right w:val="none" w:sz="0" w:space="0" w:color="auto"/>
                      </w:divBdr>
                    </w:div>
                    <w:div w:id="1198204105">
                      <w:marLeft w:val="0"/>
                      <w:marRight w:val="0"/>
                      <w:marTop w:val="0"/>
                      <w:marBottom w:val="0"/>
                      <w:divBdr>
                        <w:top w:val="none" w:sz="0" w:space="0" w:color="auto"/>
                        <w:left w:val="none" w:sz="0" w:space="0" w:color="auto"/>
                        <w:bottom w:val="none" w:sz="0" w:space="0" w:color="auto"/>
                        <w:right w:val="none" w:sz="0" w:space="0" w:color="auto"/>
                      </w:divBdr>
                    </w:div>
                    <w:div w:id="1238171813">
                      <w:marLeft w:val="0"/>
                      <w:marRight w:val="0"/>
                      <w:marTop w:val="0"/>
                      <w:marBottom w:val="0"/>
                      <w:divBdr>
                        <w:top w:val="none" w:sz="0" w:space="0" w:color="auto"/>
                        <w:left w:val="none" w:sz="0" w:space="0" w:color="auto"/>
                        <w:bottom w:val="none" w:sz="0" w:space="0" w:color="auto"/>
                        <w:right w:val="none" w:sz="0" w:space="0" w:color="auto"/>
                      </w:divBdr>
                    </w:div>
                  </w:divsChild>
                </w:div>
                <w:div w:id="1231694014">
                  <w:marLeft w:val="0"/>
                  <w:marRight w:val="0"/>
                  <w:marTop w:val="0"/>
                  <w:marBottom w:val="0"/>
                  <w:divBdr>
                    <w:top w:val="none" w:sz="0" w:space="0" w:color="auto"/>
                    <w:left w:val="none" w:sz="0" w:space="0" w:color="auto"/>
                    <w:bottom w:val="none" w:sz="0" w:space="0" w:color="auto"/>
                    <w:right w:val="none" w:sz="0" w:space="0" w:color="auto"/>
                  </w:divBdr>
                  <w:divsChild>
                    <w:div w:id="1514303458">
                      <w:marLeft w:val="0"/>
                      <w:marRight w:val="0"/>
                      <w:marTop w:val="0"/>
                      <w:marBottom w:val="0"/>
                      <w:divBdr>
                        <w:top w:val="none" w:sz="0" w:space="0" w:color="auto"/>
                        <w:left w:val="none" w:sz="0" w:space="0" w:color="auto"/>
                        <w:bottom w:val="none" w:sz="0" w:space="0" w:color="auto"/>
                        <w:right w:val="none" w:sz="0" w:space="0" w:color="auto"/>
                      </w:divBdr>
                    </w:div>
                  </w:divsChild>
                </w:div>
                <w:div w:id="1585872023">
                  <w:marLeft w:val="0"/>
                  <w:marRight w:val="0"/>
                  <w:marTop w:val="0"/>
                  <w:marBottom w:val="0"/>
                  <w:divBdr>
                    <w:top w:val="none" w:sz="0" w:space="0" w:color="auto"/>
                    <w:left w:val="none" w:sz="0" w:space="0" w:color="auto"/>
                    <w:bottom w:val="none" w:sz="0" w:space="0" w:color="auto"/>
                    <w:right w:val="none" w:sz="0" w:space="0" w:color="auto"/>
                  </w:divBdr>
                  <w:divsChild>
                    <w:div w:id="183716342">
                      <w:marLeft w:val="0"/>
                      <w:marRight w:val="0"/>
                      <w:marTop w:val="0"/>
                      <w:marBottom w:val="0"/>
                      <w:divBdr>
                        <w:top w:val="none" w:sz="0" w:space="0" w:color="auto"/>
                        <w:left w:val="none" w:sz="0" w:space="0" w:color="auto"/>
                        <w:bottom w:val="none" w:sz="0" w:space="0" w:color="auto"/>
                        <w:right w:val="none" w:sz="0" w:space="0" w:color="auto"/>
                      </w:divBdr>
                    </w:div>
                    <w:div w:id="462239412">
                      <w:marLeft w:val="0"/>
                      <w:marRight w:val="0"/>
                      <w:marTop w:val="0"/>
                      <w:marBottom w:val="0"/>
                      <w:divBdr>
                        <w:top w:val="none" w:sz="0" w:space="0" w:color="auto"/>
                        <w:left w:val="none" w:sz="0" w:space="0" w:color="auto"/>
                        <w:bottom w:val="none" w:sz="0" w:space="0" w:color="auto"/>
                        <w:right w:val="none" w:sz="0" w:space="0" w:color="auto"/>
                      </w:divBdr>
                    </w:div>
                    <w:div w:id="1145701582">
                      <w:marLeft w:val="0"/>
                      <w:marRight w:val="0"/>
                      <w:marTop w:val="0"/>
                      <w:marBottom w:val="0"/>
                      <w:divBdr>
                        <w:top w:val="none" w:sz="0" w:space="0" w:color="auto"/>
                        <w:left w:val="none" w:sz="0" w:space="0" w:color="auto"/>
                        <w:bottom w:val="none" w:sz="0" w:space="0" w:color="auto"/>
                        <w:right w:val="none" w:sz="0" w:space="0" w:color="auto"/>
                      </w:divBdr>
                    </w:div>
                  </w:divsChild>
                </w:div>
                <w:div w:id="2025011906">
                  <w:marLeft w:val="0"/>
                  <w:marRight w:val="0"/>
                  <w:marTop w:val="0"/>
                  <w:marBottom w:val="0"/>
                  <w:divBdr>
                    <w:top w:val="none" w:sz="0" w:space="0" w:color="auto"/>
                    <w:left w:val="none" w:sz="0" w:space="0" w:color="auto"/>
                    <w:bottom w:val="none" w:sz="0" w:space="0" w:color="auto"/>
                    <w:right w:val="none" w:sz="0" w:space="0" w:color="auto"/>
                  </w:divBdr>
                  <w:divsChild>
                    <w:div w:id="66466801">
                      <w:marLeft w:val="0"/>
                      <w:marRight w:val="0"/>
                      <w:marTop w:val="0"/>
                      <w:marBottom w:val="0"/>
                      <w:divBdr>
                        <w:top w:val="none" w:sz="0" w:space="0" w:color="auto"/>
                        <w:left w:val="none" w:sz="0" w:space="0" w:color="auto"/>
                        <w:bottom w:val="none" w:sz="0" w:space="0" w:color="auto"/>
                        <w:right w:val="none" w:sz="0" w:space="0" w:color="auto"/>
                      </w:divBdr>
                    </w:div>
                    <w:div w:id="954948513">
                      <w:marLeft w:val="0"/>
                      <w:marRight w:val="0"/>
                      <w:marTop w:val="0"/>
                      <w:marBottom w:val="0"/>
                      <w:divBdr>
                        <w:top w:val="none" w:sz="0" w:space="0" w:color="auto"/>
                        <w:left w:val="none" w:sz="0" w:space="0" w:color="auto"/>
                        <w:bottom w:val="none" w:sz="0" w:space="0" w:color="auto"/>
                        <w:right w:val="none" w:sz="0" w:space="0" w:color="auto"/>
                      </w:divBdr>
                    </w:div>
                    <w:div w:id="1032612604">
                      <w:marLeft w:val="0"/>
                      <w:marRight w:val="0"/>
                      <w:marTop w:val="0"/>
                      <w:marBottom w:val="0"/>
                      <w:divBdr>
                        <w:top w:val="none" w:sz="0" w:space="0" w:color="auto"/>
                        <w:left w:val="none" w:sz="0" w:space="0" w:color="auto"/>
                        <w:bottom w:val="none" w:sz="0" w:space="0" w:color="auto"/>
                        <w:right w:val="none" w:sz="0" w:space="0" w:color="auto"/>
                      </w:divBdr>
                    </w:div>
                    <w:div w:id="12143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20970">
          <w:marLeft w:val="0"/>
          <w:marRight w:val="0"/>
          <w:marTop w:val="0"/>
          <w:marBottom w:val="0"/>
          <w:divBdr>
            <w:top w:val="none" w:sz="0" w:space="0" w:color="auto"/>
            <w:left w:val="none" w:sz="0" w:space="0" w:color="auto"/>
            <w:bottom w:val="none" w:sz="0" w:space="0" w:color="auto"/>
            <w:right w:val="none" w:sz="0" w:space="0" w:color="auto"/>
          </w:divBdr>
        </w:div>
        <w:div w:id="1137646905">
          <w:marLeft w:val="0"/>
          <w:marRight w:val="0"/>
          <w:marTop w:val="0"/>
          <w:marBottom w:val="0"/>
          <w:divBdr>
            <w:top w:val="none" w:sz="0" w:space="0" w:color="auto"/>
            <w:left w:val="none" w:sz="0" w:space="0" w:color="auto"/>
            <w:bottom w:val="none" w:sz="0" w:space="0" w:color="auto"/>
            <w:right w:val="none" w:sz="0" w:space="0" w:color="auto"/>
          </w:divBdr>
          <w:divsChild>
            <w:div w:id="35006475">
              <w:marLeft w:val="0"/>
              <w:marRight w:val="0"/>
              <w:marTop w:val="0"/>
              <w:marBottom w:val="0"/>
              <w:divBdr>
                <w:top w:val="none" w:sz="0" w:space="0" w:color="auto"/>
                <w:left w:val="none" w:sz="0" w:space="0" w:color="auto"/>
                <w:bottom w:val="none" w:sz="0" w:space="0" w:color="auto"/>
                <w:right w:val="none" w:sz="0" w:space="0" w:color="auto"/>
              </w:divBdr>
            </w:div>
            <w:div w:id="72551992">
              <w:marLeft w:val="0"/>
              <w:marRight w:val="0"/>
              <w:marTop w:val="0"/>
              <w:marBottom w:val="0"/>
              <w:divBdr>
                <w:top w:val="none" w:sz="0" w:space="0" w:color="auto"/>
                <w:left w:val="none" w:sz="0" w:space="0" w:color="auto"/>
                <w:bottom w:val="none" w:sz="0" w:space="0" w:color="auto"/>
                <w:right w:val="none" w:sz="0" w:space="0" w:color="auto"/>
              </w:divBdr>
            </w:div>
            <w:div w:id="120198302">
              <w:marLeft w:val="0"/>
              <w:marRight w:val="0"/>
              <w:marTop w:val="0"/>
              <w:marBottom w:val="0"/>
              <w:divBdr>
                <w:top w:val="none" w:sz="0" w:space="0" w:color="auto"/>
                <w:left w:val="none" w:sz="0" w:space="0" w:color="auto"/>
                <w:bottom w:val="none" w:sz="0" w:space="0" w:color="auto"/>
                <w:right w:val="none" w:sz="0" w:space="0" w:color="auto"/>
              </w:divBdr>
            </w:div>
            <w:div w:id="704715339">
              <w:marLeft w:val="0"/>
              <w:marRight w:val="0"/>
              <w:marTop w:val="0"/>
              <w:marBottom w:val="0"/>
              <w:divBdr>
                <w:top w:val="none" w:sz="0" w:space="0" w:color="auto"/>
                <w:left w:val="none" w:sz="0" w:space="0" w:color="auto"/>
                <w:bottom w:val="none" w:sz="0" w:space="0" w:color="auto"/>
                <w:right w:val="none" w:sz="0" w:space="0" w:color="auto"/>
              </w:divBdr>
            </w:div>
            <w:div w:id="736168202">
              <w:marLeft w:val="0"/>
              <w:marRight w:val="0"/>
              <w:marTop w:val="0"/>
              <w:marBottom w:val="0"/>
              <w:divBdr>
                <w:top w:val="none" w:sz="0" w:space="0" w:color="auto"/>
                <w:left w:val="none" w:sz="0" w:space="0" w:color="auto"/>
                <w:bottom w:val="none" w:sz="0" w:space="0" w:color="auto"/>
                <w:right w:val="none" w:sz="0" w:space="0" w:color="auto"/>
              </w:divBdr>
            </w:div>
            <w:div w:id="1305231354">
              <w:marLeft w:val="0"/>
              <w:marRight w:val="0"/>
              <w:marTop w:val="0"/>
              <w:marBottom w:val="0"/>
              <w:divBdr>
                <w:top w:val="none" w:sz="0" w:space="0" w:color="auto"/>
                <w:left w:val="none" w:sz="0" w:space="0" w:color="auto"/>
                <w:bottom w:val="none" w:sz="0" w:space="0" w:color="auto"/>
                <w:right w:val="none" w:sz="0" w:space="0" w:color="auto"/>
              </w:divBdr>
            </w:div>
            <w:div w:id="1434860210">
              <w:marLeft w:val="0"/>
              <w:marRight w:val="0"/>
              <w:marTop w:val="0"/>
              <w:marBottom w:val="0"/>
              <w:divBdr>
                <w:top w:val="none" w:sz="0" w:space="0" w:color="auto"/>
                <w:left w:val="none" w:sz="0" w:space="0" w:color="auto"/>
                <w:bottom w:val="none" w:sz="0" w:space="0" w:color="auto"/>
                <w:right w:val="none" w:sz="0" w:space="0" w:color="auto"/>
              </w:divBdr>
            </w:div>
            <w:div w:id="1521696825">
              <w:marLeft w:val="0"/>
              <w:marRight w:val="0"/>
              <w:marTop w:val="0"/>
              <w:marBottom w:val="0"/>
              <w:divBdr>
                <w:top w:val="none" w:sz="0" w:space="0" w:color="auto"/>
                <w:left w:val="none" w:sz="0" w:space="0" w:color="auto"/>
                <w:bottom w:val="none" w:sz="0" w:space="0" w:color="auto"/>
                <w:right w:val="none" w:sz="0" w:space="0" w:color="auto"/>
              </w:divBdr>
            </w:div>
            <w:div w:id="1569850375">
              <w:marLeft w:val="0"/>
              <w:marRight w:val="0"/>
              <w:marTop w:val="0"/>
              <w:marBottom w:val="0"/>
              <w:divBdr>
                <w:top w:val="none" w:sz="0" w:space="0" w:color="auto"/>
                <w:left w:val="none" w:sz="0" w:space="0" w:color="auto"/>
                <w:bottom w:val="none" w:sz="0" w:space="0" w:color="auto"/>
                <w:right w:val="none" w:sz="0" w:space="0" w:color="auto"/>
              </w:divBdr>
            </w:div>
            <w:div w:id="1935164326">
              <w:marLeft w:val="0"/>
              <w:marRight w:val="0"/>
              <w:marTop w:val="0"/>
              <w:marBottom w:val="0"/>
              <w:divBdr>
                <w:top w:val="none" w:sz="0" w:space="0" w:color="auto"/>
                <w:left w:val="none" w:sz="0" w:space="0" w:color="auto"/>
                <w:bottom w:val="none" w:sz="0" w:space="0" w:color="auto"/>
                <w:right w:val="none" w:sz="0" w:space="0" w:color="auto"/>
              </w:divBdr>
            </w:div>
          </w:divsChild>
        </w:div>
        <w:div w:id="1507133433">
          <w:marLeft w:val="0"/>
          <w:marRight w:val="0"/>
          <w:marTop w:val="0"/>
          <w:marBottom w:val="0"/>
          <w:divBdr>
            <w:top w:val="none" w:sz="0" w:space="0" w:color="auto"/>
            <w:left w:val="none" w:sz="0" w:space="0" w:color="auto"/>
            <w:bottom w:val="none" w:sz="0" w:space="0" w:color="auto"/>
            <w:right w:val="none" w:sz="0" w:space="0" w:color="auto"/>
          </w:divBdr>
        </w:div>
        <w:div w:id="1523668798">
          <w:marLeft w:val="0"/>
          <w:marRight w:val="0"/>
          <w:marTop w:val="0"/>
          <w:marBottom w:val="0"/>
          <w:divBdr>
            <w:top w:val="none" w:sz="0" w:space="0" w:color="auto"/>
            <w:left w:val="none" w:sz="0" w:space="0" w:color="auto"/>
            <w:bottom w:val="none" w:sz="0" w:space="0" w:color="auto"/>
            <w:right w:val="none" w:sz="0" w:space="0" w:color="auto"/>
          </w:divBdr>
          <w:divsChild>
            <w:div w:id="1852528131">
              <w:marLeft w:val="-75"/>
              <w:marRight w:val="0"/>
              <w:marTop w:val="30"/>
              <w:marBottom w:val="30"/>
              <w:divBdr>
                <w:top w:val="none" w:sz="0" w:space="0" w:color="auto"/>
                <w:left w:val="none" w:sz="0" w:space="0" w:color="auto"/>
                <w:bottom w:val="none" w:sz="0" w:space="0" w:color="auto"/>
                <w:right w:val="none" w:sz="0" w:space="0" w:color="auto"/>
              </w:divBdr>
              <w:divsChild>
                <w:div w:id="175460699">
                  <w:marLeft w:val="0"/>
                  <w:marRight w:val="0"/>
                  <w:marTop w:val="0"/>
                  <w:marBottom w:val="0"/>
                  <w:divBdr>
                    <w:top w:val="none" w:sz="0" w:space="0" w:color="auto"/>
                    <w:left w:val="none" w:sz="0" w:space="0" w:color="auto"/>
                    <w:bottom w:val="none" w:sz="0" w:space="0" w:color="auto"/>
                    <w:right w:val="none" w:sz="0" w:space="0" w:color="auto"/>
                  </w:divBdr>
                  <w:divsChild>
                    <w:div w:id="1119254583">
                      <w:marLeft w:val="0"/>
                      <w:marRight w:val="0"/>
                      <w:marTop w:val="0"/>
                      <w:marBottom w:val="0"/>
                      <w:divBdr>
                        <w:top w:val="none" w:sz="0" w:space="0" w:color="auto"/>
                        <w:left w:val="none" w:sz="0" w:space="0" w:color="auto"/>
                        <w:bottom w:val="none" w:sz="0" w:space="0" w:color="auto"/>
                        <w:right w:val="none" w:sz="0" w:space="0" w:color="auto"/>
                      </w:divBdr>
                    </w:div>
                  </w:divsChild>
                </w:div>
                <w:div w:id="686372426">
                  <w:marLeft w:val="0"/>
                  <w:marRight w:val="0"/>
                  <w:marTop w:val="0"/>
                  <w:marBottom w:val="0"/>
                  <w:divBdr>
                    <w:top w:val="none" w:sz="0" w:space="0" w:color="auto"/>
                    <w:left w:val="none" w:sz="0" w:space="0" w:color="auto"/>
                    <w:bottom w:val="none" w:sz="0" w:space="0" w:color="auto"/>
                    <w:right w:val="none" w:sz="0" w:space="0" w:color="auto"/>
                  </w:divBdr>
                  <w:divsChild>
                    <w:div w:id="2004432567">
                      <w:marLeft w:val="0"/>
                      <w:marRight w:val="0"/>
                      <w:marTop w:val="0"/>
                      <w:marBottom w:val="0"/>
                      <w:divBdr>
                        <w:top w:val="none" w:sz="0" w:space="0" w:color="auto"/>
                        <w:left w:val="none" w:sz="0" w:space="0" w:color="auto"/>
                        <w:bottom w:val="none" w:sz="0" w:space="0" w:color="auto"/>
                        <w:right w:val="none" w:sz="0" w:space="0" w:color="auto"/>
                      </w:divBdr>
                    </w:div>
                  </w:divsChild>
                </w:div>
                <w:div w:id="857080347">
                  <w:marLeft w:val="0"/>
                  <w:marRight w:val="0"/>
                  <w:marTop w:val="0"/>
                  <w:marBottom w:val="0"/>
                  <w:divBdr>
                    <w:top w:val="none" w:sz="0" w:space="0" w:color="auto"/>
                    <w:left w:val="none" w:sz="0" w:space="0" w:color="auto"/>
                    <w:bottom w:val="none" w:sz="0" w:space="0" w:color="auto"/>
                    <w:right w:val="none" w:sz="0" w:space="0" w:color="auto"/>
                  </w:divBdr>
                  <w:divsChild>
                    <w:div w:id="1607234282">
                      <w:marLeft w:val="0"/>
                      <w:marRight w:val="0"/>
                      <w:marTop w:val="0"/>
                      <w:marBottom w:val="0"/>
                      <w:divBdr>
                        <w:top w:val="none" w:sz="0" w:space="0" w:color="auto"/>
                        <w:left w:val="none" w:sz="0" w:space="0" w:color="auto"/>
                        <w:bottom w:val="none" w:sz="0" w:space="0" w:color="auto"/>
                        <w:right w:val="none" w:sz="0" w:space="0" w:color="auto"/>
                      </w:divBdr>
                    </w:div>
                  </w:divsChild>
                </w:div>
                <w:div w:id="866866692">
                  <w:marLeft w:val="0"/>
                  <w:marRight w:val="0"/>
                  <w:marTop w:val="0"/>
                  <w:marBottom w:val="0"/>
                  <w:divBdr>
                    <w:top w:val="none" w:sz="0" w:space="0" w:color="auto"/>
                    <w:left w:val="none" w:sz="0" w:space="0" w:color="auto"/>
                    <w:bottom w:val="none" w:sz="0" w:space="0" w:color="auto"/>
                    <w:right w:val="none" w:sz="0" w:space="0" w:color="auto"/>
                  </w:divBdr>
                  <w:divsChild>
                    <w:div w:id="562567621">
                      <w:marLeft w:val="0"/>
                      <w:marRight w:val="0"/>
                      <w:marTop w:val="0"/>
                      <w:marBottom w:val="0"/>
                      <w:divBdr>
                        <w:top w:val="none" w:sz="0" w:space="0" w:color="auto"/>
                        <w:left w:val="none" w:sz="0" w:space="0" w:color="auto"/>
                        <w:bottom w:val="none" w:sz="0" w:space="0" w:color="auto"/>
                        <w:right w:val="none" w:sz="0" w:space="0" w:color="auto"/>
                      </w:divBdr>
                    </w:div>
                  </w:divsChild>
                </w:div>
                <w:div w:id="920138294">
                  <w:marLeft w:val="0"/>
                  <w:marRight w:val="0"/>
                  <w:marTop w:val="0"/>
                  <w:marBottom w:val="0"/>
                  <w:divBdr>
                    <w:top w:val="none" w:sz="0" w:space="0" w:color="auto"/>
                    <w:left w:val="none" w:sz="0" w:space="0" w:color="auto"/>
                    <w:bottom w:val="none" w:sz="0" w:space="0" w:color="auto"/>
                    <w:right w:val="none" w:sz="0" w:space="0" w:color="auto"/>
                  </w:divBdr>
                  <w:divsChild>
                    <w:div w:id="726682540">
                      <w:marLeft w:val="0"/>
                      <w:marRight w:val="0"/>
                      <w:marTop w:val="0"/>
                      <w:marBottom w:val="0"/>
                      <w:divBdr>
                        <w:top w:val="none" w:sz="0" w:space="0" w:color="auto"/>
                        <w:left w:val="none" w:sz="0" w:space="0" w:color="auto"/>
                        <w:bottom w:val="none" w:sz="0" w:space="0" w:color="auto"/>
                        <w:right w:val="none" w:sz="0" w:space="0" w:color="auto"/>
                      </w:divBdr>
                    </w:div>
                  </w:divsChild>
                </w:div>
                <w:div w:id="1038506782">
                  <w:marLeft w:val="0"/>
                  <w:marRight w:val="0"/>
                  <w:marTop w:val="0"/>
                  <w:marBottom w:val="0"/>
                  <w:divBdr>
                    <w:top w:val="none" w:sz="0" w:space="0" w:color="auto"/>
                    <w:left w:val="none" w:sz="0" w:space="0" w:color="auto"/>
                    <w:bottom w:val="none" w:sz="0" w:space="0" w:color="auto"/>
                    <w:right w:val="none" w:sz="0" w:space="0" w:color="auto"/>
                  </w:divBdr>
                  <w:divsChild>
                    <w:div w:id="773868658">
                      <w:marLeft w:val="0"/>
                      <w:marRight w:val="0"/>
                      <w:marTop w:val="0"/>
                      <w:marBottom w:val="0"/>
                      <w:divBdr>
                        <w:top w:val="none" w:sz="0" w:space="0" w:color="auto"/>
                        <w:left w:val="none" w:sz="0" w:space="0" w:color="auto"/>
                        <w:bottom w:val="none" w:sz="0" w:space="0" w:color="auto"/>
                        <w:right w:val="none" w:sz="0" w:space="0" w:color="auto"/>
                      </w:divBdr>
                    </w:div>
                  </w:divsChild>
                </w:div>
                <w:div w:id="1084105454">
                  <w:marLeft w:val="0"/>
                  <w:marRight w:val="0"/>
                  <w:marTop w:val="0"/>
                  <w:marBottom w:val="0"/>
                  <w:divBdr>
                    <w:top w:val="none" w:sz="0" w:space="0" w:color="auto"/>
                    <w:left w:val="none" w:sz="0" w:space="0" w:color="auto"/>
                    <w:bottom w:val="none" w:sz="0" w:space="0" w:color="auto"/>
                    <w:right w:val="none" w:sz="0" w:space="0" w:color="auto"/>
                  </w:divBdr>
                  <w:divsChild>
                    <w:div w:id="1835224718">
                      <w:marLeft w:val="0"/>
                      <w:marRight w:val="0"/>
                      <w:marTop w:val="0"/>
                      <w:marBottom w:val="0"/>
                      <w:divBdr>
                        <w:top w:val="none" w:sz="0" w:space="0" w:color="auto"/>
                        <w:left w:val="none" w:sz="0" w:space="0" w:color="auto"/>
                        <w:bottom w:val="none" w:sz="0" w:space="0" w:color="auto"/>
                        <w:right w:val="none" w:sz="0" w:space="0" w:color="auto"/>
                      </w:divBdr>
                    </w:div>
                  </w:divsChild>
                </w:div>
                <w:div w:id="1157914145">
                  <w:marLeft w:val="0"/>
                  <w:marRight w:val="0"/>
                  <w:marTop w:val="0"/>
                  <w:marBottom w:val="0"/>
                  <w:divBdr>
                    <w:top w:val="none" w:sz="0" w:space="0" w:color="auto"/>
                    <w:left w:val="none" w:sz="0" w:space="0" w:color="auto"/>
                    <w:bottom w:val="none" w:sz="0" w:space="0" w:color="auto"/>
                    <w:right w:val="none" w:sz="0" w:space="0" w:color="auto"/>
                  </w:divBdr>
                  <w:divsChild>
                    <w:div w:id="183136329">
                      <w:marLeft w:val="0"/>
                      <w:marRight w:val="0"/>
                      <w:marTop w:val="0"/>
                      <w:marBottom w:val="0"/>
                      <w:divBdr>
                        <w:top w:val="none" w:sz="0" w:space="0" w:color="auto"/>
                        <w:left w:val="none" w:sz="0" w:space="0" w:color="auto"/>
                        <w:bottom w:val="none" w:sz="0" w:space="0" w:color="auto"/>
                        <w:right w:val="none" w:sz="0" w:space="0" w:color="auto"/>
                      </w:divBdr>
                    </w:div>
                  </w:divsChild>
                </w:div>
                <w:div w:id="1204749929">
                  <w:marLeft w:val="0"/>
                  <w:marRight w:val="0"/>
                  <w:marTop w:val="0"/>
                  <w:marBottom w:val="0"/>
                  <w:divBdr>
                    <w:top w:val="none" w:sz="0" w:space="0" w:color="auto"/>
                    <w:left w:val="none" w:sz="0" w:space="0" w:color="auto"/>
                    <w:bottom w:val="none" w:sz="0" w:space="0" w:color="auto"/>
                    <w:right w:val="none" w:sz="0" w:space="0" w:color="auto"/>
                  </w:divBdr>
                  <w:divsChild>
                    <w:div w:id="1476021605">
                      <w:marLeft w:val="0"/>
                      <w:marRight w:val="0"/>
                      <w:marTop w:val="0"/>
                      <w:marBottom w:val="0"/>
                      <w:divBdr>
                        <w:top w:val="none" w:sz="0" w:space="0" w:color="auto"/>
                        <w:left w:val="none" w:sz="0" w:space="0" w:color="auto"/>
                        <w:bottom w:val="none" w:sz="0" w:space="0" w:color="auto"/>
                        <w:right w:val="none" w:sz="0" w:space="0" w:color="auto"/>
                      </w:divBdr>
                    </w:div>
                  </w:divsChild>
                </w:div>
                <w:div w:id="1484809879">
                  <w:marLeft w:val="0"/>
                  <w:marRight w:val="0"/>
                  <w:marTop w:val="0"/>
                  <w:marBottom w:val="0"/>
                  <w:divBdr>
                    <w:top w:val="none" w:sz="0" w:space="0" w:color="auto"/>
                    <w:left w:val="none" w:sz="0" w:space="0" w:color="auto"/>
                    <w:bottom w:val="none" w:sz="0" w:space="0" w:color="auto"/>
                    <w:right w:val="none" w:sz="0" w:space="0" w:color="auto"/>
                  </w:divBdr>
                  <w:divsChild>
                    <w:div w:id="6583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3418">
          <w:marLeft w:val="0"/>
          <w:marRight w:val="0"/>
          <w:marTop w:val="0"/>
          <w:marBottom w:val="0"/>
          <w:divBdr>
            <w:top w:val="none" w:sz="0" w:space="0" w:color="auto"/>
            <w:left w:val="none" w:sz="0" w:space="0" w:color="auto"/>
            <w:bottom w:val="none" w:sz="0" w:space="0" w:color="auto"/>
            <w:right w:val="none" w:sz="0" w:space="0" w:color="auto"/>
          </w:divBdr>
        </w:div>
        <w:div w:id="1993214645">
          <w:marLeft w:val="0"/>
          <w:marRight w:val="0"/>
          <w:marTop w:val="0"/>
          <w:marBottom w:val="0"/>
          <w:divBdr>
            <w:top w:val="none" w:sz="0" w:space="0" w:color="auto"/>
            <w:left w:val="none" w:sz="0" w:space="0" w:color="auto"/>
            <w:bottom w:val="none" w:sz="0" w:space="0" w:color="auto"/>
            <w:right w:val="none" w:sz="0" w:space="0" w:color="auto"/>
          </w:divBdr>
        </w:div>
      </w:divsChild>
    </w:div>
    <w:div w:id="1413314215">
      <w:bodyDiv w:val="1"/>
      <w:marLeft w:val="0"/>
      <w:marRight w:val="0"/>
      <w:marTop w:val="0"/>
      <w:marBottom w:val="0"/>
      <w:divBdr>
        <w:top w:val="none" w:sz="0" w:space="0" w:color="auto"/>
        <w:left w:val="none" w:sz="0" w:space="0" w:color="auto"/>
        <w:bottom w:val="none" w:sz="0" w:space="0" w:color="auto"/>
        <w:right w:val="none" w:sz="0" w:space="0" w:color="auto"/>
      </w:divBdr>
      <w:divsChild>
        <w:div w:id="64257277">
          <w:marLeft w:val="0"/>
          <w:marRight w:val="0"/>
          <w:marTop w:val="0"/>
          <w:marBottom w:val="0"/>
          <w:divBdr>
            <w:top w:val="none" w:sz="0" w:space="0" w:color="auto"/>
            <w:left w:val="none" w:sz="0" w:space="0" w:color="auto"/>
            <w:bottom w:val="none" w:sz="0" w:space="0" w:color="auto"/>
            <w:right w:val="none" w:sz="0" w:space="0" w:color="auto"/>
          </w:divBdr>
          <w:divsChild>
            <w:div w:id="46995350">
              <w:marLeft w:val="0"/>
              <w:marRight w:val="0"/>
              <w:marTop w:val="0"/>
              <w:marBottom w:val="0"/>
              <w:divBdr>
                <w:top w:val="none" w:sz="0" w:space="0" w:color="auto"/>
                <w:left w:val="none" w:sz="0" w:space="0" w:color="auto"/>
                <w:bottom w:val="none" w:sz="0" w:space="0" w:color="auto"/>
                <w:right w:val="none" w:sz="0" w:space="0" w:color="auto"/>
              </w:divBdr>
            </w:div>
            <w:div w:id="573976706">
              <w:marLeft w:val="0"/>
              <w:marRight w:val="0"/>
              <w:marTop w:val="0"/>
              <w:marBottom w:val="0"/>
              <w:divBdr>
                <w:top w:val="none" w:sz="0" w:space="0" w:color="auto"/>
                <w:left w:val="none" w:sz="0" w:space="0" w:color="auto"/>
                <w:bottom w:val="none" w:sz="0" w:space="0" w:color="auto"/>
                <w:right w:val="none" w:sz="0" w:space="0" w:color="auto"/>
              </w:divBdr>
            </w:div>
            <w:div w:id="1515463863">
              <w:marLeft w:val="0"/>
              <w:marRight w:val="0"/>
              <w:marTop w:val="0"/>
              <w:marBottom w:val="0"/>
              <w:divBdr>
                <w:top w:val="none" w:sz="0" w:space="0" w:color="auto"/>
                <w:left w:val="none" w:sz="0" w:space="0" w:color="auto"/>
                <w:bottom w:val="none" w:sz="0" w:space="0" w:color="auto"/>
                <w:right w:val="none" w:sz="0" w:space="0" w:color="auto"/>
              </w:divBdr>
            </w:div>
          </w:divsChild>
        </w:div>
        <w:div w:id="80108479">
          <w:marLeft w:val="0"/>
          <w:marRight w:val="0"/>
          <w:marTop w:val="0"/>
          <w:marBottom w:val="0"/>
          <w:divBdr>
            <w:top w:val="none" w:sz="0" w:space="0" w:color="auto"/>
            <w:left w:val="none" w:sz="0" w:space="0" w:color="auto"/>
            <w:bottom w:val="none" w:sz="0" w:space="0" w:color="auto"/>
            <w:right w:val="none" w:sz="0" w:space="0" w:color="auto"/>
          </w:divBdr>
          <w:divsChild>
            <w:div w:id="1642543014">
              <w:marLeft w:val="0"/>
              <w:marRight w:val="0"/>
              <w:marTop w:val="0"/>
              <w:marBottom w:val="0"/>
              <w:divBdr>
                <w:top w:val="none" w:sz="0" w:space="0" w:color="auto"/>
                <w:left w:val="none" w:sz="0" w:space="0" w:color="auto"/>
                <w:bottom w:val="none" w:sz="0" w:space="0" w:color="auto"/>
                <w:right w:val="none" w:sz="0" w:space="0" w:color="auto"/>
              </w:divBdr>
            </w:div>
            <w:div w:id="1767536815">
              <w:marLeft w:val="0"/>
              <w:marRight w:val="0"/>
              <w:marTop w:val="0"/>
              <w:marBottom w:val="0"/>
              <w:divBdr>
                <w:top w:val="none" w:sz="0" w:space="0" w:color="auto"/>
                <w:left w:val="none" w:sz="0" w:space="0" w:color="auto"/>
                <w:bottom w:val="none" w:sz="0" w:space="0" w:color="auto"/>
                <w:right w:val="none" w:sz="0" w:space="0" w:color="auto"/>
              </w:divBdr>
            </w:div>
          </w:divsChild>
        </w:div>
        <w:div w:id="87426569">
          <w:marLeft w:val="0"/>
          <w:marRight w:val="0"/>
          <w:marTop w:val="0"/>
          <w:marBottom w:val="0"/>
          <w:divBdr>
            <w:top w:val="none" w:sz="0" w:space="0" w:color="auto"/>
            <w:left w:val="none" w:sz="0" w:space="0" w:color="auto"/>
            <w:bottom w:val="none" w:sz="0" w:space="0" w:color="auto"/>
            <w:right w:val="none" w:sz="0" w:space="0" w:color="auto"/>
          </w:divBdr>
          <w:divsChild>
            <w:div w:id="1333920447">
              <w:marLeft w:val="0"/>
              <w:marRight w:val="0"/>
              <w:marTop w:val="0"/>
              <w:marBottom w:val="0"/>
              <w:divBdr>
                <w:top w:val="none" w:sz="0" w:space="0" w:color="auto"/>
                <w:left w:val="none" w:sz="0" w:space="0" w:color="auto"/>
                <w:bottom w:val="none" w:sz="0" w:space="0" w:color="auto"/>
                <w:right w:val="none" w:sz="0" w:space="0" w:color="auto"/>
              </w:divBdr>
            </w:div>
            <w:div w:id="1345592642">
              <w:marLeft w:val="0"/>
              <w:marRight w:val="0"/>
              <w:marTop w:val="0"/>
              <w:marBottom w:val="0"/>
              <w:divBdr>
                <w:top w:val="none" w:sz="0" w:space="0" w:color="auto"/>
                <w:left w:val="none" w:sz="0" w:space="0" w:color="auto"/>
                <w:bottom w:val="none" w:sz="0" w:space="0" w:color="auto"/>
                <w:right w:val="none" w:sz="0" w:space="0" w:color="auto"/>
              </w:divBdr>
            </w:div>
          </w:divsChild>
        </w:div>
        <w:div w:id="118913296">
          <w:marLeft w:val="0"/>
          <w:marRight w:val="0"/>
          <w:marTop w:val="0"/>
          <w:marBottom w:val="0"/>
          <w:divBdr>
            <w:top w:val="none" w:sz="0" w:space="0" w:color="auto"/>
            <w:left w:val="none" w:sz="0" w:space="0" w:color="auto"/>
            <w:bottom w:val="none" w:sz="0" w:space="0" w:color="auto"/>
            <w:right w:val="none" w:sz="0" w:space="0" w:color="auto"/>
          </w:divBdr>
          <w:divsChild>
            <w:div w:id="1610047315">
              <w:marLeft w:val="0"/>
              <w:marRight w:val="0"/>
              <w:marTop w:val="0"/>
              <w:marBottom w:val="0"/>
              <w:divBdr>
                <w:top w:val="none" w:sz="0" w:space="0" w:color="auto"/>
                <w:left w:val="none" w:sz="0" w:space="0" w:color="auto"/>
                <w:bottom w:val="none" w:sz="0" w:space="0" w:color="auto"/>
                <w:right w:val="none" w:sz="0" w:space="0" w:color="auto"/>
              </w:divBdr>
            </w:div>
          </w:divsChild>
        </w:div>
        <w:div w:id="173957033">
          <w:marLeft w:val="0"/>
          <w:marRight w:val="0"/>
          <w:marTop w:val="0"/>
          <w:marBottom w:val="0"/>
          <w:divBdr>
            <w:top w:val="none" w:sz="0" w:space="0" w:color="auto"/>
            <w:left w:val="none" w:sz="0" w:space="0" w:color="auto"/>
            <w:bottom w:val="none" w:sz="0" w:space="0" w:color="auto"/>
            <w:right w:val="none" w:sz="0" w:space="0" w:color="auto"/>
          </w:divBdr>
          <w:divsChild>
            <w:div w:id="1029843070">
              <w:marLeft w:val="0"/>
              <w:marRight w:val="0"/>
              <w:marTop w:val="0"/>
              <w:marBottom w:val="0"/>
              <w:divBdr>
                <w:top w:val="none" w:sz="0" w:space="0" w:color="auto"/>
                <w:left w:val="none" w:sz="0" w:space="0" w:color="auto"/>
                <w:bottom w:val="none" w:sz="0" w:space="0" w:color="auto"/>
                <w:right w:val="none" w:sz="0" w:space="0" w:color="auto"/>
              </w:divBdr>
            </w:div>
          </w:divsChild>
        </w:div>
        <w:div w:id="197550867">
          <w:marLeft w:val="0"/>
          <w:marRight w:val="0"/>
          <w:marTop w:val="0"/>
          <w:marBottom w:val="0"/>
          <w:divBdr>
            <w:top w:val="none" w:sz="0" w:space="0" w:color="auto"/>
            <w:left w:val="none" w:sz="0" w:space="0" w:color="auto"/>
            <w:bottom w:val="none" w:sz="0" w:space="0" w:color="auto"/>
            <w:right w:val="none" w:sz="0" w:space="0" w:color="auto"/>
          </w:divBdr>
          <w:divsChild>
            <w:div w:id="1081567346">
              <w:marLeft w:val="0"/>
              <w:marRight w:val="0"/>
              <w:marTop w:val="0"/>
              <w:marBottom w:val="0"/>
              <w:divBdr>
                <w:top w:val="none" w:sz="0" w:space="0" w:color="auto"/>
                <w:left w:val="none" w:sz="0" w:space="0" w:color="auto"/>
                <w:bottom w:val="none" w:sz="0" w:space="0" w:color="auto"/>
                <w:right w:val="none" w:sz="0" w:space="0" w:color="auto"/>
              </w:divBdr>
            </w:div>
            <w:div w:id="1382629572">
              <w:marLeft w:val="0"/>
              <w:marRight w:val="0"/>
              <w:marTop w:val="0"/>
              <w:marBottom w:val="0"/>
              <w:divBdr>
                <w:top w:val="none" w:sz="0" w:space="0" w:color="auto"/>
                <w:left w:val="none" w:sz="0" w:space="0" w:color="auto"/>
                <w:bottom w:val="none" w:sz="0" w:space="0" w:color="auto"/>
                <w:right w:val="none" w:sz="0" w:space="0" w:color="auto"/>
              </w:divBdr>
            </w:div>
            <w:div w:id="2002928887">
              <w:marLeft w:val="0"/>
              <w:marRight w:val="0"/>
              <w:marTop w:val="0"/>
              <w:marBottom w:val="0"/>
              <w:divBdr>
                <w:top w:val="none" w:sz="0" w:space="0" w:color="auto"/>
                <w:left w:val="none" w:sz="0" w:space="0" w:color="auto"/>
                <w:bottom w:val="none" w:sz="0" w:space="0" w:color="auto"/>
                <w:right w:val="none" w:sz="0" w:space="0" w:color="auto"/>
              </w:divBdr>
            </w:div>
            <w:div w:id="2127310080">
              <w:marLeft w:val="0"/>
              <w:marRight w:val="0"/>
              <w:marTop w:val="0"/>
              <w:marBottom w:val="0"/>
              <w:divBdr>
                <w:top w:val="none" w:sz="0" w:space="0" w:color="auto"/>
                <w:left w:val="none" w:sz="0" w:space="0" w:color="auto"/>
                <w:bottom w:val="none" w:sz="0" w:space="0" w:color="auto"/>
                <w:right w:val="none" w:sz="0" w:space="0" w:color="auto"/>
              </w:divBdr>
            </w:div>
          </w:divsChild>
        </w:div>
        <w:div w:id="273950190">
          <w:marLeft w:val="0"/>
          <w:marRight w:val="0"/>
          <w:marTop w:val="0"/>
          <w:marBottom w:val="0"/>
          <w:divBdr>
            <w:top w:val="none" w:sz="0" w:space="0" w:color="auto"/>
            <w:left w:val="none" w:sz="0" w:space="0" w:color="auto"/>
            <w:bottom w:val="none" w:sz="0" w:space="0" w:color="auto"/>
            <w:right w:val="none" w:sz="0" w:space="0" w:color="auto"/>
          </w:divBdr>
          <w:divsChild>
            <w:div w:id="672876142">
              <w:marLeft w:val="0"/>
              <w:marRight w:val="0"/>
              <w:marTop w:val="0"/>
              <w:marBottom w:val="0"/>
              <w:divBdr>
                <w:top w:val="none" w:sz="0" w:space="0" w:color="auto"/>
                <w:left w:val="none" w:sz="0" w:space="0" w:color="auto"/>
                <w:bottom w:val="none" w:sz="0" w:space="0" w:color="auto"/>
                <w:right w:val="none" w:sz="0" w:space="0" w:color="auto"/>
              </w:divBdr>
            </w:div>
          </w:divsChild>
        </w:div>
        <w:div w:id="277494342">
          <w:marLeft w:val="0"/>
          <w:marRight w:val="0"/>
          <w:marTop w:val="0"/>
          <w:marBottom w:val="0"/>
          <w:divBdr>
            <w:top w:val="none" w:sz="0" w:space="0" w:color="auto"/>
            <w:left w:val="none" w:sz="0" w:space="0" w:color="auto"/>
            <w:bottom w:val="none" w:sz="0" w:space="0" w:color="auto"/>
            <w:right w:val="none" w:sz="0" w:space="0" w:color="auto"/>
          </w:divBdr>
          <w:divsChild>
            <w:div w:id="933980268">
              <w:marLeft w:val="0"/>
              <w:marRight w:val="0"/>
              <w:marTop w:val="0"/>
              <w:marBottom w:val="0"/>
              <w:divBdr>
                <w:top w:val="none" w:sz="0" w:space="0" w:color="auto"/>
                <w:left w:val="none" w:sz="0" w:space="0" w:color="auto"/>
                <w:bottom w:val="none" w:sz="0" w:space="0" w:color="auto"/>
                <w:right w:val="none" w:sz="0" w:space="0" w:color="auto"/>
              </w:divBdr>
            </w:div>
            <w:div w:id="2001612808">
              <w:marLeft w:val="0"/>
              <w:marRight w:val="0"/>
              <w:marTop w:val="0"/>
              <w:marBottom w:val="0"/>
              <w:divBdr>
                <w:top w:val="none" w:sz="0" w:space="0" w:color="auto"/>
                <w:left w:val="none" w:sz="0" w:space="0" w:color="auto"/>
                <w:bottom w:val="none" w:sz="0" w:space="0" w:color="auto"/>
                <w:right w:val="none" w:sz="0" w:space="0" w:color="auto"/>
              </w:divBdr>
            </w:div>
          </w:divsChild>
        </w:div>
        <w:div w:id="298461120">
          <w:marLeft w:val="0"/>
          <w:marRight w:val="0"/>
          <w:marTop w:val="0"/>
          <w:marBottom w:val="0"/>
          <w:divBdr>
            <w:top w:val="none" w:sz="0" w:space="0" w:color="auto"/>
            <w:left w:val="none" w:sz="0" w:space="0" w:color="auto"/>
            <w:bottom w:val="none" w:sz="0" w:space="0" w:color="auto"/>
            <w:right w:val="none" w:sz="0" w:space="0" w:color="auto"/>
          </w:divBdr>
          <w:divsChild>
            <w:div w:id="1695493737">
              <w:marLeft w:val="0"/>
              <w:marRight w:val="0"/>
              <w:marTop w:val="0"/>
              <w:marBottom w:val="0"/>
              <w:divBdr>
                <w:top w:val="none" w:sz="0" w:space="0" w:color="auto"/>
                <w:left w:val="none" w:sz="0" w:space="0" w:color="auto"/>
                <w:bottom w:val="none" w:sz="0" w:space="0" w:color="auto"/>
                <w:right w:val="none" w:sz="0" w:space="0" w:color="auto"/>
              </w:divBdr>
            </w:div>
          </w:divsChild>
        </w:div>
        <w:div w:id="339040658">
          <w:marLeft w:val="0"/>
          <w:marRight w:val="0"/>
          <w:marTop w:val="0"/>
          <w:marBottom w:val="0"/>
          <w:divBdr>
            <w:top w:val="none" w:sz="0" w:space="0" w:color="auto"/>
            <w:left w:val="none" w:sz="0" w:space="0" w:color="auto"/>
            <w:bottom w:val="none" w:sz="0" w:space="0" w:color="auto"/>
            <w:right w:val="none" w:sz="0" w:space="0" w:color="auto"/>
          </w:divBdr>
          <w:divsChild>
            <w:div w:id="213277176">
              <w:marLeft w:val="0"/>
              <w:marRight w:val="0"/>
              <w:marTop w:val="0"/>
              <w:marBottom w:val="0"/>
              <w:divBdr>
                <w:top w:val="none" w:sz="0" w:space="0" w:color="auto"/>
                <w:left w:val="none" w:sz="0" w:space="0" w:color="auto"/>
                <w:bottom w:val="none" w:sz="0" w:space="0" w:color="auto"/>
                <w:right w:val="none" w:sz="0" w:space="0" w:color="auto"/>
              </w:divBdr>
            </w:div>
            <w:div w:id="1257052257">
              <w:marLeft w:val="0"/>
              <w:marRight w:val="0"/>
              <w:marTop w:val="0"/>
              <w:marBottom w:val="0"/>
              <w:divBdr>
                <w:top w:val="none" w:sz="0" w:space="0" w:color="auto"/>
                <w:left w:val="none" w:sz="0" w:space="0" w:color="auto"/>
                <w:bottom w:val="none" w:sz="0" w:space="0" w:color="auto"/>
                <w:right w:val="none" w:sz="0" w:space="0" w:color="auto"/>
              </w:divBdr>
            </w:div>
            <w:div w:id="1319847221">
              <w:marLeft w:val="0"/>
              <w:marRight w:val="0"/>
              <w:marTop w:val="0"/>
              <w:marBottom w:val="0"/>
              <w:divBdr>
                <w:top w:val="none" w:sz="0" w:space="0" w:color="auto"/>
                <w:left w:val="none" w:sz="0" w:space="0" w:color="auto"/>
                <w:bottom w:val="none" w:sz="0" w:space="0" w:color="auto"/>
                <w:right w:val="none" w:sz="0" w:space="0" w:color="auto"/>
              </w:divBdr>
            </w:div>
          </w:divsChild>
        </w:div>
        <w:div w:id="407464299">
          <w:marLeft w:val="0"/>
          <w:marRight w:val="0"/>
          <w:marTop w:val="0"/>
          <w:marBottom w:val="0"/>
          <w:divBdr>
            <w:top w:val="none" w:sz="0" w:space="0" w:color="auto"/>
            <w:left w:val="none" w:sz="0" w:space="0" w:color="auto"/>
            <w:bottom w:val="none" w:sz="0" w:space="0" w:color="auto"/>
            <w:right w:val="none" w:sz="0" w:space="0" w:color="auto"/>
          </w:divBdr>
          <w:divsChild>
            <w:div w:id="1160004967">
              <w:marLeft w:val="0"/>
              <w:marRight w:val="0"/>
              <w:marTop w:val="0"/>
              <w:marBottom w:val="0"/>
              <w:divBdr>
                <w:top w:val="none" w:sz="0" w:space="0" w:color="auto"/>
                <w:left w:val="none" w:sz="0" w:space="0" w:color="auto"/>
                <w:bottom w:val="none" w:sz="0" w:space="0" w:color="auto"/>
                <w:right w:val="none" w:sz="0" w:space="0" w:color="auto"/>
              </w:divBdr>
            </w:div>
          </w:divsChild>
        </w:div>
        <w:div w:id="522136665">
          <w:marLeft w:val="0"/>
          <w:marRight w:val="0"/>
          <w:marTop w:val="0"/>
          <w:marBottom w:val="0"/>
          <w:divBdr>
            <w:top w:val="none" w:sz="0" w:space="0" w:color="auto"/>
            <w:left w:val="none" w:sz="0" w:space="0" w:color="auto"/>
            <w:bottom w:val="none" w:sz="0" w:space="0" w:color="auto"/>
            <w:right w:val="none" w:sz="0" w:space="0" w:color="auto"/>
          </w:divBdr>
          <w:divsChild>
            <w:div w:id="167211897">
              <w:marLeft w:val="0"/>
              <w:marRight w:val="0"/>
              <w:marTop w:val="0"/>
              <w:marBottom w:val="0"/>
              <w:divBdr>
                <w:top w:val="none" w:sz="0" w:space="0" w:color="auto"/>
                <w:left w:val="none" w:sz="0" w:space="0" w:color="auto"/>
                <w:bottom w:val="none" w:sz="0" w:space="0" w:color="auto"/>
                <w:right w:val="none" w:sz="0" w:space="0" w:color="auto"/>
              </w:divBdr>
            </w:div>
            <w:div w:id="1629244395">
              <w:marLeft w:val="0"/>
              <w:marRight w:val="0"/>
              <w:marTop w:val="0"/>
              <w:marBottom w:val="0"/>
              <w:divBdr>
                <w:top w:val="none" w:sz="0" w:space="0" w:color="auto"/>
                <w:left w:val="none" w:sz="0" w:space="0" w:color="auto"/>
                <w:bottom w:val="none" w:sz="0" w:space="0" w:color="auto"/>
                <w:right w:val="none" w:sz="0" w:space="0" w:color="auto"/>
              </w:divBdr>
            </w:div>
          </w:divsChild>
        </w:div>
        <w:div w:id="583418883">
          <w:marLeft w:val="0"/>
          <w:marRight w:val="0"/>
          <w:marTop w:val="0"/>
          <w:marBottom w:val="0"/>
          <w:divBdr>
            <w:top w:val="none" w:sz="0" w:space="0" w:color="auto"/>
            <w:left w:val="none" w:sz="0" w:space="0" w:color="auto"/>
            <w:bottom w:val="none" w:sz="0" w:space="0" w:color="auto"/>
            <w:right w:val="none" w:sz="0" w:space="0" w:color="auto"/>
          </w:divBdr>
          <w:divsChild>
            <w:div w:id="58596285">
              <w:marLeft w:val="0"/>
              <w:marRight w:val="0"/>
              <w:marTop w:val="0"/>
              <w:marBottom w:val="0"/>
              <w:divBdr>
                <w:top w:val="none" w:sz="0" w:space="0" w:color="auto"/>
                <w:left w:val="none" w:sz="0" w:space="0" w:color="auto"/>
                <w:bottom w:val="none" w:sz="0" w:space="0" w:color="auto"/>
                <w:right w:val="none" w:sz="0" w:space="0" w:color="auto"/>
              </w:divBdr>
            </w:div>
          </w:divsChild>
        </w:div>
        <w:div w:id="596789778">
          <w:marLeft w:val="0"/>
          <w:marRight w:val="0"/>
          <w:marTop w:val="0"/>
          <w:marBottom w:val="0"/>
          <w:divBdr>
            <w:top w:val="none" w:sz="0" w:space="0" w:color="auto"/>
            <w:left w:val="none" w:sz="0" w:space="0" w:color="auto"/>
            <w:bottom w:val="none" w:sz="0" w:space="0" w:color="auto"/>
            <w:right w:val="none" w:sz="0" w:space="0" w:color="auto"/>
          </w:divBdr>
          <w:divsChild>
            <w:div w:id="1543588333">
              <w:marLeft w:val="0"/>
              <w:marRight w:val="0"/>
              <w:marTop w:val="0"/>
              <w:marBottom w:val="0"/>
              <w:divBdr>
                <w:top w:val="none" w:sz="0" w:space="0" w:color="auto"/>
                <w:left w:val="none" w:sz="0" w:space="0" w:color="auto"/>
                <w:bottom w:val="none" w:sz="0" w:space="0" w:color="auto"/>
                <w:right w:val="none" w:sz="0" w:space="0" w:color="auto"/>
              </w:divBdr>
            </w:div>
          </w:divsChild>
        </w:div>
        <w:div w:id="648947500">
          <w:marLeft w:val="0"/>
          <w:marRight w:val="0"/>
          <w:marTop w:val="0"/>
          <w:marBottom w:val="0"/>
          <w:divBdr>
            <w:top w:val="none" w:sz="0" w:space="0" w:color="auto"/>
            <w:left w:val="none" w:sz="0" w:space="0" w:color="auto"/>
            <w:bottom w:val="none" w:sz="0" w:space="0" w:color="auto"/>
            <w:right w:val="none" w:sz="0" w:space="0" w:color="auto"/>
          </w:divBdr>
          <w:divsChild>
            <w:div w:id="1981494613">
              <w:marLeft w:val="0"/>
              <w:marRight w:val="0"/>
              <w:marTop w:val="0"/>
              <w:marBottom w:val="0"/>
              <w:divBdr>
                <w:top w:val="none" w:sz="0" w:space="0" w:color="auto"/>
                <w:left w:val="none" w:sz="0" w:space="0" w:color="auto"/>
                <w:bottom w:val="none" w:sz="0" w:space="0" w:color="auto"/>
                <w:right w:val="none" w:sz="0" w:space="0" w:color="auto"/>
              </w:divBdr>
            </w:div>
          </w:divsChild>
        </w:div>
        <w:div w:id="656688841">
          <w:marLeft w:val="0"/>
          <w:marRight w:val="0"/>
          <w:marTop w:val="0"/>
          <w:marBottom w:val="0"/>
          <w:divBdr>
            <w:top w:val="none" w:sz="0" w:space="0" w:color="auto"/>
            <w:left w:val="none" w:sz="0" w:space="0" w:color="auto"/>
            <w:bottom w:val="none" w:sz="0" w:space="0" w:color="auto"/>
            <w:right w:val="none" w:sz="0" w:space="0" w:color="auto"/>
          </w:divBdr>
          <w:divsChild>
            <w:div w:id="1305425501">
              <w:marLeft w:val="0"/>
              <w:marRight w:val="0"/>
              <w:marTop w:val="0"/>
              <w:marBottom w:val="0"/>
              <w:divBdr>
                <w:top w:val="none" w:sz="0" w:space="0" w:color="auto"/>
                <w:left w:val="none" w:sz="0" w:space="0" w:color="auto"/>
                <w:bottom w:val="none" w:sz="0" w:space="0" w:color="auto"/>
                <w:right w:val="none" w:sz="0" w:space="0" w:color="auto"/>
              </w:divBdr>
            </w:div>
          </w:divsChild>
        </w:div>
        <w:div w:id="667515365">
          <w:marLeft w:val="0"/>
          <w:marRight w:val="0"/>
          <w:marTop w:val="0"/>
          <w:marBottom w:val="0"/>
          <w:divBdr>
            <w:top w:val="none" w:sz="0" w:space="0" w:color="auto"/>
            <w:left w:val="none" w:sz="0" w:space="0" w:color="auto"/>
            <w:bottom w:val="none" w:sz="0" w:space="0" w:color="auto"/>
            <w:right w:val="none" w:sz="0" w:space="0" w:color="auto"/>
          </w:divBdr>
          <w:divsChild>
            <w:div w:id="1758363391">
              <w:marLeft w:val="0"/>
              <w:marRight w:val="0"/>
              <w:marTop w:val="0"/>
              <w:marBottom w:val="0"/>
              <w:divBdr>
                <w:top w:val="none" w:sz="0" w:space="0" w:color="auto"/>
                <w:left w:val="none" w:sz="0" w:space="0" w:color="auto"/>
                <w:bottom w:val="none" w:sz="0" w:space="0" w:color="auto"/>
                <w:right w:val="none" w:sz="0" w:space="0" w:color="auto"/>
              </w:divBdr>
            </w:div>
          </w:divsChild>
        </w:div>
        <w:div w:id="717431659">
          <w:marLeft w:val="0"/>
          <w:marRight w:val="0"/>
          <w:marTop w:val="0"/>
          <w:marBottom w:val="0"/>
          <w:divBdr>
            <w:top w:val="none" w:sz="0" w:space="0" w:color="auto"/>
            <w:left w:val="none" w:sz="0" w:space="0" w:color="auto"/>
            <w:bottom w:val="none" w:sz="0" w:space="0" w:color="auto"/>
            <w:right w:val="none" w:sz="0" w:space="0" w:color="auto"/>
          </w:divBdr>
          <w:divsChild>
            <w:div w:id="1250193854">
              <w:marLeft w:val="0"/>
              <w:marRight w:val="0"/>
              <w:marTop w:val="0"/>
              <w:marBottom w:val="0"/>
              <w:divBdr>
                <w:top w:val="none" w:sz="0" w:space="0" w:color="auto"/>
                <w:left w:val="none" w:sz="0" w:space="0" w:color="auto"/>
                <w:bottom w:val="none" w:sz="0" w:space="0" w:color="auto"/>
                <w:right w:val="none" w:sz="0" w:space="0" w:color="auto"/>
              </w:divBdr>
            </w:div>
            <w:div w:id="1314410113">
              <w:marLeft w:val="0"/>
              <w:marRight w:val="0"/>
              <w:marTop w:val="0"/>
              <w:marBottom w:val="0"/>
              <w:divBdr>
                <w:top w:val="none" w:sz="0" w:space="0" w:color="auto"/>
                <w:left w:val="none" w:sz="0" w:space="0" w:color="auto"/>
                <w:bottom w:val="none" w:sz="0" w:space="0" w:color="auto"/>
                <w:right w:val="none" w:sz="0" w:space="0" w:color="auto"/>
              </w:divBdr>
            </w:div>
          </w:divsChild>
        </w:div>
        <w:div w:id="741680340">
          <w:marLeft w:val="0"/>
          <w:marRight w:val="0"/>
          <w:marTop w:val="0"/>
          <w:marBottom w:val="0"/>
          <w:divBdr>
            <w:top w:val="none" w:sz="0" w:space="0" w:color="auto"/>
            <w:left w:val="none" w:sz="0" w:space="0" w:color="auto"/>
            <w:bottom w:val="none" w:sz="0" w:space="0" w:color="auto"/>
            <w:right w:val="none" w:sz="0" w:space="0" w:color="auto"/>
          </w:divBdr>
          <w:divsChild>
            <w:div w:id="1495417638">
              <w:marLeft w:val="0"/>
              <w:marRight w:val="0"/>
              <w:marTop w:val="0"/>
              <w:marBottom w:val="0"/>
              <w:divBdr>
                <w:top w:val="none" w:sz="0" w:space="0" w:color="auto"/>
                <w:left w:val="none" w:sz="0" w:space="0" w:color="auto"/>
                <w:bottom w:val="none" w:sz="0" w:space="0" w:color="auto"/>
                <w:right w:val="none" w:sz="0" w:space="0" w:color="auto"/>
              </w:divBdr>
            </w:div>
          </w:divsChild>
        </w:div>
        <w:div w:id="743063841">
          <w:marLeft w:val="0"/>
          <w:marRight w:val="0"/>
          <w:marTop w:val="0"/>
          <w:marBottom w:val="0"/>
          <w:divBdr>
            <w:top w:val="none" w:sz="0" w:space="0" w:color="auto"/>
            <w:left w:val="none" w:sz="0" w:space="0" w:color="auto"/>
            <w:bottom w:val="none" w:sz="0" w:space="0" w:color="auto"/>
            <w:right w:val="none" w:sz="0" w:space="0" w:color="auto"/>
          </w:divBdr>
          <w:divsChild>
            <w:div w:id="1657567722">
              <w:marLeft w:val="0"/>
              <w:marRight w:val="0"/>
              <w:marTop w:val="0"/>
              <w:marBottom w:val="0"/>
              <w:divBdr>
                <w:top w:val="none" w:sz="0" w:space="0" w:color="auto"/>
                <w:left w:val="none" w:sz="0" w:space="0" w:color="auto"/>
                <w:bottom w:val="none" w:sz="0" w:space="0" w:color="auto"/>
                <w:right w:val="none" w:sz="0" w:space="0" w:color="auto"/>
              </w:divBdr>
            </w:div>
          </w:divsChild>
        </w:div>
        <w:div w:id="797723305">
          <w:marLeft w:val="0"/>
          <w:marRight w:val="0"/>
          <w:marTop w:val="0"/>
          <w:marBottom w:val="0"/>
          <w:divBdr>
            <w:top w:val="none" w:sz="0" w:space="0" w:color="auto"/>
            <w:left w:val="none" w:sz="0" w:space="0" w:color="auto"/>
            <w:bottom w:val="none" w:sz="0" w:space="0" w:color="auto"/>
            <w:right w:val="none" w:sz="0" w:space="0" w:color="auto"/>
          </w:divBdr>
          <w:divsChild>
            <w:div w:id="1283805758">
              <w:marLeft w:val="0"/>
              <w:marRight w:val="0"/>
              <w:marTop w:val="0"/>
              <w:marBottom w:val="0"/>
              <w:divBdr>
                <w:top w:val="none" w:sz="0" w:space="0" w:color="auto"/>
                <w:left w:val="none" w:sz="0" w:space="0" w:color="auto"/>
                <w:bottom w:val="none" w:sz="0" w:space="0" w:color="auto"/>
                <w:right w:val="none" w:sz="0" w:space="0" w:color="auto"/>
              </w:divBdr>
            </w:div>
          </w:divsChild>
        </w:div>
        <w:div w:id="833103270">
          <w:marLeft w:val="0"/>
          <w:marRight w:val="0"/>
          <w:marTop w:val="0"/>
          <w:marBottom w:val="0"/>
          <w:divBdr>
            <w:top w:val="none" w:sz="0" w:space="0" w:color="auto"/>
            <w:left w:val="none" w:sz="0" w:space="0" w:color="auto"/>
            <w:bottom w:val="none" w:sz="0" w:space="0" w:color="auto"/>
            <w:right w:val="none" w:sz="0" w:space="0" w:color="auto"/>
          </w:divBdr>
          <w:divsChild>
            <w:div w:id="1510830433">
              <w:marLeft w:val="0"/>
              <w:marRight w:val="0"/>
              <w:marTop w:val="0"/>
              <w:marBottom w:val="0"/>
              <w:divBdr>
                <w:top w:val="none" w:sz="0" w:space="0" w:color="auto"/>
                <w:left w:val="none" w:sz="0" w:space="0" w:color="auto"/>
                <w:bottom w:val="none" w:sz="0" w:space="0" w:color="auto"/>
                <w:right w:val="none" w:sz="0" w:space="0" w:color="auto"/>
              </w:divBdr>
            </w:div>
          </w:divsChild>
        </w:div>
        <w:div w:id="833297133">
          <w:marLeft w:val="0"/>
          <w:marRight w:val="0"/>
          <w:marTop w:val="0"/>
          <w:marBottom w:val="0"/>
          <w:divBdr>
            <w:top w:val="none" w:sz="0" w:space="0" w:color="auto"/>
            <w:left w:val="none" w:sz="0" w:space="0" w:color="auto"/>
            <w:bottom w:val="none" w:sz="0" w:space="0" w:color="auto"/>
            <w:right w:val="none" w:sz="0" w:space="0" w:color="auto"/>
          </w:divBdr>
          <w:divsChild>
            <w:div w:id="53700418">
              <w:marLeft w:val="0"/>
              <w:marRight w:val="0"/>
              <w:marTop w:val="0"/>
              <w:marBottom w:val="0"/>
              <w:divBdr>
                <w:top w:val="none" w:sz="0" w:space="0" w:color="auto"/>
                <w:left w:val="none" w:sz="0" w:space="0" w:color="auto"/>
                <w:bottom w:val="none" w:sz="0" w:space="0" w:color="auto"/>
                <w:right w:val="none" w:sz="0" w:space="0" w:color="auto"/>
              </w:divBdr>
            </w:div>
            <w:div w:id="100422961">
              <w:marLeft w:val="0"/>
              <w:marRight w:val="0"/>
              <w:marTop w:val="0"/>
              <w:marBottom w:val="0"/>
              <w:divBdr>
                <w:top w:val="none" w:sz="0" w:space="0" w:color="auto"/>
                <w:left w:val="none" w:sz="0" w:space="0" w:color="auto"/>
                <w:bottom w:val="none" w:sz="0" w:space="0" w:color="auto"/>
                <w:right w:val="none" w:sz="0" w:space="0" w:color="auto"/>
              </w:divBdr>
            </w:div>
            <w:div w:id="1044526272">
              <w:marLeft w:val="0"/>
              <w:marRight w:val="0"/>
              <w:marTop w:val="0"/>
              <w:marBottom w:val="0"/>
              <w:divBdr>
                <w:top w:val="none" w:sz="0" w:space="0" w:color="auto"/>
                <w:left w:val="none" w:sz="0" w:space="0" w:color="auto"/>
                <w:bottom w:val="none" w:sz="0" w:space="0" w:color="auto"/>
                <w:right w:val="none" w:sz="0" w:space="0" w:color="auto"/>
              </w:divBdr>
            </w:div>
            <w:div w:id="1286349374">
              <w:marLeft w:val="0"/>
              <w:marRight w:val="0"/>
              <w:marTop w:val="0"/>
              <w:marBottom w:val="0"/>
              <w:divBdr>
                <w:top w:val="none" w:sz="0" w:space="0" w:color="auto"/>
                <w:left w:val="none" w:sz="0" w:space="0" w:color="auto"/>
                <w:bottom w:val="none" w:sz="0" w:space="0" w:color="auto"/>
                <w:right w:val="none" w:sz="0" w:space="0" w:color="auto"/>
              </w:divBdr>
            </w:div>
          </w:divsChild>
        </w:div>
        <w:div w:id="870264756">
          <w:marLeft w:val="0"/>
          <w:marRight w:val="0"/>
          <w:marTop w:val="0"/>
          <w:marBottom w:val="0"/>
          <w:divBdr>
            <w:top w:val="none" w:sz="0" w:space="0" w:color="auto"/>
            <w:left w:val="none" w:sz="0" w:space="0" w:color="auto"/>
            <w:bottom w:val="none" w:sz="0" w:space="0" w:color="auto"/>
            <w:right w:val="none" w:sz="0" w:space="0" w:color="auto"/>
          </w:divBdr>
          <w:divsChild>
            <w:div w:id="110440129">
              <w:marLeft w:val="0"/>
              <w:marRight w:val="0"/>
              <w:marTop w:val="0"/>
              <w:marBottom w:val="0"/>
              <w:divBdr>
                <w:top w:val="none" w:sz="0" w:space="0" w:color="auto"/>
                <w:left w:val="none" w:sz="0" w:space="0" w:color="auto"/>
                <w:bottom w:val="none" w:sz="0" w:space="0" w:color="auto"/>
                <w:right w:val="none" w:sz="0" w:space="0" w:color="auto"/>
              </w:divBdr>
            </w:div>
          </w:divsChild>
        </w:div>
        <w:div w:id="891964551">
          <w:marLeft w:val="0"/>
          <w:marRight w:val="0"/>
          <w:marTop w:val="0"/>
          <w:marBottom w:val="0"/>
          <w:divBdr>
            <w:top w:val="none" w:sz="0" w:space="0" w:color="auto"/>
            <w:left w:val="none" w:sz="0" w:space="0" w:color="auto"/>
            <w:bottom w:val="none" w:sz="0" w:space="0" w:color="auto"/>
            <w:right w:val="none" w:sz="0" w:space="0" w:color="auto"/>
          </w:divBdr>
          <w:divsChild>
            <w:div w:id="217135470">
              <w:marLeft w:val="0"/>
              <w:marRight w:val="0"/>
              <w:marTop w:val="0"/>
              <w:marBottom w:val="0"/>
              <w:divBdr>
                <w:top w:val="none" w:sz="0" w:space="0" w:color="auto"/>
                <w:left w:val="none" w:sz="0" w:space="0" w:color="auto"/>
                <w:bottom w:val="none" w:sz="0" w:space="0" w:color="auto"/>
                <w:right w:val="none" w:sz="0" w:space="0" w:color="auto"/>
              </w:divBdr>
            </w:div>
            <w:div w:id="616448025">
              <w:marLeft w:val="0"/>
              <w:marRight w:val="0"/>
              <w:marTop w:val="0"/>
              <w:marBottom w:val="0"/>
              <w:divBdr>
                <w:top w:val="none" w:sz="0" w:space="0" w:color="auto"/>
                <w:left w:val="none" w:sz="0" w:space="0" w:color="auto"/>
                <w:bottom w:val="none" w:sz="0" w:space="0" w:color="auto"/>
                <w:right w:val="none" w:sz="0" w:space="0" w:color="auto"/>
              </w:divBdr>
            </w:div>
            <w:div w:id="1527526615">
              <w:marLeft w:val="0"/>
              <w:marRight w:val="0"/>
              <w:marTop w:val="0"/>
              <w:marBottom w:val="0"/>
              <w:divBdr>
                <w:top w:val="none" w:sz="0" w:space="0" w:color="auto"/>
                <w:left w:val="none" w:sz="0" w:space="0" w:color="auto"/>
                <w:bottom w:val="none" w:sz="0" w:space="0" w:color="auto"/>
                <w:right w:val="none" w:sz="0" w:space="0" w:color="auto"/>
              </w:divBdr>
            </w:div>
          </w:divsChild>
        </w:div>
        <w:div w:id="983239883">
          <w:marLeft w:val="0"/>
          <w:marRight w:val="0"/>
          <w:marTop w:val="0"/>
          <w:marBottom w:val="0"/>
          <w:divBdr>
            <w:top w:val="none" w:sz="0" w:space="0" w:color="auto"/>
            <w:left w:val="none" w:sz="0" w:space="0" w:color="auto"/>
            <w:bottom w:val="none" w:sz="0" w:space="0" w:color="auto"/>
            <w:right w:val="none" w:sz="0" w:space="0" w:color="auto"/>
          </w:divBdr>
          <w:divsChild>
            <w:div w:id="1687517898">
              <w:marLeft w:val="0"/>
              <w:marRight w:val="0"/>
              <w:marTop w:val="0"/>
              <w:marBottom w:val="0"/>
              <w:divBdr>
                <w:top w:val="none" w:sz="0" w:space="0" w:color="auto"/>
                <w:left w:val="none" w:sz="0" w:space="0" w:color="auto"/>
                <w:bottom w:val="none" w:sz="0" w:space="0" w:color="auto"/>
                <w:right w:val="none" w:sz="0" w:space="0" w:color="auto"/>
              </w:divBdr>
            </w:div>
          </w:divsChild>
        </w:div>
        <w:div w:id="1081029819">
          <w:marLeft w:val="0"/>
          <w:marRight w:val="0"/>
          <w:marTop w:val="0"/>
          <w:marBottom w:val="0"/>
          <w:divBdr>
            <w:top w:val="none" w:sz="0" w:space="0" w:color="auto"/>
            <w:left w:val="none" w:sz="0" w:space="0" w:color="auto"/>
            <w:bottom w:val="none" w:sz="0" w:space="0" w:color="auto"/>
            <w:right w:val="none" w:sz="0" w:space="0" w:color="auto"/>
          </w:divBdr>
          <w:divsChild>
            <w:div w:id="1928879052">
              <w:marLeft w:val="0"/>
              <w:marRight w:val="0"/>
              <w:marTop w:val="0"/>
              <w:marBottom w:val="0"/>
              <w:divBdr>
                <w:top w:val="none" w:sz="0" w:space="0" w:color="auto"/>
                <w:left w:val="none" w:sz="0" w:space="0" w:color="auto"/>
                <w:bottom w:val="none" w:sz="0" w:space="0" w:color="auto"/>
                <w:right w:val="none" w:sz="0" w:space="0" w:color="auto"/>
              </w:divBdr>
            </w:div>
          </w:divsChild>
        </w:div>
        <w:div w:id="1137912209">
          <w:marLeft w:val="0"/>
          <w:marRight w:val="0"/>
          <w:marTop w:val="0"/>
          <w:marBottom w:val="0"/>
          <w:divBdr>
            <w:top w:val="none" w:sz="0" w:space="0" w:color="auto"/>
            <w:left w:val="none" w:sz="0" w:space="0" w:color="auto"/>
            <w:bottom w:val="none" w:sz="0" w:space="0" w:color="auto"/>
            <w:right w:val="none" w:sz="0" w:space="0" w:color="auto"/>
          </w:divBdr>
          <w:divsChild>
            <w:div w:id="805390279">
              <w:marLeft w:val="0"/>
              <w:marRight w:val="0"/>
              <w:marTop w:val="0"/>
              <w:marBottom w:val="0"/>
              <w:divBdr>
                <w:top w:val="none" w:sz="0" w:space="0" w:color="auto"/>
                <w:left w:val="none" w:sz="0" w:space="0" w:color="auto"/>
                <w:bottom w:val="none" w:sz="0" w:space="0" w:color="auto"/>
                <w:right w:val="none" w:sz="0" w:space="0" w:color="auto"/>
              </w:divBdr>
            </w:div>
          </w:divsChild>
        </w:div>
        <w:div w:id="1147815602">
          <w:marLeft w:val="0"/>
          <w:marRight w:val="0"/>
          <w:marTop w:val="0"/>
          <w:marBottom w:val="0"/>
          <w:divBdr>
            <w:top w:val="none" w:sz="0" w:space="0" w:color="auto"/>
            <w:left w:val="none" w:sz="0" w:space="0" w:color="auto"/>
            <w:bottom w:val="none" w:sz="0" w:space="0" w:color="auto"/>
            <w:right w:val="none" w:sz="0" w:space="0" w:color="auto"/>
          </w:divBdr>
          <w:divsChild>
            <w:div w:id="1288590083">
              <w:marLeft w:val="0"/>
              <w:marRight w:val="0"/>
              <w:marTop w:val="0"/>
              <w:marBottom w:val="0"/>
              <w:divBdr>
                <w:top w:val="none" w:sz="0" w:space="0" w:color="auto"/>
                <w:left w:val="none" w:sz="0" w:space="0" w:color="auto"/>
                <w:bottom w:val="none" w:sz="0" w:space="0" w:color="auto"/>
                <w:right w:val="none" w:sz="0" w:space="0" w:color="auto"/>
              </w:divBdr>
            </w:div>
          </w:divsChild>
        </w:div>
        <w:div w:id="1163013428">
          <w:marLeft w:val="0"/>
          <w:marRight w:val="0"/>
          <w:marTop w:val="0"/>
          <w:marBottom w:val="0"/>
          <w:divBdr>
            <w:top w:val="none" w:sz="0" w:space="0" w:color="auto"/>
            <w:left w:val="none" w:sz="0" w:space="0" w:color="auto"/>
            <w:bottom w:val="none" w:sz="0" w:space="0" w:color="auto"/>
            <w:right w:val="none" w:sz="0" w:space="0" w:color="auto"/>
          </w:divBdr>
          <w:divsChild>
            <w:div w:id="317072250">
              <w:marLeft w:val="0"/>
              <w:marRight w:val="0"/>
              <w:marTop w:val="0"/>
              <w:marBottom w:val="0"/>
              <w:divBdr>
                <w:top w:val="none" w:sz="0" w:space="0" w:color="auto"/>
                <w:left w:val="none" w:sz="0" w:space="0" w:color="auto"/>
                <w:bottom w:val="none" w:sz="0" w:space="0" w:color="auto"/>
                <w:right w:val="none" w:sz="0" w:space="0" w:color="auto"/>
              </w:divBdr>
            </w:div>
            <w:div w:id="565143977">
              <w:marLeft w:val="0"/>
              <w:marRight w:val="0"/>
              <w:marTop w:val="0"/>
              <w:marBottom w:val="0"/>
              <w:divBdr>
                <w:top w:val="none" w:sz="0" w:space="0" w:color="auto"/>
                <w:left w:val="none" w:sz="0" w:space="0" w:color="auto"/>
                <w:bottom w:val="none" w:sz="0" w:space="0" w:color="auto"/>
                <w:right w:val="none" w:sz="0" w:space="0" w:color="auto"/>
              </w:divBdr>
            </w:div>
            <w:div w:id="864753418">
              <w:marLeft w:val="0"/>
              <w:marRight w:val="0"/>
              <w:marTop w:val="0"/>
              <w:marBottom w:val="0"/>
              <w:divBdr>
                <w:top w:val="none" w:sz="0" w:space="0" w:color="auto"/>
                <w:left w:val="none" w:sz="0" w:space="0" w:color="auto"/>
                <w:bottom w:val="none" w:sz="0" w:space="0" w:color="auto"/>
                <w:right w:val="none" w:sz="0" w:space="0" w:color="auto"/>
              </w:divBdr>
            </w:div>
            <w:div w:id="1569536687">
              <w:marLeft w:val="0"/>
              <w:marRight w:val="0"/>
              <w:marTop w:val="0"/>
              <w:marBottom w:val="0"/>
              <w:divBdr>
                <w:top w:val="none" w:sz="0" w:space="0" w:color="auto"/>
                <w:left w:val="none" w:sz="0" w:space="0" w:color="auto"/>
                <w:bottom w:val="none" w:sz="0" w:space="0" w:color="auto"/>
                <w:right w:val="none" w:sz="0" w:space="0" w:color="auto"/>
              </w:divBdr>
            </w:div>
            <w:div w:id="1834369988">
              <w:marLeft w:val="0"/>
              <w:marRight w:val="0"/>
              <w:marTop w:val="0"/>
              <w:marBottom w:val="0"/>
              <w:divBdr>
                <w:top w:val="none" w:sz="0" w:space="0" w:color="auto"/>
                <w:left w:val="none" w:sz="0" w:space="0" w:color="auto"/>
                <w:bottom w:val="none" w:sz="0" w:space="0" w:color="auto"/>
                <w:right w:val="none" w:sz="0" w:space="0" w:color="auto"/>
              </w:divBdr>
            </w:div>
          </w:divsChild>
        </w:div>
        <w:div w:id="1241020710">
          <w:marLeft w:val="0"/>
          <w:marRight w:val="0"/>
          <w:marTop w:val="0"/>
          <w:marBottom w:val="0"/>
          <w:divBdr>
            <w:top w:val="none" w:sz="0" w:space="0" w:color="auto"/>
            <w:left w:val="none" w:sz="0" w:space="0" w:color="auto"/>
            <w:bottom w:val="none" w:sz="0" w:space="0" w:color="auto"/>
            <w:right w:val="none" w:sz="0" w:space="0" w:color="auto"/>
          </w:divBdr>
          <w:divsChild>
            <w:div w:id="306009423">
              <w:marLeft w:val="0"/>
              <w:marRight w:val="0"/>
              <w:marTop w:val="0"/>
              <w:marBottom w:val="0"/>
              <w:divBdr>
                <w:top w:val="none" w:sz="0" w:space="0" w:color="auto"/>
                <w:left w:val="none" w:sz="0" w:space="0" w:color="auto"/>
                <w:bottom w:val="none" w:sz="0" w:space="0" w:color="auto"/>
                <w:right w:val="none" w:sz="0" w:space="0" w:color="auto"/>
              </w:divBdr>
            </w:div>
          </w:divsChild>
        </w:div>
        <w:div w:id="1434980121">
          <w:marLeft w:val="0"/>
          <w:marRight w:val="0"/>
          <w:marTop w:val="0"/>
          <w:marBottom w:val="0"/>
          <w:divBdr>
            <w:top w:val="none" w:sz="0" w:space="0" w:color="auto"/>
            <w:left w:val="none" w:sz="0" w:space="0" w:color="auto"/>
            <w:bottom w:val="none" w:sz="0" w:space="0" w:color="auto"/>
            <w:right w:val="none" w:sz="0" w:space="0" w:color="auto"/>
          </w:divBdr>
          <w:divsChild>
            <w:div w:id="1896768968">
              <w:marLeft w:val="0"/>
              <w:marRight w:val="0"/>
              <w:marTop w:val="0"/>
              <w:marBottom w:val="0"/>
              <w:divBdr>
                <w:top w:val="none" w:sz="0" w:space="0" w:color="auto"/>
                <w:left w:val="none" w:sz="0" w:space="0" w:color="auto"/>
                <w:bottom w:val="none" w:sz="0" w:space="0" w:color="auto"/>
                <w:right w:val="none" w:sz="0" w:space="0" w:color="auto"/>
              </w:divBdr>
            </w:div>
          </w:divsChild>
        </w:div>
        <w:div w:id="1488740050">
          <w:marLeft w:val="0"/>
          <w:marRight w:val="0"/>
          <w:marTop w:val="0"/>
          <w:marBottom w:val="0"/>
          <w:divBdr>
            <w:top w:val="none" w:sz="0" w:space="0" w:color="auto"/>
            <w:left w:val="none" w:sz="0" w:space="0" w:color="auto"/>
            <w:bottom w:val="none" w:sz="0" w:space="0" w:color="auto"/>
            <w:right w:val="none" w:sz="0" w:space="0" w:color="auto"/>
          </w:divBdr>
          <w:divsChild>
            <w:div w:id="852720637">
              <w:marLeft w:val="0"/>
              <w:marRight w:val="0"/>
              <w:marTop w:val="0"/>
              <w:marBottom w:val="0"/>
              <w:divBdr>
                <w:top w:val="none" w:sz="0" w:space="0" w:color="auto"/>
                <w:left w:val="none" w:sz="0" w:space="0" w:color="auto"/>
                <w:bottom w:val="none" w:sz="0" w:space="0" w:color="auto"/>
                <w:right w:val="none" w:sz="0" w:space="0" w:color="auto"/>
              </w:divBdr>
            </w:div>
          </w:divsChild>
        </w:div>
        <w:div w:id="1501888548">
          <w:marLeft w:val="0"/>
          <w:marRight w:val="0"/>
          <w:marTop w:val="0"/>
          <w:marBottom w:val="0"/>
          <w:divBdr>
            <w:top w:val="none" w:sz="0" w:space="0" w:color="auto"/>
            <w:left w:val="none" w:sz="0" w:space="0" w:color="auto"/>
            <w:bottom w:val="none" w:sz="0" w:space="0" w:color="auto"/>
            <w:right w:val="none" w:sz="0" w:space="0" w:color="auto"/>
          </w:divBdr>
          <w:divsChild>
            <w:div w:id="954756389">
              <w:marLeft w:val="0"/>
              <w:marRight w:val="0"/>
              <w:marTop w:val="0"/>
              <w:marBottom w:val="0"/>
              <w:divBdr>
                <w:top w:val="none" w:sz="0" w:space="0" w:color="auto"/>
                <w:left w:val="none" w:sz="0" w:space="0" w:color="auto"/>
                <w:bottom w:val="none" w:sz="0" w:space="0" w:color="auto"/>
                <w:right w:val="none" w:sz="0" w:space="0" w:color="auto"/>
              </w:divBdr>
            </w:div>
          </w:divsChild>
        </w:div>
        <w:div w:id="1525514115">
          <w:marLeft w:val="0"/>
          <w:marRight w:val="0"/>
          <w:marTop w:val="0"/>
          <w:marBottom w:val="0"/>
          <w:divBdr>
            <w:top w:val="none" w:sz="0" w:space="0" w:color="auto"/>
            <w:left w:val="none" w:sz="0" w:space="0" w:color="auto"/>
            <w:bottom w:val="none" w:sz="0" w:space="0" w:color="auto"/>
            <w:right w:val="none" w:sz="0" w:space="0" w:color="auto"/>
          </w:divBdr>
          <w:divsChild>
            <w:div w:id="1076051634">
              <w:marLeft w:val="0"/>
              <w:marRight w:val="0"/>
              <w:marTop w:val="0"/>
              <w:marBottom w:val="0"/>
              <w:divBdr>
                <w:top w:val="none" w:sz="0" w:space="0" w:color="auto"/>
                <w:left w:val="none" w:sz="0" w:space="0" w:color="auto"/>
                <w:bottom w:val="none" w:sz="0" w:space="0" w:color="auto"/>
                <w:right w:val="none" w:sz="0" w:space="0" w:color="auto"/>
              </w:divBdr>
            </w:div>
          </w:divsChild>
        </w:div>
        <w:div w:id="1568806168">
          <w:marLeft w:val="0"/>
          <w:marRight w:val="0"/>
          <w:marTop w:val="0"/>
          <w:marBottom w:val="0"/>
          <w:divBdr>
            <w:top w:val="none" w:sz="0" w:space="0" w:color="auto"/>
            <w:left w:val="none" w:sz="0" w:space="0" w:color="auto"/>
            <w:bottom w:val="none" w:sz="0" w:space="0" w:color="auto"/>
            <w:right w:val="none" w:sz="0" w:space="0" w:color="auto"/>
          </w:divBdr>
          <w:divsChild>
            <w:div w:id="845943118">
              <w:marLeft w:val="0"/>
              <w:marRight w:val="0"/>
              <w:marTop w:val="0"/>
              <w:marBottom w:val="0"/>
              <w:divBdr>
                <w:top w:val="none" w:sz="0" w:space="0" w:color="auto"/>
                <w:left w:val="none" w:sz="0" w:space="0" w:color="auto"/>
                <w:bottom w:val="none" w:sz="0" w:space="0" w:color="auto"/>
                <w:right w:val="none" w:sz="0" w:space="0" w:color="auto"/>
              </w:divBdr>
            </w:div>
          </w:divsChild>
        </w:div>
        <w:div w:id="1640956700">
          <w:marLeft w:val="0"/>
          <w:marRight w:val="0"/>
          <w:marTop w:val="0"/>
          <w:marBottom w:val="0"/>
          <w:divBdr>
            <w:top w:val="none" w:sz="0" w:space="0" w:color="auto"/>
            <w:left w:val="none" w:sz="0" w:space="0" w:color="auto"/>
            <w:bottom w:val="none" w:sz="0" w:space="0" w:color="auto"/>
            <w:right w:val="none" w:sz="0" w:space="0" w:color="auto"/>
          </w:divBdr>
          <w:divsChild>
            <w:div w:id="962157724">
              <w:marLeft w:val="0"/>
              <w:marRight w:val="0"/>
              <w:marTop w:val="0"/>
              <w:marBottom w:val="0"/>
              <w:divBdr>
                <w:top w:val="none" w:sz="0" w:space="0" w:color="auto"/>
                <w:left w:val="none" w:sz="0" w:space="0" w:color="auto"/>
                <w:bottom w:val="none" w:sz="0" w:space="0" w:color="auto"/>
                <w:right w:val="none" w:sz="0" w:space="0" w:color="auto"/>
              </w:divBdr>
            </w:div>
          </w:divsChild>
        </w:div>
        <w:div w:id="1703168163">
          <w:marLeft w:val="0"/>
          <w:marRight w:val="0"/>
          <w:marTop w:val="0"/>
          <w:marBottom w:val="0"/>
          <w:divBdr>
            <w:top w:val="none" w:sz="0" w:space="0" w:color="auto"/>
            <w:left w:val="none" w:sz="0" w:space="0" w:color="auto"/>
            <w:bottom w:val="none" w:sz="0" w:space="0" w:color="auto"/>
            <w:right w:val="none" w:sz="0" w:space="0" w:color="auto"/>
          </w:divBdr>
          <w:divsChild>
            <w:div w:id="1402408607">
              <w:marLeft w:val="0"/>
              <w:marRight w:val="0"/>
              <w:marTop w:val="0"/>
              <w:marBottom w:val="0"/>
              <w:divBdr>
                <w:top w:val="none" w:sz="0" w:space="0" w:color="auto"/>
                <w:left w:val="none" w:sz="0" w:space="0" w:color="auto"/>
                <w:bottom w:val="none" w:sz="0" w:space="0" w:color="auto"/>
                <w:right w:val="none" w:sz="0" w:space="0" w:color="auto"/>
              </w:divBdr>
            </w:div>
          </w:divsChild>
        </w:div>
        <w:div w:id="1868448394">
          <w:marLeft w:val="0"/>
          <w:marRight w:val="0"/>
          <w:marTop w:val="0"/>
          <w:marBottom w:val="0"/>
          <w:divBdr>
            <w:top w:val="none" w:sz="0" w:space="0" w:color="auto"/>
            <w:left w:val="none" w:sz="0" w:space="0" w:color="auto"/>
            <w:bottom w:val="none" w:sz="0" w:space="0" w:color="auto"/>
            <w:right w:val="none" w:sz="0" w:space="0" w:color="auto"/>
          </w:divBdr>
          <w:divsChild>
            <w:div w:id="1370914174">
              <w:marLeft w:val="0"/>
              <w:marRight w:val="0"/>
              <w:marTop w:val="0"/>
              <w:marBottom w:val="0"/>
              <w:divBdr>
                <w:top w:val="none" w:sz="0" w:space="0" w:color="auto"/>
                <w:left w:val="none" w:sz="0" w:space="0" w:color="auto"/>
                <w:bottom w:val="none" w:sz="0" w:space="0" w:color="auto"/>
                <w:right w:val="none" w:sz="0" w:space="0" w:color="auto"/>
              </w:divBdr>
            </w:div>
          </w:divsChild>
        </w:div>
        <w:div w:id="1871527978">
          <w:marLeft w:val="0"/>
          <w:marRight w:val="0"/>
          <w:marTop w:val="0"/>
          <w:marBottom w:val="0"/>
          <w:divBdr>
            <w:top w:val="none" w:sz="0" w:space="0" w:color="auto"/>
            <w:left w:val="none" w:sz="0" w:space="0" w:color="auto"/>
            <w:bottom w:val="none" w:sz="0" w:space="0" w:color="auto"/>
            <w:right w:val="none" w:sz="0" w:space="0" w:color="auto"/>
          </w:divBdr>
          <w:divsChild>
            <w:div w:id="8679625">
              <w:marLeft w:val="0"/>
              <w:marRight w:val="0"/>
              <w:marTop w:val="0"/>
              <w:marBottom w:val="0"/>
              <w:divBdr>
                <w:top w:val="none" w:sz="0" w:space="0" w:color="auto"/>
                <w:left w:val="none" w:sz="0" w:space="0" w:color="auto"/>
                <w:bottom w:val="none" w:sz="0" w:space="0" w:color="auto"/>
                <w:right w:val="none" w:sz="0" w:space="0" w:color="auto"/>
              </w:divBdr>
            </w:div>
            <w:div w:id="335116436">
              <w:marLeft w:val="0"/>
              <w:marRight w:val="0"/>
              <w:marTop w:val="0"/>
              <w:marBottom w:val="0"/>
              <w:divBdr>
                <w:top w:val="none" w:sz="0" w:space="0" w:color="auto"/>
                <w:left w:val="none" w:sz="0" w:space="0" w:color="auto"/>
                <w:bottom w:val="none" w:sz="0" w:space="0" w:color="auto"/>
                <w:right w:val="none" w:sz="0" w:space="0" w:color="auto"/>
              </w:divBdr>
            </w:div>
            <w:div w:id="1960643332">
              <w:marLeft w:val="0"/>
              <w:marRight w:val="0"/>
              <w:marTop w:val="0"/>
              <w:marBottom w:val="0"/>
              <w:divBdr>
                <w:top w:val="none" w:sz="0" w:space="0" w:color="auto"/>
                <w:left w:val="none" w:sz="0" w:space="0" w:color="auto"/>
                <w:bottom w:val="none" w:sz="0" w:space="0" w:color="auto"/>
                <w:right w:val="none" w:sz="0" w:space="0" w:color="auto"/>
              </w:divBdr>
            </w:div>
          </w:divsChild>
        </w:div>
        <w:div w:id="2017074862">
          <w:marLeft w:val="0"/>
          <w:marRight w:val="0"/>
          <w:marTop w:val="0"/>
          <w:marBottom w:val="0"/>
          <w:divBdr>
            <w:top w:val="none" w:sz="0" w:space="0" w:color="auto"/>
            <w:left w:val="none" w:sz="0" w:space="0" w:color="auto"/>
            <w:bottom w:val="none" w:sz="0" w:space="0" w:color="auto"/>
            <w:right w:val="none" w:sz="0" w:space="0" w:color="auto"/>
          </w:divBdr>
          <w:divsChild>
            <w:div w:id="97453905">
              <w:marLeft w:val="0"/>
              <w:marRight w:val="0"/>
              <w:marTop w:val="0"/>
              <w:marBottom w:val="0"/>
              <w:divBdr>
                <w:top w:val="none" w:sz="0" w:space="0" w:color="auto"/>
                <w:left w:val="none" w:sz="0" w:space="0" w:color="auto"/>
                <w:bottom w:val="none" w:sz="0" w:space="0" w:color="auto"/>
                <w:right w:val="none" w:sz="0" w:space="0" w:color="auto"/>
              </w:divBdr>
            </w:div>
            <w:div w:id="432435688">
              <w:marLeft w:val="0"/>
              <w:marRight w:val="0"/>
              <w:marTop w:val="0"/>
              <w:marBottom w:val="0"/>
              <w:divBdr>
                <w:top w:val="none" w:sz="0" w:space="0" w:color="auto"/>
                <w:left w:val="none" w:sz="0" w:space="0" w:color="auto"/>
                <w:bottom w:val="none" w:sz="0" w:space="0" w:color="auto"/>
                <w:right w:val="none" w:sz="0" w:space="0" w:color="auto"/>
              </w:divBdr>
            </w:div>
            <w:div w:id="1112552735">
              <w:marLeft w:val="0"/>
              <w:marRight w:val="0"/>
              <w:marTop w:val="0"/>
              <w:marBottom w:val="0"/>
              <w:divBdr>
                <w:top w:val="none" w:sz="0" w:space="0" w:color="auto"/>
                <w:left w:val="none" w:sz="0" w:space="0" w:color="auto"/>
                <w:bottom w:val="none" w:sz="0" w:space="0" w:color="auto"/>
                <w:right w:val="none" w:sz="0" w:space="0" w:color="auto"/>
              </w:divBdr>
            </w:div>
            <w:div w:id="1241065602">
              <w:marLeft w:val="0"/>
              <w:marRight w:val="0"/>
              <w:marTop w:val="0"/>
              <w:marBottom w:val="0"/>
              <w:divBdr>
                <w:top w:val="none" w:sz="0" w:space="0" w:color="auto"/>
                <w:left w:val="none" w:sz="0" w:space="0" w:color="auto"/>
                <w:bottom w:val="none" w:sz="0" w:space="0" w:color="auto"/>
                <w:right w:val="none" w:sz="0" w:space="0" w:color="auto"/>
              </w:divBdr>
            </w:div>
            <w:div w:id="2106413916">
              <w:marLeft w:val="0"/>
              <w:marRight w:val="0"/>
              <w:marTop w:val="0"/>
              <w:marBottom w:val="0"/>
              <w:divBdr>
                <w:top w:val="none" w:sz="0" w:space="0" w:color="auto"/>
                <w:left w:val="none" w:sz="0" w:space="0" w:color="auto"/>
                <w:bottom w:val="none" w:sz="0" w:space="0" w:color="auto"/>
                <w:right w:val="none" w:sz="0" w:space="0" w:color="auto"/>
              </w:divBdr>
            </w:div>
          </w:divsChild>
        </w:div>
        <w:div w:id="2078241131">
          <w:marLeft w:val="0"/>
          <w:marRight w:val="0"/>
          <w:marTop w:val="0"/>
          <w:marBottom w:val="0"/>
          <w:divBdr>
            <w:top w:val="none" w:sz="0" w:space="0" w:color="auto"/>
            <w:left w:val="none" w:sz="0" w:space="0" w:color="auto"/>
            <w:bottom w:val="none" w:sz="0" w:space="0" w:color="auto"/>
            <w:right w:val="none" w:sz="0" w:space="0" w:color="auto"/>
          </w:divBdr>
          <w:divsChild>
            <w:div w:id="4319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19981">
      <w:bodyDiv w:val="1"/>
      <w:marLeft w:val="0"/>
      <w:marRight w:val="0"/>
      <w:marTop w:val="0"/>
      <w:marBottom w:val="0"/>
      <w:divBdr>
        <w:top w:val="none" w:sz="0" w:space="0" w:color="auto"/>
        <w:left w:val="none" w:sz="0" w:space="0" w:color="auto"/>
        <w:bottom w:val="none" w:sz="0" w:space="0" w:color="auto"/>
        <w:right w:val="none" w:sz="0" w:space="0" w:color="auto"/>
      </w:divBdr>
    </w:div>
    <w:div w:id="1434588269">
      <w:bodyDiv w:val="1"/>
      <w:marLeft w:val="0"/>
      <w:marRight w:val="0"/>
      <w:marTop w:val="0"/>
      <w:marBottom w:val="0"/>
      <w:divBdr>
        <w:top w:val="none" w:sz="0" w:space="0" w:color="auto"/>
        <w:left w:val="none" w:sz="0" w:space="0" w:color="auto"/>
        <w:bottom w:val="none" w:sz="0" w:space="0" w:color="auto"/>
        <w:right w:val="none" w:sz="0" w:space="0" w:color="auto"/>
      </w:divBdr>
    </w:div>
    <w:div w:id="1441530609">
      <w:bodyDiv w:val="1"/>
      <w:marLeft w:val="0"/>
      <w:marRight w:val="0"/>
      <w:marTop w:val="0"/>
      <w:marBottom w:val="0"/>
      <w:divBdr>
        <w:top w:val="none" w:sz="0" w:space="0" w:color="auto"/>
        <w:left w:val="none" w:sz="0" w:space="0" w:color="auto"/>
        <w:bottom w:val="none" w:sz="0" w:space="0" w:color="auto"/>
        <w:right w:val="none" w:sz="0" w:space="0" w:color="auto"/>
      </w:divBdr>
      <w:divsChild>
        <w:div w:id="762335425">
          <w:marLeft w:val="0"/>
          <w:marRight w:val="0"/>
          <w:marTop w:val="0"/>
          <w:marBottom w:val="0"/>
          <w:divBdr>
            <w:top w:val="none" w:sz="0" w:space="0" w:color="auto"/>
            <w:left w:val="none" w:sz="0" w:space="0" w:color="auto"/>
            <w:bottom w:val="none" w:sz="0" w:space="0" w:color="auto"/>
            <w:right w:val="none" w:sz="0" w:space="0" w:color="auto"/>
          </w:divBdr>
        </w:div>
        <w:div w:id="955989846">
          <w:marLeft w:val="0"/>
          <w:marRight w:val="0"/>
          <w:marTop w:val="0"/>
          <w:marBottom w:val="0"/>
          <w:divBdr>
            <w:top w:val="none" w:sz="0" w:space="0" w:color="auto"/>
            <w:left w:val="none" w:sz="0" w:space="0" w:color="auto"/>
            <w:bottom w:val="none" w:sz="0" w:space="0" w:color="auto"/>
            <w:right w:val="none" w:sz="0" w:space="0" w:color="auto"/>
          </w:divBdr>
          <w:divsChild>
            <w:div w:id="958493715">
              <w:marLeft w:val="-75"/>
              <w:marRight w:val="0"/>
              <w:marTop w:val="30"/>
              <w:marBottom w:val="30"/>
              <w:divBdr>
                <w:top w:val="none" w:sz="0" w:space="0" w:color="auto"/>
                <w:left w:val="none" w:sz="0" w:space="0" w:color="auto"/>
                <w:bottom w:val="none" w:sz="0" w:space="0" w:color="auto"/>
                <w:right w:val="none" w:sz="0" w:space="0" w:color="auto"/>
              </w:divBdr>
              <w:divsChild>
                <w:div w:id="518933186">
                  <w:marLeft w:val="0"/>
                  <w:marRight w:val="0"/>
                  <w:marTop w:val="0"/>
                  <w:marBottom w:val="0"/>
                  <w:divBdr>
                    <w:top w:val="none" w:sz="0" w:space="0" w:color="auto"/>
                    <w:left w:val="none" w:sz="0" w:space="0" w:color="auto"/>
                    <w:bottom w:val="none" w:sz="0" w:space="0" w:color="auto"/>
                    <w:right w:val="none" w:sz="0" w:space="0" w:color="auto"/>
                  </w:divBdr>
                  <w:divsChild>
                    <w:div w:id="1773161885">
                      <w:marLeft w:val="0"/>
                      <w:marRight w:val="0"/>
                      <w:marTop w:val="0"/>
                      <w:marBottom w:val="0"/>
                      <w:divBdr>
                        <w:top w:val="none" w:sz="0" w:space="0" w:color="auto"/>
                        <w:left w:val="none" w:sz="0" w:space="0" w:color="auto"/>
                        <w:bottom w:val="none" w:sz="0" w:space="0" w:color="auto"/>
                        <w:right w:val="none" w:sz="0" w:space="0" w:color="auto"/>
                      </w:divBdr>
                    </w:div>
                  </w:divsChild>
                </w:div>
                <w:div w:id="525600994">
                  <w:marLeft w:val="0"/>
                  <w:marRight w:val="0"/>
                  <w:marTop w:val="0"/>
                  <w:marBottom w:val="0"/>
                  <w:divBdr>
                    <w:top w:val="none" w:sz="0" w:space="0" w:color="auto"/>
                    <w:left w:val="none" w:sz="0" w:space="0" w:color="auto"/>
                    <w:bottom w:val="none" w:sz="0" w:space="0" w:color="auto"/>
                    <w:right w:val="none" w:sz="0" w:space="0" w:color="auto"/>
                  </w:divBdr>
                  <w:divsChild>
                    <w:div w:id="1389918197">
                      <w:marLeft w:val="0"/>
                      <w:marRight w:val="0"/>
                      <w:marTop w:val="0"/>
                      <w:marBottom w:val="0"/>
                      <w:divBdr>
                        <w:top w:val="none" w:sz="0" w:space="0" w:color="auto"/>
                        <w:left w:val="none" w:sz="0" w:space="0" w:color="auto"/>
                        <w:bottom w:val="none" w:sz="0" w:space="0" w:color="auto"/>
                        <w:right w:val="none" w:sz="0" w:space="0" w:color="auto"/>
                      </w:divBdr>
                    </w:div>
                  </w:divsChild>
                </w:div>
                <w:div w:id="817183167">
                  <w:marLeft w:val="0"/>
                  <w:marRight w:val="0"/>
                  <w:marTop w:val="0"/>
                  <w:marBottom w:val="0"/>
                  <w:divBdr>
                    <w:top w:val="none" w:sz="0" w:space="0" w:color="auto"/>
                    <w:left w:val="none" w:sz="0" w:space="0" w:color="auto"/>
                    <w:bottom w:val="none" w:sz="0" w:space="0" w:color="auto"/>
                    <w:right w:val="none" w:sz="0" w:space="0" w:color="auto"/>
                  </w:divBdr>
                  <w:divsChild>
                    <w:div w:id="1010454568">
                      <w:marLeft w:val="0"/>
                      <w:marRight w:val="0"/>
                      <w:marTop w:val="0"/>
                      <w:marBottom w:val="0"/>
                      <w:divBdr>
                        <w:top w:val="none" w:sz="0" w:space="0" w:color="auto"/>
                        <w:left w:val="none" w:sz="0" w:space="0" w:color="auto"/>
                        <w:bottom w:val="none" w:sz="0" w:space="0" w:color="auto"/>
                        <w:right w:val="none" w:sz="0" w:space="0" w:color="auto"/>
                      </w:divBdr>
                    </w:div>
                    <w:div w:id="1384256725">
                      <w:marLeft w:val="0"/>
                      <w:marRight w:val="0"/>
                      <w:marTop w:val="0"/>
                      <w:marBottom w:val="0"/>
                      <w:divBdr>
                        <w:top w:val="none" w:sz="0" w:space="0" w:color="auto"/>
                        <w:left w:val="none" w:sz="0" w:space="0" w:color="auto"/>
                        <w:bottom w:val="none" w:sz="0" w:space="0" w:color="auto"/>
                        <w:right w:val="none" w:sz="0" w:space="0" w:color="auto"/>
                      </w:divBdr>
                    </w:div>
                  </w:divsChild>
                </w:div>
                <w:div w:id="829905018">
                  <w:marLeft w:val="0"/>
                  <w:marRight w:val="0"/>
                  <w:marTop w:val="0"/>
                  <w:marBottom w:val="0"/>
                  <w:divBdr>
                    <w:top w:val="none" w:sz="0" w:space="0" w:color="auto"/>
                    <w:left w:val="none" w:sz="0" w:space="0" w:color="auto"/>
                    <w:bottom w:val="none" w:sz="0" w:space="0" w:color="auto"/>
                    <w:right w:val="none" w:sz="0" w:space="0" w:color="auto"/>
                  </w:divBdr>
                  <w:divsChild>
                    <w:div w:id="839200953">
                      <w:marLeft w:val="0"/>
                      <w:marRight w:val="0"/>
                      <w:marTop w:val="0"/>
                      <w:marBottom w:val="0"/>
                      <w:divBdr>
                        <w:top w:val="none" w:sz="0" w:space="0" w:color="auto"/>
                        <w:left w:val="none" w:sz="0" w:space="0" w:color="auto"/>
                        <w:bottom w:val="none" w:sz="0" w:space="0" w:color="auto"/>
                        <w:right w:val="none" w:sz="0" w:space="0" w:color="auto"/>
                      </w:divBdr>
                    </w:div>
                    <w:div w:id="1539314384">
                      <w:marLeft w:val="0"/>
                      <w:marRight w:val="0"/>
                      <w:marTop w:val="0"/>
                      <w:marBottom w:val="0"/>
                      <w:divBdr>
                        <w:top w:val="none" w:sz="0" w:space="0" w:color="auto"/>
                        <w:left w:val="none" w:sz="0" w:space="0" w:color="auto"/>
                        <w:bottom w:val="none" w:sz="0" w:space="0" w:color="auto"/>
                        <w:right w:val="none" w:sz="0" w:space="0" w:color="auto"/>
                      </w:divBdr>
                    </w:div>
                  </w:divsChild>
                </w:div>
                <w:div w:id="1265843307">
                  <w:marLeft w:val="0"/>
                  <w:marRight w:val="0"/>
                  <w:marTop w:val="0"/>
                  <w:marBottom w:val="0"/>
                  <w:divBdr>
                    <w:top w:val="none" w:sz="0" w:space="0" w:color="auto"/>
                    <w:left w:val="none" w:sz="0" w:space="0" w:color="auto"/>
                    <w:bottom w:val="none" w:sz="0" w:space="0" w:color="auto"/>
                    <w:right w:val="none" w:sz="0" w:space="0" w:color="auto"/>
                  </w:divBdr>
                  <w:divsChild>
                    <w:div w:id="480268099">
                      <w:marLeft w:val="0"/>
                      <w:marRight w:val="0"/>
                      <w:marTop w:val="0"/>
                      <w:marBottom w:val="0"/>
                      <w:divBdr>
                        <w:top w:val="none" w:sz="0" w:space="0" w:color="auto"/>
                        <w:left w:val="none" w:sz="0" w:space="0" w:color="auto"/>
                        <w:bottom w:val="none" w:sz="0" w:space="0" w:color="auto"/>
                        <w:right w:val="none" w:sz="0" w:space="0" w:color="auto"/>
                      </w:divBdr>
                    </w:div>
                  </w:divsChild>
                </w:div>
                <w:div w:id="1369380095">
                  <w:marLeft w:val="0"/>
                  <w:marRight w:val="0"/>
                  <w:marTop w:val="0"/>
                  <w:marBottom w:val="0"/>
                  <w:divBdr>
                    <w:top w:val="none" w:sz="0" w:space="0" w:color="auto"/>
                    <w:left w:val="none" w:sz="0" w:space="0" w:color="auto"/>
                    <w:bottom w:val="none" w:sz="0" w:space="0" w:color="auto"/>
                    <w:right w:val="none" w:sz="0" w:space="0" w:color="auto"/>
                  </w:divBdr>
                  <w:divsChild>
                    <w:div w:id="50810307">
                      <w:marLeft w:val="0"/>
                      <w:marRight w:val="0"/>
                      <w:marTop w:val="0"/>
                      <w:marBottom w:val="0"/>
                      <w:divBdr>
                        <w:top w:val="none" w:sz="0" w:space="0" w:color="auto"/>
                        <w:left w:val="none" w:sz="0" w:space="0" w:color="auto"/>
                        <w:bottom w:val="none" w:sz="0" w:space="0" w:color="auto"/>
                        <w:right w:val="none" w:sz="0" w:space="0" w:color="auto"/>
                      </w:divBdr>
                    </w:div>
                    <w:div w:id="551842590">
                      <w:marLeft w:val="0"/>
                      <w:marRight w:val="0"/>
                      <w:marTop w:val="0"/>
                      <w:marBottom w:val="0"/>
                      <w:divBdr>
                        <w:top w:val="none" w:sz="0" w:space="0" w:color="auto"/>
                        <w:left w:val="none" w:sz="0" w:space="0" w:color="auto"/>
                        <w:bottom w:val="none" w:sz="0" w:space="0" w:color="auto"/>
                        <w:right w:val="none" w:sz="0" w:space="0" w:color="auto"/>
                      </w:divBdr>
                    </w:div>
                    <w:div w:id="1654337888">
                      <w:marLeft w:val="0"/>
                      <w:marRight w:val="0"/>
                      <w:marTop w:val="0"/>
                      <w:marBottom w:val="0"/>
                      <w:divBdr>
                        <w:top w:val="none" w:sz="0" w:space="0" w:color="auto"/>
                        <w:left w:val="none" w:sz="0" w:space="0" w:color="auto"/>
                        <w:bottom w:val="none" w:sz="0" w:space="0" w:color="auto"/>
                        <w:right w:val="none" w:sz="0" w:space="0" w:color="auto"/>
                      </w:divBdr>
                    </w:div>
                    <w:div w:id="18472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57432">
      <w:bodyDiv w:val="1"/>
      <w:marLeft w:val="0"/>
      <w:marRight w:val="0"/>
      <w:marTop w:val="0"/>
      <w:marBottom w:val="0"/>
      <w:divBdr>
        <w:top w:val="none" w:sz="0" w:space="0" w:color="auto"/>
        <w:left w:val="none" w:sz="0" w:space="0" w:color="auto"/>
        <w:bottom w:val="none" w:sz="0" w:space="0" w:color="auto"/>
        <w:right w:val="none" w:sz="0" w:space="0" w:color="auto"/>
      </w:divBdr>
    </w:div>
    <w:div w:id="151480378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28118831">
      <w:bodyDiv w:val="1"/>
      <w:marLeft w:val="0"/>
      <w:marRight w:val="0"/>
      <w:marTop w:val="0"/>
      <w:marBottom w:val="0"/>
      <w:divBdr>
        <w:top w:val="none" w:sz="0" w:space="0" w:color="auto"/>
        <w:left w:val="none" w:sz="0" w:space="0" w:color="auto"/>
        <w:bottom w:val="none" w:sz="0" w:space="0" w:color="auto"/>
        <w:right w:val="none" w:sz="0" w:space="0" w:color="auto"/>
      </w:divBdr>
      <w:divsChild>
        <w:div w:id="8261870">
          <w:marLeft w:val="0"/>
          <w:marRight w:val="0"/>
          <w:marTop w:val="0"/>
          <w:marBottom w:val="0"/>
          <w:divBdr>
            <w:top w:val="none" w:sz="0" w:space="0" w:color="auto"/>
            <w:left w:val="none" w:sz="0" w:space="0" w:color="auto"/>
            <w:bottom w:val="none" w:sz="0" w:space="0" w:color="auto"/>
            <w:right w:val="none" w:sz="0" w:space="0" w:color="auto"/>
          </w:divBdr>
          <w:divsChild>
            <w:div w:id="517543425">
              <w:marLeft w:val="0"/>
              <w:marRight w:val="0"/>
              <w:marTop w:val="0"/>
              <w:marBottom w:val="0"/>
              <w:divBdr>
                <w:top w:val="none" w:sz="0" w:space="0" w:color="auto"/>
                <w:left w:val="none" w:sz="0" w:space="0" w:color="auto"/>
                <w:bottom w:val="none" w:sz="0" w:space="0" w:color="auto"/>
                <w:right w:val="none" w:sz="0" w:space="0" w:color="auto"/>
              </w:divBdr>
            </w:div>
            <w:div w:id="601913651">
              <w:marLeft w:val="0"/>
              <w:marRight w:val="0"/>
              <w:marTop w:val="0"/>
              <w:marBottom w:val="0"/>
              <w:divBdr>
                <w:top w:val="none" w:sz="0" w:space="0" w:color="auto"/>
                <w:left w:val="none" w:sz="0" w:space="0" w:color="auto"/>
                <w:bottom w:val="none" w:sz="0" w:space="0" w:color="auto"/>
                <w:right w:val="none" w:sz="0" w:space="0" w:color="auto"/>
              </w:divBdr>
            </w:div>
            <w:div w:id="1026449711">
              <w:marLeft w:val="0"/>
              <w:marRight w:val="0"/>
              <w:marTop w:val="0"/>
              <w:marBottom w:val="0"/>
              <w:divBdr>
                <w:top w:val="none" w:sz="0" w:space="0" w:color="auto"/>
                <w:left w:val="none" w:sz="0" w:space="0" w:color="auto"/>
                <w:bottom w:val="none" w:sz="0" w:space="0" w:color="auto"/>
                <w:right w:val="none" w:sz="0" w:space="0" w:color="auto"/>
              </w:divBdr>
            </w:div>
            <w:div w:id="1047951677">
              <w:marLeft w:val="0"/>
              <w:marRight w:val="0"/>
              <w:marTop w:val="0"/>
              <w:marBottom w:val="0"/>
              <w:divBdr>
                <w:top w:val="none" w:sz="0" w:space="0" w:color="auto"/>
                <w:left w:val="none" w:sz="0" w:space="0" w:color="auto"/>
                <w:bottom w:val="none" w:sz="0" w:space="0" w:color="auto"/>
                <w:right w:val="none" w:sz="0" w:space="0" w:color="auto"/>
              </w:divBdr>
            </w:div>
            <w:div w:id="1090588092">
              <w:marLeft w:val="0"/>
              <w:marRight w:val="0"/>
              <w:marTop w:val="0"/>
              <w:marBottom w:val="0"/>
              <w:divBdr>
                <w:top w:val="none" w:sz="0" w:space="0" w:color="auto"/>
                <w:left w:val="none" w:sz="0" w:space="0" w:color="auto"/>
                <w:bottom w:val="none" w:sz="0" w:space="0" w:color="auto"/>
                <w:right w:val="none" w:sz="0" w:space="0" w:color="auto"/>
              </w:divBdr>
            </w:div>
            <w:div w:id="1436748801">
              <w:marLeft w:val="0"/>
              <w:marRight w:val="0"/>
              <w:marTop w:val="0"/>
              <w:marBottom w:val="0"/>
              <w:divBdr>
                <w:top w:val="none" w:sz="0" w:space="0" w:color="auto"/>
                <w:left w:val="none" w:sz="0" w:space="0" w:color="auto"/>
                <w:bottom w:val="none" w:sz="0" w:space="0" w:color="auto"/>
                <w:right w:val="none" w:sz="0" w:space="0" w:color="auto"/>
              </w:divBdr>
            </w:div>
            <w:div w:id="1566985346">
              <w:marLeft w:val="0"/>
              <w:marRight w:val="0"/>
              <w:marTop w:val="0"/>
              <w:marBottom w:val="0"/>
              <w:divBdr>
                <w:top w:val="none" w:sz="0" w:space="0" w:color="auto"/>
                <w:left w:val="none" w:sz="0" w:space="0" w:color="auto"/>
                <w:bottom w:val="none" w:sz="0" w:space="0" w:color="auto"/>
                <w:right w:val="none" w:sz="0" w:space="0" w:color="auto"/>
              </w:divBdr>
            </w:div>
            <w:div w:id="2030719455">
              <w:marLeft w:val="0"/>
              <w:marRight w:val="0"/>
              <w:marTop w:val="0"/>
              <w:marBottom w:val="0"/>
              <w:divBdr>
                <w:top w:val="none" w:sz="0" w:space="0" w:color="auto"/>
                <w:left w:val="none" w:sz="0" w:space="0" w:color="auto"/>
                <w:bottom w:val="none" w:sz="0" w:space="0" w:color="auto"/>
                <w:right w:val="none" w:sz="0" w:space="0" w:color="auto"/>
              </w:divBdr>
            </w:div>
            <w:div w:id="2096441606">
              <w:marLeft w:val="0"/>
              <w:marRight w:val="0"/>
              <w:marTop w:val="0"/>
              <w:marBottom w:val="0"/>
              <w:divBdr>
                <w:top w:val="none" w:sz="0" w:space="0" w:color="auto"/>
                <w:left w:val="none" w:sz="0" w:space="0" w:color="auto"/>
                <w:bottom w:val="none" w:sz="0" w:space="0" w:color="auto"/>
                <w:right w:val="none" w:sz="0" w:space="0" w:color="auto"/>
              </w:divBdr>
            </w:div>
            <w:div w:id="2131436894">
              <w:marLeft w:val="0"/>
              <w:marRight w:val="0"/>
              <w:marTop w:val="0"/>
              <w:marBottom w:val="0"/>
              <w:divBdr>
                <w:top w:val="none" w:sz="0" w:space="0" w:color="auto"/>
                <w:left w:val="none" w:sz="0" w:space="0" w:color="auto"/>
                <w:bottom w:val="none" w:sz="0" w:space="0" w:color="auto"/>
                <w:right w:val="none" w:sz="0" w:space="0" w:color="auto"/>
              </w:divBdr>
            </w:div>
          </w:divsChild>
        </w:div>
        <w:div w:id="38937096">
          <w:marLeft w:val="0"/>
          <w:marRight w:val="0"/>
          <w:marTop w:val="0"/>
          <w:marBottom w:val="0"/>
          <w:divBdr>
            <w:top w:val="none" w:sz="0" w:space="0" w:color="auto"/>
            <w:left w:val="none" w:sz="0" w:space="0" w:color="auto"/>
            <w:bottom w:val="none" w:sz="0" w:space="0" w:color="auto"/>
            <w:right w:val="none" w:sz="0" w:space="0" w:color="auto"/>
          </w:divBdr>
        </w:div>
        <w:div w:id="297955707">
          <w:marLeft w:val="0"/>
          <w:marRight w:val="0"/>
          <w:marTop w:val="0"/>
          <w:marBottom w:val="0"/>
          <w:divBdr>
            <w:top w:val="none" w:sz="0" w:space="0" w:color="auto"/>
            <w:left w:val="none" w:sz="0" w:space="0" w:color="auto"/>
            <w:bottom w:val="none" w:sz="0" w:space="0" w:color="auto"/>
            <w:right w:val="none" w:sz="0" w:space="0" w:color="auto"/>
          </w:divBdr>
        </w:div>
        <w:div w:id="351226260">
          <w:marLeft w:val="0"/>
          <w:marRight w:val="0"/>
          <w:marTop w:val="0"/>
          <w:marBottom w:val="0"/>
          <w:divBdr>
            <w:top w:val="none" w:sz="0" w:space="0" w:color="auto"/>
            <w:left w:val="none" w:sz="0" w:space="0" w:color="auto"/>
            <w:bottom w:val="none" w:sz="0" w:space="0" w:color="auto"/>
            <w:right w:val="none" w:sz="0" w:space="0" w:color="auto"/>
          </w:divBdr>
        </w:div>
        <w:div w:id="443158815">
          <w:marLeft w:val="0"/>
          <w:marRight w:val="0"/>
          <w:marTop w:val="0"/>
          <w:marBottom w:val="0"/>
          <w:divBdr>
            <w:top w:val="none" w:sz="0" w:space="0" w:color="auto"/>
            <w:left w:val="none" w:sz="0" w:space="0" w:color="auto"/>
            <w:bottom w:val="none" w:sz="0" w:space="0" w:color="auto"/>
            <w:right w:val="none" w:sz="0" w:space="0" w:color="auto"/>
          </w:divBdr>
          <w:divsChild>
            <w:div w:id="859972965">
              <w:marLeft w:val="-75"/>
              <w:marRight w:val="0"/>
              <w:marTop w:val="30"/>
              <w:marBottom w:val="30"/>
              <w:divBdr>
                <w:top w:val="none" w:sz="0" w:space="0" w:color="auto"/>
                <w:left w:val="none" w:sz="0" w:space="0" w:color="auto"/>
                <w:bottom w:val="none" w:sz="0" w:space="0" w:color="auto"/>
                <w:right w:val="none" w:sz="0" w:space="0" w:color="auto"/>
              </w:divBdr>
              <w:divsChild>
                <w:div w:id="433675734">
                  <w:marLeft w:val="0"/>
                  <w:marRight w:val="0"/>
                  <w:marTop w:val="0"/>
                  <w:marBottom w:val="0"/>
                  <w:divBdr>
                    <w:top w:val="none" w:sz="0" w:space="0" w:color="auto"/>
                    <w:left w:val="none" w:sz="0" w:space="0" w:color="auto"/>
                    <w:bottom w:val="none" w:sz="0" w:space="0" w:color="auto"/>
                    <w:right w:val="none" w:sz="0" w:space="0" w:color="auto"/>
                  </w:divBdr>
                  <w:divsChild>
                    <w:div w:id="101196236">
                      <w:marLeft w:val="0"/>
                      <w:marRight w:val="0"/>
                      <w:marTop w:val="0"/>
                      <w:marBottom w:val="0"/>
                      <w:divBdr>
                        <w:top w:val="none" w:sz="0" w:space="0" w:color="auto"/>
                        <w:left w:val="none" w:sz="0" w:space="0" w:color="auto"/>
                        <w:bottom w:val="none" w:sz="0" w:space="0" w:color="auto"/>
                        <w:right w:val="none" w:sz="0" w:space="0" w:color="auto"/>
                      </w:divBdr>
                    </w:div>
                  </w:divsChild>
                </w:div>
                <w:div w:id="800459216">
                  <w:marLeft w:val="0"/>
                  <w:marRight w:val="0"/>
                  <w:marTop w:val="0"/>
                  <w:marBottom w:val="0"/>
                  <w:divBdr>
                    <w:top w:val="none" w:sz="0" w:space="0" w:color="auto"/>
                    <w:left w:val="none" w:sz="0" w:space="0" w:color="auto"/>
                    <w:bottom w:val="none" w:sz="0" w:space="0" w:color="auto"/>
                    <w:right w:val="none" w:sz="0" w:space="0" w:color="auto"/>
                  </w:divBdr>
                  <w:divsChild>
                    <w:div w:id="1872762843">
                      <w:marLeft w:val="0"/>
                      <w:marRight w:val="0"/>
                      <w:marTop w:val="0"/>
                      <w:marBottom w:val="0"/>
                      <w:divBdr>
                        <w:top w:val="none" w:sz="0" w:space="0" w:color="auto"/>
                        <w:left w:val="none" w:sz="0" w:space="0" w:color="auto"/>
                        <w:bottom w:val="none" w:sz="0" w:space="0" w:color="auto"/>
                        <w:right w:val="none" w:sz="0" w:space="0" w:color="auto"/>
                      </w:divBdr>
                    </w:div>
                  </w:divsChild>
                </w:div>
                <w:div w:id="910963717">
                  <w:marLeft w:val="0"/>
                  <w:marRight w:val="0"/>
                  <w:marTop w:val="0"/>
                  <w:marBottom w:val="0"/>
                  <w:divBdr>
                    <w:top w:val="none" w:sz="0" w:space="0" w:color="auto"/>
                    <w:left w:val="none" w:sz="0" w:space="0" w:color="auto"/>
                    <w:bottom w:val="none" w:sz="0" w:space="0" w:color="auto"/>
                    <w:right w:val="none" w:sz="0" w:space="0" w:color="auto"/>
                  </w:divBdr>
                  <w:divsChild>
                    <w:div w:id="128671625">
                      <w:marLeft w:val="0"/>
                      <w:marRight w:val="0"/>
                      <w:marTop w:val="0"/>
                      <w:marBottom w:val="0"/>
                      <w:divBdr>
                        <w:top w:val="none" w:sz="0" w:space="0" w:color="auto"/>
                        <w:left w:val="none" w:sz="0" w:space="0" w:color="auto"/>
                        <w:bottom w:val="none" w:sz="0" w:space="0" w:color="auto"/>
                        <w:right w:val="none" w:sz="0" w:space="0" w:color="auto"/>
                      </w:divBdr>
                    </w:div>
                  </w:divsChild>
                </w:div>
                <w:div w:id="1058818373">
                  <w:marLeft w:val="0"/>
                  <w:marRight w:val="0"/>
                  <w:marTop w:val="0"/>
                  <w:marBottom w:val="0"/>
                  <w:divBdr>
                    <w:top w:val="none" w:sz="0" w:space="0" w:color="auto"/>
                    <w:left w:val="none" w:sz="0" w:space="0" w:color="auto"/>
                    <w:bottom w:val="none" w:sz="0" w:space="0" w:color="auto"/>
                    <w:right w:val="none" w:sz="0" w:space="0" w:color="auto"/>
                  </w:divBdr>
                  <w:divsChild>
                    <w:div w:id="241566902">
                      <w:marLeft w:val="0"/>
                      <w:marRight w:val="0"/>
                      <w:marTop w:val="0"/>
                      <w:marBottom w:val="0"/>
                      <w:divBdr>
                        <w:top w:val="none" w:sz="0" w:space="0" w:color="auto"/>
                        <w:left w:val="none" w:sz="0" w:space="0" w:color="auto"/>
                        <w:bottom w:val="none" w:sz="0" w:space="0" w:color="auto"/>
                        <w:right w:val="none" w:sz="0" w:space="0" w:color="auto"/>
                      </w:divBdr>
                    </w:div>
                  </w:divsChild>
                </w:div>
                <w:div w:id="1190795657">
                  <w:marLeft w:val="0"/>
                  <w:marRight w:val="0"/>
                  <w:marTop w:val="0"/>
                  <w:marBottom w:val="0"/>
                  <w:divBdr>
                    <w:top w:val="none" w:sz="0" w:space="0" w:color="auto"/>
                    <w:left w:val="none" w:sz="0" w:space="0" w:color="auto"/>
                    <w:bottom w:val="none" w:sz="0" w:space="0" w:color="auto"/>
                    <w:right w:val="none" w:sz="0" w:space="0" w:color="auto"/>
                  </w:divBdr>
                  <w:divsChild>
                    <w:div w:id="52238636">
                      <w:marLeft w:val="0"/>
                      <w:marRight w:val="0"/>
                      <w:marTop w:val="0"/>
                      <w:marBottom w:val="0"/>
                      <w:divBdr>
                        <w:top w:val="none" w:sz="0" w:space="0" w:color="auto"/>
                        <w:left w:val="none" w:sz="0" w:space="0" w:color="auto"/>
                        <w:bottom w:val="none" w:sz="0" w:space="0" w:color="auto"/>
                        <w:right w:val="none" w:sz="0" w:space="0" w:color="auto"/>
                      </w:divBdr>
                    </w:div>
                  </w:divsChild>
                </w:div>
                <w:div w:id="1380743731">
                  <w:marLeft w:val="0"/>
                  <w:marRight w:val="0"/>
                  <w:marTop w:val="0"/>
                  <w:marBottom w:val="0"/>
                  <w:divBdr>
                    <w:top w:val="none" w:sz="0" w:space="0" w:color="auto"/>
                    <w:left w:val="none" w:sz="0" w:space="0" w:color="auto"/>
                    <w:bottom w:val="none" w:sz="0" w:space="0" w:color="auto"/>
                    <w:right w:val="none" w:sz="0" w:space="0" w:color="auto"/>
                  </w:divBdr>
                  <w:divsChild>
                    <w:div w:id="430704909">
                      <w:marLeft w:val="0"/>
                      <w:marRight w:val="0"/>
                      <w:marTop w:val="0"/>
                      <w:marBottom w:val="0"/>
                      <w:divBdr>
                        <w:top w:val="none" w:sz="0" w:space="0" w:color="auto"/>
                        <w:left w:val="none" w:sz="0" w:space="0" w:color="auto"/>
                        <w:bottom w:val="none" w:sz="0" w:space="0" w:color="auto"/>
                        <w:right w:val="none" w:sz="0" w:space="0" w:color="auto"/>
                      </w:divBdr>
                    </w:div>
                  </w:divsChild>
                </w:div>
                <w:div w:id="1671717178">
                  <w:marLeft w:val="0"/>
                  <w:marRight w:val="0"/>
                  <w:marTop w:val="0"/>
                  <w:marBottom w:val="0"/>
                  <w:divBdr>
                    <w:top w:val="none" w:sz="0" w:space="0" w:color="auto"/>
                    <w:left w:val="none" w:sz="0" w:space="0" w:color="auto"/>
                    <w:bottom w:val="none" w:sz="0" w:space="0" w:color="auto"/>
                    <w:right w:val="none" w:sz="0" w:space="0" w:color="auto"/>
                  </w:divBdr>
                  <w:divsChild>
                    <w:div w:id="2044204620">
                      <w:marLeft w:val="0"/>
                      <w:marRight w:val="0"/>
                      <w:marTop w:val="0"/>
                      <w:marBottom w:val="0"/>
                      <w:divBdr>
                        <w:top w:val="none" w:sz="0" w:space="0" w:color="auto"/>
                        <w:left w:val="none" w:sz="0" w:space="0" w:color="auto"/>
                        <w:bottom w:val="none" w:sz="0" w:space="0" w:color="auto"/>
                        <w:right w:val="none" w:sz="0" w:space="0" w:color="auto"/>
                      </w:divBdr>
                    </w:div>
                  </w:divsChild>
                </w:div>
                <w:div w:id="1754745187">
                  <w:marLeft w:val="0"/>
                  <w:marRight w:val="0"/>
                  <w:marTop w:val="0"/>
                  <w:marBottom w:val="0"/>
                  <w:divBdr>
                    <w:top w:val="none" w:sz="0" w:space="0" w:color="auto"/>
                    <w:left w:val="none" w:sz="0" w:space="0" w:color="auto"/>
                    <w:bottom w:val="none" w:sz="0" w:space="0" w:color="auto"/>
                    <w:right w:val="none" w:sz="0" w:space="0" w:color="auto"/>
                  </w:divBdr>
                  <w:divsChild>
                    <w:div w:id="1095638808">
                      <w:marLeft w:val="0"/>
                      <w:marRight w:val="0"/>
                      <w:marTop w:val="0"/>
                      <w:marBottom w:val="0"/>
                      <w:divBdr>
                        <w:top w:val="none" w:sz="0" w:space="0" w:color="auto"/>
                        <w:left w:val="none" w:sz="0" w:space="0" w:color="auto"/>
                        <w:bottom w:val="none" w:sz="0" w:space="0" w:color="auto"/>
                        <w:right w:val="none" w:sz="0" w:space="0" w:color="auto"/>
                      </w:divBdr>
                    </w:div>
                  </w:divsChild>
                </w:div>
                <w:div w:id="1870948730">
                  <w:marLeft w:val="0"/>
                  <w:marRight w:val="0"/>
                  <w:marTop w:val="0"/>
                  <w:marBottom w:val="0"/>
                  <w:divBdr>
                    <w:top w:val="none" w:sz="0" w:space="0" w:color="auto"/>
                    <w:left w:val="none" w:sz="0" w:space="0" w:color="auto"/>
                    <w:bottom w:val="none" w:sz="0" w:space="0" w:color="auto"/>
                    <w:right w:val="none" w:sz="0" w:space="0" w:color="auto"/>
                  </w:divBdr>
                  <w:divsChild>
                    <w:div w:id="1358193410">
                      <w:marLeft w:val="0"/>
                      <w:marRight w:val="0"/>
                      <w:marTop w:val="0"/>
                      <w:marBottom w:val="0"/>
                      <w:divBdr>
                        <w:top w:val="none" w:sz="0" w:space="0" w:color="auto"/>
                        <w:left w:val="none" w:sz="0" w:space="0" w:color="auto"/>
                        <w:bottom w:val="none" w:sz="0" w:space="0" w:color="auto"/>
                        <w:right w:val="none" w:sz="0" w:space="0" w:color="auto"/>
                      </w:divBdr>
                    </w:div>
                  </w:divsChild>
                </w:div>
                <w:div w:id="2089107940">
                  <w:marLeft w:val="0"/>
                  <w:marRight w:val="0"/>
                  <w:marTop w:val="0"/>
                  <w:marBottom w:val="0"/>
                  <w:divBdr>
                    <w:top w:val="none" w:sz="0" w:space="0" w:color="auto"/>
                    <w:left w:val="none" w:sz="0" w:space="0" w:color="auto"/>
                    <w:bottom w:val="none" w:sz="0" w:space="0" w:color="auto"/>
                    <w:right w:val="none" w:sz="0" w:space="0" w:color="auto"/>
                  </w:divBdr>
                  <w:divsChild>
                    <w:div w:id="4814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99046">
          <w:marLeft w:val="0"/>
          <w:marRight w:val="0"/>
          <w:marTop w:val="0"/>
          <w:marBottom w:val="0"/>
          <w:divBdr>
            <w:top w:val="none" w:sz="0" w:space="0" w:color="auto"/>
            <w:left w:val="none" w:sz="0" w:space="0" w:color="auto"/>
            <w:bottom w:val="none" w:sz="0" w:space="0" w:color="auto"/>
            <w:right w:val="none" w:sz="0" w:space="0" w:color="auto"/>
          </w:divBdr>
        </w:div>
        <w:div w:id="864946924">
          <w:marLeft w:val="0"/>
          <w:marRight w:val="0"/>
          <w:marTop w:val="0"/>
          <w:marBottom w:val="0"/>
          <w:divBdr>
            <w:top w:val="none" w:sz="0" w:space="0" w:color="auto"/>
            <w:left w:val="none" w:sz="0" w:space="0" w:color="auto"/>
            <w:bottom w:val="none" w:sz="0" w:space="0" w:color="auto"/>
            <w:right w:val="none" w:sz="0" w:space="0" w:color="auto"/>
          </w:divBdr>
        </w:div>
        <w:div w:id="1062559733">
          <w:marLeft w:val="0"/>
          <w:marRight w:val="0"/>
          <w:marTop w:val="0"/>
          <w:marBottom w:val="0"/>
          <w:divBdr>
            <w:top w:val="none" w:sz="0" w:space="0" w:color="auto"/>
            <w:left w:val="none" w:sz="0" w:space="0" w:color="auto"/>
            <w:bottom w:val="none" w:sz="0" w:space="0" w:color="auto"/>
            <w:right w:val="none" w:sz="0" w:space="0" w:color="auto"/>
          </w:divBdr>
        </w:div>
        <w:div w:id="1238051790">
          <w:marLeft w:val="0"/>
          <w:marRight w:val="0"/>
          <w:marTop w:val="0"/>
          <w:marBottom w:val="0"/>
          <w:divBdr>
            <w:top w:val="none" w:sz="0" w:space="0" w:color="auto"/>
            <w:left w:val="none" w:sz="0" w:space="0" w:color="auto"/>
            <w:bottom w:val="none" w:sz="0" w:space="0" w:color="auto"/>
            <w:right w:val="none" w:sz="0" w:space="0" w:color="auto"/>
          </w:divBdr>
        </w:div>
        <w:div w:id="1468737023">
          <w:marLeft w:val="0"/>
          <w:marRight w:val="0"/>
          <w:marTop w:val="0"/>
          <w:marBottom w:val="0"/>
          <w:divBdr>
            <w:top w:val="none" w:sz="0" w:space="0" w:color="auto"/>
            <w:left w:val="none" w:sz="0" w:space="0" w:color="auto"/>
            <w:bottom w:val="none" w:sz="0" w:space="0" w:color="auto"/>
            <w:right w:val="none" w:sz="0" w:space="0" w:color="auto"/>
          </w:divBdr>
        </w:div>
        <w:div w:id="2133471558">
          <w:marLeft w:val="0"/>
          <w:marRight w:val="0"/>
          <w:marTop w:val="0"/>
          <w:marBottom w:val="0"/>
          <w:divBdr>
            <w:top w:val="none" w:sz="0" w:space="0" w:color="auto"/>
            <w:left w:val="none" w:sz="0" w:space="0" w:color="auto"/>
            <w:bottom w:val="none" w:sz="0" w:space="0" w:color="auto"/>
            <w:right w:val="none" w:sz="0" w:space="0" w:color="auto"/>
          </w:divBdr>
          <w:divsChild>
            <w:div w:id="92092667">
              <w:marLeft w:val="-75"/>
              <w:marRight w:val="0"/>
              <w:marTop w:val="30"/>
              <w:marBottom w:val="30"/>
              <w:divBdr>
                <w:top w:val="none" w:sz="0" w:space="0" w:color="auto"/>
                <w:left w:val="none" w:sz="0" w:space="0" w:color="auto"/>
                <w:bottom w:val="none" w:sz="0" w:space="0" w:color="auto"/>
                <w:right w:val="none" w:sz="0" w:space="0" w:color="auto"/>
              </w:divBdr>
              <w:divsChild>
                <w:div w:id="292559062">
                  <w:marLeft w:val="0"/>
                  <w:marRight w:val="0"/>
                  <w:marTop w:val="0"/>
                  <w:marBottom w:val="0"/>
                  <w:divBdr>
                    <w:top w:val="none" w:sz="0" w:space="0" w:color="auto"/>
                    <w:left w:val="none" w:sz="0" w:space="0" w:color="auto"/>
                    <w:bottom w:val="none" w:sz="0" w:space="0" w:color="auto"/>
                    <w:right w:val="none" w:sz="0" w:space="0" w:color="auto"/>
                  </w:divBdr>
                  <w:divsChild>
                    <w:div w:id="517278237">
                      <w:marLeft w:val="0"/>
                      <w:marRight w:val="0"/>
                      <w:marTop w:val="0"/>
                      <w:marBottom w:val="0"/>
                      <w:divBdr>
                        <w:top w:val="none" w:sz="0" w:space="0" w:color="auto"/>
                        <w:left w:val="none" w:sz="0" w:space="0" w:color="auto"/>
                        <w:bottom w:val="none" w:sz="0" w:space="0" w:color="auto"/>
                        <w:right w:val="none" w:sz="0" w:space="0" w:color="auto"/>
                      </w:divBdr>
                    </w:div>
                  </w:divsChild>
                </w:div>
                <w:div w:id="875387126">
                  <w:marLeft w:val="0"/>
                  <w:marRight w:val="0"/>
                  <w:marTop w:val="0"/>
                  <w:marBottom w:val="0"/>
                  <w:divBdr>
                    <w:top w:val="none" w:sz="0" w:space="0" w:color="auto"/>
                    <w:left w:val="none" w:sz="0" w:space="0" w:color="auto"/>
                    <w:bottom w:val="none" w:sz="0" w:space="0" w:color="auto"/>
                    <w:right w:val="none" w:sz="0" w:space="0" w:color="auto"/>
                  </w:divBdr>
                  <w:divsChild>
                    <w:div w:id="96025954">
                      <w:marLeft w:val="0"/>
                      <w:marRight w:val="0"/>
                      <w:marTop w:val="0"/>
                      <w:marBottom w:val="0"/>
                      <w:divBdr>
                        <w:top w:val="none" w:sz="0" w:space="0" w:color="auto"/>
                        <w:left w:val="none" w:sz="0" w:space="0" w:color="auto"/>
                        <w:bottom w:val="none" w:sz="0" w:space="0" w:color="auto"/>
                        <w:right w:val="none" w:sz="0" w:space="0" w:color="auto"/>
                      </w:divBdr>
                    </w:div>
                    <w:div w:id="149904090">
                      <w:marLeft w:val="0"/>
                      <w:marRight w:val="0"/>
                      <w:marTop w:val="0"/>
                      <w:marBottom w:val="0"/>
                      <w:divBdr>
                        <w:top w:val="none" w:sz="0" w:space="0" w:color="auto"/>
                        <w:left w:val="none" w:sz="0" w:space="0" w:color="auto"/>
                        <w:bottom w:val="none" w:sz="0" w:space="0" w:color="auto"/>
                        <w:right w:val="none" w:sz="0" w:space="0" w:color="auto"/>
                      </w:divBdr>
                    </w:div>
                    <w:div w:id="469833429">
                      <w:marLeft w:val="0"/>
                      <w:marRight w:val="0"/>
                      <w:marTop w:val="0"/>
                      <w:marBottom w:val="0"/>
                      <w:divBdr>
                        <w:top w:val="none" w:sz="0" w:space="0" w:color="auto"/>
                        <w:left w:val="none" w:sz="0" w:space="0" w:color="auto"/>
                        <w:bottom w:val="none" w:sz="0" w:space="0" w:color="auto"/>
                        <w:right w:val="none" w:sz="0" w:space="0" w:color="auto"/>
                      </w:divBdr>
                    </w:div>
                    <w:div w:id="1759209587">
                      <w:marLeft w:val="0"/>
                      <w:marRight w:val="0"/>
                      <w:marTop w:val="0"/>
                      <w:marBottom w:val="0"/>
                      <w:divBdr>
                        <w:top w:val="none" w:sz="0" w:space="0" w:color="auto"/>
                        <w:left w:val="none" w:sz="0" w:space="0" w:color="auto"/>
                        <w:bottom w:val="none" w:sz="0" w:space="0" w:color="auto"/>
                        <w:right w:val="none" w:sz="0" w:space="0" w:color="auto"/>
                      </w:divBdr>
                    </w:div>
                  </w:divsChild>
                </w:div>
                <w:div w:id="1012492426">
                  <w:marLeft w:val="0"/>
                  <w:marRight w:val="0"/>
                  <w:marTop w:val="0"/>
                  <w:marBottom w:val="0"/>
                  <w:divBdr>
                    <w:top w:val="none" w:sz="0" w:space="0" w:color="auto"/>
                    <w:left w:val="none" w:sz="0" w:space="0" w:color="auto"/>
                    <w:bottom w:val="none" w:sz="0" w:space="0" w:color="auto"/>
                    <w:right w:val="none" w:sz="0" w:space="0" w:color="auto"/>
                  </w:divBdr>
                  <w:divsChild>
                    <w:div w:id="484054005">
                      <w:marLeft w:val="0"/>
                      <w:marRight w:val="0"/>
                      <w:marTop w:val="0"/>
                      <w:marBottom w:val="0"/>
                      <w:divBdr>
                        <w:top w:val="none" w:sz="0" w:space="0" w:color="auto"/>
                        <w:left w:val="none" w:sz="0" w:space="0" w:color="auto"/>
                        <w:bottom w:val="none" w:sz="0" w:space="0" w:color="auto"/>
                        <w:right w:val="none" w:sz="0" w:space="0" w:color="auto"/>
                      </w:divBdr>
                    </w:div>
                  </w:divsChild>
                </w:div>
                <w:div w:id="1233585817">
                  <w:marLeft w:val="0"/>
                  <w:marRight w:val="0"/>
                  <w:marTop w:val="0"/>
                  <w:marBottom w:val="0"/>
                  <w:divBdr>
                    <w:top w:val="none" w:sz="0" w:space="0" w:color="auto"/>
                    <w:left w:val="none" w:sz="0" w:space="0" w:color="auto"/>
                    <w:bottom w:val="none" w:sz="0" w:space="0" w:color="auto"/>
                    <w:right w:val="none" w:sz="0" w:space="0" w:color="auto"/>
                  </w:divBdr>
                  <w:divsChild>
                    <w:div w:id="693308829">
                      <w:marLeft w:val="0"/>
                      <w:marRight w:val="0"/>
                      <w:marTop w:val="0"/>
                      <w:marBottom w:val="0"/>
                      <w:divBdr>
                        <w:top w:val="none" w:sz="0" w:space="0" w:color="auto"/>
                        <w:left w:val="none" w:sz="0" w:space="0" w:color="auto"/>
                        <w:bottom w:val="none" w:sz="0" w:space="0" w:color="auto"/>
                        <w:right w:val="none" w:sz="0" w:space="0" w:color="auto"/>
                      </w:divBdr>
                    </w:div>
                    <w:div w:id="1077871907">
                      <w:marLeft w:val="0"/>
                      <w:marRight w:val="0"/>
                      <w:marTop w:val="0"/>
                      <w:marBottom w:val="0"/>
                      <w:divBdr>
                        <w:top w:val="none" w:sz="0" w:space="0" w:color="auto"/>
                        <w:left w:val="none" w:sz="0" w:space="0" w:color="auto"/>
                        <w:bottom w:val="none" w:sz="0" w:space="0" w:color="auto"/>
                        <w:right w:val="none" w:sz="0" w:space="0" w:color="auto"/>
                      </w:divBdr>
                    </w:div>
                    <w:div w:id="1649087339">
                      <w:marLeft w:val="0"/>
                      <w:marRight w:val="0"/>
                      <w:marTop w:val="0"/>
                      <w:marBottom w:val="0"/>
                      <w:divBdr>
                        <w:top w:val="none" w:sz="0" w:space="0" w:color="auto"/>
                        <w:left w:val="none" w:sz="0" w:space="0" w:color="auto"/>
                        <w:bottom w:val="none" w:sz="0" w:space="0" w:color="auto"/>
                        <w:right w:val="none" w:sz="0" w:space="0" w:color="auto"/>
                      </w:divBdr>
                    </w:div>
                  </w:divsChild>
                </w:div>
                <w:div w:id="1616793108">
                  <w:marLeft w:val="0"/>
                  <w:marRight w:val="0"/>
                  <w:marTop w:val="0"/>
                  <w:marBottom w:val="0"/>
                  <w:divBdr>
                    <w:top w:val="none" w:sz="0" w:space="0" w:color="auto"/>
                    <w:left w:val="none" w:sz="0" w:space="0" w:color="auto"/>
                    <w:bottom w:val="none" w:sz="0" w:space="0" w:color="auto"/>
                    <w:right w:val="none" w:sz="0" w:space="0" w:color="auto"/>
                  </w:divBdr>
                  <w:divsChild>
                    <w:div w:id="983896681">
                      <w:marLeft w:val="0"/>
                      <w:marRight w:val="0"/>
                      <w:marTop w:val="0"/>
                      <w:marBottom w:val="0"/>
                      <w:divBdr>
                        <w:top w:val="none" w:sz="0" w:space="0" w:color="auto"/>
                        <w:left w:val="none" w:sz="0" w:space="0" w:color="auto"/>
                        <w:bottom w:val="none" w:sz="0" w:space="0" w:color="auto"/>
                        <w:right w:val="none" w:sz="0" w:space="0" w:color="auto"/>
                      </w:divBdr>
                    </w:div>
                    <w:div w:id="1243491596">
                      <w:marLeft w:val="0"/>
                      <w:marRight w:val="0"/>
                      <w:marTop w:val="0"/>
                      <w:marBottom w:val="0"/>
                      <w:divBdr>
                        <w:top w:val="none" w:sz="0" w:space="0" w:color="auto"/>
                        <w:left w:val="none" w:sz="0" w:space="0" w:color="auto"/>
                        <w:bottom w:val="none" w:sz="0" w:space="0" w:color="auto"/>
                        <w:right w:val="none" w:sz="0" w:space="0" w:color="auto"/>
                      </w:divBdr>
                    </w:div>
                    <w:div w:id="1465581837">
                      <w:marLeft w:val="0"/>
                      <w:marRight w:val="0"/>
                      <w:marTop w:val="0"/>
                      <w:marBottom w:val="0"/>
                      <w:divBdr>
                        <w:top w:val="none" w:sz="0" w:space="0" w:color="auto"/>
                        <w:left w:val="none" w:sz="0" w:space="0" w:color="auto"/>
                        <w:bottom w:val="none" w:sz="0" w:space="0" w:color="auto"/>
                        <w:right w:val="none" w:sz="0" w:space="0" w:color="auto"/>
                      </w:divBdr>
                    </w:div>
                    <w:div w:id="1774979031">
                      <w:marLeft w:val="0"/>
                      <w:marRight w:val="0"/>
                      <w:marTop w:val="0"/>
                      <w:marBottom w:val="0"/>
                      <w:divBdr>
                        <w:top w:val="none" w:sz="0" w:space="0" w:color="auto"/>
                        <w:left w:val="none" w:sz="0" w:space="0" w:color="auto"/>
                        <w:bottom w:val="none" w:sz="0" w:space="0" w:color="auto"/>
                        <w:right w:val="none" w:sz="0" w:space="0" w:color="auto"/>
                      </w:divBdr>
                    </w:div>
                  </w:divsChild>
                </w:div>
                <w:div w:id="2088532635">
                  <w:marLeft w:val="0"/>
                  <w:marRight w:val="0"/>
                  <w:marTop w:val="0"/>
                  <w:marBottom w:val="0"/>
                  <w:divBdr>
                    <w:top w:val="none" w:sz="0" w:space="0" w:color="auto"/>
                    <w:left w:val="none" w:sz="0" w:space="0" w:color="auto"/>
                    <w:bottom w:val="none" w:sz="0" w:space="0" w:color="auto"/>
                    <w:right w:val="none" w:sz="0" w:space="0" w:color="auto"/>
                  </w:divBdr>
                  <w:divsChild>
                    <w:div w:id="20040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797711">
      <w:bodyDiv w:val="1"/>
      <w:marLeft w:val="0"/>
      <w:marRight w:val="0"/>
      <w:marTop w:val="0"/>
      <w:marBottom w:val="0"/>
      <w:divBdr>
        <w:top w:val="none" w:sz="0" w:space="0" w:color="auto"/>
        <w:left w:val="none" w:sz="0" w:space="0" w:color="auto"/>
        <w:bottom w:val="none" w:sz="0" w:space="0" w:color="auto"/>
        <w:right w:val="none" w:sz="0" w:space="0" w:color="auto"/>
      </w:divBdr>
    </w:div>
    <w:div w:id="1641689561">
      <w:bodyDiv w:val="1"/>
      <w:marLeft w:val="0"/>
      <w:marRight w:val="0"/>
      <w:marTop w:val="0"/>
      <w:marBottom w:val="0"/>
      <w:divBdr>
        <w:top w:val="none" w:sz="0" w:space="0" w:color="auto"/>
        <w:left w:val="none" w:sz="0" w:space="0" w:color="auto"/>
        <w:bottom w:val="none" w:sz="0" w:space="0" w:color="auto"/>
        <w:right w:val="none" w:sz="0" w:space="0" w:color="auto"/>
      </w:divBdr>
    </w:div>
    <w:div w:id="1656228060">
      <w:bodyDiv w:val="1"/>
      <w:marLeft w:val="0"/>
      <w:marRight w:val="0"/>
      <w:marTop w:val="0"/>
      <w:marBottom w:val="0"/>
      <w:divBdr>
        <w:top w:val="none" w:sz="0" w:space="0" w:color="auto"/>
        <w:left w:val="none" w:sz="0" w:space="0" w:color="auto"/>
        <w:bottom w:val="none" w:sz="0" w:space="0" w:color="auto"/>
        <w:right w:val="none" w:sz="0" w:space="0" w:color="auto"/>
      </w:divBdr>
      <w:divsChild>
        <w:div w:id="334649206">
          <w:marLeft w:val="0"/>
          <w:marRight w:val="0"/>
          <w:marTop w:val="0"/>
          <w:marBottom w:val="0"/>
          <w:divBdr>
            <w:top w:val="none" w:sz="0" w:space="0" w:color="auto"/>
            <w:left w:val="none" w:sz="0" w:space="0" w:color="auto"/>
            <w:bottom w:val="none" w:sz="0" w:space="0" w:color="auto"/>
            <w:right w:val="none" w:sz="0" w:space="0" w:color="auto"/>
          </w:divBdr>
        </w:div>
        <w:div w:id="344326712">
          <w:marLeft w:val="0"/>
          <w:marRight w:val="0"/>
          <w:marTop w:val="0"/>
          <w:marBottom w:val="0"/>
          <w:divBdr>
            <w:top w:val="none" w:sz="0" w:space="0" w:color="auto"/>
            <w:left w:val="none" w:sz="0" w:space="0" w:color="auto"/>
            <w:bottom w:val="none" w:sz="0" w:space="0" w:color="auto"/>
            <w:right w:val="none" w:sz="0" w:space="0" w:color="auto"/>
          </w:divBdr>
        </w:div>
      </w:divsChild>
    </w:div>
    <w:div w:id="169530134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31345">
      <w:bodyDiv w:val="1"/>
      <w:marLeft w:val="0"/>
      <w:marRight w:val="0"/>
      <w:marTop w:val="0"/>
      <w:marBottom w:val="0"/>
      <w:divBdr>
        <w:top w:val="none" w:sz="0" w:space="0" w:color="auto"/>
        <w:left w:val="none" w:sz="0" w:space="0" w:color="auto"/>
        <w:bottom w:val="none" w:sz="0" w:space="0" w:color="auto"/>
        <w:right w:val="none" w:sz="0" w:space="0" w:color="auto"/>
      </w:divBdr>
    </w:div>
    <w:div w:id="1740326596">
      <w:bodyDiv w:val="1"/>
      <w:marLeft w:val="0"/>
      <w:marRight w:val="0"/>
      <w:marTop w:val="0"/>
      <w:marBottom w:val="0"/>
      <w:divBdr>
        <w:top w:val="none" w:sz="0" w:space="0" w:color="auto"/>
        <w:left w:val="none" w:sz="0" w:space="0" w:color="auto"/>
        <w:bottom w:val="none" w:sz="0" w:space="0" w:color="auto"/>
        <w:right w:val="none" w:sz="0" w:space="0" w:color="auto"/>
      </w:divBdr>
    </w:div>
    <w:div w:id="1767454703">
      <w:bodyDiv w:val="1"/>
      <w:marLeft w:val="0"/>
      <w:marRight w:val="0"/>
      <w:marTop w:val="0"/>
      <w:marBottom w:val="0"/>
      <w:divBdr>
        <w:top w:val="none" w:sz="0" w:space="0" w:color="auto"/>
        <w:left w:val="none" w:sz="0" w:space="0" w:color="auto"/>
        <w:bottom w:val="none" w:sz="0" w:space="0" w:color="auto"/>
        <w:right w:val="none" w:sz="0" w:space="0" w:color="auto"/>
      </w:divBdr>
    </w:div>
    <w:div w:id="1772359670">
      <w:bodyDiv w:val="1"/>
      <w:marLeft w:val="0"/>
      <w:marRight w:val="0"/>
      <w:marTop w:val="0"/>
      <w:marBottom w:val="0"/>
      <w:divBdr>
        <w:top w:val="none" w:sz="0" w:space="0" w:color="auto"/>
        <w:left w:val="none" w:sz="0" w:space="0" w:color="auto"/>
        <w:bottom w:val="none" w:sz="0" w:space="0" w:color="auto"/>
        <w:right w:val="none" w:sz="0" w:space="0" w:color="auto"/>
      </w:divBdr>
    </w:div>
    <w:div w:id="1793285663">
      <w:bodyDiv w:val="1"/>
      <w:marLeft w:val="0"/>
      <w:marRight w:val="0"/>
      <w:marTop w:val="0"/>
      <w:marBottom w:val="0"/>
      <w:divBdr>
        <w:top w:val="none" w:sz="0" w:space="0" w:color="auto"/>
        <w:left w:val="none" w:sz="0" w:space="0" w:color="auto"/>
        <w:bottom w:val="none" w:sz="0" w:space="0" w:color="auto"/>
        <w:right w:val="none" w:sz="0" w:space="0" w:color="auto"/>
      </w:divBdr>
    </w:div>
    <w:div w:id="1817381419">
      <w:bodyDiv w:val="1"/>
      <w:marLeft w:val="0"/>
      <w:marRight w:val="0"/>
      <w:marTop w:val="0"/>
      <w:marBottom w:val="0"/>
      <w:divBdr>
        <w:top w:val="none" w:sz="0" w:space="0" w:color="auto"/>
        <w:left w:val="none" w:sz="0" w:space="0" w:color="auto"/>
        <w:bottom w:val="none" w:sz="0" w:space="0" w:color="auto"/>
        <w:right w:val="none" w:sz="0" w:space="0" w:color="auto"/>
      </w:divBdr>
    </w:div>
    <w:div w:id="1826162173">
      <w:bodyDiv w:val="1"/>
      <w:marLeft w:val="0"/>
      <w:marRight w:val="0"/>
      <w:marTop w:val="0"/>
      <w:marBottom w:val="0"/>
      <w:divBdr>
        <w:top w:val="none" w:sz="0" w:space="0" w:color="auto"/>
        <w:left w:val="none" w:sz="0" w:space="0" w:color="auto"/>
        <w:bottom w:val="none" w:sz="0" w:space="0" w:color="auto"/>
        <w:right w:val="none" w:sz="0" w:space="0" w:color="auto"/>
      </w:divBdr>
      <w:divsChild>
        <w:div w:id="785537400">
          <w:marLeft w:val="0"/>
          <w:marRight w:val="0"/>
          <w:marTop w:val="0"/>
          <w:marBottom w:val="0"/>
          <w:divBdr>
            <w:top w:val="none" w:sz="0" w:space="0" w:color="auto"/>
            <w:left w:val="none" w:sz="0" w:space="0" w:color="auto"/>
            <w:bottom w:val="none" w:sz="0" w:space="0" w:color="auto"/>
            <w:right w:val="none" w:sz="0" w:space="0" w:color="auto"/>
          </w:divBdr>
        </w:div>
        <w:div w:id="1915507727">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234778">
      <w:bodyDiv w:val="1"/>
      <w:marLeft w:val="0"/>
      <w:marRight w:val="0"/>
      <w:marTop w:val="0"/>
      <w:marBottom w:val="0"/>
      <w:divBdr>
        <w:top w:val="none" w:sz="0" w:space="0" w:color="auto"/>
        <w:left w:val="none" w:sz="0" w:space="0" w:color="auto"/>
        <w:bottom w:val="none" w:sz="0" w:space="0" w:color="auto"/>
        <w:right w:val="none" w:sz="0" w:space="0" w:color="auto"/>
      </w:divBdr>
    </w:div>
    <w:div w:id="1974286713">
      <w:bodyDiv w:val="1"/>
      <w:marLeft w:val="0"/>
      <w:marRight w:val="0"/>
      <w:marTop w:val="0"/>
      <w:marBottom w:val="0"/>
      <w:divBdr>
        <w:top w:val="none" w:sz="0" w:space="0" w:color="auto"/>
        <w:left w:val="none" w:sz="0" w:space="0" w:color="auto"/>
        <w:bottom w:val="none" w:sz="0" w:space="0" w:color="auto"/>
        <w:right w:val="none" w:sz="0" w:space="0" w:color="auto"/>
      </w:divBdr>
      <w:divsChild>
        <w:div w:id="898201027">
          <w:marLeft w:val="0"/>
          <w:marRight w:val="0"/>
          <w:marTop w:val="0"/>
          <w:marBottom w:val="0"/>
          <w:divBdr>
            <w:top w:val="none" w:sz="0" w:space="0" w:color="auto"/>
            <w:left w:val="none" w:sz="0" w:space="0" w:color="auto"/>
            <w:bottom w:val="none" w:sz="0" w:space="0" w:color="auto"/>
            <w:right w:val="none" w:sz="0" w:space="0" w:color="auto"/>
          </w:divBdr>
        </w:div>
        <w:div w:id="2074354872">
          <w:marLeft w:val="0"/>
          <w:marRight w:val="0"/>
          <w:marTop w:val="0"/>
          <w:marBottom w:val="0"/>
          <w:divBdr>
            <w:top w:val="none" w:sz="0" w:space="0" w:color="auto"/>
            <w:left w:val="none" w:sz="0" w:space="0" w:color="auto"/>
            <w:bottom w:val="none" w:sz="0" w:space="0" w:color="auto"/>
            <w:right w:val="none" w:sz="0" w:space="0" w:color="auto"/>
          </w:divBdr>
        </w:div>
      </w:divsChild>
    </w:div>
    <w:div w:id="200589282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6811934">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737161">
      <w:bodyDiv w:val="1"/>
      <w:marLeft w:val="0"/>
      <w:marRight w:val="0"/>
      <w:marTop w:val="0"/>
      <w:marBottom w:val="0"/>
      <w:divBdr>
        <w:top w:val="none" w:sz="0" w:space="0" w:color="auto"/>
        <w:left w:val="none" w:sz="0" w:space="0" w:color="auto"/>
        <w:bottom w:val="none" w:sz="0" w:space="0" w:color="auto"/>
        <w:right w:val="none" w:sz="0" w:space="0" w:color="auto"/>
      </w:divBdr>
    </w:div>
    <w:div w:id="2063481527">
      <w:bodyDiv w:val="1"/>
      <w:marLeft w:val="0"/>
      <w:marRight w:val="0"/>
      <w:marTop w:val="0"/>
      <w:marBottom w:val="0"/>
      <w:divBdr>
        <w:top w:val="none" w:sz="0" w:space="0" w:color="auto"/>
        <w:left w:val="none" w:sz="0" w:space="0" w:color="auto"/>
        <w:bottom w:val="none" w:sz="0" w:space="0" w:color="auto"/>
        <w:right w:val="none" w:sz="0" w:space="0" w:color="auto"/>
      </w:divBdr>
      <w:divsChild>
        <w:div w:id="366609498">
          <w:marLeft w:val="0"/>
          <w:marRight w:val="0"/>
          <w:marTop w:val="0"/>
          <w:marBottom w:val="0"/>
          <w:divBdr>
            <w:top w:val="none" w:sz="0" w:space="0" w:color="auto"/>
            <w:left w:val="none" w:sz="0" w:space="0" w:color="auto"/>
            <w:bottom w:val="none" w:sz="0" w:space="0" w:color="auto"/>
            <w:right w:val="none" w:sz="0" w:space="0" w:color="auto"/>
          </w:divBdr>
        </w:div>
        <w:div w:id="1275870069">
          <w:marLeft w:val="0"/>
          <w:marRight w:val="0"/>
          <w:marTop w:val="0"/>
          <w:marBottom w:val="0"/>
          <w:divBdr>
            <w:top w:val="none" w:sz="0" w:space="0" w:color="auto"/>
            <w:left w:val="none" w:sz="0" w:space="0" w:color="auto"/>
            <w:bottom w:val="none" w:sz="0" w:space="0" w:color="auto"/>
            <w:right w:val="none" w:sz="0" w:space="0" w:color="auto"/>
          </w:divBdr>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284747">
      <w:bodyDiv w:val="1"/>
      <w:marLeft w:val="0"/>
      <w:marRight w:val="0"/>
      <w:marTop w:val="0"/>
      <w:marBottom w:val="0"/>
      <w:divBdr>
        <w:top w:val="none" w:sz="0" w:space="0" w:color="auto"/>
        <w:left w:val="none" w:sz="0" w:space="0" w:color="auto"/>
        <w:bottom w:val="none" w:sz="0" w:space="0" w:color="auto"/>
        <w:right w:val="none" w:sz="0" w:space="0" w:color="auto"/>
      </w:divBdr>
      <w:divsChild>
        <w:div w:id="276300602">
          <w:marLeft w:val="0"/>
          <w:marRight w:val="0"/>
          <w:marTop w:val="0"/>
          <w:marBottom w:val="0"/>
          <w:divBdr>
            <w:top w:val="none" w:sz="0" w:space="0" w:color="auto"/>
            <w:left w:val="none" w:sz="0" w:space="0" w:color="auto"/>
            <w:bottom w:val="none" w:sz="0" w:space="0" w:color="auto"/>
            <w:right w:val="none" w:sz="0" w:space="0" w:color="auto"/>
          </w:divBdr>
          <w:divsChild>
            <w:div w:id="152721481">
              <w:marLeft w:val="0"/>
              <w:marRight w:val="0"/>
              <w:marTop w:val="0"/>
              <w:marBottom w:val="0"/>
              <w:divBdr>
                <w:top w:val="none" w:sz="0" w:space="0" w:color="auto"/>
                <w:left w:val="none" w:sz="0" w:space="0" w:color="auto"/>
                <w:bottom w:val="none" w:sz="0" w:space="0" w:color="auto"/>
                <w:right w:val="none" w:sz="0" w:space="0" w:color="auto"/>
              </w:divBdr>
            </w:div>
          </w:divsChild>
        </w:div>
        <w:div w:id="473065799">
          <w:marLeft w:val="0"/>
          <w:marRight w:val="0"/>
          <w:marTop w:val="0"/>
          <w:marBottom w:val="0"/>
          <w:divBdr>
            <w:top w:val="none" w:sz="0" w:space="0" w:color="auto"/>
            <w:left w:val="none" w:sz="0" w:space="0" w:color="auto"/>
            <w:bottom w:val="none" w:sz="0" w:space="0" w:color="auto"/>
            <w:right w:val="none" w:sz="0" w:space="0" w:color="auto"/>
          </w:divBdr>
          <w:divsChild>
            <w:div w:id="65417244">
              <w:marLeft w:val="0"/>
              <w:marRight w:val="0"/>
              <w:marTop w:val="0"/>
              <w:marBottom w:val="0"/>
              <w:divBdr>
                <w:top w:val="none" w:sz="0" w:space="0" w:color="auto"/>
                <w:left w:val="none" w:sz="0" w:space="0" w:color="auto"/>
                <w:bottom w:val="none" w:sz="0" w:space="0" w:color="auto"/>
                <w:right w:val="none" w:sz="0" w:space="0" w:color="auto"/>
              </w:divBdr>
            </w:div>
            <w:div w:id="199706305">
              <w:marLeft w:val="0"/>
              <w:marRight w:val="0"/>
              <w:marTop w:val="0"/>
              <w:marBottom w:val="0"/>
              <w:divBdr>
                <w:top w:val="none" w:sz="0" w:space="0" w:color="auto"/>
                <w:left w:val="none" w:sz="0" w:space="0" w:color="auto"/>
                <w:bottom w:val="none" w:sz="0" w:space="0" w:color="auto"/>
                <w:right w:val="none" w:sz="0" w:space="0" w:color="auto"/>
              </w:divBdr>
            </w:div>
            <w:div w:id="1367875957">
              <w:marLeft w:val="0"/>
              <w:marRight w:val="0"/>
              <w:marTop w:val="0"/>
              <w:marBottom w:val="0"/>
              <w:divBdr>
                <w:top w:val="none" w:sz="0" w:space="0" w:color="auto"/>
                <w:left w:val="none" w:sz="0" w:space="0" w:color="auto"/>
                <w:bottom w:val="none" w:sz="0" w:space="0" w:color="auto"/>
                <w:right w:val="none" w:sz="0" w:space="0" w:color="auto"/>
              </w:divBdr>
            </w:div>
          </w:divsChild>
        </w:div>
        <w:div w:id="473790726">
          <w:marLeft w:val="0"/>
          <w:marRight w:val="0"/>
          <w:marTop w:val="0"/>
          <w:marBottom w:val="0"/>
          <w:divBdr>
            <w:top w:val="none" w:sz="0" w:space="0" w:color="auto"/>
            <w:left w:val="none" w:sz="0" w:space="0" w:color="auto"/>
            <w:bottom w:val="none" w:sz="0" w:space="0" w:color="auto"/>
            <w:right w:val="none" w:sz="0" w:space="0" w:color="auto"/>
          </w:divBdr>
          <w:divsChild>
            <w:div w:id="886572743">
              <w:marLeft w:val="0"/>
              <w:marRight w:val="0"/>
              <w:marTop w:val="0"/>
              <w:marBottom w:val="0"/>
              <w:divBdr>
                <w:top w:val="none" w:sz="0" w:space="0" w:color="auto"/>
                <w:left w:val="none" w:sz="0" w:space="0" w:color="auto"/>
                <w:bottom w:val="none" w:sz="0" w:space="0" w:color="auto"/>
                <w:right w:val="none" w:sz="0" w:space="0" w:color="auto"/>
              </w:divBdr>
            </w:div>
            <w:div w:id="919754976">
              <w:marLeft w:val="0"/>
              <w:marRight w:val="0"/>
              <w:marTop w:val="0"/>
              <w:marBottom w:val="0"/>
              <w:divBdr>
                <w:top w:val="none" w:sz="0" w:space="0" w:color="auto"/>
                <w:left w:val="none" w:sz="0" w:space="0" w:color="auto"/>
                <w:bottom w:val="none" w:sz="0" w:space="0" w:color="auto"/>
                <w:right w:val="none" w:sz="0" w:space="0" w:color="auto"/>
              </w:divBdr>
            </w:div>
          </w:divsChild>
        </w:div>
        <w:div w:id="729615459">
          <w:marLeft w:val="0"/>
          <w:marRight w:val="0"/>
          <w:marTop w:val="0"/>
          <w:marBottom w:val="0"/>
          <w:divBdr>
            <w:top w:val="none" w:sz="0" w:space="0" w:color="auto"/>
            <w:left w:val="none" w:sz="0" w:space="0" w:color="auto"/>
            <w:bottom w:val="none" w:sz="0" w:space="0" w:color="auto"/>
            <w:right w:val="none" w:sz="0" w:space="0" w:color="auto"/>
          </w:divBdr>
          <w:divsChild>
            <w:div w:id="815268001">
              <w:marLeft w:val="0"/>
              <w:marRight w:val="0"/>
              <w:marTop w:val="0"/>
              <w:marBottom w:val="0"/>
              <w:divBdr>
                <w:top w:val="none" w:sz="0" w:space="0" w:color="auto"/>
                <w:left w:val="none" w:sz="0" w:space="0" w:color="auto"/>
                <w:bottom w:val="none" w:sz="0" w:space="0" w:color="auto"/>
                <w:right w:val="none" w:sz="0" w:space="0" w:color="auto"/>
              </w:divBdr>
            </w:div>
          </w:divsChild>
        </w:div>
        <w:div w:id="736437257">
          <w:marLeft w:val="0"/>
          <w:marRight w:val="0"/>
          <w:marTop w:val="0"/>
          <w:marBottom w:val="0"/>
          <w:divBdr>
            <w:top w:val="none" w:sz="0" w:space="0" w:color="auto"/>
            <w:left w:val="none" w:sz="0" w:space="0" w:color="auto"/>
            <w:bottom w:val="none" w:sz="0" w:space="0" w:color="auto"/>
            <w:right w:val="none" w:sz="0" w:space="0" w:color="auto"/>
          </w:divBdr>
          <w:divsChild>
            <w:div w:id="226497345">
              <w:marLeft w:val="0"/>
              <w:marRight w:val="0"/>
              <w:marTop w:val="0"/>
              <w:marBottom w:val="0"/>
              <w:divBdr>
                <w:top w:val="none" w:sz="0" w:space="0" w:color="auto"/>
                <w:left w:val="none" w:sz="0" w:space="0" w:color="auto"/>
                <w:bottom w:val="none" w:sz="0" w:space="0" w:color="auto"/>
                <w:right w:val="none" w:sz="0" w:space="0" w:color="auto"/>
              </w:divBdr>
            </w:div>
            <w:div w:id="376246870">
              <w:marLeft w:val="0"/>
              <w:marRight w:val="0"/>
              <w:marTop w:val="0"/>
              <w:marBottom w:val="0"/>
              <w:divBdr>
                <w:top w:val="none" w:sz="0" w:space="0" w:color="auto"/>
                <w:left w:val="none" w:sz="0" w:space="0" w:color="auto"/>
                <w:bottom w:val="none" w:sz="0" w:space="0" w:color="auto"/>
                <w:right w:val="none" w:sz="0" w:space="0" w:color="auto"/>
              </w:divBdr>
            </w:div>
            <w:div w:id="426772518">
              <w:marLeft w:val="0"/>
              <w:marRight w:val="0"/>
              <w:marTop w:val="0"/>
              <w:marBottom w:val="0"/>
              <w:divBdr>
                <w:top w:val="none" w:sz="0" w:space="0" w:color="auto"/>
                <w:left w:val="none" w:sz="0" w:space="0" w:color="auto"/>
                <w:bottom w:val="none" w:sz="0" w:space="0" w:color="auto"/>
                <w:right w:val="none" w:sz="0" w:space="0" w:color="auto"/>
              </w:divBdr>
            </w:div>
            <w:div w:id="1181747732">
              <w:marLeft w:val="0"/>
              <w:marRight w:val="0"/>
              <w:marTop w:val="0"/>
              <w:marBottom w:val="0"/>
              <w:divBdr>
                <w:top w:val="none" w:sz="0" w:space="0" w:color="auto"/>
                <w:left w:val="none" w:sz="0" w:space="0" w:color="auto"/>
                <w:bottom w:val="none" w:sz="0" w:space="0" w:color="auto"/>
                <w:right w:val="none" w:sz="0" w:space="0" w:color="auto"/>
              </w:divBdr>
            </w:div>
          </w:divsChild>
        </w:div>
        <w:div w:id="935678003">
          <w:marLeft w:val="0"/>
          <w:marRight w:val="0"/>
          <w:marTop w:val="0"/>
          <w:marBottom w:val="0"/>
          <w:divBdr>
            <w:top w:val="none" w:sz="0" w:space="0" w:color="auto"/>
            <w:left w:val="none" w:sz="0" w:space="0" w:color="auto"/>
            <w:bottom w:val="none" w:sz="0" w:space="0" w:color="auto"/>
            <w:right w:val="none" w:sz="0" w:space="0" w:color="auto"/>
          </w:divBdr>
          <w:divsChild>
            <w:div w:id="682517332">
              <w:marLeft w:val="0"/>
              <w:marRight w:val="0"/>
              <w:marTop w:val="0"/>
              <w:marBottom w:val="0"/>
              <w:divBdr>
                <w:top w:val="none" w:sz="0" w:space="0" w:color="auto"/>
                <w:left w:val="none" w:sz="0" w:space="0" w:color="auto"/>
                <w:bottom w:val="none" w:sz="0" w:space="0" w:color="auto"/>
                <w:right w:val="none" w:sz="0" w:space="0" w:color="auto"/>
              </w:divBdr>
            </w:div>
            <w:div w:id="774793156">
              <w:marLeft w:val="0"/>
              <w:marRight w:val="0"/>
              <w:marTop w:val="0"/>
              <w:marBottom w:val="0"/>
              <w:divBdr>
                <w:top w:val="none" w:sz="0" w:space="0" w:color="auto"/>
                <w:left w:val="none" w:sz="0" w:space="0" w:color="auto"/>
                <w:bottom w:val="none" w:sz="0" w:space="0" w:color="auto"/>
                <w:right w:val="none" w:sz="0" w:space="0" w:color="auto"/>
              </w:divBdr>
            </w:div>
            <w:div w:id="1638753351">
              <w:marLeft w:val="0"/>
              <w:marRight w:val="0"/>
              <w:marTop w:val="0"/>
              <w:marBottom w:val="0"/>
              <w:divBdr>
                <w:top w:val="none" w:sz="0" w:space="0" w:color="auto"/>
                <w:left w:val="none" w:sz="0" w:space="0" w:color="auto"/>
                <w:bottom w:val="none" w:sz="0" w:space="0" w:color="auto"/>
                <w:right w:val="none" w:sz="0" w:space="0" w:color="auto"/>
              </w:divBdr>
            </w:div>
            <w:div w:id="1655374650">
              <w:marLeft w:val="0"/>
              <w:marRight w:val="0"/>
              <w:marTop w:val="0"/>
              <w:marBottom w:val="0"/>
              <w:divBdr>
                <w:top w:val="none" w:sz="0" w:space="0" w:color="auto"/>
                <w:left w:val="none" w:sz="0" w:space="0" w:color="auto"/>
                <w:bottom w:val="none" w:sz="0" w:space="0" w:color="auto"/>
                <w:right w:val="none" w:sz="0" w:space="0" w:color="auto"/>
              </w:divBdr>
            </w:div>
          </w:divsChild>
        </w:div>
        <w:div w:id="1037464762">
          <w:marLeft w:val="0"/>
          <w:marRight w:val="0"/>
          <w:marTop w:val="0"/>
          <w:marBottom w:val="0"/>
          <w:divBdr>
            <w:top w:val="none" w:sz="0" w:space="0" w:color="auto"/>
            <w:left w:val="none" w:sz="0" w:space="0" w:color="auto"/>
            <w:bottom w:val="none" w:sz="0" w:space="0" w:color="auto"/>
            <w:right w:val="none" w:sz="0" w:space="0" w:color="auto"/>
          </w:divBdr>
          <w:divsChild>
            <w:div w:id="1996687105">
              <w:marLeft w:val="0"/>
              <w:marRight w:val="0"/>
              <w:marTop w:val="0"/>
              <w:marBottom w:val="0"/>
              <w:divBdr>
                <w:top w:val="none" w:sz="0" w:space="0" w:color="auto"/>
                <w:left w:val="none" w:sz="0" w:space="0" w:color="auto"/>
                <w:bottom w:val="none" w:sz="0" w:space="0" w:color="auto"/>
                <w:right w:val="none" w:sz="0" w:space="0" w:color="auto"/>
              </w:divBdr>
            </w:div>
          </w:divsChild>
        </w:div>
        <w:div w:id="1092093487">
          <w:marLeft w:val="0"/>
          <w:marRight w:val="0"/>
          <w:marTop w:val="0"/>
          <w:marBottom w:val="0"/>
          <w:divBdr>
            <w:top w:val="none" w:sz="0" w:space="0" w:color="auto"/>
            <w:left w:val="none" w:sz="0" w:space="0" w:color="auto"/>
            <w:bottom w:val="none" w:sz="0" w:space="0" w:color="auto"/>
            <w:right w:val="none" w:sz="0" w:space="0" w:color="auto"/>
          </w:divBdr>
          <w:divsChild>
            <w:div w:id="572424169">
              <w:marLeft w:val="0"/>
              <w:marRight w:val="0"/>
              <w:marTop w:val="0"/>
              <w:marBottom w:val="0"/>
              <w:divBdr>
                <w:top w:val="none" w:sz="0" w:space="0" w:color="auto"/>
                <w:left w:val="none" w:sz="0" w:space="0" w:color="auto"/>
                <w:bottom w:val="none" w:sz="0" w:space="0" w:color="auto"/>
                <w:right w:val="none" w:sz="0" w:space="0" w:color="auto"/>
              </w:divBdr>
            </w:div>
          </w:divsChild>
        </w:div>
        <w:div w:id="1098478511">
          <w:marLeft w:val="0"/>
          <w:marRight w:val="0"/>
          <w:marTop w:val="0"/>
          <w:marBottom w:val="0"/>
          <w:divBdr>
            <w:top w:val="none" w:sz="0" w:space="0" w:color="auto"/>
            <w:left w:val="none" w:sz="0" w:space="0" w:color="auto"/>
            <w:bottom w:val="none" w:sz="0" w:space="0" w:color="auto"/>
            <w:right w:val="none" w:sz="0" w:space="0" w:color="auto"/>
          </w:divBdr>
          <w:divsChild>
            <w:div w:id="893346991">
              <w:marLeft w:val="0"/>
              <w:marRight w:val="0"/>
              <w:marTop w:val="0"/>
              <w:marBottom w:val="0"/>
              <w:divBdr>
                <w:top w:val="none" w:sz="0" w:space="0" w:color="auto"/>
                <w:left w:val="none" w:sz="0" w:space="0" w:color="auto"/>
                <w:bottom w:val="none" w:sz="0" w:space="0" w:color="auto"/>
                <w:right w:val="none" w:sz="0" w:space="0" w:color="auto"/>
              </w:divBdr>
            </w:div>
          </w:divsChild>
        </w:div>
        <w:div w:id="1208223205">
          <w:marLeft w:val="0"/>
          <w:marRight w:val="0"/>
          <w:marTop w:val="0"/>
          <w:marBottom w:val="0"/>
          <w:divBdr>
            <w:top w:val="none" w:sz="0" w:space="0" w:color="auto"/>
            <w:left w:val="none" w:sz="0" w:space="0" w:color="auto"/>
            <w:bottom w:val="none" w:sz="0" w:space="0" w:color="auto"/>
            <w:right w:val="none" w:sz="0" w:space="0" w:color="auto"/>
          </w:divBdr>
          <w:divsChild>
            <w:div w:id="1318919085">
              <w:marLeft w:val="0"/>
              <w:marRight w:val="0"/>
              <w:marTop w:val="0"/>
              <w:marBottom w:val="0"/>
              <w:divBdr>
                <w:top w:val="none" w:sz="0" w:space="0" w:color="auto"/>
                <w:left w:val="none" w:sz="0" w:space="0" w:color="auto"/>
                <w:bottom w:val="none" w:sz="0" w:space="0" w:color="auto"/>
                <w:right w:val="none" w:sz="0" w:space="0" w:color="auto"/>
              </w:divBdr>
            </w:div>
          </w:divsChild>
        </w:div>
        <w:div w:id="1218784735">
          <w:marLeft w:val="0"/>
          <w:marRight w:val="0"/>
          <w:marTop w:val="0"/>
          <w:marBottom w:val="0"/>
          <w:divBdr>
            <w:top w:val="none" w:sz="0" w:space="0" w:color="auto"/>
            <w:left w:val="none" w:sz="0" w:space="0" w:color="auto"/>
            <w:bottom w:val="none" w:sz="0" w:space="0" w:color="auto"/>
            <w:right w:val="none" w:sz="0" w:space="0" w:color="auto"/>
          </w:divBdr>
          <w:divsChild>
            <w:div w:id="1546331758">
              <w:marLeft w:val="0"/>
              <w:marRight w:val="0"/>
              <w:marTop w:val="0"/>
              <w:marBottom w:val="0"/>
              <w:divBdr>
                <w:top w:val="none" w:sz="0" w:space="0" w:color="auto"/>
                <w:left w:val="none" w:sz="0" w:space="0" w:color="auto"/>
                <w:bottom w:val="none" w:sz="0" w:space="0" w:color="auto"/>
                <w:right w:val="none" w:sz="0" w:space="0" w:color="auto"/>
              </w:divBdr>
            </w:div>
            <w:div w:id="1680765959">
              <w:marLeft w:val="0"/>
              <w:marRight w:val="0"/>
              <w:marTop w:val="0"/>
              <w:marBottom w:val="0"/>
              <w:divBdr>
                <w:top w:val="none" w:sz="0" w:space="0" w:color="auto"/>
                <w:left w:val="none" w:sz="0" w:space="0" w:color="auto"/>
                <w:bottom w:val="none" w:sz="0" w:space="0" w:color="auto"/>
                <w:right w:val="none" w:sz="0" w:space="0" w:color="auto"/>
              </w:divBdr>
            </w:div>
            <w:div w:id="1687975873">
              <w:marLeft w:val="0"/>
              <w:marRight w:val="0"/>
              <w:marTop w:val="0"/>
              <w:marBottom w:val="0"/>
              <w:divBdr>
                <w:top w:val="none" w:sz="0" w:space="0" w:color="auto"/>
                <w:left w:val="none" w:sz="0" w:space="0" w:color="auto"/>
                <w:bottom w:val="none" w:sz="0" w:space="0" w:color="auto"/>
                <w:right w:val="none" w:sz="0" w:space="0" w:color="auto"/>
              </w:divBdr>
            </w:div>
          </w:divsChild>
        </w:div>
        <w:div w:id="1299413852">
          <w:marLeft w:val="0"/>
          <w:marRight w:val="0"/>
          <w:marTop w:val="0"/>
          <w:marBottom w:val="0"/>
          <w:divBdr>
            <w:top w:val="none" w:sz="0" w:space="0" w:color="auto"/>
            <w:left w:val="none" w:sz="0" w:space="0" w:color="auto"/>
            <w:bottom w:val="none" w:sz="0" w:space="0" w:color="auto"/>
            <w:right w:val="none" w:sz="0" w:space="0" w:color="auto"/>
          </w:divBdr>
          <w:divsChild>
            <w:div w:id="922762189">
              <w:marLeft w:val="0"/>
              <w:marRight w:val="0"/>
              <w:marTop w:val="0"/>
              <w:marBottom w:val="0"/>
              <w:divBdr>
                <w:top w:val="none" w:sz="0" w:space="0" w:color="auto"/>
                <w:left w:val="none" w:sz="0" w:space="0" w:color="auto"/>
                <w:bottom w:val="none" w:sz="0" w:space="0" w:color="auto"/>
                <w:right w:val="none" w:sz="0" w:space="0" w:color="auto"/>
              </w:divBdr>
            </w:div>
            <w:div w:id="940994927">
              <w:marLeft w:val="0"/>
              <w:marRight w:val="0"/>
              <w:marTop w:val="0"/>
              <w:marBottom w:val="0"/>
              <w:divBdr>
                <w:top w:val="none" w:sz="0" w:space="0" w:color="auto"/>
                <w:left w:val="none" w:sz="0" w:space="0" w:color="auto"/>
                <w:bottom w:val="none" w:sz="0" w:space="0" w:color="auto"/>
                <w:right w:val="none" w:sz="0" w:space="0" w:color="auto"/>
              </w:divBdr>
            </w:div>
          </w:divsChild>
        </w:div>
        <w:div w:id="1489401963">
          <w:marLeft w:val="0"/>
          <w:marRight w:val="0"/>
          <w:marTop w:val="0"/>
          <w:marBottom w:val="0"/>
          <w:divBdr>
            <w:top w:val="none" w:sz="0" w:space="0" w:color="auto"/>
            <w:left w:val="none" w:sz="0" w:space="0" w:color="auto"/>
            <w:bottom w:val="none" w:sz="0" w:space="0" w:color="auto"/>
            <w:right w:val="none" w:sz="0" w:space="0" w:color="auto"/>
          </w:divBdr>
          <w:divsChild>
            <w:div w:id="98718224">
              <w:marLeft w:val="0"/>
              <w:marRight w:val="0"/>
              <w:marTop w:val="0"/>
              <w:marBottom w:val="0"/>
              <w:divBdr>
                <w:top w:val="none" w:sz="0" w:space="0" w:color="auto"/>
                <w:left w:val="none" w:sz="0" w:space="0" w:color="auto"/>
                <w:bottom w:val="none" w:sz="0" w:space="0" w:color="auto"/>
                <w:right w:val="none" w:sz="0" w:space="0" w:color="auto"/>
              </w:divBdr>
            </w:div>
            <w:div w:id="1126124024">
              <w:marLeft w:val="0"/>
              <w:marRight w:val="0"/>
              <w:marTop w:val="0"/>
              <w:marBottom w:val="0"/>
              <w:divBdr>
                <w:top w:val="none" w:sz="0" w:space="0" w:color="auto"/>
                <w:left w:val="none" w:sz="0" w:space="0" w:color="auto"/>
                <w:bottom w:val="none" w:sz="0" w:space="0" w:color="auto"/>
                <w:right w:val="none" w:sz="0" w:space="0" w:color="auto"/>
              </w:divBdr>
            </w:div>
            <w:div w:id="1218515766">
              <w:marLeft w:val="0"/>
              <w:marRight w:val="0"/>
              <w:marTop w:val="0"/>
              <w:marBottom w:val="0"/>
              <w:divBdr>
                <w:top w:val="none" w:sz="0" w:space="0" w:color="auto"/>
                <w:left w:val="none" w:sz="0" w:space="0" w:color="auto"/>
                <w:bottom w:val="none" w:sz="0" w:space="0" w:color="auto"/>
                <w:right w:val="none" w:sz="0" w:space="0" w:color="auto"/>
              </w:divBdr>
            </w:div>
          </w:divsChild>
        </w:div>
        <w:div w:id="1860660479">
          <w:marLeft w:val="0"/>
          <w:marRight w:val="0"/>
          <w:marTop w:val="0"/>
          <w:marBottom w:val="0"/>
          <w:divBdr>
            <w:top w:val="none" w:sz="0" w:space="0" w:color="auto"/>
            <w:left w:val="none" w:sz="0" w:space="0" w:color="auto"/>
            <w:bottom w:val="none" w:sz="0" w:space="0" w:color="auto"/>
            <w:right w:val="none" w:sz="0" w:space="0" w:color="auto"/>
          </w:divBdr>
          <w:divsChild>
            <w:div w:id="802235864">
              <w:marLeft w:val="0"/>
              <w:marRight w:val="0"/>
              <w:marTop w:val="0"/>
              <w:marBottom w:val="0"/>
              <w:divBdr>
                <w:top w:val="none" w:sz="0" w:space="0" w:color="auto"/>
                <w:left w:val="none" w:sz="0" w:space="0" w:color="auto"/>
                <w:bottom w:val="none" w:sz="0" w:space="0" w:color="auto"/>
                <w:right w:val="none" w:sz="0" w:space="0" w:color="auto"/>
              </w:divBdr>
            </w:div>
          </w:divsChild>
        </w:div>
        <w:div w:id="1881627542">
          <w:marLeft w:val="0"/>
          <w:marRight w:val="0"/>
          <w:marTop w:val="0"/>
          <w:marBottom w:val="0"/>
          <w:divBdr>
            <w:top w:val="none" w:sz="0" w:space="0" w:color="auto"/>
            <w:left w:val="none" w:sz="0" w:space="0" w:color="auto"/>
            <w:bottom w:val="none" w:sz="0" w:space="0" w:color="auto"/>
            <w:right w:val="none" w:sz="0" w:space="0" w:color="auto"/>
          </w:divBdr>
          <w:divsChild>
            <w:div w:id="891190583">
              <w:marLeft w:val="0"/>
              <w:marRight w:val="0"/>
              <w:marTop w:val="0"/>
              <w:marBottom w:val="0"/>
              <w:divBdr>
                <w:top w:val="none" w:sz="0" w:space="0" w:color="auto"/>
                <w:left w:val="none" w:sz="0" w:space="0" w:color="auto"/>
                <w:bottom w:val="none" w:sz="0" w:space="0" w:color="auto"/>
                <w:right w:val="none" w:sz="0" w:space="0" w:color="auto"/>
              </w:divBdr>
            </w:div>
            <w:div w:id="1518151772">
              <w:marLeft w:val="0"/>
              <w:marRight w:val="0"/>
              <w:marTop w:val="0"/>
              <w:marBottom w:val="0"/>
              <w:divBdr>
                <w:top w:val="none" w:sz="0" w:space="0" w:color="auto"/>
                <w:left w:val="none" w:sz="0" w:space="0" w:color="auto"/>
                <w:bottom w:val="none" w:sz="0" w:space="0" w:color="auto"/>
                <w:right w:val="none" w:sz="0" w:space="0" w:color="auto"/>
              </w:divBdr>
            </w:div>
            <w:div w:id="1629318420">
              <w:marLeft w:val="0"/>
              <w:marRight w:val="0"/>
              <w:marTop w:val="0"/>
              <w:marBottom w:val="0"/>
              <w:divBdr>
                <w:top w:val="none" w:sz="0" w:space="0" w:color="auto"/>
                <w:left w:val="none" w:sz="0" w:space="0" w:color="auto"/>
                <w:bottom w:val="none" w:sz="0" w:space="0" w:color="auto"/>
                <w:right w:val="none" w:sz="0" w:space="0" w:color="auto"/>
              </w:divBdr>
            </w:div>
            <w:div w:id="2056544198">
              <w:marLeft w:val="0"/>
              <w:marRight w:val="0"/>
              <w:marTop w:val="0"/>
              <w:marBottom w:val="0"/>
              <w:divBdr>
                <w:top w:val="none" w:sz="0" w:space="0" w:color="auto"/>
                <w:left w:val="none" w:sz="0" w:space="0" w:color="auto"/>
                <w:bottom w:val="none" w:sz="0" w:space="0" w:color="auto"/>
                <w:right w:val="none" w:sz="0" w:space="0" w:color="auto"/>
              </w:divBdr>
            </w:div>
          </w:divsChild>
        </w:div>
        <w:div w:id="1910916184">
          <w:marLeft w:val="0"/>
          <w:marRight w:val="0"/>
          <w:marTop w:val="0"/>
          <w:marBottom w:val="0"/>
          <w:divBdr>
            <w:top w:val="none" w:sz="0" w:space="0" w:color="auto"/>
            <w:left w:val="none" w:sz="0" w:space="0" w:color="auto"/>
            <w:bottom w:val="none" w:sz="0" w:space="0" w:color="auto"/>
            <w:right w:val="none" w:sz="0" w:space="0" w:color="auto"/>
          </w:divBdr>
          <w:divsChild>
            <w:div w:id="158859453">
              <w:marLeft w:val="0"/>
              <w:marRight w:val="0"/>
              <w:marTop w:val="0"/>
              <w:marBottom w:val="0"/>
              <w:divBdr>
                <w:top w:val="none" w:sz="0" w:space="0" w:color="auto"/>
                <w:left w:val="none" w:sz="0" w:space="0" w:color="auto"/>
                <w:bottom w:val="none" w:sz="0" w:space="0" w:color="auto"/>
                <w:right w:val="none" w:sz="0" w:space="0" w:color="auto"/>
              </w:divBdr>
            </w:div>
            <w:div w:id="536090833">
              <w:marLeft w:val="0"/>
              <w:marRight w:val="0"/>
              <w:marTop w:val="0"/>
              <w:marBottom w:val="0"/>
              <w:divBdr>
                <w:top w:val="none" w:sz="0" w:space="0" w:color="auto"/>
                <w:left w:val="none" w:sz="0" w:space="0" w:color="auto"/>
                <w:bottom w:val="none" w:sz="0" w:space="0" w:color="auto"/>
                <w:right w:val="none" w:sz="0" w:space="0" w:color="auto"/>
              </w:divBdr>
            </w:div>
            <w:div w:id="1271863064">
              <w:marLeft w:val="0"/>
              <w:marRight w:val="0"/>
              <w:marTop w:val="0"/>
              <w:marBottom w:val="0"/>
              <w:divBdr>
                <w:top w:val="none" w:sz="0" w:space="0" w:color="auto"/>
                <w:left w:val="none" w:sz="0" w:space="0" w:color="auto"/>
                <w:bottom w:val="none" w:sz="0" w:space="0" w:color="auto"/>
                <w:right w:val="none" w:sz="0" w:space="0" w:color="auto"/>
              </w:divBdr>
            </w:div>
            <w:div w:id="1376001401">
              <w:marLeft w:val="0"/>
              <w:marRight w:val="0"/>
              <w:marTop w:val="0"/>
              <w:marBottom w:val="0"/>
              <w:divBdr>
                <w:top w:val="none" w:sz="0" w:space="0" w:color="auto"/>
                <w:left w:val="none" w:sz="0" w:space="0" w:color="auto"/>
                <w:bottom w:val="none" w:sz="0" w:space="0" w:color="auto"/>
                <w:right w:val="none" w:sz="0" w:space="0" w:color="auto"/>
              </w:divBdr>
            </w:div>
            <w:div w:id="15631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cceew.gov.au/environment/protection/waste/packaging/packaging-covenant" TargetMode="External"/><Relationship Id="rId21" Type="http://schemas.openxmlformats.org/officeDocument/2006/relationships/header" Target="header4.xml"/><Relationship Id="rId42" Type="http://schemas.openxmlformats.org/officeDocument/2006/relationships/hyperlink" Target="https://www.accc.gov.au/about-us/publications/making-environmental-claims-a-guide-for-business" TargetMode="External"/><Relationship Id="rId47" Type="http://schemas.openxmlformats.org/officeDocument/2006/relationships/hyperlink" Target="https://www.dcceew.gov.au/about/reporting/obligations/government-responses/independent-review-co-regulatory-arrangement" TargetMode="External"/><Relationship Id="rId63" Type="http://schemas.openxmlformats.org/officeDocument/2006/relationships/hyperlink" Target="https://apco.org.au/news/20YOl000007XWzbMAG" TargetMode="External"/><Relationship Id="rId68" Type="http://schemas.openxmlformats.org/officeDocument/2006/relationships/hyperlink" Target="https://apco.org.au/national-packaging-targets" TargetMode="External"/><Relationship Id="rId84" Type="http://schemas.openxmlformats.org/officeDocument/2006/relationships/hyperlink" Target="https://www.dcceew.gov.au/sites/default/files/documents/emm-communique-21-june-2024.pdf" TargetMode="External"/><Relationship Id="rId89" Type="http://schemas.openxmlformats.org/officeDocument/2006/relationships/hyperlink" Target="https://eur-lex.europa.eu/eli/dir/2019/904/oj" TargetMode="External"/><Relationship Id="rId112" Type="http://schemas.openxmlformats.org/officeDocument/2006/relationships/header" Target="header8.xml"/><Relationship Id="rId16" Type="http://schemas.openxmlformats.org/officeDocument/2006/relationships/header" Target="header1.xml"/><Relationship Id="rId107" Type="http://schemas.openxmlformats.org/officeDocument/2006/relationships/hyperlink" Target="https://apco.org.au/the-australian-packaging-covenant" TargetMode="External"/><Relationship Id="rId11" Type="http://schemas.openxmlformats.org/officeDocument/2006/relationships/hyperlink" Target="https://creativecommons.org/licenses/by/4.0/legalcode" TargetMode="External"/><Relationship Id="rId32" Type="http://schemas.openxmlformats.org/officeDocument/2006/relationships/hyperlink" Target="https://apco.org.au/2030-strategic-plan" TargetMode="External"/><Relationship Id="rId37" Type="http://schemas.openxmlformats.org/officeDocument/2006/relationships/hyperlink" Target="https://documents.packagingcovenant.org.au/other-public-documents/APCO%20Recycled%20Content%20Options%20Paper.pdf" TargetMode="External"/><Relationship Id="rId53" Type="http://schemas.openxmlformats.org/officeDocument/2006/relationships/hyperlink" Target="https://assets.wwf.org.au/image/upload/AMCS_WWF_Climate_impacts_of_plastic_consumption_in_Australia_-_Summary_report?_a=ATO2Ba20" TargetMode="External"/><Relationship Id="rId58" Type="http://schemas.openxmlformats.org/officeDocument/2006/relationships/hyperlink" Target="https://documents.packagingcovenant.org.au/public-documents/Our%20Packaging%20Future" TargetMode="External"/><Relationship Id="rId74" Type="http://schemas.openxmlformats.org/officeDocument/2006/relationships/hyperlink" Target="https://leginfo.legislature.ca.gov/faces/billTextClient.xhtml?bill_id=201920200AB793" TargetMode="External"/><Relationship Id="rId79" Type="http://schemas.openxmlformats.org/officeDocument/2006/relationships/hyperlink" Target="https://www.dcceew.gov.au/sites/default/files/documents/emm-communique-21-oct-2022.pdf" TargetMode="External"/><Relationship Id="rId102" Type="http://schemas.openxmlformats.org/officeDocument/2006/relationships/hyperlink" Target="https://pactgroup.com/wp-content/uploads/2021/08/Pact-End-of-Waste_A-White-Paper.pdf" TargetMode="External"/><Relationship Id="rId5" Type="http://schemas.openxmlformats.org/officeDocument/2006/relationships/numbering" Target="numbering.xml"/><Relationship Id="rId90" Type="http://schemas.openxmlformats.org/officeDocument/2006/relationships/hyperlink" Target="https://www.europarl.europa.eu/doceo/document/TA-9-2024-0318_EN.html" TargetMode="External"/><Relationship Id="rId95" Type="http://schemas.openxmlformats.org/officeDocument/2006/relationships/hyperlink" Target="https://www.iso.org/standard/66652.html" TargetMode="External"/><Relationship Id="rId22" Type="http://schemas.openxmlformats.org/officeDocument/2006/relationships/header" Target="header5.xml"/><Relationship Id="rId27" Type="http://schemas.openxmlformats.org/officeDocument/2006/relationships/hyperlink" Target="https://www.dcceew.gov.au/about/reporting/obligations/government-responses/independent-review-co-regulatory-arrangement" TargetMode="External"/><Relationship Id="rId43" Type="http://schemas.openxmlformats.org/officeDocument/2006/relationships/image" Target="media/image6.png"/><Relationship Id="rId48" Type="http://schemas.openxmlformats.org/officeDocument/2006/relationships/hyperlink" Target="https://www.dcceew.gov.au/environment/protection/waste/packaging/packaging-covenant" TargetMode="External"/><Relationship Id="rId64" Type="http://schemas.openxmlformats.org/officeDocument/2006/relationships/hyperlink" Target="https://apco.org.au/2030-strategic-plan" TargetMode="External"/><Relationship Id="rId69" Type="http://schemas.openxmlformats.org/officeDocument/2006/relationships/hyperlink" Target="https://apco.org.au/the-australian-packaging-covenant" TargetMode="External"/><Relationship Id="rId113" Type="http://schemas.openxmlformats.org/officeDocument/2006/relationships/header" Target="header9.xml"/><Relationship Id="rId80" Type="http://schemas.openxmlformats.org/officeDocument/2006/relationships/hyperlink" Target="https://www.dcceew.gov.au/environment/protection/waste/recycled-content-traceability" TargetMode="External"/><Relationship Id="rId85" Type="http://schemas.openxmlformats.org/officeDocument/2006/relationships/hyperlink" Target="https://www.dcceew.gov.au/environment/protection/chemicals-management/national-standard" TargetMode="External"/><Relationship Id="rId12" Type="http://schemas.openxmlformats.org/officeDocument/2006/relationships/hyperlink" Target="mailto:copyright@dcceew.gov.au" TargetMode="External"/><Relationship Id="rId17" Type="http://schemas.openxmlformats.org/officeDocument/2006/relationships/header" Target="header2.xml"/><Relationship Id="rId33" Type="http://schemas.openxmlformats.org/officeDocument/2006/relationships/hyperlink" Target="https://apco.org.au/2030-strategic-plan" TargetMode="External"/><Relationship Id="rId38" Type="http://schemas.openxmlformats.org/officeDocument/2006/relationships/hyperlink" Target="https://documents.packagingcovenant.org.au/other-public-documents/APCO%20Traceability%20Data%20Requirements.pdf" TargetMode="External"/><Relationship Id="rId59" Type="http://schemas.openxmlformats.org/officeDocument/2006/relationships/hyperlink" Target="https://apco.org.au/sustainable-packaging-guidelines" TargetMode="External"/><Relationship Id="rId103" Type="http://schemas.openxmlformats.org/officeDocument/2006/relationships/hyperlink" Target="https://www.dcceew.gov.au/environment/protection/waste/national-waste-reports/2022" TargetMode="External"/><Relationship Id="rId108" Type="http://schemas.openxmlformats.org/officeDocument/2006/relationships/hyperlink" Target="https://documents.packagingcovenant.org.au/public-documents/2030%20Strategic%20Plan" TargetMode="External"/><Relationship Id="rId54" Type="http://schemas.openxmlformats.org/officeDocument/2006/relationships/hyperlink" Target="https://www.pfas.gov.au/news/national-pfas-position-statement-publication-and-consultation-1" TargetMode="External"/><Relationship Id="rId70" Type="http://schemas.openxmlformats.org/officeDocument/2006/relationships/hyperlink" Target="https://arl.org.au/about" TargetMode="External"/><Relationship Id="rId75" Type="http://schemas.openxmlformats.org/officeDocument/2006/relationships/hyperlink" Target="https://irp.cdn-website.com/ed061800/files/uploaded/CleanUpAustralia-LitterReportFY23-FINAL.pdf" TargetMode="External"/><Relationship Id="rId91" Type="http://schemas.openxmlformats.org/officeDocument/2006/relationships/hyperlink" Target="https://www.foodstandards.gov.au/consumer/chemicals/bpa" TargetMode="External"/><Relationship Id="rId96" Type="http://schemas.openxmlformats.org/officeDocument/2006/relationships/hyperlink" Target="https://legislature.maine.gov/legis/bills/getPDF.asp?paper=HP1083&amp;item=3&amp;snum=13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 TargetMode="External"/><Relationship Id="rId23" Type="http://schemas.openxmlformats.org/officeDocument/2006/relationships/header" Target="header6.xml"/><Relationship Id="rId28" Type="http://schemas.openxmlformats.org/officeDocument/2006/relationships/hyperlink" Target="https://www.accc.gov.au/about-us/publications/greenwashing-by-businesses-in-australia-findings-of-acccs-internet-sweep" TargetMode="External"/><Relationship Id="rId36" Type="http://schemas.openxmlformats.org/officeDocument/2006/relationships/hyperlink" Target="https://apco.org.au/news/20Y9e00000001N7EAI" TargetMode="External"/><Relationship Id="rId49" Type="http://schemas.openxmlformats.org/officeDocument/2006/relationships/hyperlink" Target="https://www.dcceew.gov.au/sites/default/files/documents/national-framework-recycled-content-traceability.pdf" TargetMode="External"/><Relationship Id="rId57" Type="http://schemas.openxmlformats.org/officeDocument/2006/relationships/hyperlink" Target="https://anzpacplasticspact.org.au/wp-content/uploads/2024/08/Activating-Reusable-Packaging-in-the-ANZPAC-Region.pdf" TargetMode="External"/><Relationship Id="rId106" Type="http://schemas.openxmlformats.org/officeDocument/2006/relationships/hyperlink" Target="https://www.gov.uk/guidance/check-if-you-need-to-register-for-plastic-packaging-tax"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oia.pmc.gov.au/resources/guidance-impact-analysis/australian-government-guide-policy-impact-analysis" TargetMode="External"/><Relationship Id="rId44" Type="http://schemas.openxmlformats.org/officeDocument/2006/relationships/hyperlink" Target="https://consult.dcceew.gov.au/reform-of-packaging-regulation" TargetMode="External"/><Relationship Id="rId52" Type="http://schemas.openxmlformats.org/officeDocument/2006/relationships/hyperlink" Target="https://www.accc.gov.au/media-release/accc-consulting-on-guide-to-sustainability-collaborations" TargetMode="External"/><Relationship Id="rId60" Type="http://schemas.openxmlformats.org/officeDocument/2006/relationships/hyperlink" Target="https://apco.org.au/news/20Y9e00000001N7EAI" TargetMode="External"/><Relationship Id="rId65" Type="http://schemas.openxmlformats.org/officeDocument/2006/relationships/hyperlink" Target="https://documents.packagingcovenant.org.au/other-public-documents/APCO%20Recycled%20Content%20Options%20Paper.pdf" TargetMode="External"/><Relationship Id="rId73" Type="http://schemas.openxmlformats.org/officeDocument/2006/relationships/hyperlink" Target="https://www.bpf.co.uk/sustainable_manufacturing/life-cycle-analysis-lca.aspx" TargetMode="External"/><Relationship Id="rId78" Type="http://schemas.openxmlformats.org/officeDocument/2006/relationships/hyperlink" Target="https://www.dcceew.gov.au/sites/default/files/documents/emm-1-agreed-communique.pdf" TargetMode="External"/><Relationship Id="rId81" Type="http://schemas.openxmlformats.org/officeDocument/2006/relationships/hyperlink" Target="https://www.dcceew.gov.au/sites/default/files/documents/emm-communique-09-june-2023.pdf" TargetMode="External"/><Relationship Id="rId86" Type="http://schemas.openxmlformats.org/officeDocument/2006/relationships/hyperlink" Target="https://www.dcceew.gov.au/environment/protection/waste/sustainable-procurement/environmentally-sustainable-procurement-policy" TargetMode="External"/><Relationship Id="rId94" Type="http://schemas.openxmlformats.org/officeDocument/2006/relationships/hyperlink" Target="https://www.iso.org/standard/55871.html" TargetMode="External"/><Relationship Id="rId99" Type="http://schemas.openxmlformats.org/officeDocument/2006/relationships/hyperlink" Target="https://www.oecd-ilibrary.org/environment/extended-producer-responsibility_67587b0b-en" TargetMode="External"/><Relationship Id="rId101" Type="http://schemas.openxmlformats.org/officeDocument/2006/relationships/hyperlink" Target="https://oia.pmc.gov.au/resources/guidance-impact-analysis/australian-government-guide-policy-impact-analys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hyperlink" Target="https://documents.packagingcovenant.org.au/other-public-documents/APCO%20Traceability%20Technical%20Solutions.pdf" TargetMode="External"/><Relationship Id="rId109" Type="http://schemas.openxmlformats.org/officeDocument/2006/relationships/hyperlink" Target="https://www.dcceew.gov.au/about/reporting/obligations/government-responses/independent-review-co-regulatory-arrangement" TargetMode="External"/><Relationship Id="rId34" Type="http://schemas.openxmlformats.org/officeDocument/2006/relationships/hyperlink" Target="https://www.dcceew.gov.au/environment/protection/chemicals-management/national-standard" TargetMode="External"/><Relationship Id="rId50" Type="http://schemas.openxmlformats.org/officeDocument/2006/relationships/hyperlink" Target="https://www.accc.gov.au/about-us/publications/greenwashing-by-businesses-in-australia-findings-of-acccs-internet-sweep" TargetMode="External"/><Relationship Id="rId55" Type="http://schemas.openxmlformats.org/officeDocument/2006/relationships/hyperlink" Target="https://www.aboutamazon.com.au/news/sustainability/sustainability-first-new-study-shows-australians-support-minimal-packaging-for-more-sustainable-deliveries" TargetMode="External"/><Relationship Id="rId76" Type="http://schemas.openxmlformats.org/officeDocument/2006/relationships/hyperlink" Target="https://www.cleanaway.com.au/recycling-behaviours-report/" TargetMode="External"/><Relationship Id="rId97" Type="http://schemas.openxmlformats.org/officeDocument/2006/relationships/hyperlink" Target="https://www.dcceew.gov.au/environment/protection/waste/packaging/packaging-covenant" TargetMode="External"/><Relationship Id="rId104" Type="http://schemas.openxmlformats.org/officeDocument/2006/relationships/hyperlink" Target="https://resource-recycling.com/plastics/2024/05/08/analyst-lays-out-cyclic-pattern-of-recycled-resin-markets/" TargetMode="External"/><Relationship Id="rId7" Type="http://schemas.openxmlformats.org/officeDocument/2006/relationships/settings" Target="settings.xml"/><Relationship Id="rId71" Type="http://schemas.openxmlformats.org/officeDocument/2006/relationships/hyperlink" Target="https://www.dcceew.gov.au/environment/protection/waste/publications/national-waste-policy-action-plan" TargetMode="External"/><Relationship Id="rId92" Type="http://schemas.openxmlformats.org/officeDocument/2006/relationships/hyperlink" Target="https://eunomia.eco/reports/extended-producer-responsibility-for-packaging/"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3.png"/><Relationship Id="rId40" Type="http://schemas.openxmlformats.org/officeDocument/2006/relationships/hyperlink" Target="https://www.dcceew.gov.au/sites/default/files/documents/national-framework-recycled-content-traceability.pdf" TargetMode="External"/><Relationship Id="rId45" Type="http://schemas.openxmlformats.org/officeDocument/2006/relationships/hyperlink" Target="https://consult.dcceew.gov.au/reform-of-packaging-regulation" TargetMode="External"/><Relationship Id="rId66" Type="http://schemas.openxmlformats.org/officeDocument/2006/relationships/hyperlink" Target="https://documents.packagingcovenant.org.au/other-public-documents/APCO%20Traceability%20Data%20Requirements.pdf" TargetMode="External"/><Relationship Id="rId87" Type="http://schemas.openxmlformats.org/officeDocument/2006/relationships/hyperlink" Target="https://www.dcceew.gov.au/environment/protection/waste/publications/national-food-waste-strategy" TargetMode="External"/><Relationship Id="rId110" Type="http://schemas.openxmlformats.org/officeDocument/2006/relationships/hyperlink" Target="https://www.europarl.europa.eu/doceo/document/TA-9-2024-0318_EN.html" TargetMode="External"/><Relationship Id="rId115" Type="http://schemas.openxmlformats.org/officeDocument/2006/relationships/theme" Target="theme/theme1.xml"/><Relationship Id="rId61" Type="http://schemas.openxmlformats.org/officeDocument/2006/relationships/hyperlink" Target="https://documents.packagingcovenant.org.au/public-documents/Australian%20Packaging%20Consumption%20And%20Recycling%20Data%202020-21" TargetMode="External"/><Relationship Id="rId82" Type="http://schemas.openxmlformats.org/officeDocument/2006/relationships/hyperlink" Target="https://www.dcceew.gov.au/sites/default/files/documents/emm-communique-10-nov-2023.pdf" TargetMode="External"/><Relationship Id="rId19" Type="http://schemas.openxmlformats.org/officeDocument/2006/relationships/footer" Target="footer2.xml"/><Relationship Id="rId14" Type="http://schemas.openxmlformats.org/officeDocument/2006/relationships/hyperlink" Target="https://consult.dcceew.gov.au/" TargetMode="External"/><Relationship Id="rId30" Type="http://schemas.openxmlformats.org/officeDocument/2006/relationships/hyperlink" Target="https://apco.org.au/news/20Y9e00000004WXEAY" TargetMode="External"/><Relationship Id="rId35" Type="http://schemas.openxmlformats.org/officeDocument/2006/relationships/hyperlink" Target="https://www.pfas.gov.au/news/national-pfas-position-statement-publication-and-consultation-1" TargetMode="External"/><Relationship Id="rId56" Type="http://schemas.openxmlformats.org/officeDocument/2006/relationships/hyperlink" Target="https://australiainstitute.org.au/report/plastic-waste-in-australia/" TargetMode="External"/><Relationship Id="rId77" Type="http://schemas.openxmlformats.org/officeDocument/2006/relationships/hyperlink" Target="https://www.cbd.int/doc/publications/cbd-ts-83-en.pdf" TargetMode="External"/><Relationship Id="rId100" Type="http://schemas.openxmlformats.org/officeDocument/2006/relationships/hyperlink" Target="https://www.dcceew.gov.au/environment/protection/waste/publications/australian-plastic-flows-and-fates-national-report-2021-22" TargetMode="External"/><Relationship Id="rId105" Type="http://schemas.openxmlformats.org/officeDocument/2006/relationships/hyperlink" Target="https://tolunacorporate.com/wp-content/uploads/2021/02/ANZ-Sustainability-eBook_02-17-FINAL.pdf" TargetMode="External"/><Relationship Id="rId8" Type="http://schemas.openxmlformats.org/officeDocument/2006/relationships/webSettings" Target="webSettings.xml"/><Relationship Id="rId51" Type="http://schemas.openxmlformats.org/officeDocument/2006/relationships/hyperlink" Target="https://www.accc.gov.au/about-us/publications/making-environmental-claims-a-guide-for-business" TargetMode="External"/><Relationship Id="rId72" Type="http://schemas.openxmlformats.org/officeDocument/2006/relationships/hyperlink" Target="https://www.dcceew.gov.au/about/reporting/obligations/government-responses/independent-review-co-regulatory-arrangement" TargetMode="External"/><Relationship Id="rId93" Type="http://schemas.openxmlformats.org/officeDocument/2006/relationships/hyperlink" Target="https://www.canada.ca/en/environment-climate-change/services/canadian-environmental-protection-act-registry/recycled-content-labelling-rules-plastics.html" TargetMode="External"/><Relationship Id="rId98" Type="http://schemas.openxmlformats.org/officeDocument/2006/relationships/hyperlink" Target="https://www.foodauthority.nsw.gov.au/sites/default/files/2020-07/food_grade_pckg.pdf" TargetMode="External"/><Relationship Id="rId3" Type="http://schemas.openxmlformats.org/officeDocument/2006/relationships/customXml" Target="../customXml/item3.xml"/><Relationship Id="rId25" Type="http://schemas.openxmlformats.org/officeDocument/2006/relationships/hyperlink" Target="https://apco.org.au/the-australian-packaging-covenant" TargetMode="External"/><Relationship Id="rId46" Type="http://schemas.openxmlformats.org/officeDocument/2006/relationships/hyperlink" Target="https://www.legislation.gov.au/F2011L02093/latest/text" TargetMode="External"/><Relationship Id="rId67" Type="http://schemas.openxmlformats.org/officeDocument/2006/relationships/hyperlink" Target="https://documents.packagingcovenant.org.au/other-public-documents/APCO%20Traceability%20Technical%20Solutions.pdf" TargetMode="External"/><Relationship Id="rId20" Type="http://schemas.openxmlformats.org/officeDocument/2006/relationships/header" Target="header3.xml"/><Relationship Id="rId41" Type="http://schemas.openxmlformats.org/officeDocument/2006/relationships/image" Target="media/image5.png"/><Relationship Id="rId62" Type="http://schemas.openxmlformats.org/officeDocument/2006/relationships/hyperlink" Target="https://apco.org.au/news/20Y9e00000004WXEAY" TargetMode="External"/><Relationship Id="rId83" Type="http://schemas.openxmlformats.org/officeDocument/2006/relationships/hyperlink" Target="https://www.dcceew.gov.au/sites/default/files/documents/circular-economy-ministerial-advisory-group-interim-report.pdf" TargetMode="External"/><Relationship Id="rId88" Type="http://schemas.openxmlformats.org/officeDocument/2006/relationships/hyperlink" Target="https://www.europarl.europa.eu/thinktank/en/document/EPRS_BRI(2016)573899" TargetMode="External"/><Relationship Id="rId111"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ents xmlns="b342a6d7-03b4-4b69-aa17-84f60e1134c0" xsi:nil="true"/>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47313b71bae4fa9cdc31ea97fb82525d">
  <xsd:schema xmlns:xsd="http://www.w3.org/2001/XMLSchema" xmlns:xs="http://www.w3.org/2001/XMLSchema" xmlns:p="http://schemas.microsoft.com/office/2006/metadata/properties" xmlns:ns1="http://schemas.microsoft.com/sharepoint/v3" xmlns:ns2="b342a6d7-03b4-4b69-aa17-84f60e1134c0" xmlns:ns3="588bda36-003c-4202-9eb7-bfcac190ee19" xmlns:ns4="d81c2681-db7b-4a56-9abd-a3238a78f6b2" xmlns:ns5="a95247a4-6a6b-40fb-87b6-0fb2f012c536" targetNamespace="http://schemas.microsoft.com/office/2006/metadata/properties" ma:root="true" ma:fieldsID="151af201dd6e60b35e60ce9ed6a89004" ns1:_="" ns2:_="" ns3:_="" ns4:_="" ns5:_="">
    <xsd:import namespace="http://schemas.microsoft.com/sharepoint/v3"/>
    <xsd:import namespace="b342a6d7-03b4-4b69-aa17-84f60e1134c0"/>
    <xsd:import namespace="588bda36-003c-4202-9eb7-bfcac190ee19"/>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ntents"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2a6d7-03b4-4b69-aa17-84f60e113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ents" ma:index="12" nillable="true" ma:displayName="Contents" ma:format="Dropdown" ma:internalName="Contents">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8bda36-003c-4202-9eb7-bfcac190ee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07332b9-f882-4d98-99ce-12ec795852d0}"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905D1B-42A1-42DF-8295-560149D2BE8F}">
  <ds:schemaRefs>
    <ds:schemaRef ds:uri="http://schemas.microsoft.com/office/2006/metadata/properties"/>
    <ds:schemaRef ds:uri="http://schemas.microsoft.com/office/infopath/2007/PartnerControls"/>
    <ds:schemaRef ds:uri="b342a6d7-03b4-4b69-aa17-84f60e1134c0"/>
    <ds:schemaRef ds:uri="http://schemas.microsoft.com/sharepoint/v3"/>
    <ds:schemaRef ds:uri="d81c2681-db7b-4a56-9abd-a3238a78f6b2"/>
    <ds:schemaRef ds:uri="a95247a4-6a6b-40fb-87b6-0fb2f012c536"/>
  </ds:schemaRefs>
</ds:datastoreItem>
</file>

<file path=customXml/itemProps2.xml><?xml version="1.0" encoding="utf-8"?>
<ds:datastoreItem xmlns:ds="http://schemas.openxmlformats.org/officeDocument/2006/customXml" ds:itemID="{ED662020-9731-48FC-8838-5EF58EF56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42a6d7-03b4-4b69-aa17-84f60e1134c0"/>
    <ds:schemaRef ds:uri="588bda36-003c-4202-9eb7-bfcac190ee19"/>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DB2765-023F-4F3D-BF10-C5DEE3D6B728}">
  <ds:schemaRefs>
    <ds:schemaRef ds:uri="http://schemas.openxmlformats.org/officeDocument/2006/bibliography"/>
  </ds:schemaRefs>
</ds:datastoreItem>
</file>

<file path=customXml/itemProps4.xml><?xml version="1.0" encoding="utf-8"?>
<ds:datastoreItem xmlns:ds="http://schemas.openxmlformats.org/officeDocument/2006/customXml" ds:itemID="{677434B5-59B2-4033-80F3-C1B4D6125F6E}">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31877</Words>
  <Characters>181701</Characters>
  <Application>Microsoft Office Word</Application>
  <DocSecurity>4</DocSecurity>
  <Lines>1514</Lines>
  <Paragraphs>426</Paragraphs>
  <ScaleCrop>false</ScaleCrop>
  <Company/>
  <LinksUpToDate>false</LinksUpToDate>
  <CharactersWithSpaces>213152</CharactersWithSpaces>
  <SharedDoc>false</SharedDoc>
  <HLinks>
    <vt:vector size="1026" baseType="variant">
      <vt:variant>
        <vt:i4>3801156</vt:i4>
      </vt:variant>
      <vt:variant>
        <vt:i4>1113</vt:i4>
      </vt:variant>
      <vt:variant>
        <vt:i4>0</vt:i4>
      </vt:variant>
      <vt:variant>
        <vt:i4>5</vt:i4>
      </vt:variant>
      <vt:variant>
        <vt:lpwstr>https://www.europarl.europa.eu/doceo/document/TA-9-2024-0318_EN.html</vt:lpwstr>
      </vt:variant>
      <vt:variant>
        <vt:lpwstr>title2</vt:lpwstr>
      </vt:variant>
      <vt:variant>
        <vt:i4>3932202</vt:i4>
      </vt:variant>
      <vt:variant>
        <vt:i4>1110</vt:i4>
      </vt:variant>
      <vt:variant>
        <vt:i4>0</vt:i4>
      </vt:variant>
      <vt:variant>
        <vt:i4>5</vt:i4>
      </vt:variant>
      <vt:variant>
        <vt:lpwstr>https://www.dcceew.gov.au/about/reporting/obligations/government-responses/independent-review-co-regulatory-arrangement</vt:lpwstr>
      </vt:variant>
      <vt:variant>
        <vt:lpwstr/>
      </vt:variant>
      <vt:variant>
        <vt:i4>3604587</vt:i4>
      </vt:variant>
      <vt:variant>
        <vt:i4>1107</vt:i4>
      </vt:variant>
      <vt:variant>
        <vt:i4>0</vt:i4>
      </vt:variant>
      <vt:variant>
        <vt:i4>5</vt:i4>
      </vt:variant>
      <vt:variant>
        <vt:lpwstr>https://documents.packagingcovenant.org.au/public-documents/2030 Strategic Plan</vt:lpwstr>
      </vt:variant>
      <vt:variant>
        <vt:lpwstr/>
      </vt:variant>
      <vt:variant>
        <vt:i4>196689</vt:i4>
      </vt:variant>
      <vt:variant>
        <vt:i4>1104</vt:i4>
      </vt:variant>
      <vt:variant>
        <vt:i4>0</vt:i4>
      </vt:variant>
      <vt:variant>
        <vt:i4>5</vt:i4>
      </vt:variant>
      <vt:variant>
        <vt:lpwstr>https://apco.org.au/the-australian-packaging-covenant</vt:lpwstr>
      </vt:variant>
      <vt:variant>
        <vt:lpwstr/>
      </vt:variant>
      <vt:variant>
        <vt:i4>3932210</vt:i4>
      </vt:variant>
      <vt:variant>
        <vt:i4>1101</vt:i4>
      </vt:variant>
      <vt:variant>
        <vt:i4>0</vt:i4>
      </vt:variant>
      <vt:variant>
        <vt:i4>5</vt:i4>
      </vt:variant>
      <vt:variant>
        <vt:lpwstr>https://www.gov.uk/guidance/check-if-you-need-to-register-for-plastic-packaging-tax</vt:lpwstr>
      </vt:variant>
      <vt:variant>
        <vt:lpwstr/>
      </vt:variant>
      <vt:variant>
        <vt:i4>1704036</vt:i4>
      </vt:variant>
      <vt:variant>
        <vt:i4>1098</vt:i4>
      </vt:variant>
      <vt:variant>
        <vt:i4>0</vt:i4>
      </vt:variant>
      <vt:variant>
        <vt:i4>5</vt:i4>
      </vt:variant>
      <vt:variant>
        <vt:lpwstr>https://tolunacorporate.com/wp-content/uploads/2021/02/ANZ-Sustainability-eBook_02-17-FINAL.pdf</vt:lpwstr>
      </vt:variant>
      <vt:variant>
        <vt:lpwstr/>
      </vt:variant>
      <vt:variant>
        <vt:i4>5242962</vt:i4>
      </vt:variant>
      <vt:variant>
        <vt:i4>1095</vt:i4>
      </vt:variant>
      <vt:variant>
        <vt:i4>0</vt:i4>
      </vt:variant>
      <vt:variant>
        <vt:i4>5</vt:i4>
      </vt:variant>
      <vt:variant>
        <vt:lpwstr>https://resource-recycling.com/plastics/2024/05/08/analyst-lays-out-cyclic-pattern-of-recycled-resin-markets/</vt:lpwstr>
      </vt:variant>
      <vt:variant>
        <vt:lpwstr/>
      </vt:variant>
      <vt:variant>
        <vt:i4>7536698</vt:i4>
      </vt:variant>
      <vt:variant>
        <vt:i4>1092</vt:i4>
      </vt:variant>
      <vt:variant>
        <vt:i4>0</vt:i4>
      </vt:variant>
      <vt:variant>
        <vt:i4>5</vt:i4>
      </vt:variant>
      <vt:variant>
        <vt:lpwstr>https://www.dcceew.gov.au/environment/protection/waste/national-waste-reports/2022</vt:lpwstr>
      </vt:variant>
      <vt:variant>
        <vt:lpwstr/>
      </vt:variant>
      <vt:variant>
        <vt:i4>1638433</vt:i4>
      </vt:variant>
      <vt:variant>
        <vt:i4>1089</vt:i4>
      </vt:variant>
      <vt:variant>
        <vt:i4>0</vt:i4>
      </vt:variant>
      <vt:variant>
        <vt:i4>5</vt:i4>
      </vt:variant>
      <vt:variant>
        <vt:lpwstr>https://pactgroup.com/wp-content/uploads/2021/08/Pact-End-of-Waste_A-White-Paper.pdf</vt:lpwstr>
      </vt:variant>
      <vt:variant>
        <vt:lpwstr/>
      </vt:variant>
      <vt:variant>
        <vt:i4>2031643</vt:i4>
      </vt:variant>
      <vt:variant>
        <vt:i4>1086</vt:i4>
      </vt:variant>
      <vt:variant>
        <vt:i4>0</vt:i4>
      </vt:variant>
      <vt:variant>
        <vt:i4>5</vt:i4>
      </vt:variant>
      <vt:variant>
        <vt:lpwstr>https://oia.pmc.gov.au/resources/guidance-impact-analysis/australian-government-guide-policy-impact-analysis</vt:lpwstr>
      </vt:variant>
      <vt:variant>
        <vt:lpwstr/>
      </vt:variant>
      <vt:variant>
        <vt:i4>3407971</vt:i4>
      </vt:variant>
      <vt:variant>
        <vt:i4>1083</vt:i4>
      </vt:variant>
      <vt:variant>
        <vt:i4>0</vt:i4>
      </vt:variant>
      <vt:variant>
        <vt:i4>5</vt:i4>
      </vt:variant>
      <vt:variant>
        <vt:lpwstr>https://www.dcceew.gov.au/environment/protection/waste/publications/australian-plastic-flows-and-fates-national-report-2021-22</vt:lpwstr>
      </vt:variant>
      <vt:variant>
        <vt:lpwstr/>
      </vt:variant>
      <vt:variant>
        <vt:i4>7143427</vt:i4>
      </vt:variant>
      <vt:variant>
        <vt:i4>1080</vt:i4>
      </vt:variant>
      <vt:variant>
        <vt:i4>0</vt:i4>
      </vt:variant>
      <vt:variant>
        <vt:i4>5</vt:i4>
      </vt:variant>
      <vt:variant>
        <vt:lpwstr>https://www.oecd-ilibrary.org/environment/extended-producer-responsibility_67587b0b-en</vt:lpwstr>
      </vt:variant>
      <vt:variant>
        <vt:lpwstr/>
      </vt:variant>
      <vt:variant>
        <vt:i4>393220</vt:i4>
      </vt:variant>
      <vt:variant>
        <vt:i4>1077</vt:i4>
      </vt:variant>
      <vt:variant>
        <vt:i4>0</vt:i4>
      </vt:variant>
      <vt:variant>
        <vt:i4>5</vt:i4>
      </vt:variant>
      <vt:variant>
        <vt:lpwstr>https://www.foodauthority.nsw.gov.au/sites/default/files/2020-07/food_grade_pckg.pdf</vt:lpwstr>
      </vt:variant>
      <vt:variant>
        <vt:lpwstr/>
      </vt:variant>
      <vt:variant>
        <vt:i4>4063269</vt:i4>
      </vt:variant>
      <vt:variant>
        <vt:i4>1074</vt:i4>
      </vt:variant>
      <vt:variant>
        <vt:i4>0</vt:i4>
      </vt:variant>
      <vt:variant>
        <vt:i4>5</vt:i4>
      </vt:variant>
      <vt:variant>
        <vt:lpwstr>https://www.dcceew.gov.au/environment/protection/waste/packaging/packaging-covenant</vt:lpwstr>
      </vt:variant>
      <vt:variant>
        <vt:lpwstr>download</vt:lpwstr>
      </vt:variant>
      <vt:variant>
        <vt:i4>4456518</vt:i4>
      </vt:variant>
      <vt:variant>
        <vt:i4>1071</vt:i4>
      </vt:variant>
      <vt:variant>
        <vt:i4>0</vt:i4>
      </vt:variant>
      <vt:variant>
        <vt:i4>5</vt:i4>
      </vt:variant>
      <vt:variant>
        <vt:lpwstr>https://legislature.maine.gov/legis/bills/getPDF.asp?paper=HP1083&amp;item=3&amp;snum=130</vt:lpwstr>
      </vt:variant>
      <vt:variant>
        <vt:lpwstr/>
      </vt:variant>
      <vt:variant>
        <vt:i4>6291516</vt:i4>
      </vt:variant>
      <vt:variant>
        <vt:i4>1068</vt:i4>
      </vt:variant>
      <vt:variant>
        <vt:i4>0</vt:i4>
      </vt:variant>
      <vt:variant>
        <vt:i4>5</vt:i4>
      </vt:variant>
      <vt:variant>
        <vt:lpwstr>https://www.iso.org/standard/66652.html</vt:lpwstr>
      </vt:variant>
      <vt:variant>
        <vt:lpwstr/>
      </vt:variant>
      <vt:variant>
        <vt:i4>7209021</vt:i4>
      </vt:variant>
      <vt:variant>
        <vt:i4>1065</vt:i4>
      </vt:variant>
      <vt:variant>
        <vt:i4>0</vt:i4>
      </vt:variant>
      <vt:variant>
        <vt:i4>5</vt:i4>
      </vt:variant>
      <vt:variant>
        <vt:lpwstr>https://www.iso.org/standard/55871.html</vt:lpwstr>
      </vt:variant>
      <vt:variant>
        <vt:lpwstr/>
      </vt:variant>
      <vt:variant>
        <vt:i4>2424945</vt:i4>
      </vt:variant>
      <vt:variant>
        <vt:i4>1062</vt:i4>
      </vt:variant>
      <vt:variant>
        <vt:i4>0</vt:i4>
      </vt:variant>
      <vt:variant>
        <vt:i4>5</vt:i4>
      </vt:variant>
      <vt:variant>
        <vt:lpwstr>https://www.canada.ca/en/environment-climate-change/services/canadian-environmental-protection-act-registry/recycled-content-labelling-rules-plastics.html</vt:lpwstr>
      </vt:variant>
      <vt:variant>
        <vt:lpwstr/>
      </vt:variant>
      <vt:variant>
        <vt:i4>7143541</vt:i4>
      </vt:variant>
      <vt:variant>
        <vt:i4>1059</vt:i4>
      </vt:variant>
      <vt:variant>
        <vt:i4>0</vt:i4>
      </vt:variant>
      <vt:variant>
        <vt:i4>5</vt:i4>
      </vt:variant>
      <vt:variant>
        <vt:lpwstr>https://eunomia.eco/reports/extended-producer-responsibility-for-packaging/</vt:lpwstr>
      </vt:variant>
      <vt:variant>
        <vt:lpwstr/>
      </vt:variant>
      <vt:variant>
        <vt:i4>2162813</vt:i4>
      </vt:variant>
      <vt:variant>
        <vt:i4>1056</vt:i4>
      </vt:variant>
      <vt:variant>
        <vt:i4>0</vt:i4>
      </vt:variant>
      <vt:variant>
        <vt:i4>5</vt:i4>
      </vt:variant>
      <vt:variant>
        <vt:lpwstr>https://www.foodstandards.gov.au/consumer/chemicals/bpa</vt:lpwstr>
      </vt:variant>
      <vt:variant>
        <vt:lpwstr/>
      </vt:variant>
      <vt:variant>
        <vt:i4>852001</vt:i4>
      </vt:variant>
      <vt:variant>
        <vt:i4>1053</vt:i4>
      </vt:variant>
      <vt:variant>
        <vt:i4>0</vt:i4>
      </vt:variant>
      <vt:variant>
        <vt:i4>5</vt:i4>
      </vt:variant>
      <vt:variant>
        <vt:lpwstr>https://www.europarl.europa.eu/doceo/document/TA-9-2024-0318_EN.html</vt:lpwstr>
      </vt:variant>
      <vt:variant>
        <vt:lpwstr/>
      </vt:variant>
      <vt:variant>
        <vt:i4>6094934</vt:i4>
      </vt:variant>
      <vt:variant>
        <vt:i4>1050</vt:i4>
      </vt:variant>
      <vt:variant>
        <vt:i4>0</vt:i4>
      </vt:variant>
      <vt:variant>
        <vt:i4>5</vt:i4>
      </vt:variant>
      <vt:variant>
        <vt:lpwstr>https://eur-lex.europa.eu/eli/dir/2019/904/oj</vt:lpwstr>
      </vt:variant>
      <vt:variant>
        <vt:lpwstr/>
      </vt:variant>
      <vt:variant>
        <vt:i4>7667729</vt:i4>
      </vt:variant>
      <vt:variant>
        <vt:i4>1047</vt:i4>
      </vt:variant>
      <vt:variant>
        <vt:i4>0</vt:i4>
      </vt:variant>
      <vt:variant>
        <vt:i4>5</vt:i4>
      </vt:variant>
      <vt:variant>
        <vt:lpwstr>https://www.europarl.europa.eu/thinktank/en/document/EPRS_BRI(2016)573899</vt:lpwstr>
      </vt:variant>
      <vt:variant>
        <vt:lpwstr/>
      </vt:variant>
      <vt:variant>
        <vt:i4>786433</vt:i4>
      </vt:variant>
      <vt:variant>
        <vt:i4>1044</vt:i4>
      </vt:variant>
      <vt:variant>
        <vt:i4>0</vt:i4>
      </vt:variant>
      <vt:variant>
        <vt:i4>5</vt:i4>
      </vt:variant>
      <vt:variant>
        <vt:lpwstr>https://www.dcceew.gov.au/environment/protection/waste/publications/national-food-waste-strategy</vt:lpwstr>
      </vt:variant>
      <vt:variant>
        <vt:lpwstr/>
      </vt:variant>
      <vt:variant>
        <vt:i4>5570589</vt:i4>
      </vt:variant>
      <vt:variant>
        <vt:i4>1041</vt:i4>
      </vt:variant>
      <vt:variant>
        <vt:i4>0</vt:i4>
      </vt:variant>
      <vt:variant>
        <vt:i4>5</vt:i4>
      </vt:variant>
      <vt:variant>
        <vt:lpwstr>https://www.dcceew.gov.au/environment/protection/waste/sustainable-procurement/environmentally-sustainable-procurement-policy</vt:lpwstr>
      </vt:variant>
      <vt:variant>
        <vt:lpwstr/>
      </vt:variant>
      <vt:variant>
        <vt:i4>8061049</vt:i4>
      </vt:variant>
      <vt:variant>
        <vt:i4>1038</vt:i4>
      </vt:variant>
      <vt:variant>
        <vt:i4>0</vt:i4>
      </vt:variant>
      <vt:variant>
        <vt:i4>5</vt:i4>
      </vt:variant>
      <vt:variant>
        <vt:lpwstr>https://www.dcceew.gov.au/environment/protection/chemicals-management/national-standard</vt:lpwstr>
      </vt:variant>
      <vt:variant>
        <vt:lpwstr/>
      </vt:variant>
      <vt:variant>
        <vt:i4>7864431</vt:i4>
      </vt:variant>
      <vt:variant>
        <vt:i4>1035</vt:i4>
      </vt:variant>
      <vt:variant>
        <vt:i4>0</vt:i4>
      </vt:variant>
      <vt:variant>
        <vt:i4>5</vt:i4>
      </vt:variant>
      <vt:variant>
        <vt:lpwstr>https://www.dcceew.gov.au/sites/default/files/documents/emm-communique-21-june-2024.pdf</vt:lpwstr>
      </vt:variant>
      <vt:variant>
        <vt:lpwstr/>
      </vt:variant>
      <vt:variant>
        <vt:i4>2818101</vt:i4>
      </vt:variant>
      <vt:variant>
        <vt:i4>1032</vt:i4>
      </vt:variant>
      <vt:variant>
        <vt:i4>0</vt:i4>
      </vt:variant>
      <vt:variant>
        <vt:i4>5</vt:i4>
      </vt:variant>
      <vt:variant>
        <vt:lpwstr>https://www.dcceew.gov.au/sites/default/files/documents/circular-economy-ministerial-advisory-group-interim-report.pdf</vt:lpwstr>
      </vt:variant>
      <vt:variant>
        <vt:lpwstr/>
      </vt:variant>
      <vt:variant>
        <vt:i4>7733345</vt:i4>
      </vt:variant>
      <vt:variant>
        <vt:i4>1029</vt:i4>
      </vt:variant>
      <vt:variant>
        <vt:i4>0</vt:i4>
      </vt:variant>
      <vt:variant>
        <vt:i4>5</vt:i4>
      </vt:variant>
      <vt:variant>
        <vt:lpwstr>https://www.dcceew.gov.au/sites/default/files/documents/emm-communique-10-nov-2023.pdf</vt:lpwstr>
      </vt:variant>
      <vt:variant>
        <vt:lpwstr/>
      </vt:variant>
      <vt:variant>
        <vt:i4>7995488</vt:i4>
      </vt:variant>
      <vt:variant>
        <vt:i4>1026</vt:i4>
      </vt:variant>
      <vt:variant>
        <vt:i4>0</vt:i4>
      </vt:variant>
      <vt:variant>
        <vt:i4>5</vt:i4>
      </vt:variant>
      <vt:variant>
        <vt:lpwstr>https://www.dcceew.gov.au/sites/default/files/documents/emm-communique-09-june-2023.pdf</vt:lpwstr>
      </vt:variant>
      <vt:variant>
        <vt:lpwstr/>
      </vt:variant>
      <vt:variant>
        <vt:i4>4849744</vt:i4>
      </vt:variant>
      <vt:variant>
        <vt:i4>1023</vt:i4>
      </vt:variant>
      <vt:variant>
        <vt:i4>0</vt:i4>
      </vt:variant>
      <vt:variant>
        <vt:i4>5</vt:i4>
      </vt:variant>
      <vt:variant>
        <vt:lpwstr>https://www.dcceew.gov.au/environment/protection/waste/recycled-content-traceability</vt:lpwstr>
      </vt:variant>
      <vt:variant>
        <vt:lpwstr/>
      </vt:variant>
      <vt:variant>
        <vt:i4>7864419</vt:i4>
      </vt:variant>
      <vt:variant>
        <vt:i4>1020</vt:i4>
      </vt:variant>
      <vt:variant>
        <vt:i4>0</vt:i4>
      </vt:variant>
      <vt:variant>
        <vt:i4>5</vt:i4>
      </vt:variant>
      <vt:variant>
        <vt:lpwstr>https://www.dcceew.gov.au/sites/default/files/documents/emm-communique-21-oct-2022.pdf</vt:lpwstr>
      </vt:variant>
      <vt:variant>
        <vt:lpwstr/>
      </vt:variant>
      <vt:variant>
        <vt:i4>2293803</vt:i4>
      </vt:variant>
      <vt:variant>
        <vt:i4>1017</vt:i4>
      </vt:variant>
      <vt:variant>
        <vt:i4>0</vt:i4>
      </vt:variant>
      <vt:variant>
        <vt:i4>5</vt:i4>
      </vt:variant>
      <vt:variant>
        <vt:lpwstr>https://www.dcceew.gov.au/sites/default/files/documents/emm-1-agreed-communique.pdf</vt:lpwstr>
      </vt:variant>
      <vt:variant>
        <vt:lpwstr/>
      </vt:variant>
      <vt:variant>
        <vt:i4>5570648</vt:i4>
      </vt:variant>
      <vt:variant>
        <vt:i4>1014</vt:i4>
      </vt:variant>
      <vt:variant>
        <vt:i4>0</vt:i4>
      </vt:variant>
      <vt:variant>
        <vt:i4>5</vt:i4>
      </vt:variant>
      <vt:variant>
        <vt:lpwstr>https://www.cbd.int/doc/publications/cbd-ts-83-en.pdf</vt:lpwstr>
      </vt:variant>
      <vt:variant>
        <vt:lpwstr/>
      </vt:variant>
      <vt:variant>
        <vt:i4>1114190</vt:i4>
      </vt:variant>
      <vt:variant>
        <vt:i4>1011</vt:i4>
      </vt:variant>
      <vt:variant>
        <vt:i4>0</vt:i4>
      </vt:variant>
      <vt:variant>
        <vt:i4>5</vt:i4>
      </vt:variant>
      <vt:variant>
        <vt:lpwstr>https://www.cleanaway.com.au/recycling-behaviours-report/</vt:lpwstr>
      </vt:variant>
      <vt:variant>
        <vt:lpwstr/>
      </vt:variant>
      <vt:variant>
        <vt:i4>3801207</vt:i4>
      </vt:variant>
      <vt:variant>
        <vt:i4>1008</vt:i4>
      </vt:variant>
      <vt:variant>
        <vt:i4>0</vt:i4>
      </vt:variant>
      <vt:variant>
        <vt:i4>5</vt:i4>
      </vt:variant>
      <vt:variant>
        <vt:lpwstr>https://irp.cdn-website.com/ed061800/files/uploaded/CleanUpAustralia-LitterReportFY23-FINAL.pdf</vt:lpwstr>
      </vt:variant>
      <vt:variant>
        <vt:lpwstr/>
      </vt:variant>
      <vt:variant>
        <vt:i4>5505073</vt:i4>
      </vt:variant>
      <vt:variant>
        <vt:i4>1005</vt:i4>
      </vt:variant>
      <vt:variant>
        <vt:i4>0</vt:i4>
      </vt:variant>
      <vt:variant>
        <vt:i4>5</vt:i4>
      </vt:variant>
      <vt:variant>
        <vt:lpwstr>https://leginfo.legislature.ca.gov/faces/billTextClient.xhtml?bill_id=201920200AB793</vt:lpwstr>
      </vt:variant>
      <vt:variant>
        <vt:lpwstr/>
      </vt:variant>
      <vt:variant>
        <vt:i4>3735574</vt:i4>
      </vt:variant>
      <vt:variant>
        <vt:i4>1002</vt:i4>
      </vt:variant>
      <vt:variant>
        <vt:i4>0</vt:i4>
      </vt:variant>
      <vt:variant>
        <vt:i4>5</vt:i4>
      </vt:variant>
      <vt:variant>
        <vt:lpwstr>https://www.bpf.co.uk/sustainable_manufacturing/life-cycle-analysis-lca.aspx</vt:lpwstr>
      </vt:variant>
      <vt:variant>
        <vt:lpwstr/>
      </vt:variant>
      <vt:variant>
        <vt:i4>3932202</vt:i4>
      </vt:variant>
      <vt:variant>
        <vt:i4>999</vt:i4>
      </vt:variant>
      <vt:variant>
        <vt:i4>0</vt:i4>
      </vt:variant>
      <vt:variant>
        <vt:i4>5</vt:i4>
      </vt:variant>
      <vt:variant>
        <vt:lpwstr>https://www.dcceew.gov.au/about/reporting/obligations/government-responses/independent-review-co-regulatory-arrangement</vt:lpwstr>
      </vt:variant>
      <vt:variant>
        <vt:lpwstr/>
      </vt:variant>
      <vt:variant>
        <vt:i4>6225925</vt:i4>
      </vt:variant>
      <vt:variant>
        <vt:i4>996</vt:i4>
      </vt:variant>
      <vt:variant>
        <vt:i4>0</vt:i4>
      </vt:variant>
      <vt:variant>
        <vt:i4>5</vt:i4>
      </vt:variant>
      <vt:variant>
        <vt:lpwstr>https://www.dcceew.gov.au/environment/protection/waste/publications/national-waste-policy-action-plan</vt:lpwstr>
      </vt:variant>
      <vt:variant>
        <vt:lpwstr/>
      </vt:variant>
      <vt:variant>
        <vt:i4>1966108</vt:i4>
      </vt:variant>
      <vt:variant>
        <vt:i4>993</vt:i4>
      </vt:variant>
      <vt:variant>
        <vt:i4>0</vt:i4>
      </vt:variant>
      <vt:variant>
        <vt:i4>5</vt:i4>
      </vt:variant>
      <vt:variant>
        <vt:lpwstr>https://arl.org.au/about</vt:lpwstr>
      </vt:variant>
      <vt:variant>
        <vt:lpwstr/>
      </vt:variant>
      <vt:variant>
        <vt:i4>196689</vt:i4>
      </vt:variant>
      <vt:variant>
        <vt:i4>990</vt:i4>
      </vt:variant>
      <vt:variant>
        <vt:i4>0</vt:i4>
      </vt:variant>
      <vt:variant>
        <vt:i4>5</vt:i4>
      </vt:variant>
      <vt:variant>
        <vt:lpwstr>https://apco.org.au/the-australian-packaging-covenant</vt:lpwstr>
      </vt:variant>
      <vt:variant>
        <vt:lpwstr/>
      </vt:variant>
      <vt:variant>
        <vt:i4>3014688</vt:i4>
      </vt:variant>
      <vt:variant>
        <vt:i4>987</vt:i4>
      </vt:variant>
      <vt:variant>
        <vt:i4>0</vt:i4>
      </vt:variant>
      <vt:variant>
        <vt:i4>5</vt:i4>
      </vt:variant>
      <vt:variant>
        <vt:lpwstr>https://apco.org.au/national-packaging-targets</vt:lpwstr>
      </vt:variant>
      <vt:variant>
        <vt:lpwstr/>
      </vt:variant>
      <vt:variant>
        <vt:i4>6619257</vt:i4>
      </vt:variant>
      <vt:variant>
        <vt:i4>984</vt:i4>
      </vt:variant>
      <vt:variant>
        <vt:i4>0</vt:i4>
      </vt:variant>
      <vt:variant>
        <vt:i4>5</vt:i4>
      </vt:variant>
      <vt:variant>
        <vt:lpwstr>https://documents.packagingcovenant.org.au/other-public-documents/APCO Traceability Technical Solutions.pdf</vt:lpwstr>
      </vt:variant>
      <vt:variant>
        <vt:lpwstr/>
      </vt:variant>
      <vt:variant>
        <vt:i4>4391002</vt:i4>
      </vt:variant>
      <vt:variant>
        <vt:i4>981</vt:i4>
      </vt:variant>
      <vt:variant>
        <vt:i4>0</vt:i4>
      </vt:variant>
      <vt:variant>
        <vt:i4>5</vt:i4>
      </vt:variant>
      <vt:variant>
        <vt:lpwstr>https://documents.packagingcovenant.org.au/other-public-documents/APCO Traceability Data Requirements.pdf</vt:lpwstr>
      </vt:variant>
      <vt:variant>
        <vt:lpwstr/>
      </vt:variant>
      <vt:variant>
        <vt:i4>4587532</vt:i4>
      </vt:variant>
      <vt:variant>
        <vt:i4>978</vt:i4>
      </vt:variant>
      <vt:variant>
        <vt:i4>0</vt:i4>
      </vt:variant>
      <vt:variant>
        <vt:i4>5</vt:i4>
      </vt:variant>
      <vt:variant>
        <vt:lpwstr>https://documents.packagingcovenant.org.au/other-public-documents/APCO Recycled Content Options Paper.pdf</vt:lpwstr>
      </vt:variant>
      <vt:variant>
        <vt:lpwstr/>
      </vt:variant>
      <vt:variant>
        <vt:i4>2621489</vt:i4>
      </vt:variant>
      <vt:variant>
        <vt:i4>975</vt:i4>
      </vt:variant>
      <vt:variant>
        <vt:i4>0</vt:i4>
      </vt:variant>
      <vt:variant>
        <vt:i4>5</vt:i4>
      </vt:variant>
      <vt:variant>
        <vt:lpwstr>https://apco.org.au/2030-strategic-plan</vt:lpwstr>
      </vt:variant>
      <vt:variant>
        <vt:lpwstr/>
      </vt:variant>
      <vt:variant>
        <vt:i4>3801203</vt:i4>
      </vt:variant>
      <vt:variant>
        <vt:i4>972</vt:i4>
      </vt:variant>
      <vt:variant>
        <vt:i4>0</vt:i4>
      </vt:variant>
      <vt:variant>
        <vt:i4>5</vt:i4>
      </vt:variant>
      <vt:variant>
        <vt:lpwstr>https://apco.org.au/news/20YOl000007XWzbMAG</vt:lpwstr>
      </vt:variant>
      <vt:variant>
        <vt:lpwstr/>
      </vt:variant>
      <vt:variant>
        <vt:i4>7143528</vt:i4>
      </vt:variant>
      <vt:variant>
        <vt:i4>969</vt:i4>
      </vt:variant>
      <vt:variant>
        <vt:i4>0</vt:i4>
      </vt:variant>
      <vt:variant>
        <vt:i4>5</vt:i4>
      </vt:variant>
      <vt:variant>
        <vt:lpwstr>https://apco.org.au/news/20Y9e00000004WXEAY</vt:lpwstr>
      </vt:variant>
      <vt:variant>
        <vt:lpwstr/>
      </vt:variant>
      <vt:variant>
        <vt:i4>3670118</vt:i4>
      </vt:variant>
      <vt:variant>
        <vt:i4>966</vt:i4>
      </vt:variant>
      <vt:variant>
        <vt:i4>0</vt:i4>
      </vt:variant>
      <vt:variant>
        <vt:i4>5</vt:i4>
      </vt:variant>
      <vt:variant>
        <vt:lpwstr>https://documents.packagingcovenant.org.au/public-documents/Australian Packaging Consumption And Recycling Data 2020-21</vt:lpwstr>
      </vt:variant>
      <vt:variant>
        <vt:lpwstr/>
      </vt:variant>
      <vt:variant>
        <vt:i4>2556017</vt:i4>
      </vt:variant>
      <vt:variant>
        <vt:i4>963</vt:i4>
      </vt:variant>
      <vt:variant>
        <vt:i4>0</vt:i4>
      </vt:variant>
      <vt:variant>
        <vt:i4>5</vt:i4>
      </vt:variant>
      <vt:variant>
        <vt:lpwstr>https://apco.org.au/news/20Y9e00000001N7EAI</vt:lpwstr>
      </vt:variant>
      <vt:variant>
        <vt:lpwstr/>
      </vt:variant>
      <vt:variant>
        <vt:i4>5111894</vt:i4>
      </vt:variant>
      <vt:variant>
        <vt:i4>960</vt:i4>
      </vt:variant>
      <vt:variant>
        <vt:i4>0</vt:i4>
      </vt:variant>
      <vt:variant>
        <vt:i4>5</vt:i4>
      </vt:variant>
      <vt:variant>
        <vt:lpwstr>https://apco.org.au/sustainable-packaging-guidelines</vt:lpwstr>
      </vt:variant>
      <vt:variant>
        <vt:lpwstr/>
      </vt:variant>
      <vt:variant>
        <vt:i4>4456478</vt:i4>
      </vt:variant>
      <vt:variant>
        <vt:i4>957</vt:i4>
      </vt:variant>
      <vt:variant>
        <vt:i4>0</vt:i4>
      </vt:variant>
      <vt:variant>
        <vt:i4>5</vt:i4>
      </vt:variant>
      <vt:variant>
        <vt:lpwstr>https://documents.packagingcovenant.org.au/public-documents/Our Packaging Future</vt:lpwstr>
      </vt:variant>
      <vt:variant>
        <vt:lpwstr/>
      </vt:variant>
      <vt:variant>
        <vt:i4>4128817</vt:i4>
      </vt:variant>
      <vt:variant>
        <vt:i4>954</vt:i4>
      </vt:variant>
      <vt:variant>
        <vt:i4>0</vt:i4>
      </vt:variant>
      <vt:variant>
        <vt:i4>5</vt:i4>
      </vt:variant>
      <vt:variant>
        <vt:lpwstr>https://anzpacplasticspact.org.au/wp-content/uploads/2024/08/Activating-Reusable-Packaging-in-the-ANZPAC-Region.pdf</vt:lpwstr>
      </vt:variant>
      <vt:variant>
        <vt:lpwstr/>
      </vt:variant>
      <vt:variant>
        <vt:i4>4587535</vt:i4>
      </vt:variant>
      <vt:variant>
        <vt:i4>951</vt:i4>
      </vt:variant>
      <vt:variant>
        <vt:i4>0</vt:i4>
      </vt:variant>
      <vt:variant>
        <vt:i4>5</vt:i4>
      </vt:variant>
      <vt:variant>
        <vt:lpwstr>https://australiainstitute.org.au/report/plastic-waste-in-australia/</vt:lpwstr>
      </vt:variant>
      <vt:variant>
        <vt:lpwstr/>
      </vt:variant>
      <vt:variant>
        <vt:i4>2031680</vt:i4>
      </vt:variant>
      <vt:variant>
        <vt:i4>948</vt:i4>
      </vt:variant>
      <vt:variant>
        <vt:i4>0</vt:i4>
      </vt:variant>
      <vt:variant>
        <vt:i4>5</vt:i4>
      </vt:variant>
      <vt:variant>
        <vt:lpwstr>https://www.aboutamazon.com.au/news/sustainability/sustainability-first-new-study-shows-australians-support-minimal-packaging-for-more-sustainable-deliveries</vt:lpwstr>
      </vt:variant>
      <vt:variant>
        <vt:lpwstr/>
      </vt:variant>
      <vt:variant>
        <vt:i4>720910</vt:i4>
      </vt:variant>
      <vt:variant>
        <vt:i4>945</vt:i4>
      </vt:variant>
      <vt:variant>
        <vt:i4>0</vt:i4>
      </vt:variant>
      <vt:variant>
        <vt:i4>5</vt:i4>
      </vt:variant>
      <vt:variant>
        <vt:lpwstr>https://www.pfas.gov.au/news/national-pfas-position-statement-publication-and-consultation-1</vt:lpwstr>
      </vt:variant>
      <vt:variant>
        <vt:lpwstr/>
      </vt:variant>
      <vt:variant>
        <vt:i4>7012414</vt:i4>
      </vt:variant>
      <vt:variant>
        <vt:i4>942</vt:i4>
      </vt:variant>
      <vt:variant>
        <vt:i4>0</vt:i4>
      </vt:variant>
      <vt:variant>
        <vt:i4>5</vt:i4>
      </vt:variant>
      <vt:variant>
        <vt:lpwstr>https://assets.wwf.org.au/image/upload/AMCS_WWF_Climate_impacts_of_plastic_consumption_in_Australia_-_Summary_report?_a=ATO2Ba20</vt:lpwstr>
      </vt:variant>
      <vt:variant>
        <vt:lpwstr/>
      </vt:variant>
      <vt:variant>
        <vt:i4>7209018</vt:i4>
      </vt:variant>
      <vt:variant>
        <vt:i4>939</vt:i4>
      </vt:variant>
      <vt:variant>
        <vt:i4>0</vt:i4>
      </vt:variant>
      <vt:variant>
        <vt:i4>5</vt:i4>
      </vt:variant>
      <vt:variant>
        <vt:lpwstr>https://www.accc.gov.au/media-release/accc-consulting-on-guide-to-sustainability-collaborations</vt:lpwstr>
      </vt:variant>
      <vt:variant>
        <vt:lpwstr/>
      </vt:variant>
      <vt:variant>
        <vt:i4>6946924</vt:i4>
      </vt:variant>
      <vt:variant>
        <vt:i4>936</vt:i4>
      </vt:variant>
      <vt:variant>
        <vt:i4>0</vt:i4>
      </vt:variant>
      <vt:variant>
        <vt:i4>5</vt:i4>
      </vt:variant>
      <vt:variant>
        <vt:lpwstr>https://www.accc.gov.au/about-us/publications/making-environmental-claims-a-guide-for-business</vt:lpwstr>
      </vt:variant>
      <vt:variant>
        <vt:lpwstr/>
      </vt:variant>
      <vt:variant>
        <vt:i4>3080315</vt:i4>
      </vt:variant>
      <vt:variant>
        <vt:i4>933</vt:i4>
      </vt:variant>
      <vt:variant>
        <vt:i4>0</vt:i4>
      </vt:variant>
      <vt:variant>
        <vt:i4>5</vt:i4>
      </vt:variant>
      <vt:variant>
        <vt:lpwstr>https://www.accc.gov.au/about-us/publications/greenwashing-by-businesses-in-australia-findings-of-acccs-internet-sweep</vt:lpwstr>
      </vt:variant>
      <vt:variant>
        <vt:lpwstr/>
      </vt:variant>
      <vt:variant>
        <vt:i4>1310727</vt:i4>
      </vt:variant>
      <vt:variant>
        <vt:i4>930</vt:i4>
      </vt:variant>
      <vt:variant>
        <vt:i4>0</vt:i4>
      </vt:variant>
      <vt:variant>
        <vt:i4>5</vt:i4>
      </vt:variant>
      <vt:variant>
        <vt:lpwstr>https://www.dcceew.gov.au/sites/default/files/documents/national-framework-recycled-content-traceability.pdf</vt:lpwstr>
      </vt:variant>
      <vt:variant>
        <vt:lpwstr/>
      </vt:variant>
      <vt:variant>
        <vt:i4>4063269</vt:i4>
      </vt:variant>
      <vt:variant>
        <vt:i4>927</vt:i4>
      </vt:variant>
      <vt:variant>
        <vt:i4>0</vt:i4>
      </vt:variant>
      <vt:variant>
        <vt:i4>5</vt:i4>
      </vt:variant>
      <vt:variant>
        <vt:lpwstr>https://www.dcceew.gov.au/environment/protection/waste/packaging/packaging-covenant</vt:lpwstr>
      </vt:variant>
      <vt:variant>
        <vt:lpwstr>download</vt:lpwstr>
      </vt:variant>
      <vt:variant>
        <vt:i4>3932202</vt:i4>
      </vt:variant>
      <vt:variant>
        <vt:i4>924</vt:i4>
      </vt:variant>
      <vt:variant>
        <vt:i4>0</vt:i4>
      </vt:variant>
      <vt:variant>
        <vt:i4>5</vt:i4>
      </vt:variant>
      <vt:variant>
        <vt:lpwstr>https://www.dcceew.gov.au/about/reporting/obligations/government-responses/independent-review-co-regulatory-arrangement</vt:lpwstr>
      </vt:variant>
      <vt:variant>
        <vt:lpwstr/>
      </vt:variant>
      <vt:variant>
        <vt:i4>2621494</vt:i4>
      </vt:variant>
      <vt:variant>
        <vt:i4>921</vt:i4>
      </vt:variant>
      <vt:variant>
        <vt:i4>0</vt:i4>
      </vt:variant>
      <vt:variant>
        <vt:i4>5</vt:i4>
      </vt:variant>
      <vt:variant>
        <vt:lpwstr>https://www.legislation.gov.au/F2011L02093/latest/text</vt:lpwstr>
      </vt:variant>
      <vt:variant>
        <vt:lpwstr/>
      </vt:variant>
      <vt:variant>
        <vt:i4>1835015</vt:i4>
      </vt:variant>
      <vt:variant>
        <vt:i4>918</vt:i4>
      </vt:variant>
      <vt:variant>
        <vt:i4>0</vt:i4>
      </vt:variant>
      <vt:variant>
        <vt:i4>5</vt:i4>
      </vt:variant>
      <vt:variant>
        <vt:lpwstr>https://consult.dcceew.gov.au/reform-of-packaging-regulation</vt:lpwstr>
      </vt:variant>
      <vt:variant>
        <vt:lpwstr/>
      </vt:variant>
      <vt:variant>
        <vt:i4>1835015</vt:i4>
      </vt:variant>
      <vt:variant>
        <vt:i4>906</vt:i4>
      </vt:variant>
      <vt:variant>
        <vt:i4>0</vt:i4>
      </vt:variant>
      <vt:variant>
        <vt:i4>5</vt:i4>
      </vt:variant>
      <vt:variant>
        <vt:lpwstr>https://consult.dcceew.gov.au/reform-of-packaging-regulation</vt:lpwstr>
      </vt:variant>
      <vt:variant>
        <vt:lpwstr/>
      </vt:variant>
      <vt:variant>
        <vt:i4>6946924</vt:i4>
      </vt:variant>
      <vt:variant>
        <vt:i4>870</vt:i4>
      </vt:variant>
      <vt:variant>
        <vt:i4>0</vt:i4>
      </vt:variant>
      <vt:variant>
        <vt:i4>5</vt:i4>
      </vt:variant>
      <vt:variant>
        <vt:lpwstr>https://www.accc.gov.au/about-us/publications/making-environmental-claims-a-guide-for-business</vt:lpwstr>
      </vt:variant>
      <vt:variant>
        <vt:lpwstr/>
      </vt:variant>
      <vt:variant>
        <vt:i4>1310727</vt:i4>
      </vt:variant>
      <vt:variant>
        <vt:i4>852</vt:i4>
      </vt:variant>
      <vt:variant>
        <vt:i4>0</vt:i4>
      </vt:variant>
      <vt:variant>
        <vt:i4>5</vt:i4>
      </vt:variant>
      <vt:variant>
        <vt:lpwstr>https://www.dcceew.gov.au/sites/default/files/documents/national-framework-recycled-content-traceability.pdf</vt:lpwstr>
      </vt:variant>
      <vt:variant>
        <vt:lpwstr/>
      </vt:variant>
      <vt:variant>
        <vt:i4>6619257</vt:i4>
      </vt:variant>
      <vt:variant>
        <vt:i4>822</vt:i4>
      </vt:variant>
      <vt:variant>
        <vt:i4>0</vt:i4>
      </vt:variant>
      <vt:variant>
        <vt:i4>5</vt:i4>
      </vt:variant>
      <vt:variant>
        <vt:lpwstr>https://documents.packagingcovenant.org.au/other-public-documents/APCO Traceability Technical Solutions.pdf</vt:lpwstr>
      </vt:variant>
      <vt:variant>
        <vt:lpwstr/>
      </vt:variant>
      <vt:variant>
        <vt:i4>4391002</vt:i4>
      </vt:variant>
      <vt:variant>
        <vt:i4>819</vt:i4>
      </vt:variant>
      <vt:variant>
        <vt:i4>0</vt:i4>
      </vt:variant>
      <vt:variant>
        <vt:i4>5</vt:i4>
      </vt:variant>
      <vt:variant>
        <vt:lpwstr>https://documents.packagingcovenant.org.au/other-public-documents/APCO Traceability Data Requirements.pdf</vt:lpwstr>
      </vt:variant>
      <vt:variant>
        <vt:lpwstr/>
      </vt:variant>
      <vt:variant>
        <vt:i4>4587532</vt:i4>
      </vt:variant>
      <vt:variant>
        <vt:i4>816</vt:i4>
      </vt:variant>
      <vt:variant>
        <vt:i4>0</vt:i4>
      </vt:variant>
      <vt:variant>
        <vt:i4>5</vt:i4>
      </vt:variant>
      <vt:variant>
        <vt:lpwstr>https://documents.packagingcovenant.org.au/other-public-documents/APCO Recycled Content Options Paper.pdf</vt:lpwstr>
      </vt:variant>
      <vt:variant>
        <vt:lpwstr/>
      </vt:variant>
      <vt:variant>
        <vt:i4>2556017</vt:i4>
      </vt:variant>
      <vt:variant>
        <vt:i4>783</vt:i4>
      </vt:variant>
      <vt:variant>
        <vt:i4>0</vt:i4>
      </vt:variant>
      <vt:variant>
        <vt:i4>5</vt:i4>
      </vt:variant>
      <vt:variant>
        <vt:lpwstr>https://apco.org.au/news/20Y9e00000001N7EAI</vt:lpwstr>
      </vt:variant>
      <vt:variant>
        <vt:lpwstr/>
      </vt:variant>
      <vt:variant>
        <vt:i4>720910</vt:i4>
      </vt:variant>
      <vt:variant>
        <vt:i4>780</vt:i4>
      </vt:variant>
      <vt:variant>
        <vt:i4>0</vt:i4>
      </vt:variant>
      <vt:variant>
        <vt:i4>5</vt:i4>
      </vt:variant>
      <vt:variant>
        <vt:lpwstr>https://www.pfas.gov.au/news/national-pfas-position-statement-publication-and-consultation-1</vt:lpwstr>
      </vt:variant>
      <vt:variant>
        <vt:lpwstr/>
      </vt:variant>
      <vt:variant>
        <vt:i4>8061049</vt:i4>
      </vt:variant>
      <vt:variant>
        <vt:i4>777</vt:i4>
      </vt:variant>
      <vt:variant>
        <vt:i4>0</vt:i4>
      </vt:variant>
      <vt:variant>
        <vt:i4>5</vt:i4>
      </vt:variant>
      <vt:variant>
        <vt:lpwstr>https://www.dcceew.gov.au/environment/protection/chemicals-management/national-standard</vt:lpwstr>
      </vt:variant>
      <vt:variant>
        <vt:lpwstr/>
      </vt:variant>
      <vt:variant>
        <vt:i4>2621489</vt:i4>
      </vt:variant>
      <vt:variant>
        <vt:i4>660</vt:i4>
      </vt:variant>
      <vt:variant>
        <vt:i4>0</vt:i4>
      </vt:variant>
      <vt:variant>
        <vt:i4>5</vt:i4>
      </vt:variant>
      <vt:variant>
        <vt:lpwstr>https://apco.org.au/2030-strategic-plan</vt:lpwstr>
      </vt:variant>
      <vt:variant>
        <vt:lpwstr/>
      </vt:variant>
      <vt:variant>
        <vt:i4>2621489</vt:i4>
      </vt:variant>
      <vt:variant>
        <vt:i4>651</vt:i4>
      </vt:variant>
      <vt:variant>
        <vt:i4>0</vt:i4>
      </vt:variant>
      <vt:variant>
        <vt:i4>5</vt:i4>
      </vt:variant>
      <vt:variant>
        <vt:lpwstr>https://apco.org.au/2030-strategic-plan</vt:lpwstr>
      </vt:variant>
      <vt:variant>
        <vt:lpwstr/>
      </vt:variant>
      <vt:variant>
        <vt:i4>2031643</vt:i4>
      </vt:variant>
      <vt:variant>
        <vt:i4>621</vt:i4>
      </vt:variant>
      <vt:variant>
        <vt:i4>0</vt:i4>
      </vt:variant>
      <vt:variant>
        <vt:i4>5</vt:i4>
      </vt:variant>
      <vt:variant>
        <vt:lpwstr>https://oia.pmc.gov.au/resources/guidance-impact-analysis/australian-government-guide-policy-impact-analysis</vt:lpwstr>
      </vt:variant>
      <vt:variant>
        <vt:lpwstr/>
      </vt:variant>
      <vt:variant>
        <vt:i4>7143528</vt:i4>
      </vt:variant>
      <vt:variant>
        <vt:i4>603</vt:i4>
      </vt:variant>
      <vt:variant>
        <vt:i4>0</vt:i4>
      </vt:variant>
      <vt:variant>
        <vt:i4>5</vt:i4>
      </vt:variant>
      <vt:variant>
        <vt:lpwstr>https://apco.org.au/news/20Y9e00000004WXEAY</vt:lpwstr>
      </vt:variant>
      <vt:variant>
        <vt:lpwstr/>
      </vt:variant>
      <vt:variant>
        <vt:i4>3080315</vt:i4>
      </vt:variant>
      <vt:variant>
        <vt:i4>585</vt:i4>
      </vt:variant>
      <vt:variant>
        <vt:i4>0</vt:i4>
      </vt:variant>
      <vt:variant>
        <vt:i4>5</vt:i4>
      </vt:variant>
      <vt:variant>
        <vt:lpwstr>https://www.accc.gov.au/about-us/publications/greenwashing-by-businesses-in-australia-findings-of-acccs-internet-sweep</vt:lpwstr>
      </vt:variant>
      <vt:variant>
        <vt:lpwstr/>
      </vt:variant>
      <vt:variant>
        <vt:i4>3932202</vt:i4>
      </vt:variant>
      <vt:variant>
        <vt:i4>558</vt:i4>
      </vt:variant>
      <vt:variant>
        <vt:i4>0</vt:i4>
      </vt:variant>
      <vt:variant>
        <vt:i4>5</vt:i4>
      </vt:variant>
      <vt:variant>
        <vt:lpwstr>https://www.dcceew.gov.au/about/reporting/obligations/government-responses/independent-review-co-regulatory-arrangement</vt:lpwstr>
      </vt:variant>
      <vt:variant>
        <vt:lpwstr/>
      </vt:variant>
      <vt:variant>
        <vt:i4>4063269</vt:i4>
      </vt:variant>
      <vt:variant>
        <vt:i4>555</vt:i4>
      </vt:variant>
      <vt:variant>
        <vt:i4>0</vt:i4>
      </vt:variant>
      <vt:variant>
        <vt:i4>5</vt:i4>
      </vt:variant>
      <vt:variant>
        <vt:lpwstr>https://www.dcceew.gov.au/environment/protection/waste/packaging/packaging-covenant</vt:lpwstr>
      </vt:variant>
      <vt:variant>
        <vt:lpwstr>download</vt:lpwstr>
      </vt:variant>
      <vt:variant>
        <vt:i4>196689</vt:i4>
      </vt:variant>
      <vt:variant>
        <vt:i4>549</vt:i4>
      </vt:variant>
      <vt:variant>
        <vt:i4>0</vt:i4>
      </vt:variant>
      <vt:variant>
        <vt:i4>5</vt:i4>
      </vt:variant>
      <vt:variant>
        <vt:lpwstr>https://apco.org.au/the-australian-packaging-covenant</vt:lpwstr>
      </vt:variant>
      <vt:variant>
        <vt:lpwstr/>
      </vt:variant>
      <vt:variant>
        <vt:i4>1769535</vt:i4>
      </vt:variant>
      <vt:variant>
        <vt:i4>521</vt:i4>
      </vt:variant>
      <vt:variant>
        <vt:i4>0</vt:i4>
      </vt:variant>
      <vt:variant>
        <vt:i4>5</vt:i4>
      </vt:variant>
      <vt:variant>
        <vt:lpwstr/>
      </vt:variant>
      <vt:variant>
        <vt:lpwstr>_Toc178229402</vt:lpwstr>
      </vt:variant>
      <vt:variant>
        <vt:i4>1769535</vt:i4>
      </vt:variant>
      <vt:variant>
        <vt:i4>515</vt:i4>
      </vt:variant>
      <vt:variant>
        <vt:i4>0</vt:i4>
      </vt:variant>
      <vt:variant>
        <vt:i4>5</vt:i4>
      </vt:variant>
      <vt:variant>
        <vt:lpwstr/>
      </vt:variant>
      <vt:variant>
        <vt:lpwstr>_Toc178229401</vt:lpwstr>
      </vt:variant>
      <vt:variant>
        <vt:i4>1769535</vt:i4>
      </vt:variant>
      <vt:variant>
        <vt:i4>509</vt:i4>
      </vt:variant>
      <vt:variant>
        <vt:i4>0</vt:i4>
      </vt:variant>
      <vt:variant>
        <vt:i4>5</vt:i4>
      </vt:variant>
      <vt:variant>
        <vt:lpwstr/>
      </vt:variant>
      <vt:variant>
        <vt:lpwstr>_Toc178229400</vt:lpwstr>
      </vt:variant>
      <vt:variant>
        <vt:i4>1179704</vt:i4>
      </vt:variant>
      <vt:variant>
        <vt:i4>503</vt:i4>
      </vt:variant>
      <vt:variant>
        <vt:i4>0</vt:i4>
      </vt:variant>
      <vt:variant>
        <vt:i4>5</vt:i4>
      </vt:variant>
      <vt:variant>
        <vt:lpwstr/>
      </vt:variant>
      <vt:variant>
        <vt:lpwstr>_Toc178229399</vt:lpwstr>
      </vt:variant>
      <vt:variant>
        <vt:i4>1179704</vt:i4>
      </vt:variant>
      <vt:variant>
        <vt:i4>497</vt:i4>
      </vt:variant>
      <vt:variant>
        <vt:i4>0</vt:i4>
      </vt:variant>
      <vt:variant>
        <vt:i4>5</vt:i4>
      </vt:variant>
      <vt:variant>
        <vt:lpwstr/>
      </vt:variant>
      <vt:variant>
        <vt:lpwstr>_Toc178229398</vt:lpwstr>
      </vt:variant>
      <vt:variant>
        <vt:i4>1179704</vt:i4>
      </vt:variant>
      <vt:variant>
        <vt:i4>491</vt:i4>
      </vt:variant>
      <vt:variant>
        <vt:i4>0</vt:i4>
      </vt:variant>
      <vt:variant>
        <vt:i4>5</vt:i4>
      </vt:variant>
      <vt:variant>
        <vt:lpwstr/>
      </vt:variant>
      <vt:variant>
        <vt:lpwstr>_Toc178229397</vt:lpwstr>
      </vt:variant>
      <vt:variant>
        <vt:i4>1179704</vt:i4>
      </vt:variant>
      <vt:variant>
        <vt:i4>485</vt:i4>
      </vt:variant>
      <vt:variant>
        <vt:i4>0</vt:i4>
      </vt:variant>
      <vt:variant>
        <vt:i4>5</vt:i4>
      </vt:variant>
      <vt:variant>
        <vt:lpwstr/>
      </vt:variant>
      <vt:variant>
        <vt:lpwstr>_Toc178229396</vt:lpwstr>
      </vt:variant>
      <vt:variant>
        <vt:i4>1179704</vt:i4>
      </vt:variant>
      <vt:variant>
        <vt:i4>479</vt:i4>
      </vt:variant>
      <vt:variant>
        <vt:i4>0</vt:i4>
      </vt:variant>
      <vt:variant>
        <vt:i4>5</vt:i4>
      </vt:variant>
      <vt:variant>
        <vt:lpwstr/>
      </vt:variant>
      <vt:variant>
        <vt:lpwstr>_Toc178229395</vt:lpwstr>
      </vt:variant>
      <vt:variant>
        <vt:i4>1179704</vt:i4>
      </vt:variant>
      <vt:variant>
        <vt:i4>473</vt:i4>
      </vt:variant>
      <vt:variant>
        <vt:i4>0</vt:i4>
      </vt:variant>
      <vt:variant>
        <vt:i4>5</vt:i4>
      </vt:variant>
      <vt:variant>
        <vt:lpwstr/>
      </vt:variant>
      <vt:variant>
        <vt:lpwstr>_Toc178229394</vt:lpwstr>
      </vt:variant>
      <vt:variant>
        <vt:i4>1179704</vt:i4>
      </vt:variant>
      <vt:variant>
        <vt:i4>467</vt:i4>
      </vt:variant>
      <vt:variant>
        <vt:i4>0</vt:i4>
      </vt:variant>
      <vt:variant>
        <vt:i4>5</vt:i4>
      </vt:variant>
      <vt:variant>
        <vt:lpwstr/>
      </vt:variant>
      <vt:variant>
        <vt:lpwstr>_Toc178229393</vt:lpwstr>
      </vt:variant>
      <vt:variant>
        <vt:i4>1179704</vt:i4>
      </vt:variant>
      <vt:variant>
        <vt:i4>461</vt:i4>
      </vt:variant>
      <vt:variant>
        <vt:i4>0</vt:i4>
      </vt:variant>
      <vt:variant>
        <vt:i4>5</vt:i4>
      </vt:variant>
      <vt:variant>
        <vt:lpwstr/>
      </vt:variant>
      <vt:variant>
        <vt:lpwstr>_Toc178229392</vt:lpwstr>
      </vt:variant>
      <vt:variant>
        <vt:i4>1179704</vt:i4>
      </vt:variant>
      <vt:variant>
        <vt:i4>455</vt:i4>
      </vt:variant>
      <vt:variant>
        <vt:i4>0</vt:i4>
      </vt:variant>
      <vt:variant>
        <vt:i4>5</vt:i4>
      </vt:variant>
      <vt:variant>
        <vt:lpwstr/>
      </vt:variant>
      <vt:variant>
        <vt:lpwstr>_Toc178229391</vt:lpwstr>
      </vt:variant>
      <vt:variant>
        <vt:i4>1179704</vt:i4>
      </vt:variant>
      <vt:variant>
        <vt:i4>446</vt:i4>
      </vt:variant>
      <vt:variant>
        <vt:i4>0</vt:i4>
      </vt:variant>
      <vt:variant>
        <vt:i4>5</vt:i4>
      </vt:variant>
      <vt:variant>
        <vt:lpwstr/>
      </vt:variant>
      <vt:variant>
        <vt:lpwstr>_Toc178229390</vt:lpwstr>
      </vt:variant>
      <vt:variant>
        <vt:i4>1245240</vt:i4>
      </vt:variant>
      <vt:variant>
        <vt:i4>440</vt:i4>
      </vt:variant>
      <vt:variant>
        <vt:i4>0</vt:i4>
      </vt:variant>
      <vt:variant>
        <vt:i4>5</vt:i4>
      </vt:variant>
      <vt:variant>
        <vt:lpwstr/>
      </vt:variant>
      <vt:variant>
        <vt:lpwstr>_Toc178229389</vt:lpwstr>
      </vt:variant>
      <vt:variant>
        <vt:i4>1245240</vt:i4>
      </vt:variant>
      <vt:variant>
        <vt:i4>434</vt:i4>
      </vt:variant>
      <vt:variant>
        <vt:i4>0</vt:i4>
      </vt:variant>
      <vt:variant>
        <vt:i4>5</vt:i4>
      </vt:variant>
      <vt:variant>
        <vt:lpwstr/>
      </vt:variant>
      <vt:variant>
        <vt:lpwstr>_Toc178229388</vt:lpwstr>
      </vt:variant>
      <vt:variant>
        <vt:i4>1245240</vt:i4>
      </vt:variant>
      <vt:variant>
        <vt:i4>428</vt:i4>
      </vt:variant>
      <vt:variant>
        <vt:i4>0</vt:i4>
      </vt:variant>
      <vt:variant>
        <vt:i4>5</vt:i4>
      </vt:variant>
      <vt:variant>
        <vt:lpwstr/>
      </vt:variant>
      <vt:variant>
        <vt:lpwstr>_Toc178229387</vt:lpwstr>
      </vt:variant>
      <vt:variant>
        <vt:i4>1245240</vt:i4>
      </vt:variant>
      <vt:variant>
        <vt:i4>419</vt:i4>
      </vt:variant>
      <vt:variant>
        <vt:i4>0</vt:i4>
      </vt:variant>
      <vt:variant>
        <vt:i4>5</vt:i4>
      </vt:variant>
      <vt:variant>
        <vt:lpwstr/>
      </vt:variant>
      <vt:variant>
        <vt:lpwstr>_Toc178229386</vt:lpwstr>
      </vt:variant>
      <vt:variant>
        <vt:i4>1245240</vt:i4>
      </vt:variant>
      <vt:variant>
        <vt:i4>413</vt:i4>
      </vt:variant>
      <vt:variant>
        <vt:i4>0</vt:i4>
      </vt:variant>
      <vt:variant>
        <vt:i4>5</vt:i4>
      </vt:variant>
      <vt:variant>
        <vt:lpwstr/>
      </vt:variant>
      <vt:variant>
        <vt:lpwstr>_Toc178229385</vt:lpwstr>
      </vt:variant>
      <vt:variant>
        <vt:i4>1245240</vt:i4>
      </vt:variant>
      <vt:variant>
        <vt:i4>407</vt:i4>
      </vt:variant>
      <vt:variant>
        <vt:i4>0</vt:i4>
      </vt:variant>
      <vt:variant>
        <vt:i4>5</vt:i4>
      </vt:variant>
      <vt:variant>
        <vt:lpwstr/>
      </vt:variant>
      <vt:variant>
        <vt:lpwstr>_Toc178229384</vt:lpwstr>
      </vt:variant>
      <vt:variant>
        <vt:i4>1245240</vt:i4>
      </vt:variant>
      <vt:variant>
        <vt:i4>401</vt:i4>
      </vt:variant>
      <vt:variant>
        <vt:i4>0</vt:i4>
      </vt:variant>
      <vt:variant>
        <vt:i4>5</vt:i4>
      </vt:variant>
      <vt:variant>
        <vt:lpwstr/>
      </vt:variant>
      <vt:variant>
        <vt:lpwstr>_Toc178229383</vt:lpwstr>
      </vt:variant>
      <vt:variant>
        <vt:i4>1245240</vt:i4>
      </vt:variant>
      <vt:variant>
        <vt:i4>395</vt:i4>
      </vt:variant>
      <vt:variant>
        <vt:i4>0</vt:i4>
      </vt:variant>
      <vt:variant>
        <vt:i4>5</vt:i4>
      </vt:variant>
      <vt:variant>
        <vt:lpwstr/>
      </vt:variant>
      <vt:variant>
        <vt:lpwstr>_Toc178229382</vt:lpwstr>
      </vt:variant>
      <vt:variant>
        <vt:i4>1245240</vt:i4>
      </vt:variant>
      <vt:variant>
        <vt:i4>389</vt:i4>
      </vt:variant>
      <vt:variant>
        <vt:i4>0</vt:i4>
      </vt:variant>
      <vt:variant>
        <vt:i4>5</vt:i4>
      </vt:variant>
      <vt:variant>
        <vt:lpwstr/>
      </vt:variant>
      <vt:variant>
        <vt:lpwstr>_Toc178229381</vt:lpwstr>
      </vt:variant>
      <vt:variant>
        <vt:i4>1245240</vt:i4>
      </vt:variant>
      <vt:variant>
        <vt:i4>383</vt:i4>
      </vt:variant>
      <vt:variant>
        <vt:i4>0</vt:i4>
      </vt:variant>
      <vt:variant>
        <vt:i4>5</vt:i4>
      </vt:variant>
      <vt:variant>
        <vt:lpwstr/>
      </vt:variant>
      <vt:variant>
        <vt:lpwstr>_Toc178229380</vt:lpwstr>
      </vt:variant>
      <vt:variant>
        <vt:i4>1835064</vt:i4>
      </vt:variant>
      <vt:variant>
        <vt:i4>377</vt:i4>
      </vt:variant>
      <vt:variant>
        <vt:i4>0</vt:i4>
      </vt:variant>
      <vt:variant>
        <vt:i4>5</vt:i4>
      </vt:variant>
      <vt:variant>
        <vt:lpwstr/>
      </vt:variant>
      <vt:variant>
        <vt:lpwstr>_Toc178229379</vt:lpwstr>
      </vt:variant>
      <vt:variant>
        <vt:i4>1835064</vt:i4>
      </vt:variant>
      <vt:variant>
        <vt:i4>371</vt:i4>
      </vt:variant>
      <vt:variant>
        <vt:i4>0</vt:i4>
      </vt:variant>
      <vt:variant>
        <vt:i4>5</vt:i4>
      </vt:variant>
      <vt:variant>
        <vt:lpwstr/>
      </vt:variant>
      <vt:variant>
        <vt:lpwstr>_Toc178229378</vt:lpwstr>
      </vt:variant>
      <vt:variant>
        <vt:i4>1835064</vt:i4>
      </vt:variant>
      <vt:variant>
        <vt:i4>365</vt:i4>
      </vt:variant>
      <vt:variant>
        <vt:i4>0</vt:i4>
      </vt:variant>
      <vt:variant>
        <vt:i4>5</vt:i4>
      </vt:variant>
      <vt:variant>
        <vt:lpwstr/>
      </vt:variant>
      <vt:variant>
        <vt:lpwstr>_Toc178229377</vt:lpwstr>
      </vt:variant>
      <vt:variant>
        <vt:i4>1835064</vt:i4>
      </vt:variant>
      <vt:variant>
        <vt:i4>359</vt:i4>
      </vt:variant>
      <vt:variant>
        <vt:i4>0</vt:i4>
      </vt:variant>
      <vt:variant>
        <vt:i4>5</vt:i4>
      </vt:variant>
      <vt:variant>
        <vt:lpwstr/>
      </vt:variant>
      <vt:variant>
        <vt:lpwstr>_Toc178229376</vt:lpwstr>
      </vt:variant>
      <vt:variant>
        <vt:i4>1835064</vt:i4>
      </vt:variant>
      <vt:variant>
        <vt:i4>353</vt:i4>
      </vt:variant>
      <vt:variant>
        <vt:i4>0</vt:i4>
      </vt:variant>
      <vt:variant>
        <vt:i4>5</vt:i4>
      </vt:variant>
      <vt:variant>
        <vt:lpwstr/>
      </vt:variant>
      <vt:variant>
        <vt:lpwstr>_Toc178229375</vt:lpwstr>
      </vt:variant>
      <vt:variant>
        <vt:i4>1835064</vt:i4>
      </vt:variant>
      <vt:variant>
        <vt:i4>347</vt:i4>
      </vt:variant>
      <vt:variant>
        <vt:i4>0</vt:i4>
      </vt:variant>
      <vt:variant>
        <vt:i4>5</vt:i4>
      </vt:variant>
      <vt:variant>
        <vt:lpwstr/>
      </vt:variant>
      <vt:variant>
        <vt:lpwstr>_Toc178229374</vt:lpwstr>
      </vt:variant>
      <vt:variant>
        <vt:i4>1835064</vt:i4>
      </vt:variant>
      <vt:variant>
        <vt:i4>341</vt:i4>
      </vt:variant>
      <vt:variant>
        <vt:i4>0</vt:i4>
      </vt:variant>
      <vt:variant>
        <vt:i4>5</vt:i4>
      </vt:variant>
      <vt:variant>
        <vt:lpwstr/>
      </vt:variant>
      <vt:variant>
        <vt:lpwstr>_Toc178229373</vt:lpwstr>
      </vt:variant>
      <vt:variant>
        <vt:i4>1835064</vt:i4>
      </vt:variant>
      <vt:variant>
        <vt:i4>335</vt:i4>
      </vt:variant>
      <vt:variant>
        <vt:i4>0</vt:i4>
      </vt:variant>
      <vt:variant>
        <vt:i4>5</vt:i4>
      </vt:variant>
      <vt:variant>
        <vt:lpwstr/>
      </vt:variant>
      <vt:variant>
        <vt:lpwstr>_Toc178229372</vt:lpwstr>
      </vt:variant>
      <vt:variant>
        <vt:i4>1835064</vt:i4>
      </vt:variant>
      <vt:variant>
        <vt:i4>329</vt:i4>
      </vt:variant>
      <vt:variant>
        <vt:i4>0</vt:i4>
      </vt:variant>
      <vt:variant>
        <vt:i4>5</vt:i4>
      </vt:variant>
      <vt:variant>
        <vt:lpwstr/>
      </vt:variant>
      <vt:variant>
        <vt:lpwstr>_Toc178229371</vt:lpwstr>
      </vt:variant>
      <vt:variant>
        <vt:i4>1835064</vt:i4>
      </vt:variant>
      <vt:variant>
        <vt:i4>323</vt:i4>
      </vt:variant>
      <vt:variant>
        <vt:i4>0</vt:i4>
      </vt:variant>
      <vt:variant>
        <vt:i4>5</vt:i4>
      </vt:variant>
      <vt:variant>
        <vt:lpwstr/>
      </vt:variant>
      <vt:variant>
        <vt:lpwstr>_Toc178229370</vt:lpwstr>
      </vt:variant>
      <vt:variant>
        <vt:i4>1900600</vt:i4>
      </vt:variant>
      <vt:variant>
        <vt:i4>317</vt:i4>
      </vt:variant>
      <vt:variant>
        <vt:i4>0</vt:i4>
      </vt:variant>
      <vt:variant>
        <vt:i4>5</vt:i4>
      </vt:variant>
      <vt:variant>
        <vt:lpwstr/>
      </vt:variant>
      <vt:variant>
        <vt:lpwstr>_Toc178229369</vt:lpwstr>
      </vt:variant>
      <vt:variant>
        <vt:i4>1900600</vt:i4>
      </vt:variant>
      <vt:variant>
        <vt:i4>311</vt:i4>
      </vt:variant>
      <vt:variant>
        <vt:i4>0</vt:i4>
      </vt:variant>
      <vt:variant>
        <vt:i4>5</vt:i4>
      </vt:variant>
      <vt:variant>
        <vt:lpwstr/>
      </vt:variant>
      <vt:variant>
        <vt:lpwstr>_Toc178229368</vt:lpwstr>
      </vt:variant>
      <vt:variant>
        <vt:i4>1900600</vt:i4>
      </vt:variant>
      <vt:variant>
        <vt:i4>305</vt:i4>
      </vt:variant>
      <vt:variant>
        <vt:i4>0</vt:i4>
      </vt:variant>
      <vt:variant>
        <vt:i4>5</vt:i4>
      </vt:variant>
      <vt:variant>
        <vt:lpwstr/>
      </vt:variant>
      <vt:variant>
        <vt:lpwstr>_Toc178229367</vt:lpwstr>
      </vt:variant>
      <vt:variant>
        <vt:i4>1900600</vt:i4>
      </vt:variant>
      <vt:variant>
        <vt:i4>299</vt:i4>
      </vt:variant>
      <vt:variant>
        <vt:i4>0</vt:i4>
      </vt:variant>
      <vt:variant>
        <vt:i4>5</vt:i4>
      </vt:variant>
      <vt:variant>
        <vt:lpwstr/>
      </vt:variant>
      <vt:variant>
        <vt:lpwstr>_Toc178229366</vt:lpwstr>
      </vt:variant>
      <vt:variant>
        <vt:i4>1900600</vt:i4>
      </vt:variant>
      <vt:variant>
        <vt:i4>293</vt:i4>
      </vt:variant>
      <vt:variant>
        <vt:i4>0</vt:i4>
      </vt:variant>
      <vt:variant>
        <vt:i4>5</vt:i4>
      </vt:variant>
      <vt:variant>
        <vt:lpwstr/>
      </vt:variant>
      <vt:variant>
        <vt:lpwstr>_Toc178229365</vt:lpwstr>
      </vt:variant>
      <vt:variant>
        <vt:i4>1900600</vt:i4>
      </vt:variant>
      <vt:variant>
        <vt:i4>287</vt:i4>
      </vt:variant>
      <vt:variant>
        <vt:i4>0</vt:i4>
      </vt:variant>
      <vt:variant>
        <vt:i4>5</vt:i4>
      </vt:variant>
      <vt:variant>
        <vt:lpwstr/>
      </vt:variant>
      <vt:variant>
        <vt:lpwstr>_Toc178229364</vt:lpwstr>
      </vt:variant>
      <vt:variant>
        <vt:i4>1703992</vt:i4>
      </vt:variant>
      <vt:variant>
        <vt:i4>278</vt:i4>
      </vt:variant>
      <vt:variant>
        <vt:i4>0</vt:i4>
      </vt:variant>
      <vt:variant>
        <vt:i4>5</vt:i4>
      </vt:variant>
      <vt:variant>
        <vt:lpwstr/>
      </vt:variant>
      <vt:variant>
        <vt:lpwstr>_Toc178230282</vt:lpwstr>
      </vt:variant>
      <vt:variant>
        <vt:i4>1376312</vt:i4>
      </vt:variant>
      <vt:variant>
        <vt:i4>272</vt:i4>
      </vt:variant>
      <vt:variant>
        <vt:i4>0</vt:i4>
      </vt:variant>
      <vt:variant>
        <vt:i4>5</vt:i4>
      </vt:variant>
      <vt:variant>
        <vt:lpwstr/>
      </vt:variant>
      <vt:variant>
        <vt:lpwstr>_Toc178230279</vt:lpwstr>
      </vt:variant>
      <vt:variant>
        <vt:i4>1376312</vt:i4>
      </vt:variant>
      <vt:variant>
        <vt:i4>266</vt:i4>
      </vt:variant>
      <vt:variant>
        <vt:i4>0</vt:i4>
      </vt:variant>
      <vt:variant>
        <vt:i4>5</vt:i4>
      </vt:variant>
      <vt:variant>
        <vt:lpwstr/>
      </vt:variant>
      <vt:variant>
        <vt:lpwstr>_Toc178230278</vt:lpwstr>
      </vt:variant>
      <vt:variant>
        <vt:i4>1376312</vt:i4>
      </vt:variant>
      <vt:variant>
        <vt:i4>260</vt:i4>
      </vt:variant>
      <vt:variant>
        <vt:i4>0</vt:i4>
      </vt:variant>
      <vt:variant>
        <vt:i4>5</vt:i4>
      </vt:variant>
      <vt:variant>
        <vt:lpwstr/>
      </vt:variant>
      <vt:variant>
        <vt:lpwstr>_Toc178230273</vt:lpwstr>
      </vt:variant>
      <vt:variant>
        <vt:i4>1376312</vt:i4>
      </vt:variant>
      <vt:variant>
        <vt:i4>254</vt:i4>
      </vt:variant>
      <vt:variant>
        <vt:i4>0</vt:i4>
      </vt:variant>
      <vt:variant>
        <vt:i4>5</vt:i4>
      </vt:variant>
      <vt:variant>
        <vt:lpwstr/>
      </vt:variant>
      <vt:variant>
        <vt:lpwstr>_Toc178230272</vt:lpwstr>
      </vt:variant>
      <vt:variant>
        <vt:i4>1376312</vt:i4>
      </vt:variant>
      <vt:variant>
        <vt:i4>248</vt:i4>
      </vt:variant>
      <vt:variant>
        <vt:i4>0</vt:i4>
      </vt:variant>
      <vt:variant>
        <vt:i4>5</vt:i4>
      </vt:variant>
      <vt:variant>
        <vt:lpwstr/>
      </vt:variant>
      <vt:variant>
        <vt:lpwstr>_Toc178230271</vt:lpwstr>
      </vt:variant>
      <vt:variant>
        <vt:i4>1376312</vt:i4>
      </vt:variant>
      <vt:variant>
        <vt:i4>242</vt:i4>
      </vt:variant>
      <vt:variant>
        <vt:i4>0</vt:i4>
      </vt:variant>
      <vt:variant>
        <vt:i4>5</vt:i4>
      </vt:variant>
      <vt:variant>
        <vt:lpwstr/>
      </vt:variant>
      <vt:variant>
        <vt:lpwstr>_Toc178230270</vt:lpwstr>
      </vt:variant>
      <vt:variant>
        <vt:i4>1310776</vt:i4>
      </vt:variant>
      <vt:variant>
        <vt:i4>236</vt:i4>
      </vt:variant>
      <vt:variant>
        <vt:i4>0</vt:i4>
      </vt:variant>
      <vt:variant>
        <vt:i4>5</vt:i4>
      </vt:variant>
      <vt:variant>
        <vt:lpwstr/>
      </vt:variant>
      <vt:variant>
        <vt:lpwstr>_Toc178230269</vt:lpwstr>
      </vt:variant>
      <vt:variant>
        <vt:i4>1310776</vt:i4>
      </vt:variant>
      <vt:variant>
        <vt:i4>230</vt:i4>
      </vt:variant>
      <vt:variant>
        <vt:i4>0</vt:i4>
      </vt:variant>
      <vt:variant>
        <vt:i4>5</vt:i4>
      </vt:variant>
      <vt:variant>
        <vt:lpwstr/>
      </vt:variant>
      <vt:variant>
        <vt:lpwstr>_Toc178230268</vt:lpwstr>
      </vt:variant>
      <vt:variant>
        <vt:i4>1310776</vt:i4>
      </vt:variant>
      <vt:variant>
        <vt:i4>224</vt:i4>
      </vt:variant>
      <vt:variant>
        <vt:i4>0</vt:i4>
      </vt:variant>
      <vt:variant>
        <vt:i4>5</vt:i4>
      </vt:variant>
      <vt:variant>
        <vt:lpwstr/>
      </vt:variant>
      <vt:variant>
        <vt:lpwstr>_Toc178230267</vt:lpwstr>
      </vt:variant>
      <vt:variant>
        <vt:i4>1310776</vt:i4>
      </vt:variant>
      <vt:variant>
        <vt:i4>218</vt:i4>
      </vt:variant>
      <vt:variant>
        <vt:i4>0</vt:i4>
      </vt:variant>
      <vt:variant>
        <vt:i4>5</vt:i4>
      </vt:variant>
      <vt:variant>
        <vt:lpwstr/>
      </vt:variant>
      <vt:variant>
        <vt:lpwstr>_Toc178230266</vt:lpwstr>
      </vt:variant>
      <vt:variant>
        <vt:i4>1310776</vt:i4>
      </vt:variant>
      <vt:variant>
        <vt:i4>212</vt:i4>
      </vt:variant>
      <vt:variant>
        <vt:i4>0</vt:i4>
      </vt:variant>
      <vt:variant>
        <vt:i4>5</vt:i4>
      </vt:variant>
      <vt:variant>
        <vt:lpwstr/>
      </vt:variant>
      <vt:variant>
        <vt:lpwstr>_Toc178230265</vt:lpwstr>
      </vt:variant>
      <vt:variant>
        <vt:i4>1310776</vt:i4>
      </vt:variant>
      <vt:variant>
        <vt:i4>206</vt:i4>
      </vt:variant>
      <vt:variant>
        <vt:i4>0</vt:i4>
      </vt:variant>
      <vt:variant>
        <vt:i4>5</vt:i4>
      </vt:variant>
      <vt:variant>
        <vt:lpwstr/>
      </vt:variant>
      <vt:variant>
        <vt:lpwstr>_Toc178230264</vt:lpwstr>
      </vt:variant>
      <vt:variant>
        <vt:i4>1310776</vt:i4>
      </vt:variant>
      <vt:variant>
        <vt:i4>200</vt:i4>
      </vt:variant>
      <vt:variant>
        <vt:i4>0</vt:i4>
      </vt:variant>
      <vt:variant>
        <vt:i4>5</vt:i4>
      </vt:variant>
      <vt:variant>
        <vt:lpwstr/>
      </vt:variant>
      <vt:variant>
        <vt:lpwstr>_Toc178230263</vt:lpwstr>
      </vt:variant>
      <vt:variant>
        <vt:i4>1310776</vt:i4>
      </vt:variant>
      <vt:variant>
        <vt:i4>194</vt:i4>
      </vt:variant>
      <vt:variant>
        <vt:i4>0</vt:i4>
      </vt:variant>
      <vt:variant>
        <vt:i4>5</vt:i4>
      </vt:variant>
      <vt:variant>
        <vt:lpwstr/>
      </vt:variant>
      <vt:variant>
        <vt:lpwstr>_Toc178230262</vt:lpwstr>
      </vt:variant>
      <vt:variant>
        <vt:i4>1310776</vt:i4>
      </vt:variant>
      <vt:variant>
        <vt:i4>188</vt:i4>
      </vt:variant>
      <vt:variant>
        <vt:i4>0</vt:i4>
      </vt:variant>
      <vt:variant>
        <vt:i4>5</vt:i4>
      </vt:variant>
      <vt:variant>
        <vt:lpwstr/>
      </vt:variant>
      <vt:variant>
        <vt:lpwstr>_Toc178230261</vt:lpwstr>
      </vt:variant>
      <vt:variant>
        <vt:i4>1310776</vt:i4>
      </vt:variant>
      <vt:variant>
        <vt:i4>182</vt:i4>
      </vt:variant>
      <vt:variant>
        <vt:i4>0</vt:i4>
      </vt:variant>
      <vt:variant>
        <vt:i4>5</vt:i4>
      </vt:variant>
      <vt:variant>
        <vt:lpwstr/>
      </vt:variant>
      <vt:variant>
        <vt:lpwstr>_Toc178230260</vt:lpwstr>
      </vt:variant>
      <vt:variant>
        <vt:i4>1507384</vt:i4>
      </vt:variant>
      <vt:variant>
        <vt:i4>176</vt:i4>
      </vt:variant>
      <vt:variant>
        <vt:i4>0</vt:i4>
      </vt:variant>
      <vt:variant>
        <vt:i4>5</vt:i4>
      </vt:variant>
      <vt:variant>
        <vt:lpwstr/>
      </vt:variant>
      <vt:variant>
        <vt:lpwstr>_Toc178230259</vt:lpwstr>
      </vt:variant>
      <vt:variant>
        <vt:i4>1507384</vt:i4>
      </vt:variant>
      <vt:variant>
        <vt:i4>170</vt:i4>
      </vt:variant>
      <vt:variant>
        <vt:i4>0</vt:i4>
      </vt:variant>
      <vt:variant>
        <vt:i4>5</vt:i4>
      </vt:variant>
      <vt:variant>
        <vt:lpwstr/>
      </vt:variant>
      <vt:variant>
        <vt:lpwstr>_Toc178230258</vt:lpwstr>
      </vt:variant>
      <vt:variant>
        <vt:i4>1507384</vt:i4>
      </vt:variant>
      <vt:variant>
        <vt:i4>164</vt:i4>
      </vt:variant>
      <vt:variant>
        <vt:i4>0</vt:i4>
      </vt:variant>
      <vt:variant>
        <vt:i4>5</vt:i4>
      </vt:variant>
      <vt:variant>
        <vt:lpwstr/>
      </vt:variant>
      <vt:variant>
        <vt:lpwstr>_Toc178230257</vt:lpwstr>
      </vt:variant>
      <vt:variant>
        <vt:i4>1507384</vt:i4>
      </vt:variant>
      <vt:variant>
        <vt:i4>158</vt:i4>
      </vt:variant>
      <vt:variant>
        <vt:i4>0</vt:i4>
      </vt:variant>
      <vt:variant>
        <vt:i4>5</vt:i4>
      </vt:variant>
      <vt:variant>
        <vt:lpwstr/>
      </vt:variant>
      <vt:variant>
        <vt:lpwstr>_Toc178230256</vt:lpwstr>
      </vt:variant>
      <vt:variant>
        <vt:i4>1507384</vt:i4>
      </vt:variant>
      <vt:variant>
        <vt:i4>152</vt:i4>
      </vt:variant>
      <vt:variant>
        <vt:i4>0</vt:i4>
      </vt:variant>
      <vt:variant>
        <vt:i4>5</vt:i4>
      </vt:variant>
      <vt:variant>
        <vt:lpwstr/>
      </vt:variant>
      <vt:variant>
        <vt:lpwstr>_Toc178230255</vt:lpwstr>
      </vt:variant>
      <vt:variant>
        <vt:i4>1507384</vt:i4>
      </vt:variant>
      <vt:variant>
        <vt:i4>146</vt:i4>
      </vt:variant>
      <vt:variant>
        <vt:i4>0</vt:i4>
      </vt:variant>
      <vt:variant>
        <vt:i4>5</vt:i4>
      </vt:variant>
      <vt:variant>
        <vt:lpwstr/>
      </vt:variant>
      <vt:variant>
        <vt:lpwstr>_Toc178230254</vt:lpwstr>
      </vt:variant>
      <vt:variant>
        <vt:i4>1507384</vt:i4>
      </vt:variant>
      <vt:variant>
        <vt:i4>140</vt:i4>
      </vt:variant>
      <vt:variant>
        <vt:i4>0</vt:i4>
      </vt:variant>
      <vt:variant>
        <vt:i4>5</vt:i4>
      </vt:variant>
      <vt:variant>
        <vt:lpwstr/>
      </vt:variant>
      <vt:variant>
        <vt:lpwstr>_Toc178230253</vt:lpwstr>
      </vt:variant>
      <vt:variant>
        <vt:i4>1507384</vt:i4>
      </vt:variant>
      <vt:variant>
        <vt:i4>134</vt:i4>
      </vt:variant>
      <vt:variant>
        <vt:i4>0</vt:i4>
      </vt:variant>
      <vt:variant>
        <vt:i4>5</vt:i4>
      </vt:variant>
      <vt:variant>
        <vt:lpwstr/>
      </vt:variant>
      <vt:variant>
        <vt:lpwstr>_Toc178230252</vt:lpwstr>
      </vt:variant>
      <vt:variant>
        <vt:i4>1507384</vt:i4>
      </vt:variant>
      <vt:variant>
        <vt:i4>128</vt:i4>
      </vt:variant>
      <vt:variant>
        <vt:i4>0</vt:i4>
      </vt:variant>
      <vt:variant>
        <vt:i4>5</vt:i4>
      </vt:variant>
      <vt:variant>
        <vt:lpwstr/>
      </vt:variant>
      <vt:variant>
        <vt:lpwstr>_Toc178230251</vt:lpwstr>
      </vt:variant>
      <vt:variant>
        <vt:i4>1507384</vt:i4>
      </vt:variant>
      <vt:variant>
        <vt:i4>122</vt:i4>
      </vt:variant>
      <vt:variant>
        <vt:i4>0</vt:i4>
      </vt:variant>
      <vt:variant>
        <vt:i4>5</vt:i4>
      </vt:variant>
      <vt:variant>
        <vt:lpwstr/>
      </vt:variant>
      <vt:variant>
        <vt:lpwstr>_Toc178230250</vt:lpwstr>
      </vt:variant>
      <vt:variant>
        <vt:i4>1441848</vt:i4>
      </vt:variant>
      <vt:variant>
        <vt:i4>116</vt:i4>
      </vt:variant>
      <vt:variant>
        <vt:i4>0</vt:i4>
      </vt:variant>
      <vt:variant>
        <vt:i4>5</vt:i4>
      </vt:variant>
      <vt:variant>
        <vt:lpwstr/>
      </vt:variant>
      <vt:variant>
        <vt:lpwstr>_Toc178230249</vt:lpwstr>
      </vt:variant>
      <vt:variant>
        <vt:i4>1441848</vt:i4>
      </vt:variant>
      <vt:variant>
        <vt:i4>110</vt:i4>
      </vt:variant>
      <vt:variant>
        <vt:i4>0</vt:i4>
      </vt:variant>
      <vt:variant>
        <vt:i4>5</vt:i4>
      </vt:variant>
      <vt:variant>
        <vt:lpwstr/>
      </vt:variant>
      <vt:variant>
        <vt:lpwstr>_Toc178230248</vt:lpwstr>
      </vt:variant>
      <vt:variant>
        <vt:i4>1441848</vt:i4>
      </vt:variant>
      <vt:variant>
        <vt:i4>104</vt:i4>
      </vt:variant>
      <vt:variant>
        <vt:i4>0</vt:i4>
      </vt:variant>
      <vt:variant>
        <vt:i4>5</vt:i4>
      </vt:variant>
      <vt:variant>
        <vt:lpwstr/>
      </vt:variant>
      <vt:variant>
        <vt:lpwstr>_Toc178230247</vt:lpwstr>
      </vt:variant>
      <vt:variant>
        <vt:i4>1441848</vt:i4>
      </vt:variant>
      <vt:variant>
        <vt:i4>98</vt:i4>
      </vt:variant>
      <vt:variant>
        <vt:i4>0</vt:i4>
      </vt:variant>
      <vt:variant>
        <vt:i4>5</vt:i4>
      </vt:variant>
      <vt:variant>
        <vt:lpwstr/>
      </vt:variant>
      <vt:variant>
        <vt:lpwstr>_Toc178230246</vt:lpwstr>
      </vt:variant>
      <vt:variant>
        <vt:i4>1441848</vt:i4>
      </vt:variant>
      <vt:variant>
        <vt:i4>92</vt:i4>
      </vt:variant>
      <vt:variant>
        <vt:i4>0</vt:i4>
      </vt:variant>
      <vt:variant>
        <vt:i4>5</vt:i4>
      </vt:variant>
      <vt:variant>
        <vt:lpwstr/>
      </vt:variant>
      <vt:variant>
        <vt:lpwstr>_Toc178230245</vt:lpwstr>
      </vt:variant>
      <vt:variant>
        <vt:i4>1441848</vt:i4>
      </vt:variant>
      <vt:variant>
        <vt:i4>86</vt:i4>
      </vt:variant>
      <vt:variant>
        <vt:i4>0</vt:i4>
      </vt:variant>
      <vt:variant>
        <vt:i4>5</vt:i4>
      </vt:variant>
      <vt:variant>
        <vt:lpwstr/>
      </vt:variant>
      <vt:variant>
        <vt:lpwstr>_Toc178230244</vt:lpwstr>
      </vt:variant>
      <vt:variant>
        <vt:i4>1441848</vt:i4>
      </vt:variant>
      <vt:variant>
        <vt:i4>80</vt:i4>
      </vt:variant>
      <vt:variant>
        <vt:i4>0</vt:i4>
      </vt:variant>
      <vt:variant>
        <vt:i4>5</vt:i4>
      </vt:variant>
      <vt:variant>
        <vt:lpwstr/>
      </vt:variant>
      <vt:variant>
        <vt:lpwstr>_Toc178230243</vt:lpwstr>
      </vt:variant>
      <vt:variant>
        <vt:i4>1441848</vt:i4>
      </vt:variant>
      <vt:variant>
        <vt:i4>74</vt:i4>
      </vt:variant>
      <vt:variant>
        <vt:i4>0</vt:i4>
      </vt:variant>
      <vt:variant>
        <vt:i4>5</vt:i4>
      </vt:variant>
      <vt:variant>
        <vt:lpwstr/>
      </vt:variant>
      <vt:variant>
        <vt:lpwstr>_Toc178230242</vt:lpwstr>
      </vt:variant>
      <vt:variant>
        <vt:i4>1441848</vt:i4>
      </vt:variant>
      <vt:variant>
        <vt:i4>68</vt:i4>
      </vt:variant>
      <vt:variant>
        <vt:i4>0</vt:i4>
      </vt:variant>
      <vt:variant>
        <vt:i4>5</vt:i4>
      </vt:variant>
      <vt:variant>
        <vt:lpwstr/>
      </vt:variant>
      <vt:variant>
        <vt:lpwstr>_Toc178230241</vt:lpwstr>
      </vt:variant>
      <vt:variant>
        <vt:i4>1441848</vt:i4>
      </vt:variant>
      <vt:variant>
        <vt:i4>62</vt:i4>
      </vt:variant>
      <vt:variant>
        <vt:i4>0</vt:i4>
      </vt:variant>
      <vt:variant>
        <vt:i4>5</vt:i4>
      </vt:variant>
      <vt:variant>
        <vt:lpwstr/>
      </vt:variant>
      <vt:variant>
        <vt:lpwstr>_Toc178230240</vt:lpwstr>
      </vt:variant>
      <vt:variant>
        <vt:i4>1114168</vt:i4>
      </vt:variant>
      <vt:variant>
        <vt:i4>56</vt:i4>
      </vt:variant>
      <vt:variant>
        <vt:i4>0</vt:i4>
      </vt:variant>
      <vt:variant>
        <vt:i4>5</vt:i4>
      </vt:variant>
      <vt:variant>
        <vt:lpwstr/>
      </vt:variant>
      <vt:variant>
        <vt:lpwstr>_Toc178230239</vt:lpwstr>
      </vt:variant>
      <vt:variant>
        <vt:i4>1114168</vt:i4>
      </vt:variant>
      <vt:variant>
        <vt:i4>50</vt:i4>
      </vt:variant>
      <vt:variant>
        <vt:i4>0</vt:i4>
      </vt:variant>
      <vt:variant>
        <vt:i4>5</vt:i4>
      </vt:variant>
      <vt:variant>
        <vt:lpwstr/>
      </vt:variant>
      <vt:variant>
        <vt:lpwstr>_Toc178230238</vt:lpwstr>
      </vt:variant>
      <vt:variant>
        <vt:i4>1114168</vt:i4>
      </vt:variant>
      <vt:variant>
        <vt:i4>44</vt:i4>
      </vt:variant>
      <vt:variant>
        <vt:i4>0</vt:i4>
      </vt:variant>
      <vt:variant>
        <vt:i4>5</vt:i4>
      </vt:variant>
      <vt:variant>
        <vt:lpwstr/>
      </vt:variant>
      <vt:variant>
        <vt:lpwstr>_Toc178230237</vt:lpwstr>
      </vt:variant>
      <vt:variant>
        <vt:i4>1114168</vt:i4>
      </vt:variant>
      <vt:variant>
        <vt:i4>38</vt:i4>
      </vt:variant>
      <vt:variant>
        <vt:i4>0</vt:i4>
      </vt:variant>
      <vt:variant>
        <vt:i4>5</vt:i4>
      </vt:variant>
      <vt:variant>
        <vt:lpwstr/>
      </vt:variant>
      <vt:variant>
        <vt:lpwstr>_Toc178230236</vt:lpwstr>
      </vt:variant>
      <vt:variant>
        <vt:i4>1114168</vt:i4>
      </vt:variant>
      <vt:variant>
        <vt:i4>32</vt:i4>
      </vt:variant>
      <vt:variant>
        <vt:i4>0</vt:i4>
      </vt:variant>
      <vt:variant>
        <vt:i4>5</vt:i4>
      </vt:variant>
      <vt:variant>
        <vt:lpwstr/>
      </vt:variant>
      <vt:variant>
        <vt:lpwstr>_Toc178230235</vt:lpwstr>
      </vt:variant>
      <vt:variant>
        <vt:i4>1114168</vt:i4>
      </vt:variant>
      <vt:variant>
        <vt:i4>26</vt:i4>
      </vt:variant>
      <vt:variant>
        <vt:i4>0</vt:i4>
      </vt:variant>
      <vt:variant>
        <vt:i4>5</vt:i4>
      </vt:variant>
      <vt:variant>
        <vt:lpwstr/>
      </vt:variant>
      <vt:variant>
        <vt:lpwstr>_Toc178230234</vt:lpwstr>
      </vt:variant>
      <vt:variant>
        <vt:i4>1114168</vt:i4>
      </vt:variant>
      <vt:variant>
        <vt:i4>20</vt:i4>
      </vt:variant>
      <vt:variant>
        <vt:i4>0</vt:i4>
      </vt:variant>
      <vt:variant>
        <vt:i4>5</vt:i4>
      </vt:variant>
      <vt:variant>
        <vt:lpwstr/>
      </vt:variant>
      <vt:variant>
        <vt:lpwstr>_Toc178230233</vt:lpwstr>
      </vt:variant>
      <vt:variant>
        <vt:i4>1114168</vt:i4>
      </vt:variant>
      <vt:variant>
        <vt:i4>14</vt:i4>
      </vt:variant>
      <vt:variant>
        <vt:i4>0</vt:i4>
      </vt:variant>
      <vt:variant>
        <vt:i4>5</vt:i4>
      </vt:variant>
      <vt:variant>
        <vt:lpwstr/>
      </vt:variant>
      <vt:variant>
        <vt:lpwstr>_Toc178230232</vt:lpwstr>
      </vt:variant>
      <vt:variant>
        <vt:i4>6684728</vt:i4>
      </vt:variant>
      <vt:variant>
        <vt:i4>9</vt:i4>
      </vt:variant>
      <vt:variant>
        <vt:i4>0</vt:i4>
      </vt:variant>
      <vt:variant>
        <vt:i4>5</vt:i4>
      </vt:variant>
      <vt:variant>
        <vt:lpwstr>https://www.dcceew.gov.au/</vt:lpwstr>
      </vt:variant>
      <vt:variant>
        <vt:lpwstr/>
      </vt:variant>
      <vt:variant>
        <vt:i4>6357044</vt:i4>
      </vt:variant>
      <vt:variant>
        <vt:i4>6</vt:i4>
      </vt:variant>
      <vt:variant>
        <vt:i4>0</vt:i4>
      </vt:variant>
      <vt:variant>
        <vt:i4>5</vt:i4>
      </vt:variant>
      <vt:variant>
        <vt:lpwstr>https://consult.dcceew.gov.au/</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2024-09-28T09:14:00Z</dcterms:created>
  <dcterms:modified xsi:type="dcterms:W3CDTF">2024-09-27T04:43:00Z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Order">
    <vt:r8>59800</vt:r8>
  </property>
  <property fmtid="{D5CDD505-2E9C-101B-9397-08002B2CF9AE}" pid="4" name="ClassificationContentMarkingHeaderText">
    <vt:lpwstr>OFFICIAL</vt:lpwstr>
  </property>
  <property fmtid="{D5CDD505-2E9C-101B-9397-08002B2CF9AE}" pid="5" name="MediaServiceImageTags">
    <vt:lpwstr/>
  </property>
  <property fmtid="{D5CDD505-2E9C-101B-9397-08002B2CF9AE}" pid="6" name="xd_ProgID">
    <vt:lpwstr/>
  </property>
  <property fmtid="{D5CDD505-2E9C-101B-9397-08002B2CF9AE}" pid="7" name="ContentTypeId">
    <vt:lpwstr>0x010100D001B2BE74D025469E1D0E28F10DD2C8</vt:lpwstr>
  </property>
  <property fmtid="{D5CDD505-2E9C-101B-9397-08002B2CF9AE}" pid="8" name="ComplianceAssetId">
    <vt:lpwstr/>
  </property>
  <property fmtid="{D5CDD505-2E9C-101B-9397-08002B2CF9AE}" pid="9" name="TemplateUrl">
    <vt:lpwstr/>
  </property>
  <property fmtid="{D5CDD505-2E9C-101B-9397-08002B2CF9AE}" pid="10" name="ClassificationContentMarkingHeaderFontProps">
    <vt:lpwstr>#ff0000,12,Calibri</vt:lpwstr>
  </property>
  <property fmtid="{D5CDD505-2E9C-101B-9397-08002B2CF9AE}" pid="11" name="_ExtendedDescription">
    <vt:lpwstr/>
  </property>
  <property fmtid="{D5CDD505-2E9C-101B-9397-08002B2CF9AE}" pid="12" name="TriggerFlowInfo">
    <vt:lpwstr/>
  </property>
  <property fmtid="{D5CDD505-2E9C-101B-9397-08002B2CF9AE}" pid="13" name="ClassificationContentMarkingFooterShapeIds">
    <vt:lpwstr>7bf266d6,3c5bb14e,71d766f0,5f0e823a,52fdf52e,40bb96d2</vt:lpwstr>
  </property>
  <property fmtid="{D5CDD505-2E9C-101B-9397-08002B2CF9AE}" pid="14" name="xd_Signature">
    <vt:bool>false</vt:bool>
  </property>
  <property fmtid="{D5CDD505-2E9C-101B-9397-08002B2CF9AE}" pid="15" name="ClassificationContentMarkingHeaderShapeIds">
    <vt:lpwstr>3814a40d,6550387f,29981dc1,6dc640cb,9dc78f7,d4b0f59</vt:lpwstr>
  </property>
  <property fmtid="{D5CDD505-2E9C-101B-9397-08002B2CF9AE}" pid="16" name="ClassificationContentMarkingFooterFontProps">
    <vt:lpwstr>#ff0000,12,Calibri</vt:lpwstr>
  </property>
</Properties>
</file>