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B1863" w14:textId="131EF7FF" w:rsidR="00764D6A" w:rsidRDefault="007F7F92" w:rsidP="00A4349F">
      <w:pPr>
        <w:pStyle w:val="Heading1"/>
        <w:spacing w:before="1300"/>
      </w:pPr>
      <w:r>
        <w:rPr>
          <w:noProof/>
        </w:rPr>
        <w:drawing>
          <wp:anchor distT="0" distB="0" distL="114300" distR="114300" simplePos="0" relativeHeight="251658240" behindDoc="1" locked="0" layoutInCell="1" allowOverlap="1" wp14:anchorId="143C51A7" wp14:editId="7E9419D0">
            <wp:simplePos x="0" y="0"/>
            <wp:positionH relativeFrom="page">
              <wp:align>left</wp:align>
            </wp:positionH>
            <wp:positionV relativeFrom="paragraph">
              <wp:posOffset>-877852</wp:posOffset>
            </wp:positionV>
            <wp:extent cx="7576997" cy="10713600"/>
            <wp:effectExtent l="0" t="0" r="5080" b="0"/>
            <wp:wrapNone/>
            <wp:docPr id="2159678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76997" cy="10713600"/>
                    </a:xfrm>
                    <a:prstGeom prst="rect">
                      <a:avLst/>
                    </a:prstGeom>
                  </pic:spPr>
                </pic:pic>
              </a:graphicData>
            </a:graphic>
            <wp14:sizeRelH relativeFrom="margin">
              <wp14:pctWidth>0</wp14:pctWidth>
            </wp14:sizeRelH>
            <wp14:sizeRelV relativeFrom="margin">
              <wp14:pctHeight>0</wp14:pctHeight>
            </wp14:sizeRelV>
          </wp:anchor>
        </w:drawing>
      </w:r>
      <w:r w:rsidR="00841E2B">
        <w:t>Draft National Energy Equity Framework</w:t>
      </w:r>
    </w:p>
    <w:p w14:paraId="37937704" w14:textId="15A84CEB" w:rsidR="00764D6A" w:rsidRDefault="00764D6A">
      <w:pPr>
        <w:pStyle w:val="Subtitle"/>
      </w:pPr>
    </w:p>
    <w:p w14:paraId="6974CBC8" w14:textId="77777777" w:rsidR="00764D6A" w:rsidRPr="005D3790" w:rsidRDefault="00764D6A" w:rsidP="005D3790"/>
    <w:p w14:paraId="40BAB7C9" w14:textId="77777777" w:rsidR="00764D6A" w:rsidRDefault="00E91D72">
      <w:pPr>
        <w:pStyle w:val="Normalsmall"/>
      </w:pPr>
      <w:r>
        <w:br w:type="page"/>
      </w:r>
      <w:r>
        <w:lastRenderedPageBreak/>
        <w:t xml:space="preserve">© Commonwealth of Australia </w:t>
      </w:r>
      <w:r w:rsidR="00B97E61">
        <w:t>202</w:t>
      </w:r>
      <w:r w:rsidR="00A32152">
        <w:t>4</w:t>
      </w:r>
    </w:p>
    <w:p w14:paraId="562964B9" w14:textId="77777777" w:rsidR="00764D6A" w:rsidRDefault="00E91D72">
      <w:pPr>
        <w:pStyle w:val="Normalsmall"/>
        <w:rPr>
          <w:rStyle w:val="Strong"/>
        </w:rPr>
      </w:pPr>
      <w:r>
        <w:rPr>
          <w:rStyle w:val="Strong"/>
        </w:rPr>
        <w:t>Ownership of intellectual property rights</w:t>
      </w:r>
    </w:p>
    <w:p w14:paraId="0D09EAB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07E62B2" w14:textId="77777777" w:rsidR="00764D6A" w:rsidRDefault="00E91D72">
      <w:pPr>
        <w:pStyle w:val="Normalsmall"/>
        <w:rPr>
          <w:rStyle w:val="Strong"/>
        </w:rPr>
      </w:pPr>
      <w:r>
        <w:rPr>
          <w:rStyle w:val="Strong"/>
        </w:rPr>
        <w:t>Creative Commons licence</w:t>
      </w:r>
    </w:p>
    <w:p w14:paraId="1B9D15F1"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45F78C4" w14:textId="77777777" w:rsidR="00764D6A" w:rsidRPr="00364A4A" w:rsidRDefault="00E91D72">
      <w:pPr>
        <w:pStyle w:val="Normalsmall"/>
      </w:pPr>
      <w:r>
        <w:t xml:space="preserve">Inquiries about the licence and any use of this document should be </w:t>
      </w:r>
      <w:r w:rsidRPr="00364A4A">
        <w:t xml:space="preserve">emailed to </w:t>
      </w:r>
      <w:hyperlink r:id="rId13" w:history="1">
        <w:r w:rsidR="00D86640">
          <w:rPr>
            <w:rStyle w:val="Hyperlink"/>
          </w:rPr>
          <w:t>copyright@dcceew.gov.au</w:t>
        </w:r>
      </w:hyperlink>
      <w:r w:rsidRPr="00364A4A">
        <w:t>.</w:t>
      </w:r>
    </w:p>
    <w:p w14:paraId="0DA8FC94" w14:textId="77777777" w:rsidR="00764D6A" w:rsidRPr="00364A4A" w:rsidRDefault="00E91D72">
      <w:pPr>
        <w:pStyle w:val="Normalsmall"/>
      </w:pPr>
      <w:r w:rsidRPr="00364A4A">
        <w:rPr>
          <w:noProof/>
          <w:lang w:eastAsia="en-AU"/>
        </w:rPr>
        <w:drawing>
          <wp:inline distT="0" distB="0" distL="0" distR="0" wp14:anchorId="6ED0027A" wp14:editId="3CFBF81C">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6EE7988" w14:textId="77777777" w:rsidR="00764D6A" w:rsidRPr="00364A4A" w:rsidRDefault="00E91D72">
      <w:pPr>
        <w:pStyle w:val="Normalsmall"/>
        <w:rPr>
          <w:rStyle w:val="Strong"/>
        </w:rPr>
      </w:pPr>
      <w:r w:rsidRPr="00364A4A">
        <w:rPr>
          <w:rStyle w:val="Strong"/>
        </w:rPr>
        <w:t>Cataloguing data</w:t>
      </w:r>
    </w:p>
    <w:p w14:paraId="25B91FFD" w14:textId="36C10485" w:rsidR="00764D6A" w:rsidRDefault="00E91D72">
      <w:pPr>
        <w:pStyle w:val="Normalsmall"/>
      </w:pPr>
      <w:r w:rsidRPr="00364A4A">
        <w:t xml:space="preserve">This publication (and any material sourced from it) should be attributed as: </w:t>
      </w:r>
      <w:r w:rsidR="005821F7" w:rsidRPr="00E30987">
        <w:t>DCCEEW 202</w:t>
      </w:r>
      <w:r w:rsidR="005821F7">
        <w:t>4</w:t>
      </w:r>
      <w:r w:rsidR="005821F7" w:rsidRPr="00E30987">
        <w:t xml:space="preserve">, </w:t>
      </w:r>
      <w:r w:rsidR="002D5B20">
        <w:rPr>
          <w:i/>
          <w:iCs/>
        </w:rPr>
        <w:t xml:space="preserve">Draft </w:t>
      </w:r>
      <w:r w:rsidR="005821F7">
        <w:rPr>
          <w:i/>
        </w:rPr>
        <w:t>National</w:t>
      </w:r>
      <w:r w:rsidR="005821F7" w:rsidRPr="00E30987">
        <w:rPr>
          <w:i/>
        </w:rPr>
        <w:t xml:space="preserve"> Energy Equity Framework</w:t>
      </w:r>
      <w:r w:rsidR="005821F7" w:rsidRPr="00E30987">
        <w:t>, Department of Climate Change, Energy, the Environment and Water,</w:t>
      </w:r>
      <w:r>
        <w:t xml:space="preserve"> Canberra</w:t>
      </w:r>
      <w:r w:rsidRPr="00B32369">
        <w:t xml:space="preserve">, </w:t>
      </w:r>
      <w:r w:rsidR="005821F7" w:rsidRPr="00B32369">
        <w:t>September</w:t>
      </w:r>
      <w:r w:rsidRPr="00B32369">
        <w:t>.</w:t>
      </w:r>
      <w:r>
        <w:t xml:space="preserve"> CC BY 4.0.</w:t>
      </w:r>
    </w:p>
    <w:p w14:paraId="6D2B2F10" w14:textId="77777777" w:rsidR="00DE0AAE" w:rsidRDefault="00D86640">
      <w:pPr>
        <w:pStyle w:val="Normalsmall"/>
        <w:spacing w:after="0"/>
      </w:pPr>
      <w:r w:rsidRPr="00D86640">
        <w:t>Department of Climate Change, Energy, the Environment and Water</w:t>
      </w:r>
    </w:p>
    <w:p w14:paraId="2CB968D5"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5FF77C22" w14:textId="77777777" w:rsidR="00764D6A" w:rsidRPr="00364A4A" w:rsidRDefault="00E91D72">
      <w:pPr>
        <w:pStyle w:val="Normalsmall"/>
        <w:spacing w:after="0"/>
      </w:pPr>
      <w:r w:rsidRPr="00364A4A">
        <w:t xml:space="preserve">Telephone </w:t>
      </w:r>
      <w:r w:rsidR="00D464F4" w:rsidRPr="00D464F4">
        <w:t>1800 920 528</w:t>
      </w:r>
    </w:p>
    <w:p w14:paraId="34620C81" w14:textId="77777777" w:rsidR="00764D6A" w:rsidRPr="00364A4A" w:rsidRDefault="00E91D72">
      <w:pPr>
        <w:pStyle w:val="Normalsmall"/>
      </w:pPr>
      <w:bookmarkStart w:id="0" w:name="_Hlk108621036"/>
      <w:r w:rsidRPr="00364A4A">
        <w:t xml:space="preserve">Web </w:t>
      </w:r>
      <w:hyperlink r:id="rId15" w:history="1">
        <w:r w:rsidR="00D86640">
          <w:rPr>
            <w:rStyle w:val="Hyperlink"/>
          </w:rPr>
          <w:t>dcceew.gov.au</w:t>
        </w:r>
      </w:hyperlink>
    </w:p>
    <w:bookmarkEnd w:id="0"/>
    <w:p w14:paraId="308676C6" w14:textId="77777777" w:rsidR="007C358A" w:rsidRDefault="007C358A">
      <w:pPr>
        <w:pStyle w:val="Normalsmall"/>
      </w:pPr>
      <w:r w:rsidRPr="00364A4A">
        <w:rPr>
          <w:rStyle w:val="Strong"/>
        </w:rPr>
        <w:t>Disclaimer</w:t>
      </w:r>
    </w:p>
    <w:p w14:paraId="31874F77"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0D5A2F80" w14:textId="77777777" w:rsidR="00B02B9B" w:rsidRDefault="00B02B9B" w:rsidP="00B02B9B">
      <w:pPr>
        <w:pStyle w:val="Normalsmall"/>
      </w:pPr>
      <w:r>
        <w:rPr>
          <w:rStyle w:val="Strong"/>
        </w:rPr>
        <w:t>Acknowledgement of Country</w:t>
      </w:r>
    </w:p>
    <w:p w14:paraId="57DD0888" w14:textId="77777777" w:rsidR="00FC0B39" w:rsidRDefault="00B8745D" w:rsidP="00F448C4">
      <w:pPr>
        <w:pStyle w:val="Normalsmall"/>
      </w:pPr>
      <w:r w:rsidRPr="00B8745D">
        <w:t>We acknowledge the Traditional Owners of Country throughout Australia and recognise their continuing connection to land, waters and culture. We pay our respects to their Elders past and present</w:t>
      </w:r>
      <w:r w:rsidR="00FC0B39" w:rsidRPr="00FC0B39">
        <w:t>.</w:t>
      </w:r>
    </w:p>
    <w:p w14:paraId="559D2ABD" w14:textId="77777777" w:rsidR="00A32152" w:rsidRDefault="00A32152" w:rsidP="00CB2439">
      <w:pPr>
        <w:pStyle w:val="Heading2"/>
        <w:ind w:left="720" w:hanging="720"/>
      </w:pPr>
      <w:bookmarkStart w:id="1" w:name="_Toc430782148"/>
      <w:r>
        <w:br w:type="page"/>
      </w:r>
    </w:p>
    <w:p w14:paraId="097D6CA1" w14:textId="6564F8AE" w:rsidR="00764D6A" w:rsidRDefault="00E27715" w:rsidP="00CB2439">
      <w:pPr>
        <w:pStyle w:val="Heading2"/>
        <w:ind w:left="720" w:hanging="720"/>
      </w:pPr>
      <w:bookmarkStart w:id="2" w:name="_Toc177742015"/>
      <w:r>
        <w:lastRenderedPageBreak/>
        <w:t>About this document</w:t>
      </w:r>
      <w:bookmarkEnd w:id="2"/>
      <w:r>
        <w:t xml:space="preserve"> </w:t>
      </w:r>
      <w:bookmarkEnd w:id="1"/>
    </w:p>
    <w:p w14:paraId="2C4EAFB5" w14:textId="0CA07E4D" w:rsidR="00077EC6" w:rsidRDefault="00077EC6" w:rsidP="00077EC6">
      <w:pPr>
        <w:rPr>
          <w:rFonts w:cstheme="minorHAnsi"/>
        </w:rPr>
      </w:pPr>
      <w:r w:rsidRPr="0003641F">
        <w:rPr>
          <w:rFonts w:cstheme="minorHAnsi"/>
        </w:rPr>
        <w:t xml:space="preserve">This </w:t>
      </w:r>
      <w:r>
        <w:rPr>
          <w:rFonts w:cstheme="minorHAnsi"/>
        </w:rPr>
        <w:t>document</w:t>
      </w:r>
      <w:r w:rsidRPr="0003641F">
        <w:rPr>
          <w:rFonts w:cstheme="minorHAnsi"/>
        </w:rPr>
        <w:t xml:space="preserve"> </w:t>
      </w:r>
      <w:r>
        <w:rPr>
          <w:rFonts w:cstheme="minorHAnsi"/>
        </w:rPr>
        <w:t xml:space="preserve">details the National Energy Equity Framework </w:t>
      </w:r>
      <w:r w:rsidR="00A400FF">
        <w:rPr>
          <w:rFonts w:cstheme="minorHAnsi"/>
        </w:rPr>
        <w:t xml:space="preserve">(the framework) </w:t>
      </w:r>
      <w:r>
        <w:rPr>
          <w:rFonts w:cstheme="minorHAnsi"/>
        </w:rPr>
        <w:t>that has been developed under the interjurisdictional</w:t>
      </w:r>
      <w:r w:rsidRPr="0003641F">
        <w:rPr>
          <w:rFonts w:cstheme="minorHAnsi"/>
        </w:rPr>
        <w:t xml:space="preserve"> Energy Equity Work Program</w:t>
      </w:r>
      <w:r>
        <w:rPr>
          <w:rFonts w:cstheme="minorHAnsi"/>
        </w:rPr>
        <w:t>.</w:t>
      </w:r>
    </w:p>
    <w:p w14:paraId="2BBD1968" w14:textId="743FAD3E" w:rsidR="00764D6A" w:rsidRDefault="00077EC6" w:rsidP="00077EC6">
      <w:r>
        <w:rPr>
          <w:rFonts w:cstheme="minorHAnsi"/>
        </w:rPr>
        <w:t xml:space="preserve">The </w:t>
      </w:r>
      <w:r w:rsidR="00A400FF">
        <w:rPr>
          <w:rFonts w:cstheme="minorHAnsi"/>
        </w:rPr>
        <w:t>f</w:t>
      </w:r>
      <w:r>
        <w:rPr>
          <w:rFonts w:cstheme="minorHAnsi"/>
        </w:rPr>
        <w:t>ramework is supported by research undertaken by the Group of Energy Efficiency Researchers (GEER) Consortium for the Energy Equity Working Group, a sub-group of the Energy and Climate Change Ministerial Council’s Energy Transformation Enablers Working Group.</w:t>
      </w:r>
    </w:p>
    <w:p w14:paraId="66540EE2" w14:textId="77777777" w:rsidR="00764D6A" w:rsidRDefault="00E91D72">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41CBDAD4" w14:textId="41009D43" w:rsidR="00764D6A" w:rsidRDefault="00E91D72">
          <w:pPr>
            <w:pStyle w:val="TOCHeading"/>
          </w:pPr>
          <w:r>
            <w:t xml:space="preserve">Contents </w:t>
          </w:r>
        </w:p>
        <w:p w14:paraId="505D5EF2" w14:textId="369B81A5" w:rsidR="00AC3178"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77742015" w:history="1">
            <w:r w:rsidR="00AC3178" w:rsidRPr="00242268">
              <w:rPr>
                <w:rStyle w:val="Hyperlink"/>
              </w:rPr>
              <w:t>About this document</w:t>
            </w:r>
            <w:r w:rsidR="00AC3178">
              <w:rPr>
                <w:webHidden/>
              </w:rPr>
              <w:tab/>
            </w:r>
            <w:r w:rsidR="00AC3178">
              <w:rPr>
                <w:webHidden/>
              </w:rPr>
              <w:fldChar w:fldCharType="begin"/>
            </w:r>
            <w:r w:rsidR="00AC3178">
              <w:rPr>
                <w:webHidden/>
              </w:rPr>
              <w:instrText xml:space="preserve"> PAGEREF _Toc177742015 \h </w:instrText>
            </w:r>
            <w:r w:rsidR="00AC3178">
              <w:rPr>
                <w:webHidden/>
              </w:rPr>
            </w:r>
            <w:r w:rsidR="00AC3178">
              <w:rPr>
                <w:webHidden/>
              </w:rPr>
              <w:fldChar w:fldCharType="separate"/>
            </w:r>
            <w:r w:rsidR="001C5293">
              <w:rPr>
                <w:webHidden/>
              </w:rPr>
              <w:t>iii</w:t>
            </w:r>
            <w:r w:rsidR="00AC3178">
              <w:rPr>
                <w:webHidden/>
              </w:rPr>
              <w:fldChar w:fldCharType="end"/>
            </w:r>
          </w:hyperlink>
        </w:p>
        <w:p w14:paraId="2910421B" w14:textId="194D01A8" w:rsidR="00AC3178" w:rsidRDefault="001C5293">
          <w:pPr>
            <w:pStyle w:val="TOC1"/>
            <w:rPr>
              <w:rFonts w:eastAsiaTheme="minorEastAsia"/>
              <w:b w:val="0"/>
              <w:kern w:val="2"/>
              <w:sz w:val="24"/>
              <w:szCs w:val="24"/>
              <w:lang w:eastAsia="en-AU"/>
              <w14:ligatures w14:val="standardContextual"/>
            </w:rPr>
          </w:pPr>
          <w:hyperlink w:anchor="_Toc177742016" w:history="1">
            <w:r w:rsidR="00AC3178" w:rsidRPr="00242268">
              <w:rPr>
                <w:rStyle w:val="Hyperlink"/>
              </w:rPr>
              <w:t>The National Energy Equity Framework</w:t>
            </w:r>
            <w:r w:rsidR="00AC3178">
              <w:rPr>
                <w:webHidden/>
              </w:rPr>
              <w:tab/>
            </w:r>
            <w:r w:rsidR="00AC3178">
              <w:rPr>
                <w:webHidden/>
              </w:rPr>
              <w:fldChar w:fldCharType="begin"/>
            </w:r>
            <w:r w:rsidR="00AC3178">
              <w:rPr>
                <w:webHidden/>
              </w:rPr>
              <w:instrText xml:space="preserve"> PAGEREF _Toc177742016 \h </w:instrText>
            </w:r>
            <w:r w:rsidR="00AC3178">
              <w:rPr>
                <w:webHidden/>
              </w:rPr>
            </w:r>
            <w:r w:rsidR="00AC3178">
              <w:rPr>
                <w:webHidden/>
              </w:rPr>
              <w:fldChar w:fldCharType="separate"/>
            </w:r>
            <w:r>
              <w:rPr>
                <w:webHidden/>
              </w:rPr>
              <w:t>v</w:t>
            </w:r>
            <w:r w:rsidR="00AC3178">
              <w:rPr>
                <w:webHidden/>
              </w:rPr>
              <w:fldChar w:fldCharType="end"/>
            </w:r>
          </w:hyperlink>
        </w:p>
        <w:p w14:paraId="6FC4D7A1" w14:textId="0E9D2729" w:rsidR="00AC3178" w:rsidRDefault="001C5293">
          <w:pPr>
            <w:pStyle w:val="TOC2"/>
            <w:rPr>
              <w:rFonts w:eastAsiaTheme="minorEastAsia"/>
              <w:kern w:val="2"/>
              <w:sz w:val="24"/>
              <w:szCs w:val="24"/>
              <w:lang w:eastAsia="en-AU"/>
              <w14:ligatures w14:val="standardContextual"/>
            </w:rPr>
          </w:pPr>
          <w:hyperlink w:anchor="_Toc177742017" w:history="1">
            <w:r w:rsidR="00AC3178" w:rsidRPr="00242268">
              <w:rPr>
                <w:rStyle w:val="Hyperlink"/>
              </w:rPr>
              <w:t>Reaffirming a national commitment to consumers</w:t>
            </w:r>
            <w:r w:rsidR="00AC3178">
              <w:rPr>
                <w:webHidden/>
              </w:rPr>
              <w:tab/>
            </w:r>
            <w:r w:rsidR="00AC3178">
              <w:rPr>
                <w:webHidden/>
              </w:rPr>
              <w:fldChar w:fldCharType="begin"/>
            </w:r>
            <w:r w:rsidR="00AC3178">
              <w:rPr>
                <w:webHidden/>
              </w:rPr>
              <w:instrText xml:space="preserve"> PAGEREF _Toc177742017 \h </w:instrText>
            </w:r>
            <w:r w:rsidR="00AC3178">
              <w:rPr>
                <w:webHidden/>
              </w:rPr>
            </w:r>
            <w:r w:rsidR="00AC3178">
              <w:rPr>
                <w:webHidden/>
              </w:rPr>
              <w:fldChar w:fldCharType="separate"/>
            </w:r>
            <w:r>
              <w:rPr>
                <w:webHidden/>
              </w:rPr>
              <w:t>v</w:t>
            </w:r>
            <w:r w:rsidR="00AC3178">
              <w:rPr>
                <w:webHidden/>
              </w:rPr>
              <w:fldChar w:fldCharType="end"/>
            </w:r>
          </w:hyperlink>
        </w:p>
        <w:p w14:paraId="6D9122D0" w14:textId="53B6B641" w:rsidR="00AC3178" w:rsidRDefault="001C5293">
          <w:pPr>
            <w:pStyle w:val="TOC2"/>
            <w:rPr>
              <w:rFonts w:eastAsiaTheme="minorEastAsia"/>
              <w:kern w:val="2"/>
              <w:sz w:val="24"/>
              <w:szCs w:val="24"/>
              <w:lang w:eastAsia="en-AU"/>
              <w14:ligatures w14:val="standardContextual"/>
            </w:rPr>
          </w:pPr>
          <w:hyperlink w:anchor="_Toc177742018" w:history="1">
            <w:r w:rsidR="00AC3178" w:rsidRPr="00242268">
              <w:rPr>
                <w:rStyle w:val="Hyperlink"/>
              </w:rPr>
              <w:t>Framework documents</w:t>
            </w:r>
            <w:r w:rsidR="00AC3178">
              <w:rPr>
                <w:webHidden/>
              </w:rPr>
              <w:tab/>
            </w:r>
            <w:r w:rsidR="00AC3178">
              <w:rPr>
                <w:webHidden/>
              </w:rPr>
              <w:fldChar w:fldCharType="begin"/>
            </w:r>
            <w:r w:rsidR="00AC3178">
              <w:rPr>
                <w:webHidden/>
              </w:rPr>
              <w:instrText xml:space="preserve"> PAGEREF _Toc177742018 \h </w:instrText>
            </w:r>
            <w:r w:rsidR="00AC3178">
              <w:rPr>
                <w:webHidden/>
              </w:rPr>
            </w:r>
            <w:r w:rsidR="00AC3178">
              <w:rPr>
                <w:webHidden/>
              </w:rPr>
              <w:fldChar w:fldCharType="separate"/>
            </w:r>
            <w:r>
              <w:rPr>
                <w:webHidden/>
              </w:rPr>
              <w:t>v</w:t>
            </w:r>
            <w:r w:rsidR="00AC3178">
              <w:rPr>
                <w:webHidden/>
              </w:rPr>
              <w:fldChar w:fldCharType="end"/>
            </w:r>
          </w:hyperlink>
        </w:p>
        <w:p w14:paraId="73F171FB" w14:textId="368729B1" w:rsidR="00AC3178" w:rsidRDefault="001C5293">
          <w:pPr>
            <w:pStyle w:val="TOC1"/>
            <w:rPr>
              <w:rFonts w:eastAsiaTheme="minorEastAsia"/>
              <w:b w:val="0"/>
              <w:kern w:val="2"/>
              <w:sz w:val="24"/>
              <w:szCs w:val="24"/>
              <w:lang w:eastAsia="en-AU"/>
              <w14:ligatures w14:val="standardContextual"/>
            </w:rPr>
          </w:pPr>
          <w:hyperlink w:anchor="_Toc177742019" w:history="1">
            <w:r w:rsidR="00AC3178" w:rsidRPr="00242268">
              <w:rPr>
                <w:rStyle w:val="Hyperlink"/>
              </w:rPr>
              <w:t>Better practice principles for more equitable policy</w:t>
            </w:r>
            <w:r w:rsidR="00AC3178">
              <w:rPr>
                <w:webHidden/>
              </w:rPr>
              <w:tab/>
            </w:r>
            <w:r w:rsidR="00AC3178">
              <w:rPr>
                <w:webHidden/>
              </w:rPr>
              <w:fldChar w:fldCharType="begin"/>
            </w:r>
            <w:r w:rsidR="00AC3178">
              <w:rPr>
                <w:webHidden/>
              </w:rPr>
              <w:instrText xml:space="preserve"> PAGEREF _Toc177742019 \h </w:instrText>
            </w:r>
            <w:r w:rsidR="00AC3178">
              <w:rPr>
                <w:webHidden/>
              </w:rPr>
            </w:r>
            <w:r w:rsidR="00AC3178">
              <w:rPr>
                <w:webHidden/>
              </w:rPr>
              <w:fldChar w:fldCharType="separate"/>
            </w:r>
            <w:r>
              <w:rPr>
                <w:webHidden/>
              </w:rPr>
              <w:t>1</w:t>
            </w:r>
            <w:r w:rsidR="00AC3178">
              <w:rPr>
                <w:webHidden/>
              </w:rPr>
              <w:fldChar w:fldCharType="end"/>
            </w:r>
          </w:hyperlink>
        </w:p>
        <w:p w14:paraId="10AEA418" w14:textId="7F94584D" w:rsidR="00AC3178" w:rsidRDefault="001C5293">
          <w:pPr>
            <w:pStyle w:val="TOC2"/>
            <w:tabs>
              <w:tab w:val="left" w:pos="960"/>
            </w:tabs>
            <w:rPr>
              <w:rFonts w:eastAsiaTheme="minorEastAsia"/>
              <w:kern w:val="2"/>
              <w:sz w:val="24"/>
              <w:szCs w:val="24"/>
              <w:lang w:eastAsia="en-AU"/>
              <w14:ligatures w14:val="standardContextual"/>
            </w:rPr>
          </w:pPr>
          <w:hyperlink w:anchor="_Toc177742020" w:history="1">
            <w:r w:rsidR="00AC3178" w:rsidRPr="00242268">
              <w:rPr>
                <w:rStyle w:val="Hyperlink"/>
              </w:rPr>
              <w:t>1</w:t>
            </w:r>
            <w:r w:rsidR="00AC3178">
              <w:rPr>
                <w:rFonts w:eastAsiaTheme="minorEastAsia"/>
                <w:kern w:val="2"/>
                <w:sz w:val="24"/>
                <w:szCs w:val="24"/>
                <w:lang w:eastAsia="en-AU"/>
                <w14:ligatures w14:val="standardContextual"/>
              </w:rPr>
              <w:tab/>
            </w:r>
            <w:r w:rsidR="00AC3178" w:rsidRPr="00242268">
              <w:rPr>
                <w:rStyle w:val="Hyperlink"/>
              </w:rPr>
              <w:t>The driver or state of energy hardship to be addressed should be clearly defined</w:t>
            </w:r>
            <w:r w:rsidR="00AC3178">
              <w:rPr>
                <w:webHidden/>
              </w:rPr>
              <w:tab/>
            </w:r>
            <w:r w:rsidR="00AC3178">
              <w:rPr>
                <w:webHidden/>
              </w:rPr>
              <w:fldChar w:fldCharType="begin"/>
            </w:r>
            <w:r w:rsidR="00AC3178">
              <w:rPr>
                <w:webHidden/>
              </w:rPr>
              <w:instrText xml:space="preserve"> PAGEREF _Toc177742020 \h </w:instrText>
            </w:r>
            <w:r w:rsidR="00AC3178">
              <w:rPr>
                <w:webHidden/>
              </w:rPr>
            </w:r>
            <w:r w:rsidR="00AC3178">
              <w:rPr>
                <w:webHidden/>
              </w:rPr>
              <w:fldChar w:fldCharType="separate"/>
            </w:r>
            <w:r>
              <w:rPr>
                <w:webHidden/>
              </w:rPr>
              <w:t>1</w:t>
            </w:r>
            <w:r w:rsidR="00AC3178">
              <w:rPr>
                <w:webHidden/>
              </w:rPr>
              <w:fldChar w:fldCharType="end"/>
            </w:r>
          </w:hyperlink>
        </w:p>
        <w:p w14:paraId="16D9F494" w14:textId="6E6F5B2A" w:rsidR="00AC3178" w:rsidRDefault="001C5293">
          <w:pPr>
            <w:pStyle w:val="TOC2"/>
            <w:tabs>
              <w:tab w:val="left" w:pos="960"/>
            </w:tabs>
            <w:rPr>
              <w:rFonts w:eastAsiaTheme="minorEastAsia"/>
              <w:kern w:val="2"/>
              <w:sz w:val="24"/>
              <w:szCs w:val="24"/>
              <w:lang w:eastAsia="en-AU"/>
              <w14:ligatures w14:val="standardContextual"/>
            </w:rPr>
          </w:pPr>
          <w:hyperlink w:anchor="_Toc177742021" w:history="1">
            <w:r w:rsidR="00AC3178" w:rsidRPr="00242268">
              <w:rPr>
                <w:rStyle w:val="Hyperlink"/>
              </w:rPr>
              <w:t>2</w:t>
            </w:r>
            <w:r w:rsidR="00AC3178">
              <w:rPr>
                <w:rFonts w:eastAsiaTheme="minorEastAsia"/>
                <w:kern w:val="2"/>
                <w:sz w:val="24"/>
                <w:szCs w:val="24"/>
                <w:lang w:eastAsia="en-AU"/>
                <w14:ligatures w14:val="standardContextual"/>
              </w:rPr>
              <w:tab/>
            </w:r>
            <w:r w:rsidR="00AC3178" w:rsidRPr="00242268">
              <w:rPr>
                <w:rStyle w:val="Hyperlink"/>
              </w:rPr>
              <w:t>Policies and programs should be designed for scalability</w:t>
            </w:r>
            <w:r w:rsidR="00AC3178">
              <w:rPr>
                <w:webHidden/>
              </w:rPr>
              <w:tab/>
            </w:r>
            <w:r w:rsidR="00AC3178">
              <w:rPr>
                <w:webHidden/>
              </w:rPr>
              <w:fldChar w:fldCharType="begin"/>
            </w:r>
            <w:r w:rsidR="00AC3178">
              <w:rPr>
                <w:webHidden/>
              </w:rPr>
              <w:instrText xml:space="preserve"> PAGEREF _Toc177742021 \h </w:instrText>
            </w:r>
            <w:r w:rsidR="00AC3178">
              <w:rPr>
                <w:webHidden/>
              </w:rPr>
            </w:r>
            <w:r w:rsidR="00AC3178">
              <w:rPr>
                <w:webHidden/>
              </w:rPr>
              <w:fldChar w:fldCharType="separate"/>
            </w:r>
            <w:r>
              <w:rPr>
                <w:webHidden/>
              </w:rPr>
              <w:t>1</w:t>
            </w:r>
            <w:r w:rsidR="00AC3178">
              <w:rPr>
                <w:webHidden/>
              </w:rPr>
              <w:fldChar w:fldCharType="end"/>
            </w:r>
          </w:hyperlink>
        </w:p>
        <w:p w14:paraId="42888CA9" w14:textId="1B25DD8D" w:rsidR="00AC3178" w:rsidRDefault="001C5293">
          <w:pPr>
            <w:pStyle w:val="TOC2"/>
            <w:tabs>
              <w:tab w:val="left" w:pos="960"/>
            </w:tabs>
            <w:rPr>
              <w:rFonts w:eastAsiaTheme="minorEastAsia"/>
              <w:kern w:val="2"/>
              <w:sz w:val="24"/>
              <w:szCs w:val="24"/>
              <w:lang w:eastAsia="en-AU"/>
              <w14:ligatures w14:val="standardContextual"/>
            </w:rPr>
          </w:pPr>
          <w:hyperlink w:anchor="_Toc177742022" w:history="1">
            <w:r w:rsidR="00AC3178" w:rsidRPr="00242268">
              <w:rPr>
                <w:rStyle w:val="Hyperlink"/>
              </w:rPr>
              <w:t>3</w:t>
            </w:r>
            <w:r w:rsidR="00AC3178">
              <w:rPr>
                <w:rFonts w:eastAsiaTheme="minorEastAsia"/>
                <w:kern w:val="2"/>
                <w:sz w:val="24"/>
                <w:szCs w:val="24"/>
                <w:lang w:eastAsia="en-AU"/>
                <w14:ligatures w14:val="standardContextual"/>
              </w:rPr>
              <w:tab/>
            </w:r>
            <w:r w:rsidR="00AC3178" w:rsidRPr="00242268">
              <w:rPr>
                <w:rStyle w:val="Hyperlink"/>
              </w:rPr>
              <w:t>Costs and benefits should be considered more broadly than the energy sector</w:t>
            </w:r>
            <w:r w:rsidR="00AC3178">
              <w:rPr>
                <w:webHidden/>
              </w:rPr>
              <w:tab/>
            </w:r>
            <w:r w:rsidR="00AC3178">
              <w:rPr>
                <w:webHidden/>
              </w:rPr>
              <w:fldChar w:fldCharType="begin"/>
            </w:r>
            <w:r w:rsidR="00AC3178">
              <w:rPr>
                <w:webHidden/>
              </w:rPr>
              <w:instrText xml:space="preserve"> PAGEREF _Toc177742022 \h </w:instrText>
            </w:r>
            <w:r w:rsidR="00AC3178">
              <w:rPr>
                <w:webHidden/>
              </w:rPr>
            </w:r>
            <w:r w:rsidR="00AC3178">
              <w:rPr>
                <w:webHidden/>
              </w:rPr>
              <w:fldChar w:fldCharType="separate"/>
            </w:r>
            <w:r>
              <w:rPr>
                <w:webHidden/>
              </w:rPr>
              <w:t>2</w:t>
            </w:r>
            <w:r w:rsidR="00AC3178">
              <w:rPr>
                <w:webHidden/>
              </w:rPr>
              <w:fldChar w:fldCharType="end"/>
            </w:r>
          </w:hyperlink>
        </w:p>
        <w:p w14:paraId="0B890065" w14:textId="2898967B" w:rsidR="00AC3178" w:rsidRDefault="001C5293">
          <w:pPr>
            <w:pStyle w:val="TOC2"/>
            <w:tabs>
              <w:tab w:val="left" w:pos="960"/>
            </w:tabs>
            <w:rPr>
              <w:rFonts w:eastAsiaTheme="minorEastAsia"/>
              <w:kern w:val="2"/>
              <w:sz w:val="24"/>
              <w:szCs w:val="24"/>
              <w:lang w:eastAsia="en-AU"/>
              <w14:ligatures w14:val="standardContextual"/>
            </w:rPr>
          </w:pPr>
          <w:hyperlink w:anchor="_Toc177742023" w:history="1">
            <w:r w:rsidR="00AC3178" w:rsidRPr="00242268">
              <w:rPr>
                <w:rStyle w:val="Hyperlink"/>
              </w:rPr>
              <w:t>4</w:t>
            </w:r>
            <w:r w:rsidR="00AC3178">
              <w:rPr>
                <w:rFonts w:eastAsiaTheme="minorEastAsia"/>
                <w:kern w:val="2"/>
                <w:sz w:val="24"/>
                <w:szCs w:val="24"/>
                <w:lang w:eastAsia="en-AU"/>
                <w14:ligatures w14:val="standardContextual"/>
              </w:rPr>
              <w:tab/>
            </w:r>
            <w:r w:rsidR="00AC3178" w:rsidRPr="00242268">
              <w:rPr>
                <w:rStyle w:val="Hyperlink"/>
              </w:rPr>
              <w:t>Friction and burden should be reduced as much as possible for target households</w:t>
            </w:r>
            <w:r w:rsidR="00AC3178">
              <w:rPr>
                <w:webHidden/>
              </w:rPr>
              <w:tab/>
            </w:r>
            <w:r w:rsidR="00AC3178">
              <w:rPr>
                <w:webHidden/>
              </w:rPr>
              <w:fldChar w:fldCharType="begin"/>
            </w:r>
            <w:r w:rsidR="00AC3178">
              <w:rPr>
                <w:webHidden/>
              </w:rPr>
              <w:instrText xml:space="preserve"> PAGEREF _Toc177742023 \h </w:instrText>
            </w:r>
            <w:r w:rsidR="00AC3178">
              <w:rPr>
                <w:webHidden/>
              </w:rPr>
            </w:r>
            <w:r w:rsidR="00AC3178">
              <w:rPr>
                <w:webHidden/>
              </w:rPr>
              <w:fldChar w:fldCharType="separate"/>
            </w:r>
            <w:r>
              <w:rPr>
                <w:webHidden/>
              </w:rPr>
              <w:t>2</w:t>
            </w:r>
            <w:r w:rsidR="00AC3178">
              <w:rPr>
                <w:webHidden/>
              </w:rPr>
              <w:fldChar w:fldCharType="end"/>
            </w:r>
          </w:hyperlink>
        </w:p>
        <w:p w14:paraId="21E0E3BB" w14:textId="05A96EAE" w:rsidR="00AC3178" w:rsidRDefault="001C5293">
          <w:pPr>
            <w:pStyle w:val="TOC2"/>
            <w:tabs>
              <w:tab w:val="left" w:pos="960"/>
            </w:tabs>
            <w:rPr>
              <w:rFonts w:eastAsiaTheme="minorEastAsia"/>
              <w:kern w:val="2"/>
              <w:sz w:val="24"/>
              <w:szCs w:val="24"/>
              <w:lang w:eastAsia="en-AU"/>
              <w14:ligatures w14:val="standardContextual"/>
            </w:rPr>
          </w:pPr>
          <w:hyperlink w:anchor="_Toc177742024" w:history="1">
            <w:r w:rsidR="00AC3178" w:rsidRPr="00242268">
              <w:rPr>
                <w:rStyle w:val="Hyperlink"/>
              </w:rPr>
              <w:t>5</w:t>
            </w:r>
            <w:r w:rsidR="00AC3178">
              <w:rPr>
                <w:rFonts w:eastAsiaTheme="minorEastAsia"/>
                <w:kern w:val="2"/>
                <w:sz w:val="24"/>
                <w:szCs w:val="24"/>
                <w:lang w:eastAsia="en-AU"/>
                <w14:ligatures w14:val="standardContextual"/>
              </w:rPr>
              <w:tab/>
            </w:r>
            <w:r w:rsidR="00AC3178" w:rsidRPr="00242268">
              <w:rPr>
                <w:rStyle w:val="Hyperlink"/>
              </w:rPr>
              <w:t>Inclusive framing should be used in all policy and program communications</w:t>
            </w:r>
            <w:r w:rsidR="00AC3178">
              <w:rPr>
                <w:webHidden/>
              </w:rPr>
              <w:tab/>
            </w:r>
            <w:r w:rsidR="00AC3178">
              <w:rPr>
                <w:webHidden/>
              </w:rPr>
              <w:fldChar w:fldCharType="begin"/>
            </w:r>
            <w:r w:rsidR="00AC3178">
              <w:rPr>
                <w:webHidden/>
              </w:rPr>
              <w:instrText xml:space="preserve"> PAGEREF _Toc177742024 \h </w:instrText>
            </w:r>
            <w:r w:rsidR="00AC3178">
              <w:rPr>
                <w:webHidden/>
              </w:rPr>
            </w:r>
            <w:r w:rsidR="00AC3178">
              <w:rPr>
                <w:webHidden/>
              </w:rPr>
              <w:fldChar w:fldCharType="separate"/>
            </w:r>
            <w:r>
              <w:rPr>
                <w:webHidden/>
              </w:rPr>
              <w:t>2</w:t>
            </w:r>
            <w:r w:rsidR="00AC3178">
              <w:rPr>
                <w:webHidden/>
              </w:rPr>
              <w:fldChar w:fldCharType="end"/>
            </w:r>
          </w:hyperlink>
        </w:p>
        <w:p w14:paraId="4B8D49E2" w14:textId="565F8C44" w:rsidR="00AC3178" w:rsidRDefault="001C5293">
          <w:pPr>
            <w:pStyle w:val="TOC2"/>
            <w:tabs>
              <w:tab w:val="left" w:pos="960"/>
            </w:tabs>
            <w:rPr>
              <w:rFonts w:eastAsiaTheme="minorEastAsia"/>
              <w:kern w:val="2"/>
              <w:sz w:val="24"/>
              <w:szCs w:val="24"/>
              <w:lang w:eastAsia="en-AU"/>
              <w14:ligatures w14:val="standardContextual"/>
            </w:rPr>
          </w:pPr>
          <w:hyperlink w:anchor="_Toc177742025" w:history="1">
            <w:r w:rsidR="00AC3178" w:rsidRPr="00242268">
              <w:rPr>
                <w:rStyle w:val="Hyperlink"/>
              </w:rPr>
              <w:t>6</w:t>
            </w:r>
            <w:r w:rsidR="00AC3178">
              <w:rPr>
                <w:rFonts w:eastAsiaTheme="minorEastAsia"/>
                <w:kern w:val="2"/>
                <w:sz w:val="24"/>
                <w:szCs w:val="24"/>
                <w:lang w:eastAsia="en-AU"/>
                <w14:ligatures w14:val="standardContextual"/>
              </w:rPr>
              <w:tab/>
            </w:r>
            <w:r w:rsidR="00AC3178" w:rsidRPr="00242268">
              <w:rPr>
                <w:rStyle w:val="Hyperlink"/>
              </w:rPr>
              <w:t>The strategic context should be considered</w:t>
            </w:r>
            <w:r w:rsidR="00AC3178">
              <w:rPr>
                <w:webHidden/>
              </w:rPr>
              <w:tab/>
            </w:r>
            <w:r w:rsidR="00AC3178">
              <w:rPr>
                <w:webHidden/>
              </w:rPr>
              <w:fldChar w:fldCharType="begin"/>
            </w:r>
            <w:r w:rsidR="00AC3178">
              <w:rPr>
                <w:webHidden/>
              </w:rPr>
              <w:instrText xml:space="preserve"> PAGEREF _Toc177742025 \h </w:instrText>
            </w:r>
            <w:r w:rsidR="00AC3178">
              <w:rPr>
                <w:webHidden/>
              </w:rPr>
            </w:r>
            <w:r w:rsidR="00AC3178">
              <w:rPr>
                <w:webHidden/>
              </w:rPr>
              <w:fldChar w:fldCharType="separate"/>
            </w:r>
            <w:r>
              <w:rPr>
                <w:webHidden/>
              </w:rPr>
              <w:t>2</w:t>
            </w:r>
            <w:r w:rsidR="00AC3178">
              <w:rPr>
                <w:webHidden/>
              </w:rPr>
              <w:fldChar w:fldCharType="end"/>
            </w:r>
          </w:hyperlink>
        </w:p>
        <w:p w14:paraId="065851D9" w14:textId="2E9C45D0" w:rsidR="00AC3178" w:rsidRDefault="001C5293">
          <w:pPr>
            <w:pStyle w:val="TOC2"/>
            <w:tabs>
              <w:tab w:val="left" w:pos="960"/>
            </w:tabs>
            <w:rPr>
              <w:rFonts w:eastAsiaTheme="minorEastAsia"/>
              <w:kern w:val="2"/>
              <w:sz w:val="24"/>
              <w:szCs w:val="24"/>
              <w:lang w:eastAsia="en-AU"/>
              <w14:ligatures w14:val="standardContextual"/>
            </w:rPr>
          </w:pPr>
          <w:hyperlink w:anchor="_Toc177742026" w:history="1">
            <w:r w:rsidR="00AC3178" w:rsidRPr="00242268">
              <w:rPr>
                <w:rStyle w:val="Hyperlink"/>
              </w:rPr>
              <w:t>7</w:t>
            </w:r>
            <w:r w:rsidR="00AC3178">
              <w:rPr>
                <w:rFonts w:eastAsiaTheme="minorEastAsia"/>
                <w:kern w:val="2"/>
                <w:sz w:val="24"/>
                <w:szCs w:val="24"/>
                <w:lang w:eastAsia="en-AU"/>
                <w14:ligatures w14:val="standardContextual"/>
              </w:rPr>
              <w:tab/>
            </w:r>
            <w:r w:rsidR="00AC3178" w:rsidRPr="00242268">
              <w:rPr>
                <w:rStyle w:val="Hyperlink"/>
              </w:rPr>
              <w:t>Evaluation approach should be incorporated into the design of the policy or program from the outset</w:t>
            </w:r>
            <w:r w:rsidR="00AC3178">
              <w:rPr>
                <w:webHidden/>
              </w:rPr>
              <w:tab/>
            </w:r>
            <w:r w:rsidR="00AC3178">
              <w:rPr>
                <w:webHidden/>
              </w:rPr>
              <w:fldChar w:fldCharType="begin"/>
            </w:r>
            <w:r w:rsidR="00AC3178">
              <w:rPr>
                <w:webHidden/>
              </w:rPr>
              <w:instrText xml:space="preserve"> PAGEREF _Toc177742026 \h </w:instrText>
            </w:r>
            <w:r w:rsidR="00AC3178">
              <w:rPr>
                <w:webHidden/>
              </w:rPr>
            </w:r>
            <w:r w:rsidR="00AC3178">
              <w:rPr>
                <w:webHidden/>
              </w:rPr>
              <w:fldChar w:fldCharType="separate"/>
            </w:r>
            <w:r>
              <w:rPr>
                <w:webHidden/>
              </w:rPr>
              <w:t>3</w:t>
            </w:r>
            <w:r w:rsidR="00AC3178">
              <w:rPr>
                <w:webHidden/>
              </w:rPr>
              <w:fldChar w:fldCharType="end"/>
            </w:r>
          </w:hyperlink>
        </w:p>
        <w:p w14:paraId="0548B725" w14:textId="75DA1AD2" w:rsidR="00AC3178" w:rsidRDefault="001C5293">
          <w:pPr>
            <w:pStyle w:val="TOC1"/>
            <w:rPr>
              <w:rFonts w:eastAsiaTheme="minorEastAsia"/>
              <w:b w:val="0"/>
              <w:kern w:val="2"/>
              <w:sz w:val="24"/>
              <w:szCs w:val="24"/>
              <w:lang w:eastAsia="en-AU"/>
              <w14:ligatures w14:val="standardContextual"/>
            </w:rPr>
          </w:pPr>
          <w:hyperlink w:anchor="_Toc177742027" w:history="1">
            <w:r w:rsidR="00AC3178" w:rsidRPr="00242268">
              <w:rPr>
                <w:rStyle w:val="Hyperlink"/>
              </w:rPr>
              <w:t>Establishing common language and understanding</w:t>
            </w:r>
            <w:r w:rsidR="00AC3178">
              <w:rPr>
                <w:webHidden/>
              </w:rPr>
              <w:tab/>
            </w:r>
            <w:r w:rsidR="00AC3178">
              <w:rPr>
                <w:webHidden/>
              </w:rPr>
              <w:fldChar w:fldCharType="begin"/>
            </w:r>
            <w:r w:rsidR="00AC3178">
              <w:rPr>
                <w:webHidden/>
              </w:rPr>
              <w:instrText xml:space="preserve"> PAGEREF _Toc177742027 \h </w:instrText>
            </w:r>
            <w:r w:rsidR="00AC3178">
              <w:rPr>
                <w:webHidden/>
              </w:rPr>
            </w:r>
            <w:r w:rsidR="00AC3178">
              <w:rPr>
                <w:webHidden/>
              </w:rPr>
              <w:fldChar w:fldCharType="separate"/>
            </w:r>
            <w:r>
              <w:rPr>
                <w:webHidden/>
              </w:rPr>
              <w:t>3</w:t>
            </w:r>
            <w:r w:rsidR="00AC3178">
              <w:rPr>
                <w:webHidden/>
              </w:rPr>
              <w:fldChar w:fldCharType="end"/>
            </w:r>
          </w:hyperlink>
        </w:p>
        <w:p w14:paraId="51A6BA97" w14:textId="04547A75" w:rsidR="00AC3178" w:rsidRDefault="001C5293">
          <w:pPr>
            <w:pStyle w:val="TOC2"/>
            <w:rPr>
              <w:rFonts w:eastAsiaTheme="minorEastAsia"/>
              <w:kern w:val="2"/>
              <w:sz w:val="24"/>
              <w:szCs w:val="24"/>
              <w:lang w:eastAsia="en-AU"/>
              <w14:ligatures w14:val="standardContextual"/>
            </w:rPr>
          </w:pPr>
          <w:hyperlink w:anchor="_Toc177742028" w:history="1">
            <w:r w:rsidR="00AC3178" w:rsidRPr="00242268">
              <w:rPr>
                <w:rStyle w:val="Hyperlink"/>
              </w:rPr>
              <w:t>What is energy equity?</w:t>
            </w:r>
            <w:r w:rsidR="00AC3178">
              <w:rPr>
                <w:webHidden/>
              </w:rPr>
              <w:tab/>
            </w:r>
            <w:r w:rsidR="00AC3178">
              <w:rPr>
                <w:webHidden/>
              </w:rPr>
              <w:fldChar w:fldCharType="begin"/>
            </w:r>
            <w:r w:rsidR="00AC3178">
              <w:rPr>
                <w:webHidden/>
              </w:rPr>
              <w:instrText xml:space="preserve"> PAGEREF _Toc177742028 \h </w:instrText>
            </w:r>
            <w:r w:rsidR="00AC3178">
              <w:rPr>
                <w:webHidden/>
              </w:rPr>
            </w:r>
            <w:r w:rsidR="00AC3178">
              <w:rPr>
                <w:webHidden/>
              </w:rPr>
              <w:fldChar w:fldCharType="separate"/>
            </w:r>
            <w:r>
              <w:rPr>
                <w:webHidden/>
              </w:rPr>
              <w:t>3</w:t>
            </w:r>
            <w:r w:rsidR="00AC3178">
              <w:rPr>
                <w:webHidden/>
              </w:rPr>
              <w:fldChar w:fldCharType="end"/>
            </w:r>
          </w:hyperlink>
        </w:p>
        <w:p w14:paraId="04511CE2" w14:textId="3C24CA0E" w:rsidR="00AC3178" w:rsidRDefault="001C5293">
          <w:pPr>
            <w:pStyle w:val="TOC2"/>
            <w:rPr>
              <w:rFonts w:eastAsiaTheme="minorEastAsia"/>
              <w:kern w:val="2"/>
              <w:sz w:val="24"/>
              <w:szCs w:val="24"/>
              <w:lang w:eastAsia="en-AU"/>
              <w14:ligatures w14:val="standardContextual"/>
            </w:rPr>
          </w:pPr>
          <w:hyperlink w:anchor="_Toc177742029" w:history="1">
            <w:r w:rsidR="00AC3178" w:rsidRPr="00242268">
              <w:rPr>
                <w:rStyle w:val="Hyperlink"/>
              </w:rPr>
              <w:t>Hardship and vulnerability states – the ABATE model</w:t>
            </w:r>
            <w:r w:rsidR="00AC3178">
              <w:rPr>
                <w:webHidden/>
              </w:rPr>
              <w:tab/>
            </w:r>
            <w:r w:rsidR="00AC3178">
              <w:rPr>
                <w:webHidden/>
              </w:rPr>
              <w:fldChar w:fldCharType="begin"/>
            </w:r>
            <w:r w:rsidR="00AC3178">
              <w:rPr>
                <w:webHidden/>
              </w:rPr>
              <w:instrText xml:space="preserve"> PAGEREF _Toc177742029 \h </w:instrText>
            </w:r>
            <w:r w:rsidR="00AC3178">
              <w:rPr>
                <w:webHidden/>
              </w:rPr>
            </w:r>
            <w:r w:rsidR="00AC3178">
              <w:rPr>
                <w:webHidden/>
              </w:rPr>
              <w:fldChar w:fldCharType="separate"/>
            </w:r>
            <w:r>
              <w:rPr>
                <w:webHidden/>
              </w:rPr>
              <w:t>4</w:t>
            </w:r>
            <w:r w:rsidR="00AC3178">
              <w:rPr>
                <w:webHidden/>
              </w:rPr>
              <w:fldChar w:fldCharType="end"/>
            </w:r>
          </w:hyperlink>
        </w:p>
        <w:p w14:paraId="36CDBE67" w14:textId="3E7DC60E" w:rsidR="00AC3178" w:rsidRDefault="001C5293">
          <w:pPr>
            <w:pStyle w:val="TOC1"/>
            <w:rPr>
              <w:rFonts w:eastAsiaTheme="minorEastAsia"/>
              <w:b w:val="0"/>
              <w:kern w:val="2"/>
              <w:sz w:val="24"/>
              <w:szCs w:val="24"/>
              <w:lang w:eastAsia="en-AU"/>
              <w14:ligatures w14:val="standardContextual"/>
            </w:rPr>
          </w:pPr>
          <w:hyperlink w:anchor="_Toc177742030" w:history="1">
            <w:r w:rsidR="00AC3178" w:rsidRPr="00242268">
              <w:rPr>
                <w:rStyle w:val="Hyperlink"/>
              </w:rPr>
              <w:t>Measuring the extent and distribution of hardship and vulnerability</w:t>
            </w:r>
            <w:r w:rsidR="00AC3178">
              <w:rPr>
                <w:webHidden/>
              </w:rPr>
              <w:tab/>
            </w:r>
            <w:r w:rsidR="00AC3178">
              <w:rPr>
                <w:webHidden/>
              </w:rPr>
              <w:fldChar w:fldCharType="begin"/>
            </w:r>
            <w:r w:rsidR="00AC3178">
              <w:rPr>
                <w:webHidden/>
              </w:rPr>
              <w:instrText xml:space="preserve"> PAGEREF _Toc177742030 \h </w:instrText>
            </w:r>
            <w:r w:rsidR="00AC3178">
              <w:rPr>
                <w:webHidden/>
              </w:rPr>
            </w:r>
            <w:r w:rsidR="00AC3178">
              <w:rPr>
                <w:webHidden/>
              </w:rPr>
              <w:fldChar w:fldCharType="separate"/>
            </w:r>
            <w:r>
              <w:rPr>
                <w:webHidden/>
              </w:rPr>
              <w:t>5</w:t>
            </w:r>
            <w:r w:rsidR="00AC3178">
              <w:rPr>
                <w:webHidden/>
              </w:rPr>
              <w:fldChar w:fldCharType="end"/>
            </w:r>
          </w:hyperlink>
        </w:p>
        <w:p w14:paraId="0E0E4705" w14:textId="4E9548F7" w:rsidR="00AC3178" w:rsidRDefault="001C5293">
          <w:pPr>
            <w:pStyle w:val="TOC2"/>
            <w:rPr>
              <w:rFonts w:eastAsiaTheme="minorEastAsia"/>
              <w:kern w:val="2"/>
              <w:sz w:val="24"/>
              <w:szCs w:val="24"/>
              <w:lang w:eastAsia="en-AU"/>
              <w14:ligatures w14:val="standardContextual"/>
            </w:rPr>
          </w:pPr>
          <w:hyperlink w:anchor="_Toc177742031" w:history="1">
            <w:r w:rsidR="00AC3178" w:rsidRPr="00242268">
              <w:rPr>
                <w:rStyle w:val="Hyperlink"/>
              </w:rPr>
              <w:t>The D-I-O model</w:t>
            </w:r>
            <w:r w:rsidR="00AC3178">
              <w:rPr>
                <w:webHidden/>
              </w:rPr>
              <w:tab/>
            </w:r>
            <w:r w:rsidR="00AC3178">
              <w:rPr>
                <w:webHidden/>
              </w:rPr>
              <w:fldChar w:fldCharType="begin"/>
            </w:r>
            <w:r w:rsidR="00AC3178">
              <w:rPr>
                <w:webHidden/>
              </w:rPr>
              <w:instrText xml:space="preserve"> PAGEREF _Toc177742031 \h </w:instrText>
            </w:r>
            <w:r w:rsidR="00AC3178">
              <w:rPr>
                <w:webHidden/>
              </w:rPr>
            </w:r>
            <w:r w:rsidR="00AC3178">
              <w:rPr>
                <w:webHidden/>
              </w:rPr>
              <w:fldChar w:fldCharType="separate"/>
            </w:r>
            <w:r>
              <w:rPr>
                <w:webHidden/>
              </w:rPr>
              <w:t>5</w:t>
            </w:r>
            <w:r w:rsidR="00AC3178">
              <w:rPr>
                <w:webHidden/>
              </w:rPr>
              <w:fldChar w:fldCharType="end"/>
            </w:r>
          </w:hyperlink>
        </w:p>
        <w:p w14:paraId="54C736E0" w14:textId="0676AC2D" w:rsidR="00AC3178" w:rsidRDefault="001C5293">
          <w:pPr>
            <w:pStyle w:val="TOC1"/>
            <w:rPr>
              <w:rFonts w:eastAsiaTheme="minorEastAsia"/>
              <w:b w:val="0"/>
              <w:kern w:val="2"/>
              <w:sz w:val="24"/>
              <w:szCs w:val="24"/>
              <w:lang w:eastAsia="en-AU"/>
              <w14:ligatures w14:val="standardContextual"/>
            </w:rPr>
          </w:pPr>
          <w:hyperlink w:anchor="_Toc177742032" w:history="1">
            <w:r w:rsidR="00AC3178" w:rsidRPr="00242268">
              <w:rPr>
                <w:rStyle w:val="Hyperlink"/>
              </w:rPr>
              <w:t>Categorising intervention measures, policies, and programs</w:t>
            </w:r>
            <w:r w:rsidR="00AC3178">
              <w:rPr>
                <w:webHidden/>
              </w:rPr>
              <w:tab/>
            </w:r>
            <w:r w:rsidR="00AC3178">
              <w:rPr>
                <w:webHidden/>
              </w:rPr>
              <w:fldChar w:fldCharType="begin"/>
            </w:r>
            <w:r w:rsidR="00AC3178">
              <w:rPr>
                <w:webHidden/>
              </w:rPr>
              <w:instrText xml:space="preserve"> PAGEREF _Toc177742032 \h </w:instrText>
            </w:r>
            <w:r w:rsidR="00AC3178">
              <w:rPr>
                <w:webHidden/>
              </w:rPr>
            </w:r>
            <w:r w:rsidR="00AC3178">
              <w:rPr>
                <w:webHidden/>
              </w:rPr>
              <w:fldChar w:fldCharType="separate"/>
            </w:r>
            <w:r>
              <w:rPr>
                <w:webHidden/>
              </w:rPr>
              <w:t>6</w:t>
            </w:r>
            <w:r w:rsidR="00AC3178">
              <w:rPr>
                <w:webHidden/>
              </w:rPr>
              <w:fldChar w:fldCharType="end"/>
            </w:r>
          </w:hyperlink>
        </w:p>
        <w:p w14:paraId="799101B8" w14:textId="5AAF6C5B" w:rsidR="00AC3178" w:rsidRDefault="001C5293">
          <w:pPr>
            <w:pStyle w:val="TOC2"/>
            <w:rPr>
              <w:rFonts w:eastAsiaTheme="minorEastAsia"/>
              <w:kern w:val="2"/>
              <w:sz w:val="24"/>
              <w:szCs w:val="24"/>
              <w:lang w:eastAsia="en-AU"/>
              <w14:ligatures w14:val="standardContextual"/>
            </w:rPr>
          </w:pPr>
          <w:hyperlink w:anchor="_Toc177742033" w:history="1">
            <w:r w:rsidR="00AC3178" w:rsidRPr="00242268">
              <w:rPr>
                <w:rStyle w:val="Hyperlink"/>
              </w:rPr>
              <w:t>The P-S-R model</w:t>
            </w:r>
            <w:r w:rsidR="00AC3178">
              <w:rPr>
                <w:webHidden/>
              </w:rPr>
              <w:tab/>
            </w:r>
            <w:r w:rsidR="00AC3178">
              <w:rPr>
                <w:webHidden/>
              </w:rPr>
              <w:fldChar w:fldCharType="begin"/>
            </w:r>
            <w:r w:rsidR="00AC3178">
              <w:rPr>
                <w:webHidden/>
              </w:rPr>
              <w:instrText xml:space="preserve"> PAGEREF _Toc177742033 \h </w:instrText>
            </w:r>
            <w:r w:rsidR="00AC3178">
              <w:rPr>
                <w:webHidden/>
              </w:rPr>
            </w:r>
            <w:r w:rsidR="00AC3178">
              <w:rPr>
                <w:webHidden/>
              </w:rPr>
              <w:fldChar w:fldCharType="separate"/>
            </w:r>
            <w:r>
              <w:rPr>
                <w:webHidden/>
              </w:rPr>
              <w:t>6</w:t>
            </w:r>
            <w:r w:rsidR="00AC3178">
              <w:rPr>
                <w:webHidden/>
              </w:rPr>
              <w:fldChar w:fldCharType="end"/>
            </w:r>
          </w:hyperlink>
        </w:p>
        <w:p w14:paraId="4AFBE196" w14:textId="2C40E624" w:rsidR="00AC3178" w:rsidRDefault="001C5293">
          <w:pPr>
            <w:pStyle w:val="TOC1"/>
            <w:rPr>
              <w:rFonts w:eastAsiaTheme="minorEastAsia"/>
              <w:b w:val="0"/>
              <w:kern w:val="2"/>
              <w:sz w:val="24"/>
              <w:szCs w:val="24"/>
              <w:lang w:eastAsia="en-AU"/>
              <w14:ligatures w14:val="standardContextual"/>
            </w:rPr>
          </w:pPr>
          <w:hyperlink w:anchor="_Toc177742034" w:history="1">
            <w:r w:rsidR="00AC3178" w:rsidRPr="00242268">
              <w:rPr>
                <w:rStyle w:val="Hyperlink"/>
              </w:rPr>
              <w:t>A community of better practice</w:t>
            </w:r>
            <w:r w:rsidR="00AC3178">
              <w:rPr>
                <w:webHidden/>
              </w:rPr>
              <w:tab/>
            </w:r>
            <w:r w:rsidR="00AC3178">
              <w:rPr>
                <w:webHidden/>
              </w:rPr>
              <w:fldChar w:fldCharType="begin"/>
            </w:r>
            <w:r w:rsidR="00AC3178">
              <w:rPr>
                <w:webHidden/>
              </w:rPr>
              <w:instrText xml:space="preserve"> PAGEREF _Toc177742034 \h </w:instrText>
            </w:r>
            <w:r w:rsidR="00AC3178">
              <w:rPr>
                <w:webHidden/>
              </w:rPr>
            </w:r>
            <w:r w:rsidR="00AC3178">
              <w:rPr>
                <w:webHidden/>
              </w:rPr>
              <w:fldChar w:fldCharType="separate"/>
            </w:r>
            <w:r>
              <w:rPr>
                <w:webHidden/>
              </w:rPr>
              <w:t>8</w:t>
            </w:r>
            <w:r w:rsidR="00AC3178">
              <w:rPr>
                <w:webHidden/>
              </w:rPr>
              <w:fldChar w:fldCharType="end"/>
            </w:r>
          </w:hyperlink>
        </w:p>
        <w:p w14:paraId="78872AAD" w14:textId="3C0A0724" w:rsidR="00764D6A" w:rsidRDefault="00E91D72">
          <w:r>
            <w:rPr>
              <w:b/>
              <w:noProof/>
            </w:rPr>
            <w:fldChar w:fldCharType="end"/>
          </w:r>
        </w:p>
      </w:sdtContent>
    </w:sdt>
    <w:p w14:paraId="099D05EB" w14:textId="69AFD4DB" w:rsidR="00764D6A" w:rsidRDefault="00764D6A">
      <w:pPr>
        <w:spacing w:before="120" w:after="120"/>
      </w:pPr>
    </w:p>
    <w:p w14:paraId="67F8BA32" w14:textId="77777777" w:rsidR="00764D6A" w:rsidRPr="00AC3178" w:rsidRDefault="00E91D72">
      <w:pPr>
        <w:pStyle w:val="TOCHeading2"/>
        <w:rPr>
          <w:rStyle w:val="Strong"/>
          <w:sz w:val="28"/>
          <w:szCs w:val="28"/>
        </w:rPr>
      </w:pPr>
      <w:r w:rsidRPr="00AC3178">
        <w:rPr>
          <w:rStyle w:val="Strong"/>
          <w:sz w:val="28"/>
          <w:szCs w:val="28"/>
        </w:rPr>
        <w:t>Figures</w:t>
      </w:r>
    </w:p>
    <w:p w14:paraId="7A02D4EF" w14:textId="77777777" w:rsidR="00AC3178" w:rsidRDefault="00AC3178" w:rsidP="00AC3178">
      <w:pPr>
        <w:pStyle w:val="Caption"/>
        <w:numPr>
          <w:ilvl w:val="0"/>
          <w:numId w:val="32"/>
        </w:numPr>
        <w:rPr>
          <w:b w:val="0"/>
          <w:bCs w:val="0"/>
          <w:sz w:val="22"/>
          <w:szCs w:val="22"/>
        </w:rPr>
      </w:pPr>
      <w:bookmarkStart w:id="3" w:name="_Toc430782149"/>
      <w:r w:rsidRPr="00AC3178">
        <w:rPr>
          <w:b w:val="0"/>
          <w:bCs w:val="0"/>
          <w:sz w:val="22"/>
          <w:szCs w:val="22"/>
        </w:rPr>
        <w:t>The ABATE model</w:t>
      </w:r>
    </w:p>
    <w:p w14:paraId="1DB830FD" w14:textId="77777777" w:rsidR="00AC3178" w:rsidRDefault="00AC3178" w:rsidP="00AC3178">
      <w:pPr>
        <w:pStyle w:val="Caption"/>
        <w:numPr>
          <w:ilvl w:val="0"/>
          <w:numId w:val="32"/>
        </w:numPr>
        <w:rPr>
          <w:b w:val="0"/>
          <w:bCs w:val="0"/>
          <w:sz w:val="22"/>
          <w:szCs w:val="22"/>
        </w:rPr>
      </w:pPr>
      <w:r w:rsidRPr="00AC3178">
        <w:rPr>
          <w:b w:val="0"/>
          <w:bCs w:val="0"/>
          <w:sz w:val="22"/>
          <w:szCs w:val="22"/>
        </w:rPr>
        <w:t>An application of the P-S-R framework that aims to guide policy strategy to alleviate energy hardship</w:t>
      </w:r>
    </w:p>
    <w:p w14:paraId="6565ABB4" w14:textId="213EC0CB" w:rsidR="00A32152" w:rsidRPr="00AC3178" w:rsidRDefault="00F43FE6" w:rsidP="00AC3178">
      <w:pPr>
        <w:pStyle w:val="Caption"/>
        <w:numPr>
          <w:ilvl w:val="0"/>
          <w:numId w:val="32"/>
        </w:numPr>
        <w:rPr>
          <w:b w:val="0"/>
          <w:bCs w:val="0"/>
          <w:sz w:val="22"/>
          <w:szCs w:val="22"/>
        </w:rPr>
      </w:pPr>
      <w:r w:rsidRPr="00AC3178">
        <w:rPr>
          <w:b w:val="0"/>
          <w:bCs w:val="0"/>
          <w:sz w:val="22"/>
          <w:szCs w:val="22"/>
        </w:rPr>
        <w:t xml:space="preserve"> </w:t>
      </w:r>
      <w:r w:rsidR="00AC3178" w:rsidRPr="00AC3178">
        <w:rPr>
          <w:b w:val="0"/>
          <w:bCs w:val="0"/>
          <w:sz w:val="22"/>
          <w:szCs w:val="22"/>
        </w:rPr>
        <w:t xml:space="preserve">Hypothetical example of using the P-S-R model </w:t>
      </w:r>
      <w:r w:rsidR="00A32152" w:rsidRPr="00AC3178">
        <w:rPr>
          <w:b w:val="0"/>
          <w:bCs w:val="0"/>
          <w:sz w:val="22"/>
          <w:szCs w:val="22"/>
        </w:rPr>
        <w:br w:type="page"/>
      </w:r>
    </w:p>
    <w:p w14:paraId="087907BD" w14:textId="2CE230F9" w:rsidR="00425DF8" w:rsidRDefault="00425DF8" w:rsidP="00425DF8">
      <w:pPr>
        <w:pStyle w:val="Heading2"/>
        <w:ind w:left="720" w:hanging="720"/>
      </w:pPr>
      <w:bookmarkStart w:id="4" w:name="_Toc177742016"/>
      <w:r>
        <w:lastRenderedPageBreak/>
        <w:t>The National Energy Equity Framework</w:t>
      </w:r>
      <w:bookmarkEnd w:id="4"/>
      <w:r>
        <w:t xml:space="preserve"> </w:t>
      </w:r>
      <w:bookmarkEnd w:id="3"/>
    </w:p>
    <w:p w14:paraId="20FDC3FB" w14:textId="187B78B3" w:rsidR="001523F2" w:rsidRDefault="001523F2" w:rsidP="00625F72">
      <w:pPr>
        <w:pStyle w:val="Heading3"/>
        <w:numPr>
          <w:ilvl w:val="0"/>
          <w:numId w:val="0"/>
        </w:numPr>
        <w:ind w:left="964" w:hanging="964"/>
      </w:pPr>
      <w:bookmarkStart w:id="5" w:name="_Toc177742017"/>
      <w:r>
        <w:t xml:space="preserve">Reaffirming </w:t>
      </w:r>
      <w:r w:rsidR="00625F72">
        <w:t xml:space="preserve">a </w:t>
      </w:r>
      <w:r>
        <w:t>national commitment to consumers</w:t>
      </w:r>
      <w:bookmarkEnd w:id="5"/>
    </w:p>
    <w:p w14:paraId="10D85B5D" w14:textId="77777777" w:rsidR="00764D6A" w:rsidRDefault="00764D6A"/>
    <w:p w14:paraId="4249161B" w14:textId="78FCDF35" w:rsidR="00AC68A0" w:rsidRDefault="00AC68A0" w:rsidP="00AC68A0">
      <w:r>
        <w:t xml:space="preserve">The National Energy Equity Framework (the </w:t>
      </w:r>
      <w:r w:rsidR="00982178">
        <w:t>f</w:t>
      </w:r>
      <w:r>
        <w:t xml:space="preserve">ramework) reaffirms the commitment of Energy Ministers to </w:t>
      </w:r>
      <w:r w:rsidRPr="004D089B">
        <w:t>achieving an equitable energy transition for all Australians</w:t>
      </w:r>
      <w:r>
        <w:t xml:space="preserve">. </w:t>
      </w:r>
    </w:p>
    <w:p w14:paraId="08E1EDC4" w14:textId="77777777" w:rsidR="00AC68A0" w:rsidRDefault="00AC68A0" w:rsidP="00AC68A0">
      <w:r>
        <w:t xml:space="preserve">The transition to Net Zero holds many opportunities </w:t>
      </w:r>
      <w:proofErr w:type="gramStart"/>
      <w:r>
        <w:t>and also</w:t>
      </w:r>
      <w:proofErr w:type="gramEnd"/>
      <w:r>
        <w:t xml:space="preserve"> presents challenges. Energy Ministers are conscious that over recent years a</w:t>
      </w:r>
      <w:r w:rsidRPr="0003641F">
        <w:t xml:space="preserve">ffordability and wellbeing challenges for many Australian households have </w:t>
      </w:r>
      <w:r>
        <w:t>become increasingly prominent</w:t>
      </w:r>
      <w:r w:rsidRPr="0003641F">
        <w:t xml:space="preserve"> due to high energy prices and rising costs of living. </w:t>
      </w:r>
    </w:p>
    <w:p w14:paraId="5E6B3784" w14:textId="77777777" w:rsidR="00AC68A0" w:rsidRDefault="00AC68A0" w:rsidP="00AC68A0">
      <w:r>
        <w:t xml:space="preserve">A growing number of Australians are finding themselves less able to engage with and benefit from our energy system, and without action are at risk of being left behind in the transition to Net Zero. </w:t>
      </w:r>
    </w:p>
    <w:p w14:paraId="523DAF73" w14:textId="77777777" w:rsidR="00AC68A0" w:rsidRDefault="00AC68A0" w:rsidP="00AC68A0">
      <w:r>
        <w:t xml:space="preserve">In response, over recent years Energy Ministers have committed to improving equity in energy, including through the National Energy Performance Strategy, which includes the objectives of </w:t>
      </w:r>
      <w:r w:rsidRPr="00FC01D1">
        <w:rPr>
          <w:i/>
          <w:iCs/>
        </w:rPr>
        <w:t xml:space="preserve">supporting low-income households and those experiencing energy hardship; </w:t>
      </w:r>
      <w:r>
        <w:t xml:space="preserve">and </w:t>
      </w:r>
      <w:r w:rsidRPr="00FC01D1">
        <w:rPr>
          <w:i/>
          <w:iCs/>
        </w:rPr>
        <w:t>enabling households to access the benefits of energy performance improvements.</w:t>
      </w:r>
      <w:r>
        <w:t xml:space="preserve"> The strategy’s intended outcomes include equitable access to energy performance benefits.</w:t>
      </w:r>
    </w:p>
    <w:p w14:paraId="2380A938" w14:textId="1F320CDE" w:rsidR="00AC68A0" w:rsidRPr="00312625" w:rsidRDefault="00AC68A0" w:rsidP="00AC68A0">
      <w:pPr>
        <w:spacing w:before="60" w:after="60" w:line="240" w:lineRule="atLeast"/>
      </w:pPr>
      <w:r>
        <w:t xml:space="preserve">Alongside a commitment to improving equity, the </w:t>
      </w:r>
      <w:r w:rsidR="00982178">
        <w:t>f</w:t>
      </w:r>
      <w:r>
        <w:t>ramework establishes the foundation for this improved understanding and a new approach for addressing the challenges facing customers at risk of vulnerability in the energy market. It comprises five (5) aspects:</w:t>
      </w:r>
    </w:p>
    <w:p w14:paraId="19E8860A" w14:textId="77777777" w:rsidR="00AC68A0" w:rsidRPr="00561744" w:rsidRDefault="00AC68A0" w:rsidP="00D92F6E">
      <w:pPr>
        <w:pStyle w:val="paragraph"/>
        <w:numPr>
          <w:ilvl w:val="0"/>
          <w:numId w:val="13"/>
        </w:numPr>
        <w:spacing w:before="60" w:beforeAutospacing="0" w:after="60" w:afterAutospacing="0" w:line="240" w:lineRule="atLeast"/>
        <w:textAlignment w:val="baseline"/>
        <w:rPr>
          <w:rStyle w:val="normaltextrun"/>
          <w:rFonts w:ascii="Calibri" w:eastAsiaTheme="minorHAnsi" w:hAnsi="Calibri" w:cs="Calibri"/>
          <w:sz w:val="22"/>
          <w:szCs w:val="22"/>
        </w:rPr>
      </w:pPr>
      <w:bookmarkStart w:id="6" w:name="_Hlk167458979"/>
      <w:r w:rsidRPr="00734F2B">
        <w:rPr>
          <w:rStyle w:val="normaltextrun"/>
          <w:rFonts w:ascii="Calibri" w:eastAsiaTheme="minorHAnsi" w:hAnsi="Calibri" w:cs="Calibri"/>
          <w:sz w:val="22"/>
          <w:szCs w:val="22"/>
        </w:rPr>
        <w:t xml:space="preserve">Better practice </w:t>
      </w:r>
      <w:r w:rsidRPr="00561744">
        <w:rPr>
          <w:rStyle w:val="normaltextrun"/>
          <w:rFonts w:ascii="Calibri" w:eastAsiaTheme="minorHAnsi" w:hAnsi="Calibri" w:cs="Calibri"/>
          <w:b/>
          <w:bCs/>
          <w:sz w:val="22"/>
          <w:szCs w:val="22"/>
        </w:rPr>
        <w:t>principles</w:t>
      </w:r>
      <w:r w:rsidRPr="00734F2B">
        <w:rPr>
          <w:rStyle w:val="normaltextrun"/>
          <w:rFonts w:ascii="Calibri" w:eastAsiaTheme="minorHAnsi" w:hAnsi="Calibri" w:cs="Calibri"/>
          <w:sz w:val="22"/>
          <w:szCs w:val="22"/>
        </w:rPr>
        <w:t xml:space="preserve"> for more equitable policy</w:t>
      </w:r>
      <w:r>
        <w:rPr>
          <w:rStyle w:val="normaltextrun"/>
          <w:rFonts w:ascii="Calibri" w:eastAsiaTheme="minorHAnsi" w:hAnsi="Calibri" w:cs="Calibri"/>
          <w:sz w:val="22"/>
          <w:szCs w:val="22"/>
        </w:rPr>
        <w:t>.</w:t>
      </w:r>
    </w:p>
    <w:p w14:paraId="5BEEF2F8" w14:textId="77777777" w:rsidR="001D420D" w:rsidRDefault="00AC68A0" w:rsidP="00D92F6E">
      <w:pPr>
        <w:pStyle w:val="paragraph"/>
        <w:numPr>
          <w:ilvl w:val="0"/>
          <w:numId w:val="13"/>
        </w:numPr>
        <w:spacing w:before="60" w:beforeAutospacing="0" w:after="60" w:afterAutospacing="0" w:line="240" w:lineRule="atLeast"/>
        <w:textAlignment w:val="baseline"/>
        <w:rPr>
          <w:rFonts w:ascii="Calibri" w:hAnsi="Calibri" w:cs="Calibri"/>
          <w:sz w:val="22"/>
          <w:szCs w:val="22"/>
        </w:rPr>
      </w:pPr>
      <w:r w:rsidRPr="009E3A26">
        <w:rPr>
          <w:rStyle w:val="normaltextrun"/>
          <w:rFonts w:ascii="Calibri" w:eastAsiaTheme="majorEastAsia" w:hAnsi="Calibri" w:cs="Calibri"/>
          <w:b/>
          <w:bCs/>
          <w:sz w:val="22"/>
          <w:szCs w:val="22"/>
        </w:rPr>
        <w:t>Common language</w:t>
      </w:r>
      <w:r>
        <w:rPr>
          <w:rStyle w:val="normaltextrun"/>
          <w:rFonts w:ascii="Calibri" w:eastAsiaTheme="majorEastAsia" w:hAnsi="Calibri" w:cs="Calibri"/>
          <w:sz w:val="22"/>
          <w:szCs w:val="22"/>
        </w:rPr>
        <w:t xml:space="preserve"> </w:t>
      </w:r>
      <w:bookmarkEnd w:id="6"/>
      <w:r>
        <w:rPr>
          <w:rStyle w:val="normaltextrun"/>
          <w:rFonts w:ascii="Calibri" w:eastAsiaTheme="majorEastAsia" w:hAnsi="Calibri" w:cs="Calibri"/>
          <w:sz w:val="22"/>
          <w:szCs w:val="22"/>
        </w:rPr>
        <w:t>around definitions of energy equity and customers at risk of vulnerability.</w:t>
      </w:r>
      <w:r>
        <w:rPr>
          <w:rStyle w:val="eop"/>
          <w:rFonts w:ascii="Calibri" w:hAnsi="Calibri" w:cs="Calibri"/>
          <w:sz w:val="22"/>
          <w:szCs w:val="22"/>
        </w:rPr>
        <w:t> </w:t>
      </w:r>
    </w:p>
    <w:p w14:paraId="1628604F" w14:textId="77777777" w:rsidR="00682690" w:rsidRDefault="00AC68A0" w:rsidP="00D92F6E">
      <w:pPr>
        <w:pStyle w:val="paragraph"/>
        <w:numPr>
          <w:ilvl w:val="0"/>
          <w:numId w:val="13"/>
        </w:numPr>
        <w:spacing w:before="60" w:beforeAutospacing="0" w:after="60" w:afterAutospacing="0" w:line="240" w:lineRule="atLeast"/>
        <w:textAlignment w:val="baseline"/>
        <w:rPr>
          <w:rFonts w:ascii="Calibri" w:hAnsi="Calibri" w:cs="Calibri"/>
          <w:sz w:val="22"/>
          <w:szCs w:val="22"/>
        </w:rPr>
      </w:pPr>
      <w:r w:rsidRPr="001D420D">
        <w:rPr>
          <w:rStyle w:val="normaltextrun"/>
          <w:rFonts w:ascii="Calibri" w:eastAsiaTheme="majorEastAsia" w:hAnsi="Calibri" w:cs="Calibri"/>
          <w:sz w:val="22"/>
          <w:szCs w:val="22"/>
        </w:rPr>
        <w:t xml:space="preserve">A means of </w:t>
      </w:r>
      <w:r w:rsidRPr="001D420D">
        <w:rPr>
          <w:rStyle w:val="normaltextrun"/>
          <w:rFonts w:ascii="Calibri" w:eastAsiaTheme="majorEastAsia" w:hAnsi="Calibri" w:cs="Calibri"/>
          <w:b/>
          <w:bCs/>
          <w:sz w:val="22"/>
          <w:szCs w:val="22"/>
        </w:rPr>
        <w:t>measuring the extent and distribution</w:t>
      </w:r>
      <w:r w:rsidRPr="001D420D">
        <w:rPr>
          <w:rStyle w:val="normaltextrun"/>
          <w:rFonts w:ascii="Calibri" w:eastAsiaTheme="majorEastAsia" w:hAnsi="Calibri" w:cs="Calibri"/>
          <w:sz w:val="22"/>
          <w:szCs w:val="22"/>
        </w:rPr>
        <w:t xml:space="preserve"> of these levels of hardship over time (including metrics, data availability and reporting models).</w:t>
      </w:r>
      <w:r w:rsidRPr="001D420D">
        <w:rPr>
          <w:rStyle w:val="eop"/>
          <w:rFonts w:ascii="Calibri" w:hAnsi="Calibri" w:cs="Calibri"/>
          <w:sz w:val="22"/>
          <w:szCs w:val="22"/>
        </w:rPr>
        <w:t> </w:t>
      </w:r>
    </w:p>
    <w:p w14:paraId="5192C1BA" w14:textId="77777777" w:rsidR="00682690" w:rsidRDefault="00AC68A0" w:rsidP="00D92F6E">
      <w:pPr>
        <w:pStyle w:val="paragraph"/>
        <w:numPr>
          <w:ilvl w:val="0"/>
          <w:numId w:val="13"/>
        </w:numPr>
        <w:spacing w:before="60" w:beforeAutospacing="0" w:after="60" w:afterAutospacing="0" w:line="240" w:lineRule="atLeast"/>
        <w:textAlignment w:val="baseline"/>
        <w:rPr>
          <w:rStyle w:val="eop"/>
          <w:rFonts w:ascii="Calibri" w:hAnsi="Calibri" w:cs="Calibri"/>
          <w:sz w:val="22"/>
          <w:szCs w:val="22"/>
        </w:rPr>
      </w:pPr>
      <w:r w:rsidRPr="00682690">
        <w:rPr>
          <w:rStyle w:val="normaltextrun"/>
          <w:rFonts w:ascii="Calibri" w:eastAsiaTheme="majorEastAsia" w:hAnsi="Calibri" w:cs="Calibri"/>
          <w:sz w:val="22"/>
          <w:szCs w:val="22"/>
        </w:rPr>
        <w:t xml:space="preserve">A way to </w:t>
      </w:r>
      <w:r w:rsidRPr="00682690">
        <w:rPr>
          <w:rStyle w:val="normaltextrun"/>
          <w:rFonts w:ascii="Calibri" w:eastAsiaTheme="majorEastAsia" w:hAnsi="Calibri" w:cs="Calibri"/>
          <w:b/>
          <w:bCs/>
          <w:sz w:val="22"/>
          <w:szCs w:val="22"/>
        </w:rPr>
        <w:t>categorise intervention measures, policies, and programs</w:t>
      </w:r>
      <w:r w:rsidRPr="00682690">
        <w:rPr>
          <w:rStyle w:val="normaltextrun"/>
          <w:rFonts w:ascii="Calibri" w:eastAsiaTheme="majorEastAsia" w:hAnsi="Calibri" w:cs="Calibri"/>
          <w:sz w:val="22"/>
          <w:szCs w:val="22"/>
        </w:rPr>
        <w:t>.</w:t>
      </w:r>
      <w:r w:rsidRPr="00682690">
        <w:rPr>
          <w:rStyle w:val="eop"/>
          <w:rFonts w:ascii="Calibri" w:hAnsi="Calibri" w:cs="Calibri"/>
          <w:sz w:val="22"/>
          <w:szCs w:val="22"/>
        </w:rPr>
        <w:t> </w:t>
      </w:r>
    </w:p>
    <w:p w14:paraId="4BABF4AB" w14:textId="77777777" w:rsidR="00425DF8" w:rsidRDefault="00AC68A0" w:rsidP="00D92F6E">
      <w:pPr>
        <w:pStyle w:val="paragraph"/>
        <w:numPr>
          <w:ilvl w:val="0"/>
          <w:numId w:val="13"/>
        </w:numPr>
        <w:spacing w:before="60" w:beforeAutospacing="0" w:after="60" w:afterAutospacing="0" w:line="240" w:lineRule="atLeast"/>
        <w:textAlignment w:val="baseline"/>
        <w:rPr>
          <w:rStyle w:val="eop"/>
          <w:rFonts w:ascii="Calibri" w:hAnsi="Calibri" w:cs="Calibri"/>
          <w:sz w:val="22"/>
          <w:szCs w:val="22"/>
        </w:rPr>
      </w:pPr>
      <w:r w:rsidRPr="00682690">
        <w:rPr>
          <w:rStyle w:val="normaltextrun"/>
          <w:rFonts w:ascii="Calibri" w:eastAsiaTheme="majorEastAsia" w:hAnsi="Calibri" w:cs="Calibri"/>
          <w:sz w:val="22"/>
          <w:szCs w:val="22"/>
        </w:rPr>
        <w:t xml:space="preserve">A </w:t>
      </w:r>
      <w:r w:rsidRPr="00682690">
        <w:rPr>
          <w:rStyle w:val="normaltextrun"/>
          <w:rFonts w:ascii="Calibri" w:eastAsiaTheme="majorEastAsia" w:hAnsi="Calibri" w:cs="Calibri"/>
          <w:b/>
          <w:bCs/>
          <w:sz w:val="22"/>
          <w:szCs w:val="22"/>
        </w:rPr>
        <w:t>community of better practice</w:t>
      </w:r>
      <w:r w:rsidRPr="00682690">
        <w:rPr>
          <w:rStyle w:val="normaltextrun"/>
          <w:rFonts w:ascii="Calibri" w:eastAsiaTheme="majorEastAsia" w:hAnsi="Calibri" w:cs="Calibri"/>
          <w:sz w:val="22"/>
          <w:szCs w:val="22"/>
        </w:rPr>
        <w:t xml:space="preserve"> in designing for equity in energy policy and programs.</w:t>
      </w:r>
      <w:r w:rsidRPr="00682690">
        <w:rPr>
          <w:rStyle w:val="eop"/>
          <w:rFonts w:ascii="Calibri" w:hAnsi="Calibri" w:cs="Calibri"/>
          <w:sz w:val="22"/>
          <w:szCs w:val="22"/>
        </w:rPr>
        <w:t> </w:t>
      </w:r>
    </w:p>
    <w:p w14:paraId="699B8C52" w14:textId="77777777" w:rsidR="00682690" w:rsidRDefault="00682690" w:rsidP="00682690">
      <w:pPr>
        <w:pStyle w:val="paragraph"/>
        <w:spacing w:before="60" w:beforeAutospacing="0" w:after="60" w:afterAutospacing="0" w:line="240" w:lineRule="atLeast"/>
        <w:textAlignment w:val="baseline"/>
        <w:rPr>
          <w:rStyle w:val="eop"/>
          <w:rFonts w:ascii="Calibri" w:hAnsi="Calibri" w:cs="Calibri"/>
          <w:sz w:val="22"/>
          <w:szCs w:val="22"/>
        </w:rPr>
      </w:pPr>
    </w:p>
    <w:p w14:paraId="1AF2DEA4" w14:textId="77777777" w:rsidR="00682690" w:rsidRDefault="00877E8F" w:rsidP="00877E8F">
      <w:pPr>
        <w:pStyle w:val="Heading3"/>
        <w:numPr>
          <w:ilvl w:val="0"/>
          <w:numId w:val="0"/>
        </w:numPr>
        <w:ind w:left="964" w:hanging="964"/>
      </w:pPr>
      <w:bookmarkStart w:id="7" w:name="_Toc177742018"/>
      <w:r>
        <w:t>Framework documents</w:t>
      </w:r>
      <w:bookmarkEnd w:id="7"/>
      <w:r>
        <w:t xml:space="preserve"> </w:t>
      </w:r>
    </w:p>
    <w:p w14:paraId="42092760" w14:textId="77777777" w:rsidR="00A37E39" w:rsidRDefault="00A37E39" w:rsidP="00A37E39">
      <w:pPr>
        <w:pStyle w:val="paragraph"/>
        <w:spacing w:before="0" w:beforeAutospacing="0" w:after="160" w:afterAutospacing="0"/>
        <w:textAlignment w:val="baseline"/>
        <w:rPr>
          <w:rStyle w:val="eop"/>
          <w:rFonts w:ascii="Calibri" w:hAnsi="Calibri" w:cs="Calibri"/>
          <w:sz w:val="22"/>
          <w:szCs w:val="22"/>
        </w:rPr>
      </w:pPr>
    </w:p>
    <w:p w14:paraId="05B78A91" w14:textId="379E890A" w:rsidR="00A37E39" w:rsidRDefault="00A37E39" w:rsidP="00A37E39">
      <w:pPr>
        <w:pStyle w:val="paragraph"/>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This document is published alongside the following reports, produced by the Group of Energy Equity Researchers (GEER) Consortium for the interjurisdictional Energy Equity Work Program, which together comprise the common evidence base supporting the </w:t>
      </w:r>
      <w:r w:rsidR="00982178">
        <w:rPr>
          <w:rStyle w:val="eop"/>
          <w:rFonts w:ascii="Calibri" w:hAnsi="Calibri" w:cs="Calibri"/>
          <w:sz w:val="22"/>
          <w:szCs w:val="22"/>
        </w:rPr>
        <w:t>f</w:t>
      </w:r>
      <w:r>
        <w:rPr>
          <w:rStyle w:val="eop"/>
          <w:rFonts w:ascii="Calibri" w:hAnsi="Calibri" w:cs="Calibri"/>
          <w:sz w:val="22"/>
          <w:szCs w:val="22"/>
        </w:rPr>
        <w:t xml:space="preserve">ramework: </w:t>
      </w:r>
    </w:p>
    <w:p w14:paraId="6D4BA0B5" w14:textId="77777777" w:rsidR="00A37E39" w:rsidRDefault="00A37E39" w:rsidP="00D92F6E">
      <w:pPr>
        <w:pStyle w:val="ListParagraph"/>
        <w:numPr>
          <w:ilvl w:val="0"/>
          <w:numId w:val="14"/>
        </w:numPr>
        <w:spacing w:before="120" w:after="120" w:line="260" w:lineRule="atLeast"/>
        <w:contextualSpacing/>
      </w:pPr>
      <w:r>
        <w:t>Phase 1 Research Report</w:t>
      </w:r>
    </w:p>
    <w:p w14:paraId="09613D43" w14:textId="77777777" w:rsidR="00A37E39" w:rsidRPr="00FF2F15" w:rsidRDefault="00A37E39" w:rsidP="00D92F6E">
      <w:pPr>
        <w:pStyle w:val="ListParagraph"/>
        <w:numPr>
          <w:ilvl w:val="0"/>
          <w:numId w:val="14"/>
        </w:numPr>
        <w:spacing w:before="120" w:after="120" w:line="260" w:lineRule="atLeast"/>
        <w:contextualSpacing/>
      </w:pPr>
      <w:r>
        <w:t xml:space="preserve">Phase 2 </w:t>
      </w:r>
      <w:r w:rsidRPr="00FF2F15">
        <w:t>Barriers to Scalability and Co-design Findings</w:t>
      </w:r>
    </w:p>
    <w:p w14:paraId="7277F067" w14:textId="77777777" w:rsidR="00A37E39" w:rsidRPr="004E1AF8" w:rsidRDefault="00A37E39" w:rsidP="00D92F6E">
      <w:pPr>
        <w:pStyle w:val="ListParagraph"/>
        <w:numPr>
          <w:ilvl w:val="0"/>
          <w:numId w:val="14"/>
        </w:numPr>
        <w:spacing w:before="120" w:after="120" w:line="260" w:lineRule="atLeast"/>
        <w:contextualSpacing/>
      </w:pPr>
      <w:r>
        <w:t xml:space="preserve">Phase 2 </w:t>
      </w:r>
      <w:r w:rsidRPr="004E1AF8">
        <w:t>Household Interviews and Journey Maps</w:t>
      </w:r>
    </w:p>
    <w:p w14:paraId="7E4EA10A" w14:textId="77777777" w:rsidR="00A37E39" w:rsidRDefault="00A37E39" w:rsidP="00D92F6E">
      <w:pPr>
        <w:pStyle w:val="ListParagraph"/>
        <w:numPr>
          <w:ilvl w:val="0"/>
          <w:numId w:val="14"/>
        </w:numPr>
        <w:spacing w:before="120" w:after="120" w:line="260" w:lineRule="atLeast"/>
        <w:contextualSpacing/>
      </w:pPr>
      <w:r>
        <w:t xml:space="preserve">Phase 2 </w:t>
      </w:r>
      <w:r w:rsidRPr="00251E7B">
        <w:t>Data Regime</w:t>
      </w:r>
    </w:p>
    <w:p w14:paraId="29850621" w14:textId="77777777" w:rsidR="00A37E39" w:rsidRPr="00251E7B" w:rsidRDefault="00A37E39" w:rsidP="00D92F6E">
      <w:pPr>
        <w:pStyle w:val="ListParagraph"/>
        <w:numPr>
          <w:ilvl w:val="0"/>
          <w:numId w:val="14"/>
        </w:numPr>
        <w:spacing w:before="120" w:after="120" w:line="260" w:lineRule="atLeast"/>
        <w:contextualSpacing/>
      </w:pPr>
      <w:r>
        <w:t>Phase 2 Summary Report</w:t>
      </w:r>
    </w:p>
    <w:p w14:paraId="6F48DF73" w14:textId="60A498DE" w:rsidR="00A37E39" w:rsidRPr="00561744" w:rsidRDefault="00A37E39" w:rsidP="00D92F6E">
      <w:pPr>
        <w:pStyle w:val="ListParagraph"/>
        <w:numPr>
          <w:ilvl w:val="0"/>
          <w:numId w:val="14"/>
        </w:numPr>
        <w:spacing w:after="160" w:line="260" w:lineRule="atLeast"/>
        <w:contextualSpacing/>
        <w:textAlignment w:val="baseline"/>
        <w:rPr>
          <w:rStyle w:val="eop"/>
        </w:rPr>
      </w:pPr>
      <w:r>
        <w:t xml:space="preserve">Phase 3 </w:t>
      </w:r>
      <w:r w:rsidRPr="001D7BF8">
        <w:t>Better Practice Guide</w:t>
      </w:r>
      <w:r>
        <w:t>.</w:t>
      </w:r>
    </w:p>
    <w:p w14:paraId="262A8DFE" w14:textId="3CECDD65" w:rsidR="00A37E39" w:rsidRPr="00A37E39" w:rsidRDefault="00A37E39" w:rsidP="00A37E39">
      <w:pPr>
        <w:sectPr w:rsidR="00A37E39" w:rsidRPr="00A37E39">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567" w:footer="283" w:gutter="0"/>
          <w:pgNumType w:fmt="lowerRoman" w:start="1"/>
          <w:cols w:space="708"/>
          <w:titlePg/>
          <w:docGrid w:linePitch="360"/>
        </w:sectPr>
      </w:pPr>
    </w:p>
    <w:p w14:paraId="499602D1" w14:textId="21B5D1F3" w:rsidR="00764D6A" w:rsidRDefault="00E50DA7" w:rsidP="00CB2439">
      <w:pPr>
        <w:pStyle w:val="Heading2"/>
        <w:ind w:left="720" w:hanging="720"/>
      </w:pPr>
      <w:bookmarkStart w:id="8" w:name="_Toc177742019"/>
      <w:bookmarkStart w:id="9" w:name="_Toc430782150"/>
      <w:r>
        <w:lastRenderedPageBreak/>
        <w:t xml:space="preserve">Better practice </w:t>
      </w:r>
      <w:r w:rsidR="00250189">
        <w:t>principles for more equitable policy</w:t>
      </w:r>
      <w:bookmarkEnd w:id="8"/>
      <w:r w:rsidR="00250189">
        <w:t xml:space="preserve"> </w:t>
      </w:r>
      <w:bookmarkEnd w:id="9"/>
    </w:p>
    <w:p w14:paraId="3C6B67C4" w14:textId="77777777" w:rsidR="00A45F75" w:rsidRDefault="00A45F75" w:rsidP="00A45F75">
      <w:pPr>
        <w:spacing w:after="0"/>
      </w:pPr>
      <w:r>
        <w:t>There are seven principles that should be used to guide better practice to design more equitable policies and therefore achieve more equitable outcomes for Australian consumers:</w:t>
      </w:r>
    </w:p>
    <w:p w14:paraId="2E7EB6E1" w14:textId="77777777" w:rsidR="00EA3780" w:rsidRDefault="00EA3780" w:rsidP="00EA3780">
      <w:pPr>
        <w:pStyle w:val="ListNumber"/>
      </w:pPr>
      <w:r>
        <w:t xml:space="preserve">The driver or state of energy hardship to be addressed should be clearly defined. </w:t>
      </w:r>
    </w:p>
    <w:p w14:paraId="3D8606AC" w14:textId="77777777" w:rsidR="00247261" w:rsidRDefault="00247261" w:rsidP="00247261">
      <w:pPr>
        <w:pStyle w:val="ListNumber"/>
      </w:pPr>
      <w:r>
        <w:t>Policies and programs should be designed for scalability.</w:t>
      </w:r>
    </w:p>
    <w:p w14:paraId="59BAD1EB" w14:textId="77777777" w:rsidR="00247261" w:rsidRDefault="00247261" w:rsidP="00247261">
      <w:pPr>
        <w:pStyle w:val="ListNumber"/>
      </w:pPr>
      <w:r>
        <w:t>Costs and benefits should be considered more broadly than the energy sector.</w:t>
      </w:r>
    </w:p>
    <w:p w14:paraId="6F14119D" w14:textId="77777777" w:rsidR="00247261" w:rsidRDefault="00247261" w:rsidP="00247261">
      <w:pPr>
        <w:pStyle w:val="ListNumber"/>
      </w:pPr>
      <w:r>
        <w:t>Friction and burden should be reduced as much as possible for target households.</w:t>
      </w:r>
    </w:p>
    <w:p w14:paraId="6FF4ADCB" w14:textId="77777777" w:rsidR="00247261" w:rsidRDefault="00247261" w:rsidP="00247261">
      <w:pPr>
        <w:pStyle w:val="ListNumber"/>
      </w:pPr>
      <w:r>
        <w:t>Inclusive framing should be used in all policy and program communications.</w:t>
      </w:r>
    </w:p>
    <w:p w14:paraId="18BC2508" w14:textId="77777777" w:rsidR="00247261" w:rsidRDefault="00247261" w:rsidP="00247261">
      <w:pPr>
        <w:pStyle w:val="ListNumber"/>
      </w:pPr>
      <w:r>
        <w:t>The strategic context should be considered.</w:t>
      </w:r>
    </w:p>
    <w:p w14:paraId="306B319A" w14:textId="04E5671F" w:rsidR="00764D6A" w:rsidRDefault="00247261" w:rsidP="00247261">
      <w:pPr>
        <w:pStyle w:val="ListNumber"/>
      </w:pPr>
      <w:r>
        <w:t>Evaluation approach should be incorporated into the design of the policy or program from the outset.</w:t>
      </w:r>
    </w:p>
    <w:p w14:paraId="0E3BCCA6" w14:textId="77777777" w:rsidR="00B5005D" w:rsidRDefault="00B5005D" w:rsidP="00D92F6E">
      <w:pPr>
        <w:pStyle w:val="Heading3"/>
        <w:numPr>
          <w:ilvl w:val="0"/>
          <w:numId w:val="6"/>
        </w:numPr>
      </w:pPr>
      <w:bookmarkStart w:id="10" w:name="_Toc177742020"/>
      <w:bookmarkStart w:id="11" w:name="_Toc430782151"/>
      <w:r>
        <w:t xml:space="preserve">The driver or state of energy </w:t>
      </w:r>
      <w:r w:rsidRPr="004A000C">
        <w:t>hardship</w:t>
      </w:r>
      <w:r>
        <w:t xml:space="preserve"> to be addressed should be clearly defined</w:t>
      </w:r>
      <w:bookmarkEnd w:id="10"/>
      <w:r>
        <w:t xml:space="preserve"> </w:t>
      </w:r>
    </w:p>
    <w:p w14:paraId="2726BAA6" w14:textId="0C712A34" w:rsidR="00B5005D" w:rsidRDefault="000B2F70" w:rsidP="00B5005D">
      <w:pPr>
        <w:spacing w:after="0"/>
      </w:pPr>
      <w:r>
        <w:br/>
      </w:r>
      <w:r w:rsidR="00B5005D">
        <w:t>Energy equity is a multifaceted issue, and no individual policy or program can solve the entirety of the problem. For a policy or program to be successful, it must be tailored to specific drivers for customers at risk of vulnerability. If this is not properly defined, it risks:</w:t>
      </w:r>
    </w:p>
    <w:p w14:paraId="13D32A94" w14:textId="77777777" w:rsidR="00B5005D" w:rsidRDefault="00B5005D" w:rsidP="00D92F6E">
      <w:pPr>
        <w:pStyle w:val="ListParagraph"/>
        <w:numPr>
          <w:ilvl w:val="0"/>
          <w:numId w:val="15"/>
        </w:numPr>
        <w:spacing w:before="120" w:after="120" w:line="260" w:lineRule="atLeast"/>
        <w:contextualSpacing/>
      </w:pPr>
      <w:r>
        <w:t xml:space="preserve">developing duplicative policies and </w:t>
      </w:r>
      <w:proofErr w:type="gramStart"/>
      <w:r>
        <w:t>programs;</w:t>
      </w:r>
      <w:proofErr w:type="gramEnd"/>
    </w:p>
    <w:p w14:paraId="2715330E" w14:textId="77777777" w:rsidR="00B5005D" w:rsidRDefault="00B5005D" w:rsidP="00D92F6E">
      <w:pPr>
        <w:pStyle w:val="ListParagraph"/>
        <w:numPr>
          <w:ilvl w:val="0"/>
          <w:numId w:val="15"/>
        </w:numPr>
        <w:spacing w:before="120" w:after="120" w:line="260" w:lineRule="atLeast"/>
        <w:contextualSpacing/>
      </w:pPr>
      <w:r>
        <w:t xml:space="preserve">not effectively addressing the identified </w:t>
      </w:r>
      <w:proofErr w:type="gramStart"/>
      <w:r>
        <w:t>problem;</w:t>
      </w:r>
      <w:proofErr w:type="gramEnd"/>
      <w:r>
        <w:t xml:space="preserve"> </w:t>
      </w:r>
    </w:p>
    <w:p w14:paraId="735457E8" w14:textId="77777777" w:rsidR="00B5005D" w:rsidRDefault="00B5005D" w:rsidP="00D92F6E">
      <w:pPr>
        <w:pStyle w:val="ListParagraph"/>
        <w:numPr>
          <w:ilvl w:val="0"/>
          <w:numId w:val="15"/>
        </w:numPr>
        <w:spacing w:before="120" w:after="120" w:line="260" w:lineRule="atLeast"/>
        <w:contextualSpacing/>
      </w:pPr>
      <w:r>
        <w:t>not achieving the intended outcome(s</w:t>
      </w:r>
      <w:proofErr w:type="gramStart"/>
      <w:r>
        <w:t>);</w:t>
      </w:r>
      <w:proofErr w:type="gramEnd"/>
      <w:r>
        <w:t xml:space="preserve"> </w:t>
      </w:r>
    </w:p>
    <w:p w14:paraId="05BD457D" w14:textId="62AE2074" w:rsidR="00B5005D" w:rsidRDefault="00B5005D" w:rsidP="00D92F6E">
      <w:pPr>
        <w:pStyle w:val="ListParagraph"/>
        <w:numPr>
          <w:ilvl w:val="0"/>
          <w:numId w:val="15"/>
        </w:numPr>
        <w:spacing w:before="120" w:after="120" w:line="260" w:lineRule="atLeast"/>
        <w:contextualSpacing/>
      </w:pPr>
      <w:r>
        <w:t>not aligning with broader strategic goals.</w:t>
      </w:r>
      <w:r w:rsidR="00865FD3">
        <w:br/>
      </w:r>
    </w:p>
    <w:p w14:paraId="491F7698" w14:textId="64A1CC28" w:rsidR="00B5005D" w:rsidRDefault="00B5005D" w:rsidP="00D92F6E">
      <w:pPr>
        <w:pStyle w:val="Heading3"/>
        <w:numPr>
          <w:ilvl w:val="0"/>
          <w:numId w:val="6"/>
        </w:numPr>
      </w:pPr>
      <w:bookmarkStart w:id="12" w:name="_Toc177742021"/>
      <w:r>
        <w:t>Policies and programs should be designed for scalability</w:t>
      </w:r>
      <w:bookmarkEnd w:id="12"/>
    </w:p>
    <w:p w14:paraId="5715892C" w14:textId="77777777" w:rsidR="00B5005D" w:rsidRDefault="00B5005D" w:rsidP="00B5005D">
      <w:pPr>
        <w:spacing w:after="0"/>
      </w:pPr>
      <w:r>
        <w:t>There are many people who are facing hardship, vulnerability, or otherwise inequitable outcomes from the operation of the energy sector, and programs should be scaled according to this identified need. This includes:</w:t>
      </w:r>
    </w:p>
    <w:p w14:paraId="703C42A9" w14:textId="77777777" w:rsidR="00B5005D" w:rsidRDefault="00B5005D" w:rsidP="00D92F6E">
      <w:pPr>
        <w:pStyle w:val="ListParagraph"/>
        <w:numPr>
          <w:ilvl w:val="0"/>
          <w:numId w:val="16"/>
        </w:numPr>
        <w:spacing w:before="120" w:after="120" w:line="260" w:lineRule="atLeast"/>
        <w:contextualSpacing/>
      </w:pPr>
      <w:r>
        <w:t xml:space="preserve">sufficient funding to deliver benefits to the entire target population, or a clear pathway for ongoing </w:t>
      </w:r>
      <w:proofErr w:type="gramStart"/>
      <w:r>
        <w:t>funding;</w:t>
      </w:r>
      <w:proofErr w:type="gramEnd"/>
    </w:p>
    <w:p w14:paraId="52D639E4" w14:textId="77777777" w:rsidR="00B5005D" w:rsidRDefault="00B5005D" w:rsidP="00D92F6E">
      <w:pPr>
        <w:pStyle w:val="ListParagraph"/>
        <w:numPr>
          <w:ilvl w:val="0"/>
          <w:numId w:val="16"/>
        </w:numPr>
        <w:spacing w:before="120" w:after="120" w:line="260" w:lineRule="atLeast"/>
        <w:contextualSpacing/>
      </w:pPr>
      <w:r>
        <w:t xml:space="preserve">a scalable delivery model which can effectively identify and reach the target </w:t>
      </w:r>
      <w:proofErr w:type="gramStart"/>
      <w:r>
        <w:t>population;</w:t>
      </w:r>
      <w:proofErr w:type="gramEnd"/>
    </w:p>
    <w:p w14:paraId="7F77BA43" w14:textId="77777777" w:rsidR="00B5005D" w:rsidRDefault="00B5005D" w:rsidP="00D92F6E">
      <w:pPr>
        <w:pStyle w:val="ListParagraph"/>
        <w:numPr>
          <w:ilvl w:val="0"/>
          <w:numId w:val="16"/>
        </w:numPr>
        <w:spacing w:before="120" w:after="120" w:line="260" w:lineRule="atLeast"/>
        <w:contextualSpacing/>
      </w:pPr>
      <w:r>
        <w:t>addressing the root cause of the problem rather than symptoms, to minimise the need for future action.</w:t>
      </w:r>
    </w:p>
    <w:p w14:paraId="6A54D367" w14:textId="77777777" w:rsidR="000B2F70" w:rsidRDefault="000B2F70" w:rsidP="000B2F70">
      <w:pPr>
        <w:spacing w:before="120" w:after="120" w:line="260" w:lineRule="atLeast"/>
        <w:contextualSpacing/>
      </w:pPr>
    </w:p>
    <w:p w14:paraId="53BDBA4A" w14:textId="77777777" w:rsidR="00B872F2" w:rsidRDefault="00B872F2" w:rsidP="00D92F6E">
      <w:pPr>
        <w:pStyle w:val="Heading3"/>
        <w:numPr>
          <w:ilvl w:val="0"/>
          <w:numId w:val="6"/>
        </w:numPr>
      </w:pPr>
      <w:bookmarkStart w:id="13" w:name="_Toc177742022"/>
      <w:r>
        <w:lastRenderedPageBreak/>
        <w:t>Costs and benefits should be considered more broadly than the energy sector</w:t>
      </w:r>
      <w:bookmarkEnd w:id="13"/>
    </w:p>
    <w:p w14:paraId="22782836" w14:textId="7FA8286D" w:rsidR="000B2F70" w:rsidRDefault="00B872F2" w:rsidP="00B872F2">
      <w:pPr>
        <w:spacing w:before="120" w:after="120" w:line="260" w:lineRule="atLeast"/>
        <w:contextualSpacing/>
      </w:pPr>
      <w:r>
        <w:t xml:space="preserve">The </w:t>
      </w:r>
      <w:r w:rsidR="00982178">
        <w:t>f</w:t>
      </w:r>
      <w:r>
        <w:t>ramework is designed to help improve energy equity outcomes and is not intended to be a guide for policies or programs beyond energy. However, equitable energy policies and programs are likely to have significant benefits beyond the scope of these energy outcomes. For example, a policy that improves access to energy efficiency for households experiencing energy hardship could help reduce exposure to extreme heat and cold, providing health benefits. In considering costs and benefits, policymakers should consult with relevant agencies to quantify these benefits and minimise the effects of siloing.</w:t>
      </w:r>
    </w:p>
    <w:p w14:paraId="12FE00EA" w14:textId="77777777" w:rsidR="00981757" w:rsidRDefault="00981757" w:rsidP="00B872F2">
      <w:pPr>
        <w:spacing w:before="120" w:after="120" w:line="260" w:lineRule="atLeast"/>
        <w:contextualSpacing/>
      </w:pPr>
    </w:p>
    <w:p w14:paraId="66A1DCA0" w14:textId="77777777" w:rsidR="00981757" w:rsidRDefault="00981757" w:rsidP="00D92F6E">
      <w:pPr>
        <w:pStyle w:val="Heading3"/>
        <w:numPr>
          <w:ilvl w:val="0"/>
          <w:numId w:val="6"/>
        </w:numPr>
      </w:pPr>
      <w:bookmarkStart w:id="14" w:name="_Toc177742023"/>
      <w:r>
        <w:t>Friction and burden should be reduced as much as possible for target households</w:t>
      </w:r>
      <w:bookmarkEnd w:id="14"/>
    </w:p>
    <w:p w14:paraId="6A99DCF6" w14:textId="77777777" w:rsidR="00981757" w:rsidRDefault="00981757" w:rsidP="00981757">
      <w:r>
        <w:t>There are five key design criteria which influence the accessibility of a policy or program by</w:t>
      </w:r>
      <w:r w:rsidRPr="00533CFA">
        <w:t xml:space="preserve"> </w:t>
      </w:r>
      <w:r>
        <w:t>target households in particular vulnerability or hardship states. If these accessibility criteria are not addressed during the design phase, the policy or program risks unknowingly excluding households in need or including households who are not in need. These criteria include:</w:t>
      </w:r>
    </w:p>
    <w:p w14:paraId="2BBEA65B" w14:textId="77777777" w:rsidR="00981757" w:rsidRDefault="00981757" w:rsidP="00D92F6E">
      <w:pPr>
        <w:pStyle w:val="ListParagraph"/>
        <w:numPr>
          <w:ilvl w:val="0"/>
          <w:numId w:val="17"/>
        </w:numPr>
        <w:spacing w:before="120" w:after="120" w:line="260" w:lineRule="atLeast"/>
        <w:contextualSpacing/>
      </w:pPr>
      <w:r w:rsidRPr="00B44579">
        <w:rPr>
          <w:b/>
          <w:bCs/>
        </w:rPr>
        <w:t>Eligibility criteria</w:t>
      </w:r>
      <w:r>
        <w:t xml:space="preserve"> – criteria should be developed using the D-I-O, ABATE and P-S-R models (discussed in sections 2, 3 and 4 below), and include households based on an identified need to ensure that eligible participants are those who would benefit most from the policy or program. </w:t>
      </w:r>
    </w:p>
    <w:p w14:paraId="4C00B47E" w14:textId="77777777" w:rsidR="00981757" w:rsidRDefault="00981757" w:rsidP="00D92F6E">
      <w:pPr>
        <w:pStyle w:val="ListParagraph"/>
        <w:numPr>
          <w:ilvl w:val="0"/>
          <w:numId w:val="17"/>
        </w:numPr>
        <w:spacing w:before="120" w:after="120" w:line="260" w:lineRule="atLeast"/>
        <w:contextualSpacing/>
      </w:pPr>
      <w:r w:rsidRPr="00AA1ED5">
        <w:rPr>
          <w:b/>
          <w:bCs/>
        </w:rPr>
        <w:t>Ease of use –</w:t>
      </w:r>
      <w:r>
        <w:t xml:space="preserve"> the application process must be easy to navigate and sensitive to the personal circumstances of households. Where possible, programs should consider removing the need for target households to apply by implementing auto-enrolment for eligible households where possible. </w:t>
      </w:r>
    </w:p>
    <w:p w14:paraId="521931E5" w14:textId="77777777" w:rsidR="00981757" w:rsidRDefault="00981757" w:rsidP="00D92F6E">
      <w:pPr>
        <w:pStyle w:val="ListParagraph"/>
        <w:numPr>
          <w:ilvl w:val="0"/>
          <w:numId w:val="17"/>
        </w:numPr>
        <w:spacing w:before="120" w:after="120" w:line="260" w:lineRule="atLeast"/>
        <w:contextualSpacing/>
      </w:pPr>
      <w:r w:rsidRPr="00AA1ED5">
        <w:rPr>
          <w:b/>
          <w:bCs/>
        </w:rPr>
        <w:t>Affordability</w:t>
      </w:r>
      <w:r>
        <w:t xml:space="preserve"> – remove / minimise cost barriers, e.g., high upfront costs, loan schemes or co-payments for those households who are unable to afford upfront costs or ongoing loans.</w:t>
      </w:r>
    </w:p>
    <w:p w14:paraId="7EB0E25C" w14:textId="77777777" w:rsidR="006B3B85" w:rsidRDefault="00981757" w:rsidP="00D92F6E">
      <w:pPr>
        <w:pStyle w:val="ListParagraph"/>
        <w:numPr>
          <w:ilvl w:val="0"/>
          <w:numId w:val="17"/>
        </w:numPr>
        <w:spacing w:before="120" w:after="120" w:line="260" w:lineRule="atLeast"/>
        <w:contextualSpacing/>
      </w:pPr>
      <w:r w:rsidRPr="00AA1ED5">
        <w:rPr>
          <w:b/>
          <w:bCs/>
        </w:rPr>
        <w:t xml:space="preserve">Structural </w:t>
      </w:r>
      <w:r>
        <w:t>– design policies and programs around barriers which households have no control over, e.g., a tenant being unable to upgrade the energy efficiency of their home without gaining consent from their landlord.</w:t>
      </w:r>
    </w:p>
    <w:p w14:paraId="37EEFE63" w14:textId="3706106C" w:rsidR="00981757" w:rsidRDefault="00981757" w:rsidP="00D92F6E">
      <w:pPr>
        <w:pStyle w:val="ListParagraph"/>
        <w:numPr>
          <w:ilvl w:val="0"/>
          <w:numId w:val="17"/>
        </w:numPr>
        <w:spacing w:before="120" w:after="120" w:line="260" w:lineRule="atLeast"/>
        <w:contextualSpacing/>
      </w:pPr>
      <w:r w:rsidRPr="006B3B85">
        <w:rPr>
          <w:b/>
          <w:bCs/>
        </w:rPr>
        <w:t>Awareness –</w:t>
      </w:r>
      <w:r>
        <w:t xml:space="preserve"> policies and programs must be promoted sufficiently to the target population.</w:t>
      </w:r>
    </w:p>
    <w:p w14:paraId="014DCBFF" w14:textId="77777777" w:rsidR="00B60597" w:rsidRDefault="00B60597" w:rsidP="00B60597">
      <w:pPr>
        <w:spacing w:before="120" w:after="120" w:line="260" w:lineRule="atLeast"/>
        <w:contextualSpacing/>
      </w:pPr>
    </w:p>
    <w:p w14:paraId="05278D46" w14:textId="77777777" w:rsidR="00B60597" w:rsidRDefault="00B60597" w:rsidP="00D92F6E">
      <w:pPr>
        <w:pStyle w:val="Heading3"/>
        <w:numPr>
          <w:ilvl w:val="0"/>
          <w:numId w:val="6"/>
        </w:numPr>
      </w:pPr>
      <w:bookmarkStart w:id="15" w:name="_Toc177742024"/>
      <w:r>
        <w:t>Inclusive framing should be used in all policy and program communications</w:t>
      </w:r>
      <w:bookmarkEnd w:id="15"/>
      <w:r>
        <w:t xml:space="preserve"> </w:t>
      </w:r>
    </w:p>
    <w:p w14:paraId="29D5ABAB" w14:textId="59637B36" w:rsidR="00B60597" w:rsidRDefault="00B60597" w:rsidP="00B60597">
      <w:pPr>
        <w:spacing w:before="120" w:after="120" w:line="260" w:lineRule="atLeast"/>
        <w:contextualSpacing/>
      </w:pPr>
      <w:r>
        <w:t>Ill-chosen language risks stigmatising the target population or raising feelings of shame, guilt and/or embarrassment. This may deter people from participating, especially those who are vulnerable to but not facing energy hardship, or who may already be reluctant to access support. Consideration should be made for whether language is positively or negatively framed.</w:t>
      </w:r>
    </w:p>
    <w:p w14:paraId="107FB81A" w14:textId="77777777" w:rsidR="00B60597" w:rsidRDefault="00B60597" w:rsidP="00B60597">
      <w:pPr>
        <w:spacing w:before="120" w:after="120" w:line="260" w:lineRule="atLeast"/>
        <w:contextualSpacing/>
      </w:pPr>
    </w:p>
    <w:p w14:paraId="258E6C69" w14:textId="66987859" w:rsidR="00587D14" w:rsidRPr="00587D14" w:rsidRDefault="00587D14" w:rsidP="00D92F6E">
      <w:pPr>
        <w:pStyle w:val="Heading3"/>
        <w:numPr>
          <w:ilvl w:val="0"/>
          <w:numId w:val="6"/>
        </w:numPr>
      </w:pPr>
      <w:bookmarkStart w:id="16" w:name="_Toc177742025"/>
      <w:r w:rsidRPr="00587D14">
        <w:t>The strategic context should be considered</w:t>
      </w:r>
      <w:bookmarkEnd w:id="16"/>
    </w:p>
    <w:p w14:paraId="63E1CEC3" w14:textId="77777777" w:rsidR="00587D14" w:rsidRPr="001138EB" w:rsidRDefault="00587D14" w:rsidP="00587D14">
      <w:r>
        <w:t xml:space="preserve">Individual programs and policies should be aligned with broader strategic goals around energy equity and reducing energy hardship, as well as the broader goal of an equitable transition to Net Zero. Programs should be designed to complement existing policies and programs wherever possible, </w:t>
      </w:r>
      <w:r>
        <w:lastRenderedPageBreak/>
        <w:t>which may exist at different levels of government. Not aligning a policy/program with broader strategic goals and existing policies and programs risks efforts becoming fragmented or duplicated. Energy hardship is a complex problem that likely needs to be addressed by a suite of complementary policies and programs.</w:t>
      </w:r>
    </w:p>
    <w:p w14:paraId="68C5E7C7" w14:textId="5E6A1193" w:rsidR="00587D14" w:rsidRDefault="00587D14" w:rsidP="00D92F6E">
      <w:pPr>
        <w:pStyle w:val="Heading3"/>
        <w:numPr>
          <w:ilvl w:val="0"/>
          <w:numId w:val="6"/>
        </w:numPr>
      </w:pPr>
      <w:bookmarkStart w:id="17" w:name="_Toc177742026"/>
      <w:r w:rsidRPr="00587D14">
        <w:rPr>
          <w:bCs w:val="0"/>
        </w:rPr>
        <w:t>Evaluation approach should be incorporated into the design of the policy or program from the outset</w:t>
      </w:r>
      <w:bookmarkEnd w:id="17"/>
    </w:p>
    <w:p w14:paraId="318DC62E" w14:textId="0B93A71A" w:rsidR="00914E4F" w:rsidRDefault="00587D14" w:rsidP="00D93746">
      <w:pPr>
        <w:spacing w:before="120" w:after="120" w:line="260" w:lineRule="atLeast"/>
        <w:contextualSpacing/>
      </w:pPr>
      <w:r>
        <w:t>Early identification and development of an evaluation plan ensures that the key indicators of success can be built into the policy or program from the policy or program’s inception, ensuring that the success of the measure can be properly evaluated. This can allow for real-time monitoring of results, which can enable an iterative approach to policy implementation which is otherwise impossible.</w:t>
      </w:r>
    </w:p>
    <w:p w14:paraId="427E14EE" w14:textId="3A7E5442" w:rsidR="00D93746" w:rsidRPr="0036448E" w:rsidRDefault="00D93746" w:rsidP="00D93746">
      <w:pPr>
        <w:pStyle w:val="Heading2"/>
      </w:pPr>
      <w:r>
        <w:br/>
      </w:r>
      <w:bookmarkStart w:id="18" w:name="_Toc177742027"/>
      <w:r>
        <w:t>Establishing c</w:t>
      </w:r>
      <w:r w:rsidRPr="004A1F26">
        <w:t>ommon language</w:t>
      </w:r>
      <w:r>
        <w:t xml:space="preserve"> and understanding</w:t>
      </w:r>
      <w:bookmarkEnd w:id="18"/>
    </w:p>
    <w:p w14:paraId="7C86E341" w14:textId="06490716" w:rsidR="00BD4126" w:rsidRDefault="00BD4126" w:rsidP="00BD4126">
      <w:bookmarkStart w:id="19" w:name="_Hlk176187463"/>
      <w:r>
        <w:t xml:space="preserve">The concept of energy equity has historically been inadequately defined. The </w:t>
      </w:r>
      <w:r w:rsidR="00982178">
        <w:t>f</w:t>
      </w:r>
      <w:r>
        <w:t xml:space="preserve">ramework, developed with input from researchers, consumers, and consumer advocates, has developed a </w:t>
      </w:r>
      <w:r w:rsidRPr="009D53F2">
        <w:t>clear definition</w:t>
      </w:r>
      <w:r>
        <w:t xml:space="preserve"> for use by governments.</w:t>
      </w:r>
    </w:p>
    <w:p w14:paraId="15C4C15E" w14:textId="61137D3B" w:rsidR="00DC4286" w:rsidRDefault="00BD4126" w:rsidP="00BD4126">
      <w:r>
        <w:t xml:space="preserve">The </w:t>
      </w:r>
      <w:r w:rsidR="00982178">
        <w:t>f</w:t>
      </w:r>
      <w:r>
        <w:t>ramework provides a tool, the ABATE model, for categorising energy hardship and vulnerability states to assist in designing policies and programs. It is not intended to replace or otherwise effect the definition of hardship which is included in the National Energy Retail Law. The ABATE model is designed to usefully delineate between different hardship and vulnerability states.</w:t>
      </w:r>
      <w:bookmarkEnd w:id="19"/>
    </w:p>
    <w:p w14:paraId="616A0E3A" w14:textId="77777777" w:rsidR="00DA39B9" w:rsidRDefault="00DC4286" w:rsidP="00576259">
      <w:pPr>
        <w:pStyle w:val="Heading3"/>
        <w:numPr>
          <w:ilvl w:val="0"/>
          <w:numId w:val="0"/>
        </w:numPr>
        <w:ind w:left="964" w:hanging="964"/>
      </w:pPr>
      <w:bookmarkStart w:id="20" w:name="_Toc177742028"/>
      <w:r>
        <w:t>What is energy equity?</w:t>
      </w:r>
      <w:bookmarkEnd w:id="20"/>
    </w:p>
    <w:p w14:paraId="1116D6EC" w14:textId="4AFC6036" w:rsidR="00DA39B9" w:rsidRPr="009D53F2" w:rsidRDefault="00DA39B9" w:rsidP="00DA39B9">
      <w:pPr>
        <w:rPr>
          <w:b/>
          <w:bCs/>
        </w:rPr>
      </w:pPr>
      <w:r>
        <w:rPr>
          <w:b/>
          <w:bCs/>
        </w:rPr>
        <w:br/>
      </w:r>
      <w:r w:rsidRPr="009D53F2">
        <w:rPr>
          <w:b/>
          <w:bCs/>
        </w:rPr>
        <w:t xml:space="preserve">Energy equity exists where all consumers can fairly access and benefit from the energy system. </w:t>
      </w:r>
    </w:p>
    <w:p w14:paraId="343FD92D" w14:textId="77777777" w:rsidR="00DA39B9" w:rsidRPr="002650D4" w:rsidRDefault="00DA39B9" w:rsidP="00DA39B9">
      <w:pPr>
        <w:contextualSpacing/>
      </w:pPr>
      <w:r w:rsidRPr="002650D4">
        <w:t>In the context of the energy market and energy transition, moving toward energy equity means:</w:t>
      </w:r>
    </w:p>
    <w:p w14:paraId="107B6B18" w14:textId="77777777" w:rsidR="00DA39B9" w:rsidRPr="002650D4" w:rsidRDefault="00DA39B9" w:rsidP="00D92F6E">
      <w:pPr>
        <w:numPr>
          <w:ilvl w:val="0"/>
          <w:numId w:val="18"/>
        </w:numPr>
        <w:spacing w:before="120" w:after="120" w:line="260" w:lineRule="atLeast"/>
        <w:contextualSpacing/>
      </w:pPr>
      <w:r w:rsidRPr="002650D4">
        <w:t xml:space="preserve">Decision-making, policies, and programs address differences in access and benefits between consumers leading to inequality.  </w:t>
      </w:r>
    </w:p>
    <w:p w14:paraId="69C81FBA" w14:textId="77777777" w:rsidR="00DA39B9" w:rsidRPr="002650D4" w:rsidRDefault="00DA39B9" w:rsidP="00D92F6E">
      <w:pPr>
        <w:numPr>
          <w:ilvl w:val="0"/>
          <w:numId w:val="18"/>
        </w:numPr>
        <w:spacing w:before="120" w:after="120" w:line="260" w:lineRule="atLeast"/>
      </w:pPr>
      <w:r w:rsidRPr="002650D4">
        <w:t>Social and distributional impacts and procedural justice are considered in decision making.</w:t>
      </w:r>
    </w:p>
    <w:p w14:paraId="3D7622A0" w14:textId="77777777" w:rsidR="00DA39B9" w:rsidRDefault="00DA39B9" w:rsidP="00DA39B9">
      <w:pPr>
        <w:contextualSpacing/>
      </w:pPr>
    </w:p>
    <w:p w14:paraId="781B17DB" w14:textId="77777777" w:rsidR="00DA39B9" w:rsidRPr="002650D4" w:rsidRDefault="00DA39B9" w:rsidP="00DA39B9">
      <w:pPr>
        <w:contextualSpacing/>
      </w:pPr>
      <w:r w:rsidRPr="002650D4">
        <w:t>This could include:</w:t>
      </w:r>
    </w:p>
    <w:p w14:paraId="426F348E" w14:textId="77777777" w:rsidR="00DA39B9" w:rsidRPr="002650D4" w:rsidRDefault="00DA39B9" w:rsidP="00D92F6E">
      <w:pPr>
        <w:numPr>
          <w:ilvl w:val="0"/>
          <w:numId w:val="19"/>
        </w:numPr>
        <w:spacing w:before="120" w:after="120" w:line="260" w:lineRule="atLeast"/>
        <w:contextualSpacing/>
      </w:pPr>
      <w:r w:rsidRPr="002650D4">
        <w:t xml:space="preserve">Addressing structural barriers to enable all consumers </w:t>
      </w:r>
      <w:r>
        <w:t>to</w:t>
      </w:r>
      <w:r w:rsidRPr="002650D4">
        <w:t xml:space="preserve"> access benefits relating to energy. </w:t>
      </w:r>
    </w:p>
    <w:p w14:paraId="272295F7" w14:textId="3F3FF923" w:rsidR="00B60597" w:rsidRDefault="00DA39B9" w:rsidP="00D92F6E">
      <w:pPr>
        <w:numPr>
          <w:ilvl w:val="0"/>
          <w:numId w:val="19"/>
        </w:numPr>
        <w:spacing w:before="120" w:after="120" w:line="260" w:lineRule="atLeast"/>
        <w:contextualSpacing/>
      </w:pPr>
      <w:r w:rsidRPr="002650D4">
        <w:t>Ensuring decisions, policies and programs do not create or exacerbate vulnerability.</w:t>
      </w:r>
      <w:r w:rsidR="00B60597">
        <w:br w:type="page"/>
      </w:r>
    </w:p>
    <w:p w14:paraId="3B3E1595" w14:textId="77777777" w:rsidR="000F043D" w:rsidRDefault="000F043D" w:rsidP="000F043D">
      <w:pPr>
        <w:pStyle w:val="Heading3"/>
        <w:numPr>
          <w:ilvl w:val="0"/>
          <w:numId w:val="0"/>
        </w:numPr>
        <w:ind w:left="964" w:hanging="964"/>
      </w:pPr>
      <w:bookmarkStart w:id="21" w:name="_Toc177742029"/>
      <w:r>
        <w:lastRenderedPageBreak/>
        <w:t>Hardship and vulnerability states – the ABATE model</w:t>
      </w:r>
      <w:bookmarkEnd w:id="21"/>
    </w:p>
    <w:p w14:paraId="57CEBA49" w14:textId="77777777" w:rsidR="000F043D" w:rsidRDefault="000F043D" w:rsidP="000F043D">
      <w:pPr>
        <w:spacing w:line="240" w:lineRule="auto"/>
      </w:pPr>
      <w:r>
        <w:t>Households can fall in and out of hardship and may experience hardship to various degrees. The ABATE model (of hardship states) demonstrates four states of hardship depicting varied household experiences based on duration and severity of suffering. It includes three states of vulnerability, as well as the most common pathways through which consumers move between states.</w:t>
      </w:r>
    </w:p>
    <w:p w14:paraId="30CD7576" w14:textId="77777777" w:rsidR="000F043D" w:rsidRDefault="000F043D" w:rsidP="000F043D">
      <w:r>
        <w:t>The ABATE vulnerability and hardship states aim to provide nuance to actual household experiences by describing the different states of energy hardship.</w:t>
      </w:r>
    </w:p>
    <w:p w14:paraId="7C30D373" w14:textId="77777777" w:rsidR="00865FD3" w:rsidRDefault="000F043D" w:rsidP="00865FD3">
      <w:pPr>
        <w:keepNext/>
        <w:spacing w:line="240" w:lineRule="auto"/>
      </w:pPr>
      <w:r w:rsidRPr="00FF0492">
        <w:rPr>
          <w:rFonts w:ascii="Calibri" w:hAnsi="Calibri" w:cs="Calibri"/>
          <w:b/>
          <w:noProof/>
        </w:rPr>
        <w:drawing>
          <wp:inline distT="0" distB="0" distL="0" distR="0" wp14:anchorId="470A8E7B" wp14:editId="496E0A98">
            <wp:extent cx="5504544" cy="3457575"/>
            <wp:effectExtent l="0" t="0" r="1270" b="0"/>
            <wp:docPr id="470686439" name="Picture 1" descr="Figure 1: The ABATE model illustrating the different states of energy hardship that may be experienced by househol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86439" name="Picture 1" descr="Figure 1: The ABATE model illustrating the different states of energy hardship that may be experienced by households. "/>
                    <pic:cNvPicPr/>
                  </pic:nvPicPr>
                  <pic:blipFill>
                    <a:blip r:embed="rId22"/>
                    <a:stretch>
                      <a:fillRect/>
                    </a:stretch>
                  </pic:blipFill>
                  <pic:spPr>
                    <a:xfrm>
                      <a:off x="0" y="0"/>
                      <a:ext cx="5507299" cy="3459306"/>
                    </a:xfrm>
                    <a:prstGeom prst="rect">
                      <a:avLst/>
                    </a:prstGeom>
                  </pic:spPr>
                </pic:pic>
              </a:graphicData>
            </a:graphic>
          </wp:inline>
        </w:drawing>
      </w:r>
    </w:p>
    <w:p w14:paraId="551FFBC5" w14:textId="21583555" w:rsidR="000F043D" w:rsidRDefault="00865FD3" w:rsidP="00865FD3">
      <w:pPr>
        <w:pStyle w:val="Caption"/>
        <w:rPr>
          <w:b w:val="0"/>
          <w:bCs w:val="0"/>
          <w:i/>
          <w:iCs/>
          <w:sz w:val="20"/>
          <w:szCs w:val="20"/>
        </w:rPr>
      </w:pPr>
      <w:r w:rsidRPr="00865FD3">
        <w:rPr>
          <w:b w:val="0"/>
          <w:bCs w:val="0"/>
          <w:i/>
          <w:iCs/>
          <w:sz w:val="20"/>
          <w:szCs w:val="20"/>
        </w:rPr>
        <w:t xml:space="preserve">Figure </w:t>
      </w:r>
      <w:r w:rsidRPr="00865FD3">
        <w:rPr>
          <w:b w:val="0"/>
          <w:bCs w:val="0"/>
          <w:i/>
          <w:iCs/>
          <w:sz w:val="20"/>
          <w:szCs w:val="20"/>
        </w:rPr>
        <w:fldChar w:fldCharType="begin"/>
      </w:r>
      <w:r w:rsidRPr="00865FD3">
        <w:rPr>
          <w:b w:val="0"/>
          <w:bCs w:val="0"/>
          <w:i/>
          <w:iCs/>
          <w:sz w:val="20"/>
          <w:szCs w:val="20"/>
        </w:rPr>
        <w:instrText xml:space="preserve"> SEQ Figure \* ARABIC </w:instrText>
      </w:r>
      <w:r w:rsidRPr="00865FD3">
        <w:rPr>
          <w:b w:val="0"/>
          <w:bCs w:val="0"/>
          <w:i/>
          <w:iCs/>
          <w:sz w:val="20"/>
          <w:szCs w:val="20"/>
        </w:rPr>
        <w:fldChar w:fldCharType="separate"/>
      </w:r>
      <w:r w:rsidR="001C5293">
        <w:rPr>
          <w:b w:val="0"/>
          <w:bCs w:val="0"/>
          <w:i/>
          <w:iCs/>
          <w:noProof/>
          <w:sz w:val="20"/>
          <w:szCs w:val="20"/>
        </w:rPr>
        <w:t>1</w:t>
      </w:r>
      <w:r w:rsidRPr="00865FD3">
        <w:rPr>
          <w:b w:val="0"/>
          <w:bCs w:val="0"/>
          <w:i/>
          <w:iCs/>
          <w:sz w:val="20"/>
          <w:szCs w:val="20"/>
        </w:rPr>
        <w:fldChar w:fldCharType="end"/>
      </w:r>
      <w:r>
        <w:rPr>
          <w:b w:val="0"/>
          <w:bCs w:val="0"/>
          <w:i/>
          <w:iCs/>
          <w:sz w:val="20"/>
          <w:szCs w:val="20"/>
        </w:rPr>
        <w:t xml:space="preserve"> </w:t>
      </w:r>
      <w:r w:rsidR="00F43FE6">
        <w:rPr>
          <w:b w:val="0"/>
          <w:bCs w:val="0"/>
          <w:i/>
          <w:iCs/>
          <w:sz w:val="20"/>
          <w:szCs w:val="20"/>
        </w:rPr>
        <w:t>T</w:t>
      </w:r>
      <w:r>
        <w:rPr>
          <w:b w:val="0"/>
          <w:bCs w:val="0"/>
          <w:i/>
          <w:iCs/>
          <w:sz w:val="20"/>
          <w:szCs w:val="20"/>
        </w:rPr>
        <w:t>he ABATE model</w:t>
      </w:r>
    </w:p>
    <w:p w14:paraId="6898A0DC" w14:textId="77777777" w:rsidR="00865FD3" w:rsidRPr="00865FD3" w:rsidRDefault="00865FD3" w:rsidP="00865FD3"/>
    <w:p w14:paraId="684FEF3B" w14:textId="77777777" w:rsidR="007C4017" w:rsidRPr="00EA40C5" w:rsidRDefault="007C4017" w:rsidP="00EA40C5">
      <w:pPr>
        <w:pStyle w:val="Heading4"/>
        <w:numPr>
          <w:ilvl w:val="0"/>
          <w:numId w:val="0"/>
        </w:numPr>
        <w:ind w:left="964" w:hanging="964"/>
      </w:pPr>
      <w:r w:rsidRPr="00EA40C5">
        <w:t>Hardship states</w:t>
      </w:r>
    </w:p>
    <w:p w14:paraId="5D999475" w14:textId="77777777" w:rsidR="007C4017" w:rsidRDefault="007C4017" w:rsidP="007C4017">
      <w:r w:rsidRPr="00C42A3E">
        <w:rPr>
          <w:b/>
          <w:bCs/>
        </w:rPr>
        <w:t>Acute hardship</w:t>
      </w:r>
      <w:r>
        <w:t xml:space="preserve"> – this is a severe and short-term state of energy hardship, whereby a household may experience a sudden change in their situation that causes severe suffering because of their energy bills. Without adequate support, these households will likely remain in energy hardship for longer, moving into the extreme hardship state. </w:t>
      </w:r>
    </w:p>
    <w:p w14:paraId="67E1272A" w14:textId="77777777" w:rsidR="007C4017" w:rsidRDefault="007C4017" w:rsidP="007C4017">
      <w:r w:rsidRPr="00C42A3E">
        <w:rPr>
          <w:b/>
          <w:bCs/>
        </w:rPr>
        <w:t>Battle-on hardship</w:t>
      </w:r>
      <w:r>
        <w:t xml:space="preserve"> – this is a mild but enduring state of energy hardship, where a household will struggle with every energy bill and manage to get by, but usually accrue debt. If the household’s challenges are addressed, they can move out of hardship from this state. </w:t>
      </w:r>
    </w:p>
    <w:p w14:paraId="43A86E38" w14:textId="77777777" w:rsidR="007C4017" w:rsidRDefault="007C4017" w:rsidP="007C4017">
      <w:r w:rsidRPr="00C42A3E">
        <w:rPr>
          <w:b/>
          <w:bCs/>
        </w:rPr>
        <w:t>Transient hardship</w:t>
      </w:r>
      <w:r>
        <w:t xml:space="preserve"> – this is a mild and short-term (0–6 months) state of energy hardship; however, without adequate support, households in transient hardship may move into a long-term state and experience frequent hardship.</w:t>
      </w:r>
    </w:p>
    <w:p w14:paraId="54E7E948" w14:textId="77777777" w:rsidR="000A517D" w:rsidRDefault="007C4017" w:rsidP="00F03FAF">
      <w:r w:rsidRPr="3CEE5005">
        <w:rPr>
          <w:b/>
          <w:bCs/>
        </w:rPr>
        <w:t>Extreme hardship</w:t>
      </w:r>
      <w:r w:rsidRPr="00F03FAF">
        <w:rPr>
          <w:b/>
          <w:bCs/>
        </w:rPr>
        <w:t xml:space="preserve"> – </w:t>
      </w:r>
      <w:r w:rsidRPr="00F03FAF">
        <w:t>this is the most critical form of energy hardship, as households in this state experience severe, enduring hardship. It is likely that these households will require maximum assistance.</w:t>
      </w:r>
    </w:p>
    <w:p w14:paraId="2BB1C059" w14:textId="77777777" w:rsidR="000A517D" w:rsidRDefault="000A517D" w:rsidP="00F03FAF"/>
    <w:p w14:paraId="5D2CD5A5" w14:textId="77777777" w:rsidR="000A517D" w:rsidRPr="000A517D" w:rsidRDefault="000A517D" w:rsidP="000A517D">
      <w:pPr>
        <w:pStyle w:val="Heading5"/>
        <w:spacing w:after="160"/>
        <w:rPr>
          <w:sz w:val="28"/>
          <w:szCs w:val="28"/>
        </w:rPr>
      </w:pPr>
      <w:r w:rsidRPr="000A517D">
        <w:rPr>
          <w:sz w:val="28"/>
          <w:szCs w:val="28"/>
        </w:rPr>
        <w:t>Vulnerability states</w:t>
      </w:r>
    </w:p>
    <w:p w14:paraId="1C0D0771" w14:textId="77777777" w:rsidR="000A517D" w:rsidRDefault="000A517D" w:rsidP="000A517D">
      <w:r w:rsidRPr="00C42A3E">
        <w:rPr>
          <w:b/>
          <w:bCs/>
        </w:rPr>
        <w:t>Alert vulnerability –</w:t>
      </w:r>
      <w:r>
        <w:t xml:space="preserve"> this high-vulnerability state takes place just before the household enters transient hardship. It is a mild and short-term state, where the household is alert to the potential impact of pending changes in their life.</w:t>
      </w:r>
    </w:p>
    <w:p w14:paraId="3AE32E20" w14:textId="77777777" w:rsidR="000A517D" w:rsidRPr="00C42A3E" w:rsidRDefault="000A517D" w:rsidP="000A517D">
      <w:r w:rsidRPr="00C42A3E">
        <w:rPr>
          <w:b/>
          <w:bCs/>
        </w:rPr>
        <w:t>Alarmed vulnerability –</w:t>
      </w:r>
      <w:r>
        <w:t xml:space="preserve"> this high-vulnerability state takes place just before the household enters acute hardship. It is a short-term state that can be severe, where the household is alarmed about how they will cope with a drastic change in their circumstances.</w:t>
      </w:r>
    </w:p>
    <w:p w14:paraId="062D903B" w14:textId="77777777" w:rsidR="000A517D" w:rsidRDefault="000A517D" w:rsidP="000A517D">
      <w:r w:rsidRPr="3CEE5005">
        <w:rPr>
          <w:b/>
          <w:bCs/>
        </w:rPr>
        <w:t xml:space="preserve">Apprehensive vulnerability </w:t>
      </w:r>
      <w:r>
        <w:t>– this is the state experienced just after battle-on state (a common exit point). Households are apprehensive about their situation worsening again; they may have a high risk of falling back into hardship and so remain “apprehensive”. These households would benefit from preventative policies that reduce their vulnerability to energy hardship.</w:t>
      </w:r>
    </w:p>
    <w:p w14:paraId="5119287D" w14:textId="77777777" w:rsidR="00D92F6E" w:rsidRPr="00703777" w:rsidRDefault="00D92F6E" w:rsidP="00342C94">
      <w:pPr>
        <w:pStyle w:val="Heading2"/>
      </w:pPr>
      <w:bookmarkStart w:id="22" w:name="_Toc177742030"/>
      <w:r w:rsidRPr="00342C94">
        <w:t>Measuring the extent and distribution of hardship and vulnerability</w:t>
      </w:r>
      <w:bookmarkEnd w:id="22"/>
      <w:r w:rsidRPr="00703777">
        <w:t xml:space="preserve">           </w:t>
      </w:r>
    </w:p>
    <w:p w14:paraId="6F2625FA" w14:textId="0BB894C1" w:rsidR="00093E82" w:rsidRPr="00093E82" w:rsidRDefault="00093E82" w:rsidP="00093E82">
      <w:pPr>
        <w:pStyle w:val="Heading3"/>
        <w:numPr>
          <w:ilvl w:val="0"/>
          <w:numId w:val="0"/>
        </w:numPr>
        <w:ind w:left="964" w:hanging="964"/>
      </w:pPr>
      <w:bookmarkStart w:id="23" w:name="_Toc177742031"/>
      <w:r w:rsidRPr="00093E82">
        <w:t>The D-I-O model</w:t>
      </w:r>
      <w:bookmarkEnd w:id="23"/>
      <w:r w:rsidRPr="00093E82">
        <w:t xml:space="preserve">  </w:t>
      </w:r>
    </w:p>
    <w:p w14:paraId="4D332F88" w14:textId="4BF0C799" w:rsidR="00D92F6E" w:rsidRPr="00125EF8" w:rsidRDefault="00D92F6E" w:rsidP="00D92F6E">
      <w:r w:rsidRPr="3CEE5005">
        <w:rPr>
          <w:rFonts w:ascii="Calibri" w:hAnsi="Calibri" w:cs="Calibri"/>
        </w:rPr>
        <w:t xml:space="preserve">Measuring the extent of different hardship states is </w:t>
      </w:r>
      <w:r>
        <w:rPr>
          <w:rFonts w:ascii="Calibri" w:hAnsi="Calibri" w:cs="Calibri"/>
        </w:rPr>
        <w:t>useful</w:t>
      </w:r>
      <w:r w:rsidRPr="3CEE5005">
        <w:rPr>
          <w:rFonts w:ascii="Calibri" w:hAnsi="Calibri" w:cs="Calibri"/>
        </w:rPr>
        <w:t xml:space="preserve"> for designing policies and programs which are appropriately targeted to those people, and </w:t>
      </w:r>
      <w:r>
        <w:rPr>
          <w:rFonts w:ascii="Calibri" w:hAnsi="Calibri" w:cs="Calibri"/>
        </w:rPr>
        <w:t xml:space="preserve">essential </w:t>
      </w:r>
      <w:r w:rsidRPr="3CEE5005">
        <w:rPr>
          <w:rFonts w:ascii="Calibri" w:hAnsi="Calibri" w:cs="Calibri"/>
        </w:rPr>
        <w:t xml:space="preserve">in monitoring the success of these policies and programs over time. </w:t>
      </w:r>
      <w:r>
        <w:rPr>
          <w:rFonts w:ascii="Calibri" w:hAnsi="Calibri" w:cs="Calibri"/>
        </w:rPr>
        <w:t>Metrics can be categorised between</w:t>
      </w:r>
      <w:r w:rsidRPr="00AC5AF4">
        <w:rPr>
          <w:rFonts w:ascii="Calibri" w:eastAsia="Calibri" w:hAnsi="Calibri" w:cs="Calibri"/>
          <w:lang w:bidi="en-US"/>
        </w:rPr>
        <w:t xml:space="preserve"> </w:t>
      </w:r>
      <w:r w:rsidRPr="00012085">
        <w:rPr>
          <w:rFonts w:ascii="Calibri" w:eastAsia="Calibri" w:hAnsi="Calibri" w:cs="Calibri"/>
          <w:i/>
          <w:iCs/>
          <w:color w:val="000000" w:themeColor="text1"/>
          <w:lang w:bidi="en-US"/>
        </w:rPr>
        <w:t>D</w:t>
      </w:r>
      <w:r w:rsidRPr="00012085">
        <w:rPr>
          <w:rFonts w:ascii="Calibri" w:eastAsia="Calibri" w:hAnsi="Calibri" w:cs="Calibri"/>
          <w:i/>
          <w:iCs/>
          <w:lang w:bidi="en-US"/>
        </w:rPr>
        <w:t>rivers</w:t>
      </w:r>
      <w:r w:rsidRPr="00AC5AF4">
        <w:rPr>
          <w:rFonts w:ascii="Calibri" w:eastAsia="Calibri" w:hAnsi="Calibri" w:cs="Calibri"/>
          <w:lang w:bidi="en-US"/>
        </w:rPr>
        <w:t xml:space="preserve"> (causes or triggers of hardship), </w:t>
      </w:r>
      <w:r w:rsidRPr="00012085">
        <w:rPr>
          <w:rFonts w:ascii="Calibri" w:eastAsia="Calibri" w:hAnsi="Calibri" w:cs="Calibri"/>
          <w:i/>
          <w:iCs/>
          <w:color w:val="000000" w:themeColor="text1"/>
          <w:lang w:bidi="en-US"/>
        </w:rPr>
        <w:t>I</w:t>
      </w:r>
      <w:r w:rsidRPr="00012085">
        <w:rPr>
          <w:rFonts w:ascii="Calibri" w:eastAsia="Calibri" w:hAnsi="Calibri" w:cs="Calibri"/>
          <w:i/>
          <w:iCs/>
          <w:lang w:bidi="en-US"/>
        </w:rPr>
        <w:t>ndicators</w:t>
      </w:r>
      <w:r w:rsidRPr="00AC5AF4">
        <w:rPr>
          <w:rFonts w:ascii="Calibri" w:eastAsia="Calibri" w:hAnsi="Calibri" w:cs="Calibri"/>
          <w:lang w:bidi="en-US"/>
        </w:rPr>
        <w:t xml:space="preserve"> (symptoms of the ‘state’ of hardship) and </w:t>
      </w:r>
      <w:r w:rsidRPr="00012085">
        <w:rPr>
          <w:rFonts w:ascii="Calibri" w:eastAsia="Calibri" w:hAnsi="Calibri" w:cs="Calibri"/>
          <w:i/>
          <w:iCs/>
          <w:color w:val="000000" w:themeColor="text1"/>
          <w:lang w:bidi="en-US"/>
        </w:rPr>
        <w:t>O</w:t>
      </w:r>
      <w:r w:rsidRPr="00012085">
        <w:rPr>
          <w:rFonts w:ascii="Calibri" w:eastAsia="Calibri" w:hAnsi="Calibri" w:cs="Calibri"/>
          <w:i/>
          <w:iCs/>
          <w:lang w:bidi="en-US"/>
        </w:rPr>
        <w:t>utcomes</w:t>
      </w:r>
      <w:r w:rsidRPr="00AC5AF4">
        <w:rPr>
          <w:rFonts w:ascii="Calibri" w:eastAsia="Calibri" w:hAnsi="Calibri" w:cs="Calibri"/>
          <w:lang w:bidi="en-US"/>
        </w:rPr>
        <w:t xml:space="preserve"> (consequences of being in hardship)</w:t>
      </w:r>
      <w:r>
        <w:rPr>
          <w:rFonts w:ascii="Calibri" w:eastAsia="Calibri" w:hAnsi="Calibri" w:cs="Calibri"/>
          <w:lang w:bidi="en-US"/>
        </w:rPr>
        <w:t xml:space="preserve"> – the D-I-O model</w:t>
      </w:r>
      <w:r w:rsidRPr="00AC5AF4">
        <w:rPr>
          <w:rFonts w:ascii="Calibri" w:eastAsia="Calibri" w:hAnsi="Calibri" w:cs="Calibri"/>
          <w:lang w:bidi="en-US"/>
        </w:rPr>
        <w:t xml:space="preserve">. </w:t>
      </w:r>
      <w:r w:rsidRPr="00AC5AF4">
        <w:rPr>
          <w:rFonts w:ascii="Calibri" w:hAnsi="Calibri" w:cs="Calibri"/>
          <w:lang w:bidi="en-US"/>
        </w:rPr>
        <w:t xml:space="preserve"> </w:t>
      </w:r>
    </w:p>
    <w:p w14:paraId="3FB3525E" w14:textId="77777777" w:rsidR="00D92F6E" w:rsidRPr="00093E82" w:rsidRDefault="00D92F6E" w:rsidP="00093E82">
      <w:pPr>
        <w:rPr>
          <w:rFonts w:ascii="Calibri" w:hAnsi="Calibri" w:cs="Calibri"/>
          <w:b/>
          <w:bCs/>
          <w:sz w:val="28"/>
          <w:szCs w:val="28"/>
        </w:rPr>
      </w:pPr>
      <w:r w:rsidRPr="00093E82">
        <w:rPr>
          <w:rFonts w:ascii="Calibri" w:hAnsi="Calibri" w:cs="Calibri"/>
          <w:b/>
          <w:bCs/>
          <w:sz w:val="28"/>
          <w:szCs w:val="28"/>
        </w:rPr>
        <w:t>Drivers (Indirect measure of hardship)</w:t>
      </w:r>
    </w:p>
    <w:p w14:paraId="5D6BB172" w14:textId="77777777" w:rsidR="00D92F6E" w:rsidRDefault="00D92F6E" w:rsidP="00D92F6E">
      <w:pPr>
        <w:spacing w:line="240" w:lineRule="auto"/>
      </w:pPr>
      <w:r>
        <w:t xml:space="preserve">The drivers of energy hardship can be considered an indirect measure of hardship. The drivers of energy hardship can be divided into macro, </w:t>
      </w:r>
      <w:proofErr w:type="spellStart"/>
      <w:r>
        <w:t>meso</w:t>
      </w:r>
      <w:proofErr w:type="spellEnd"/>
      <w:r>
        <w:t xml:space="preserve"> and micro drivers:</w:t>
      </w:r>
    </w:p>
    <w:p w14:paraId="07833F54" w14:textId="77777777" w:rsidR="00D92F6E" w:rsidRDefault="00D92F6E" w:rsidP="00D92F6E">
      <w:pPr>
        <w:pStyle w:val="ListParagraph"/>
        <w:numPr>
          <w:ilvl w:val="0"/>
          <w:numId w:val="20"/>
        </w:numPr>
        <w:spacing w:before="120" w:after="120"/>
        <w:contextualSpacing/>
      </w:pPr>
      <w:r w:rsidRPr="00DA203C">
        <w:rPr>
          <w:b/>
          <w:bCs/>
        </w:rPr>
        <w:t>Macro drivers</w:t>
      </w:r>
      <w:r>
        <w:t xml:space="preserve"> include factors that can drive energy hardship more broadly, such as energy prices, and housing energy performance.</w:t>
      </w:r>
    </w:p>
    <w:p w14:paraId="512135FB" w14:textId="77777777" w:rsidR="00D92F6E" w:rsidRDefault="00D92F6E" w:rsidP="00D92F6E">
      <w:pPr>
        <w:pStyle w:val="ListParagraph"/>
        <w:numPr>
          <w:ilvl w:val="0"/>
          <w:numId w:val="20"/>
        </w:numPr>
        <w:spacing w:before="120" w:after="120"/>
        <w:contextualSpacing/>
      </w:pPr>
      <w:proofErr w:type="spellStart"/>
      <w:r w:rsidRPr="00DA203C">
        <w:rPr>
          <w:b/>
          <w:bCs/>
        </w:rPr>
        <w:t>Meso</w:t>
      </w:r>
      <w:proofErr w:type="spellEnd"/>
      <w:r w:rsidRPr="00DA203C">
        <w:rPr>
          <w:b/>
          <w:bCs/>
        </w:rPr>
        <w:t xml:space="preserve"> drivers</w:t>
      </w:r>
      <w:r>
        <w:t xml:space="preserve"> include factors that affect some, but not all, households. Examples are deficient retailer behaviours (e.g., misleading plans, inconsistent responses) and poor landlord behaviours (e.g., refusing to conduct energy-efficiency upgrades or perform maintenance and repairs). </w:t>
      </w:r>
    </w:p>
    <w:p w14:paraId="0220CE6E" w14:textId="77777777" w:rsidR="00D92F6E" w:rsidRDefault="00D92F6E" w:rsidP="00D92F6E">
      <w:pPr>
        <w:pStyle w:val="ListParagraph"/>
        <w:numPr>
          <w:ilvl w:val="0"/>
          <w:numId w:val="20"/>
        </w:numPr>
        <w:spacing w:before="120"/>
        <w:contextualSpacing/>
      </w:pPr>
      <w:r w:rsidRPr="00DA203C">
        <w:rPr>
          <w:b/>
          <w:bCs/>
        </w:rPr>
        <w:t>Micro drivers</w:t>
      </w:r>
      <w:r>
        <w:t xml:space="preserve"> include factors impacting only specific households. Examples are: </w:t>
      </w:r>
    </w:p>
    <w:p w14:paraId="3F9C092F" w14:textId="77777777" w:rsidR="00D92F6E" w:rsidRPr="00DA203C" w:rsidRDefault="00D92F6E" w:rsidP="00D92F6E">
      <w:pPr>
        <w:pStyle w:val="ListParagraph"/>
        <w:numPr>
          <w:ilvl w:val="0"/>
          <w:numId w:val="21"/>
        </w:numPr>
        <w:spacing w:after="120" w:line="260" w:lineRule="atLeast"/>
        <w:ind w:left="1134"/>
        <w:contextualSpacing/>
        <w:rPr>
          <w:b/>
        </w:rPr>
      </w:pPr>
      <w:r w:rsidRPr="00DA203C">
        <w:t xml:space="preserve">unique high energy needs (e.g., for health requirements) </w:t>
      </w:r>
    </w:p>
    <w:p w14:paraId="601924E5" w14:textId="77777777" w:rsidR="00D92F6E" w:rsidRPr="00DA203C" w:rsidRDefault="00D92F6E" w:rsidP="00D92F6E">
      <w:pPr>
        <w:pStyle w:val="ListParagraph"/>
        <w:numPr>
          <w:ilvl w:val="0"/>
          <w:numId w:val="21"/>
        </w:numPr>
        <w:spacing w:before="120" w:after="120" w:line="260" w:lineRule="atLeast"/>
        <w:ind w:left="1134"/>
        <w:contextualSpacing/>
        <w:rPr>
          <w:b/>
        </w:rPr>
      </w:pPr>
      <w:r w:rsidRPr="00DA203C">
        <w:t xml:space="preserve">low income (e.g., households whose income is always low, or who face a sudden drop in income) </w:t>
      </w:r>
    </w:p>
    <w:p w14:paraId="3FA94759" w14:textId="77777777" w:rsidR="00D92F6E" w:rsidRPr="00DA203C" w:rsidRDefault="00D92F6E" w:rsidP="00D92F6E">
      <w:pPr>
        <w:pStyle w:val="ListParagraph"/>
        <w:numPr>
          <w:ilvl w:val="0"/>
          <w:numId w:val="21"/>
        </w:numPr>
        <w:spacing w:before="120" w:after="120" w:line="260" w:lineRule="atLeast"/>
        <w:ind w:left="1134"/>
        <w:contextualSpacing/>
        <w:rPr>
          <w:b/>
        </w:rPr>
      </w:pPr>
      <w:r w:rsidRPr="00DA203C">
        <w:t xml:space="preserve">non-energy bills (e.g., high cost of living) </w:t>
      </w:r>
    </w:p>
    <w:p w14:paraId="5C22F939" w14:textId="77777777" w:rsidR="00D92F6E" w:rsidRPr="002300E0" w:rsidRDefault="00D92F6E" w:rsidP="00D92F6E">
      <w:pPr>
        <w:pStyle w:val="ListParagraph"/>
        <w:numPr>
          <w:ilvl w:val="0"/>
          <w:numId w:val="21"/>
        </w:numPr>
        <w:spacing w:before="120" w:after="120" w:line="260" w:lineRule="atLeast"/>
        <w:ind w:left="1134"/>
        <w:contextualSpacing/>
        <w:rPr>
          <w:b/>
        </w:rPr>
      </w:pPr>
      <w:r w:rsidRPr="00DA203C">
        <w:t xml:space="preserve">high energy bills </w:t>
      </w:r>
    </w:p>
    <w:p w14:paraId="44BFDC05" w14:textId="77777777" w:rsidR="00D92F6E" w:rsidRPr="002155A8" w:rsidRDefault="00D92F6E" w:rsidP="00D92F6E">
      <w:pPr>
        <w:pStyle w:val="ListParagraph"/>
        <w:numPr>
          <w:ilvl w:val="0"/>
          <w:numId w:val="21"/>
        </w:numPr>
        <w:spacing w:before="120" w:after="120" w:line="260" w:lineRule="atLeast"/>
        <w:ind w:left="1134"/>
        <w:contextualSpacing/>
        <w:rPr>
          <w:b/>
        </w:rPr>
      </w:pPr>
      <w:r>
        <w:t xml:space="preserve">energy-hungry appliances (e.g., heating and cooling) </w:t>
      </w:r>
    </w:p>
    <w:p w14:paraId="0F687D44" w14:textId="77777777" w:rsidR="00D92F6E" w:rsidRPr="000424EF" w:rsidRDefault="00D92F6E" w:rsidP="00D92F6E">
      <w:pPr>
        <w:pStyle w:val="ListParagraph"/>
        <w:numPr>
          <w:ilvl w:val="0"/>
          <w:numId w:val="21"/>
        </w:numPr>
        <w:spacing w:before="120" w:after="120" w:line="260" w:lineRule="atLeast"/>
        <w:ind w:left="1134"/>
        <w:contextualSpacing/>
        <w:rPr>
          <w:b/>
        </w:rPr>
      </w:pPr>
      <w:r>
        <w:t>energy-inefficient housing</w:t>
      </w:r>
    </w:p>
    <w:p w14:paraId="76C7ABAF" w14:textId="77777777" w:rsidR="000424EF" w:rsidRPr="000424EF" w:rsidRDefault="00D92F6E" w:rsidP="00D92F6E">
      <w:pPr>
        <w:pStyle w:val="ListParagraph"/>
        <w:numPr>
          <w:ilvl w:val="0"/>
          <w:numId w:val="21"/>
        </w:numPr>
        <w:spacing w:before="120" w:after="120" w:line="260" w:lineRule="atLeast"/>
        <w:ind w:left="1134"/>
        <w:contextualSpacing/>
        <w:rPr>
          <w:b/>
        </w:rPr>
      </w:pPr>
      <w:r>
        <w:t xml:space="preserve">financial abuse. </w:t>
      </w:r>
    </w:p>
    <w:p w14:paraId="183BE77E" w14:textId="77777777" w:rsidR="000424EF" w:rsidRDefault="000424EF" w:rsidP="000424EF">
      <w:pPr>
        <w:spacing w:before="120" w:after="120" w:line="260" w:lineRule="atLeast"/>
        <w:contextualSpacing/>
      </w:pPr>
    </w:p>
    <w:p w14:paraId="7EF23945" w14:textId="77777777" w:rsidR="00FB16A3" w:rsidRPr="00093E82" w:rsidRDefault="00FB16A3" w:rsidP="00093E82">
      <w:pPr>
        <w:rPr>
          <w:rFonts w:ascii="Calibri" w:hAnsi="Calibri" w:cs="Calibri"/>
          <w:b/>
          <w:bCs/>
          <w:sz w:val="28"/>
          <w:szCs w:val="28"/>
        </w:rPr>
      </w:pPr>
      <w:r w:rsidRPr="00093E82">
        <w:rPr>
          <w:rFonts w:ascii="Calibri" w:hAnsi="Calibri" w:cs="Calibri"/>
          <w:b/>
          <w:bCs/>
          <w:sz w:val="28"/>
          <w:szCs w:val="28"/>
        </w:rPr>
        <w:t>Indicators (Direct measures of hardship)</w:t>
      </w:r>
    </w:p>
    <w:p w14:paraId="2D8BF5CB" w14:textId="77777777" w:rsidR="00FB16A3" w:rsidRDefault="00FB16A3" w:rsidP="00FB16A3">
      <w:pPr>
        <w:spacing w:line="240" w:lineRule="auto"/>
      </w:pPr>
      <w:r>
        <w:t>Indicators are considered direct measures of harm, because they are linked to a specific harm that a given household is suffering. They are either action-based, situation-based or proxy-based:</w:t>
      </w:r>
    </w:p>
    <w:p w14:paraId="6D612B9C" w14:textId="77777777" w:rsidR="00FB16A3" w:rsidRDefault="00FB16A3" w:rsidP="00FB16A3">
      <w:pPr>
        <w:pStyle w:val="ListParagraph"/>
        <w:numPr>
          <w:ilvl w:val="0"/>
          <w:numId w:val="23"/>
        </w:numPr>
        <w:spacing w:before="120" w:after="120"/>
        <w:contextualSpacing/>
      </w:pPr>
      <w:r w:rsidRPr="00303DC7">
        <w:rPr>
          <w:b/>
          <w:bCs/>
        </w:rPr>
        <w:t>Action-based</w:t>
      </w:r>
      <w:r>
        <w:t xml:space="preserve"> indicators reflect a household behaviour that reveals a state of hardship (e.g., coping strategies such as under-consumption of energy). </w:t>
      </w:r>
    </w:p>
    <w:p w14:paraId="43D2E8B9" w14:textId="77777777" w:rsidR="00FB16A3" w:rsidRPr="00DA203C" w:rsidRDefault="00FB16A3" w:rsidP="00FB16A3">
      <w:pPr>
        <w:pStyle w:val="ListParagraph"/>
        <w:numPr>
          <w:ilvl w:val="0"/>
          <w:numId w:val="23"/>
        </w:numPr>
        <w:spacing w:before="120" w:after="120"/>
        <w:contextualSpacing/>
      </w:pPr>
      <w:r w:rsidRPr="00303DC7">
        <w:rPr>
          <w:b/>
          <w:bCs/>
        </w:rPr>
        <w:t>Situation-</w:t>
      </w:r>
      <w:r w:rsidRPr="00DA203C">
        <w:rPr>
          <w:b/>
          <w:bCs/>
        </w:rPr>
        <w:t>based</w:t>
      </w:r>
      <w:r w:rsidRPr="00DA203C">
        <w:t xml:space="preserve"> indicators reflect a household experience that reveals a state of hardship (e.g., thermal discomfort or difficulty paying bills). </w:t>
      </w:r>
    </w:p>
    <w:p w14:paraId="0D36CE29" w14:textId="77777777" w:rsidR="00FB16A3" w:rsidRPr="00131FFB" w:rsidRDefault="00FB16A3" w:rsidP="00FB16A3">
      <w:pPr>
        <w:pStyle w:val="ListParagraph"/>
        <w:numPr>
          <w:ilvl w:val="0"/>
          <w:numId w:val="23"/>
        </w:numPr>
        <w:spacing w:before="120" w:after="120"/>
        <w:contextualSpacing/>
      </w:pPr>
      <w:r w:rsidRPr="00303DC7">
        <w:rPr>
          <w:b/>
          <w:bCs/>
        </w:rPr>
        <w:t>Proxy-based indicators</w:t>
      </w:r>
      <w:r>
        <w:t xml:space="preserve"> reflect a metric that reveals a level of suffering linked to being in a state of energy hardship (e.g., low/high indoor temperature or mould).</w:t>
      </w:r>
    </w:p>
    <w:p w14:paraId="0A8FC347" w14:textId="77777777" w:rsidR="00FB16A3" w:rsidRPr="00093E82" w:rsidRDefault="00FB16A3" w:rsidP="00093E82">
      <w:pPr>
        <w:rPr>
          <w:rFonts w:ascii="Calibri" w:hAnsi="Calibri" w:cs="Calibri"/>
          <w:b/>
          <w:bCs/>
          <w:sz w:val="28"/>
          <w:szCs w:val="28"/>
        </w:rPr>
      </w:pPr>
      <w:r w:rsidRPr="00093E82">
        <w:rPr>
          <w:rFonts w:ascii="Calibri" w:hAnsi="Calibri" w:cs="Calibri"/>
          <w:b/>
          <w:bCs/>
          <w:sz w:val="28"/>
          <w:szCs w:val="28"/>
        </w:rPr>
        <w:t>Outcomes (Indirect measures)</w:t>
      </w:r>
    </w:p>
    <w:p w14:paraId="4843401A" w14:textId="77777777" w:rsidR="00FB16A3" w:rsidRDefault="00FB16A3" w:rsidP="00FB16A3">
      <w:pPr>
        <w:spacing w:line="240" w:lineRule="auto"/>
      </w:pPr>
      <w:r>
        <w:t>The outcomes of energy hardship refer to the result of hardship, which may have other causes and as such are not conclusive of energy hardship. The outcomes of energy hardship have six key themes:</w:t>
      </w:r>
    </w:p>
    <w:p w14:paraId="56FEFFF5" w14:textId="77777777" w:rsidR="00FB16A3" w:rsidRPr="0062038D" w:rsidRDefault="00FB16A3" w:rsidP="00FB16A3">
      <w:pPr>
        <w:pStyle w:val="ListParagraph"/>
        <w:numPr>
          <w:ilvl w:val="0"/>
          <w:numId w:val="22"/>
        </w:numPr>
        <w:spacing w:before="120" w:after="120"/>
        <w:ind w:left="760" w:hanging="357"/>
        <w:contextualSpacing/>
        <w:rPr>
          <w:b/>
        </w:rPr>
      </w:pPr>
      <w:r>
        <w:t xml:space="preserve">stress (e.g., anxiety, shame, or depression) </w:t>
      </w:r>
    </w:p>
    <w:p w14:paraId="0FAE4408" w14:textId="77777777" w:rsidR="00FB16A3" w:rsidRPr="0062038D" w:rsidRDefault="00FB16A3" w:rsidP="00FB16A3">
      <w:pPr>
        <w:pStyle w:val="ListParagraph"/>
        <w:numPr>
          <w:ilvl w:val="0"/>
          <w:numId w:val="22"/>
        </w:numPr>
        <w:spacing w:before="120" w:after="120"/>
        <w:ind w:left="760" w:hanging="357"/>
        <w:contextualSpacing/>
        <w:rPr>
          <w:b/>
        </w:rPr>
      </w:pPr>
      <w:r>
        <w:t>worsened health (e.g., health compromised to pay an energy bill)</w:t>
      </w:r>
    </w:p>
    <w:p w14:paraId="2B749B35" w14:textId="77777777" w:rsidR="00FB16A3" w:rsidRPr="0062038D" w:rsidRDefault="00FB16A3" w:rsidP="00FB16A3">
      <w:pPr>
        <w:pStyle w:val="ListParagraph"/>
        <w:numPr>
          <w:ilvl w:val="0"/>
          <w:numId w:val="22"/>
        </w:numPr>
        <w:spacing w:before="120" w:after="120"/>
        <w:ind w:left="760" w:hanging="357"/>
        <w:contextualSpacing/>
        <w:rPr>
          <w:b/>
        </w:rPr>
      </w:pPr>
      <w:r>
        <w:t xml:space="preserve">poorer living conditions (e.g., compromised quality of living) </w:t>
      </w:r>
    </w:p>
    <w:p w14:paraId="337311DA" w14:textId="77777777" w:rsidR="00FB16A3" w:rsidRPr="00DA203C" w:rsidRDefault="00FB16A3" w:rsidP="00FB16A3">
      <w:pPr>
        <w:pStyle w:val="ListParagraph"/>
        <w:numPr>
          <w:ilvl w:val="0"/>
          <w:numId w:val="22"/>
        </w:numPr>
        <w:spacing w:before="120" w:after="120"/>
        <w:ind w:left="760" w:hanging="357"/>
        <w:contextualSpacing/>
        <w:rPr>
          <w:b/>
        </w:rPr>
      </w:pPr>
      <w:r w:rsidRPr="00DA203C">
        <w:t xml:space="preserve">energy debt </w:t>
      </w:r>
    </w:p>
    <w:p w14:paraId="1F6E48D8" w14:textId="77777777" w:rsidR="006A1ED6" w:rsidRPr="006A1ED6" w:rsidRDefault="00FB16A3" w:rsidP="00FB16A3">
      <w:pPr>
        <w:pStyle w:val="ListParagraph"/>
        <w:numPr>
          <w:ilvl w:val="0"/>
          <w:numId w:val="22"/>
        </w:numPr>
        <w:spacing w:before="120" w:after="120"/>
        <w:ind w:left="760" w:hanging="357"/>
        <w:contextualSpacing/>
        <w:rPr>
          <w:b/>
        </w:rPr>
      </w:pPr>
      <w:r w:rsidRPr="00DA203C">
        <w:t>non-energy debt</w:t>
      </w:r>
    </w:p>
    <w:p w14:paraId="05184BD4" w14:textId="77777777" w:rsidR="00E569AC" w:rsidRPr="00E569AC" w:rsidRDefault="00FB16A3" w:rsidP="006A1ED6">
      <w:pPr>
        <w:pStyle w:val="ListParagraph"/>
        <w:numPr>
          <w:ilvl w:val="0"/>
          <w:numId w:val="22"/>
        </w:numPr>
        <w:spacing w:before="120" w:after="120"/>
        <w:ind w:left="760" w:hanging="357"/>
        <w:contextualSpacing/>
        <w:rPr>
          <w:b/>
        </w:rPr>
      </w:pPr>
      <w:r w:rsidRPr="00DA203C">
        <w:t>disconnection</w:t>
      </w:r>
      <w:r>
        <w:t>.</w:t>
      </w:r>
    </w:p>
    <w:p w14:paraId="36EAF800" w14:textId="77777777" w:rsidR="00E569AC" w:rsidRPr="00342C94" w:rsidRDefault="00E569AC" w:rsidP="00342C94">
      <w:pPr>
        <w:pStyle w:val="Heading2"/>
      </w:pPr>
      <w:bookmarkStart w:id="24" w:name="_Toc177742032"/>
      <w:r w:rsidRPr="00342C94">
        <w:t>Categorising</w:t>
      </w:r>
      <w:r w:rsidRPr="004A1F26">
        <w:t xml:space="preserve"> </w:t>
      </w:r>
      <w:r>
        <w:t xml:space="preserve">intervention measures, </w:t>
      </w:r>
      <w:r w:rsidRPr="00AD6197">
        <w:t>policies, and programs</w:t>
      </w:r>
      <w:bookmarkEnd w:id="24"/>
    </w:p>
    <w:p w14:paraId="7F544E03" w14:textId="2F5E8481" w:rsidR="005D45E3" w:rsidRPr="005D45E3" w:rsidRDefault="005D45E3" w:rsidP="005D45E3">
      <w:pPr>
        <w:pStyle w:val="Heading3"/>
        <w:numPr>
          <w:ilvl w:val="0"/>
          <w:numId w:val="0"/>
        </w:numPr>
        <w:ind w:left="964" w:hanging="964"/>
      </w:pPr>
      <w:bookmarkStart w:id="25" w:name="_Toc177742033"/>
      <w:r w:rsidRPr="005D45E3">
        <w:t>The P-S-R model</w:t>
      </w:r>
      <w:bookmarkEnd w:id="25"/>
      <w:r w:rsidRPr="005D45E3">
        <w:t xml:space="preserve"> </w:t>
      </w:r>
    </w:p>
    <w:p w14:paraId="6F38E7A6" w14:textId="1C0823DB" w:rsidR="00E569AC" w:rsidRPr="00DA203C" w:rsidRDefault="00E569AC" w:rsidP="00E569AC">
      <w:r w:rsidRPr="00DA203C">
        <w:t xml:space="preserve">The needs of households in energy hardship will be different to those of households facing vulnerability to, or exiting from, energy hardship. As such, </w:t>
      </w:r>
      <w:r>
        <w:t xml:space="preserve">successful intervention measures, </w:t>
      </w:r>
      <w:r w:rsidRPr="00DA203C">
        <w:t>policy</w:t>
      </w:r>
      <w:r>
        <w:t xml:space="preserve"> and/or programs,</w:t>
      </w:r>
      <w:r w:rsidRPr="00DA203C">
        <w:t xml:space="preserve"> </w:t>
      </w:r>
      <w:r>
        <w:t>will</w:t>
      </w:r>
      <w:r w:rsidRPr="00DA203C">
        <w:t xml:space="preserve"> be designed to target</w:t>
      </w:r>
      <w:r>
        <w:t xml:space="preserve"> specific</w:t>
      </w:r>
      <w:r w:rsidRPr="00DA203C">
        <w:t xml:space="preserve"> households </w:t>
      </w:r>
      <w:r>
        <w:t>that may be in</w:t>
      </w:r>
      <w:r w:rsidRPr="00DA203C">
        <w:t xml:space="preserve"> different states of vulnerability and</w:t>
      </w:r>
      <w:r>
        <w:t>/or</w:t>
      </w:r>
      <w:r w:rsidRPr="00DA203C">
        <w:t xml:space="preserve"> hardship. </w:t>
      </w:r>
    </w:p>
    <w:p w14:paraId="751BBF5E" w14:textId="77777777" w:rsidR="00E569AC" w:rsidRDefault="00E569AC" w:rsidP="00E569AC">
      <w:pPr>
        <w:spacing w:after="0"/>
        <w:contextualSpacing/>
        <w:rPr>
          <w:rFonts w:ascii="Calibri" w:hAnsi="Calibri" w:cs="Calibri"/>
        </w:rPr>
      </w:pPr>
      <w:r>
        <w:rPr>
          <w:rFonts w:ascii="Calibri" w:hAnsi="Calibri" w:cs="Calibri"/>
        </w:rPr>
        <w:t xml:space="preserve">Intervention measures, policies and programs can be organised into four (4) broad categories: </w:t>
      </w:r>
    </w:p>
    <w:p w14:paraId="448960ED" w14:textId="77777777" w:rsidR="00E569AC" w:rsidRDefault="00E569AC" w:rsidP="00E569AC">
      <w:pPr>
        <w:pStyle w:val="ListParagraph"/>
        <w:numPr>
          <w:ilvl w:val="0"/>
          <w:numId w:val="22"/>
        </w:numPr>
        <w:spacing w:after="120" w:line="260" w:lineRule="atLeast"/>
        <w:ind w:left="760" w:hanging="357"/>
        <w:contextualSpacing/>
      </w:pPr>
      <w:r>
        <w:t>Prevention (structural barriers)</w:t>
      </w:r>
    </w:p>
    <w:p w14:paraId="65582D9A" w14:textId="77777777" w:rsidR="00E569AC" w:rsidRDefault="00E569AC" w:rsidP="00E569AC">
      <w:pPr>
        <w:pStyle w:val="ListParagraph"/>
        <w:numPr>
          <w:ilvl w:val="0"/>
          <w:numId w:val="22"/>
        </w:numPr>
        <w:spacing w:before="120" w:after="120" w:line="260" w:lineRule="atLeast"/>
        <w:contextualSpacing/>
      </w:pPr>
      <w:r>
        <w:t>Prevention (personal factors)</w:t>
      </w:r>
    </w:p>
    <w:p w14:paraId="02DA4E0E" w14:textId="77777777" w:rsidR="00E569AC" w:rsidRDefault="00E569AC" w:rsidP="00E569AC">
      <w:pPr>
        <w:pStyle w:val="ListParagraph"/>
        <w:numPr>
          <w:ilvl w:val="0"/>
          <w:numId w:val="22"/>
        </w:numPr>
        <w:spacing w:before="120" w:after="120" w:line="260" w:lineRule="atLeast"/>
        <w:contextualSpacing/>
      </w:pPr>
      <w:r>
        <w:t>Support</w:t>
      </w:r>
    </w:p>
    <w:p w14:paraId="0BF13226" w14:textId="77777777" w:rsidR="00E569AC" w:rsidRPr="00940253" w:rsidRDefault="00E569AC" w:rsidP="00E569AC">
      <w:pPr>
        <w:pStyle w:val="ListParagraph"/>
        <w:numPr>
          <w:ilvl w:val="0"/>
          <w:numId w:val="22"/>
        </w:numPr>
        <w:spacing w:before="120" w:after="120" w:line="260" w:lineRule="atLeast"/>
        <w:contextualSpacing/>
      </w:pPr>
      <w:r>
        <w:t>Relief</w:t>
      </w:r>
    </w:p>
    <w:p w14:paraId="0B548310" w14:textId="77777777" w:rsidR="00D23BD3" w:rsidRDefault="00E569AC" w:rsidP="00E569AC">
      <w:pPr>
        <w:spacing w:before="120" w:after="120"/>
        <w:contextualSpacing/>
        <w:rPr>
          <w:rFonts w:ascii="Calibri" w:hAnsi="Calibri" w:cs="Calibri"/>
        </w:rPr>
      </w:pPr>
      <w:r w:rsidRPr="00A30422">
        <w:rPr>
          <w:rFonts w:ascii="Calibri" w:hAnsi="Calibri" w:cs="Calibri"/>
        </w:rPr>
        <w:t>Prevention, support, and relief – the P-S-R model</w:t>
      </w:r>
      <w:r>
        <w:rPr>
          <w:rFonts w:ascii="Calibri" w:hAnsi="Calibri" w:cs="Calibri"/>
        </w:rPr>
        <w:t>.</w:t>
      </w:r>
      <w:r w:rsidRPr="00A30422">
        <w:rPr>
          <w:rFonts w:ascii="Calibri" w:hAnsi="Calibri" w:cs="Calibri"/>
        </w:rPr>
        <w:t xml:space="preserve"> </w:t>
      </w:r>
    </w:p>
    <w:p w14:paraId="372A7839" w14:textId="77777777" w:rsidR="00D23BD3" w:rsidRDefault="00D23BD3" w:rsidP="00E569AC">
      <w:pPr>
        <w:spacing w:before="120" w:after="120"/>
        <w:contextualSpacing/>
        <w:rPr>
          <w:rFonts w:ascii="Calibri" w:hAnsi="Calibri" w:cs="Calibri"/>
        </w:rPr>
      </w:pPr>
    </w:p>
    <w:p w14:paraId="33925412" w14:textId="3F6A8C60" w:rsidR="00AF7F28" w:rsidRDefault="00AF7F28" w:rsidP="00E569AC">
      <w:pPr>
        <w:spacing w:before="120" w:after="120"/>
        <w:contextualSpacing/>
      </w:pPr>
    </w:p>
    <w:p w14:paraId="4F5C64F8" w14:textId="77777777" w:rsidR="00AF7F28" w:rsidRDefault="00AF7F28" w:rsidP="00E569AC">
      <w:pPr>
        <w:spacing w:before="120" w:after="120"/>
        <w:contextualSpacing/>
      </w:pPr>
    </w:p>
    <w:p w14:paraId="092F48E1" w14:textId="77777777" w:rsidR="00AF7F28" w:rsidRDefault="00AF7F28" w:rsidP="00E569AC">
      <w:pPr>
        <w:spacing w:before="120" w:after="120"/>
        <w:contextualSpacing/>
      </w:pPr>
    </w:p>
    <w:p w14:paraId="37A5196D" w14:textId="77777777" w:rsidR="00AF7F28" w:rsidRDefault="00AF7F28" w:rsidP="00E569AC">
      <w:pPr>
        <w:spacing w:before="120" w:after="120"/>
        <w:contextualSpacing/>
      </w:pPr>
    </w:p>
    <w:p w14:paraId="031DE181" w14:textId="77777777" w:rsidR="00AF7F28" w:rsidRDefault="00AF7F28" w:rsidP="00E569AC">
      <w:pPr>
        <w:spacing w:before="120" w:after="120"/>
        <w:contextualSpacing/>
      </w:pPr>
    </w:p>
    <w:p w14:paraId="16D8B3C9" w14:textId="22A796D5" w:rsidR="00AF7F28" w:rsidRDefault="00AF7F28" w:rsidP="00E569AC">
      <w:pPr>
        <w:spacing w:before="120" w:after="120"/>
        <w:contextualSpacing/>
      </w:pPr>
    </w:p>
    <w:p w14:paraId="4D1A5AD6" w14:textId="686469C0" w:rsidR="00AF7F28" w:rsidRDefault="00AF7F28" w:rsidP="00E569AC">
      <w:pPr>
        <w:spacing w:before="120" w:after="120"/>
        <w:contextualSpacing/>
      </w:pPr>
    </w:p>
    <w:p w14:paraId="49599039" w14:textId="39D25BEC" w:rsidR="00AF7F28" w:rsidRDefault="00DE6753" w:rsidP="00E569AC">
      <w:pPr>
        <w:spacing w:before="120" w:after="120"/>
        <w:contextualSpacing/>
      </w:pPr>
      <w:r>
        <w:rPr>
          <w:rFonts w:ascii="Montserrat" w:eastAsiaTheme="minorEastAsia"/>
          <w:b/>
          <w:noProof/>
          <w:lang w:eastAsia="ja-JP"/>
        </w:rPr>
        <w:drawing>
          <wp:anchor distT="0" distB="0" distL="114300" distR="114300" simplePos="0" relativeHeight="251662336" behindDoc="0" locked="0" layoutInCell="1" allowOverlap="1" wp14:anchorId="7F7384E4" wp14:editId="60AC2449">
            <wp:simplePos x="0" y="0"/>
            <wp:positionH relativeFrom="margin">
              <wp:posOffset>80645</wp:posOffset>
            </wp:positionH>
            <wp:positionV relativeFrom="paragraph">
              <wp:posOffset>-158115</wp:posOffset>
            </wp:positionV>
            <wp:extent cx="5318760" cy="4274185"/>
            <wp:effectExtent l="0" t="0" r="0" b="0"/>
            <wp:wrapNone/>
            <wp:docPr id="1932897450" name="Picture 598" descr="Image for Figure 2: &quot;Prevention-Support-Relief to guide programs and policies for ABATE vulnerability and hardship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97450" name="Picture 598" descr="Image for Figure 2: &quot;Prevention-Support-Relief to guide programs and policies for ABATE vulnerability and hardship sta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18760" cy="4274185"/>
                    </a:xfrm>
                    <a:prstGeom prst="rect">
                      <a:avLst/>
                    </a:prstGeom>
                    <a:noFill/>
                    <a:ln>
                      <a:noFill/>
                    </a:ln>
                  </pic:spPr>
                </pic:pic>
              </a:graphicData>
            </a:graphic>
            <wp14:sizeRelV relativeFrom="margin">
              <wp14:pctHeight>0</wp14:pctHeight>
            </wp14:sizeRelV>
          </wp:anchor>
        </w:drawing>
      </w:r>
    </w:p>
    <w:p w14:paraId="465B4548" w14:textId="77777777" w:rsidR="00AF7F28" w:rsidRDefault="00AF7F28" w:rsidP="00E569AC">
      <w:pPr>
        <w:spacing w:before="120" w:after="120"/>
        <w:contextualSpacing/>
      </w:pPr>
    </w:p>
    <w:p w14:paraId="0D8763FB" w14:textId="77777777" w:rsidR="00AF7F28" w:rsidRDefault="00AF7F28" w:rsidP="00E569AC">
      <w:pPr>
        <w:spacing w:before="120" w:after="120"/>
        <w:contextualSpacing/>
      </w:pPr>
    </w:p>
    <w:p w14:paraId="62A8A779" w14:textId="77777777" w:rsidR="00AF7F28" w:rsidRDefault="00AF7F28" w:rsidP="00E569AC">
      <w:pPr>
        <w:spacing w:before="120" w:after="120"/>
        <w:contextualSpacing/>
      </w:pPr>
    </w:p>
    <w:p w14:paraId="23DFF534" w14:textId="77777777" w:rsidR="00AF7F28" w:rsidRDefault="00AF7F28" w:rsidP="00E569AC">
      <w:pPr>
        <w:spacing w:before="120" w:after="120"/>
        <w:contextualSpacing/>
      </w:pPr>
    </w:p>
    <w:p w14:paraId="4B68FA44" w14:textId="77777777" w:rsidR="00AF7F28" w:rsidRDefault="00AF7F28" w:rsidP="00E569AC">
      <w:pPr>
        <w:spacing w:before="120" w:after="120"/>
        <w:contextualSpacing/>
      </w:pPr>
    </w:p>
    <w:p w14:paraId="1B594265" w14:textId="77777777" w:rsidR="00AF7F28" w:rsidRDefault="00AF7F28" w:rsidP="00E569AC">
      <w:pPr>
        <w:spacing w:before="120" w:after="120"/>
        <w:contextualSpacing/>
      </w:pPr>
    </w:p>
    <w:p w14:paraId="32165B0E" w14:textId="77777777" w:rsidR="00AF7F28" w:rsidRDefault="00AF7F28" w:rsidP="00E569AC">
      <w:pPr>
        <w:spacing w:before="120" w:after="120"/>
        <w:contextualSpacing/>
      </w:pPr>
    </w:p>
    <w:p w14:paraId="5E051846" w14:textId="77777777" w:rsidR="00AF7F28" w:rsidRDefault="00AF7F28" w:rsidP="00E569AC">
      <w:pPr>
        <w:spacing w:before="120" w:after="120"/>
        <w:contextualSpacing/>
      </w:pPr>
    </w:p>
    <w:p w14:paraId="6702926D" w14:textId="77777777" w:rsidR="00AF7F28" w:rsidRDefault="00AF7F28" w:rsidP="00E569AC">
      <w:pPr>
        <w:spacing w:before="120" w:after="120"/>
        <w:contextualSpacing/>
      </w:pPr>
    </w:p>
    <w:p w14:paraId="7FF5FE8B" w14:textId="77777777" w:rsidR="00AF7F28" w:rsidRDefault="00AF7F28" w:rsidP="00E569AC">
      <w:pPr>
        <w:spacing w:before="120" w:after="120"/>
        <w:contextualSpacing/>
      </w:pPr>
    </w:p>
    <w:p w14:paraId="12B6953A" w14:textId="77777777" w:rsidR="00AF7F28" w:rsidRDefault="00AF7F28" w:rsidP="00E569AC">
      <w:pPr>
        <w:spacing w:before="120" w:after="120"/>
        <w:contextualSpacing/>
      </w:pPr>
    </w:p>
    <w:p w14:paraId="466BC56C" w14:textId="77777777" w:rsidR="00AF7F28" w:rsidRDefault="00AF7F28" w:rsidP="00E569AC">
      <w:pPr>
        <w:spacing w:before="120" w:after="120"/>
        <w:contextualSpacing/>
      </w:pPr>
    </w:p>
    <w:p w14:paraId="175D266F" w14:textId="77777777" w:rsidR="00AF7F28" w:rsidRDefault="00AF7F28" w:rsidP="00E569AC">
      <w:pPr>
        <w:spacing w:before="120" w:after="120"/>
        <w:contextualSpacing/>
      </w:pPr>
    </w:p>
    <w:p w14:paraId="46C4BF98" w14:textId="181B9B00" w:rsidR="00AF7F28" w:rsidRDefault="00AF7F28" w:rsidP="00E569AC">
      <w:pPr>
        <w:spacing w:before="120" w:after="120"/>
        <w:contextualSpacing/>
      </w:pPr>
    </w:p>
    <w:p w14:paraId="11AE98C8" w14:textId="1BE3C3EB" w:rsidR="00AF7F28" w:rsidRDefault="00AF7F28" w:rsidP="00E569AC">
      <w:pPr>
        <w:spacing w:before="120" w:after="120"/>
        <w:contextualSpacing/>
      </w:pPr>
    </w:p>
    <w:p w14:paraId="7215C5F7" w14:textId="098AB492" w:rsidR="00191C73" w:rsidRDefault="00191C73" w:rsidP="00E569AC">
      <w:pPr>
        <w:spacing w:before="120" w:after="120"/>
        <w:contextualSpacing/>
      </w:pPr>
    </w:p>
    <w:p w14:paraId="0A44FBEA" w14:textId="3F85BD3F" w:rsidR="00191C73" w:rsidRDefault="00191C73" w:rsidP="00E569AC">
      <w:pPr>
        <w:spacing w:before="120" w:after="120"/>
        <w:contextualSpacing/>
      </w:pPr>
    </w:p>
    <w:p w14:paraId="578AB0E1" w14:textId="0E100DC5" w:rsidR="00191C73" w:rsidRDefault="00191C73" w:rsidP="00E569AC">
      <w:pPr>
        <w:spacing w:before="120" w:after="120"/>
        <w:contextualSpacing/>
      </w:pPr>
    </w:p>
    <w:p w14:paraId="5498BA3D" w14:textId="561D4DC4" w:rsidR="00191C73" w:rsidRDefault="00A9065A" w:rsidP="00E569AC">
      <w:pPr>
        <w:spacing w:before="120" w:after="120"/>
        <w:contextualSpacing/>
      </w:pPr>
      <w:r>
        <w:rPr>
          <w:noProof/>
        </w:rPr>
        <mc:AlternateContent>
          <mc:Choice Requires="wps">
            <w:drawing>
              <wp:anchor distT="0" distB="0" distL="114300" distR="114300" simplePos="0" relativeHeight="251664384" behindDoc="0" locked="0" layoutInCell="1" allowOverlap="1" wp14:anchorId="4331ADD6" wp14:editId="5A4D2CB9">
                <wp:simplePos x="0" y="0"/>
                <wp:positionH relativeFrom="margin">
                  <wp:align>right</wp:align>
                </wp:positionH>
                <wp:positionV relativeFrom="paragraph">
                  <wp:posOffset>88265</wp:posOffset>
                </wp:positionV>
                <wp:extent cx="5657850" cy="276225"/>
                <wp:effectExtent l="0" t="0" r="0" b="9525"/>
                <wp:wrapNone/>
                <wp:docPr id="1808952674" name="Text Box 1"/>
                <wp:cNvGraphicFramePr/>
                <a:graphic xmlns:a="http://schemas.openxmlformats.org/drawingml/2006/main">
                  <a:graphicData uri="http://schemas.microsoft.com/office/word/2010/wordprocessingShape">
                    <wps:wsp>
                      <wps:cNvSpPr txBox="1"/>
                      <wps:spPr>
                        <a:xfrm>
                          <a:off x="0" y="0"/>
                          <a:ext cx="5657850" cy="276225"/>
                        </a:xfrm>
                        <a:prstGeom prst="rect">
                          <a:avLst/>
                        </a:prstGeom>
                        <a:solidFill>
                          <a:prstClr val="white"/>
                        </a:solidFill>
                        <a:ln>
                          <a:noFill/>
                        </a:ln>
                      </wps:spPr>
                      <wps:txbx>
                        <w:txbxContent>
                          <w:p w14:paraId="688DA4DA" w14:textId="554005C7" w:rsidR="00ED34EF" w:rsidRPr="00A9065A" w:rsidRDefault="00ED34EF" w:rsidP="00ED34EF">
                            <w:pPr>
                              <w:pStyle w:val="Caption"/>
                              <w:rPr>
                                <w:rFonts w:ascii="Montserrat"/>
                                <w:b w:val="0"/>
                                <w:bCs w:val="0"/>
                                <w:i/>
                                <w:iCs/>
                                <w:noProof/>
                                <w:sz w:val="20"/>
                                <w:szCs w:val="20"/>
                                <w:lang w:eastAsia="ja-JP"/>
                              </w:rPr>
                            </w:pPr>
                            <w:r w:rsidRPr="00A9065A">
                              <w:rPr>
                                <w:b w:val="0"/>
                                <w:bCs w:val="0"/>
                                <w:i/>
                                <w:iCs/>
                                <w:sz w:val="20"/>
                                <w:szCs w:val="20"/>
                              </w:rPr>
                              <w:t xml:space="preserve">Figure </w:t>
                            </w:r>
                            <w:r w:rsidRPr="00A9065A">
                              <w:rPr>
                                <w:b w:val="0"/>
                                <w:bCs w:val="0"/>
                                <w:i/>
                                <w:iCs/>
                                <w:sz w:val="20"/>
                                <w:szCs w:val="20"/>
                              </w:rPr>
                              <w:fldChar w:fldCharType="begin"/>
                            </w:r>
                            <w:r w:rsidRPr="00A9065A">
                              <w:rPr>
                                <w:b w:val="0"/>
                                <w:bCs w:val="0"/>
                                <w:i/>
                                <w:iCs/>
                                <w:sz w:val="20"/>
                                <w:szCs w:val="20"/>
                              </w:rPr>
                              <w:instrText xml:space="preserve"> SEQ Figure \* ARABIC </w:instrText>
                            </w:r>
                            <w:r w:rsidRPr="00A9065A">
                              <w:rPr>
                                <w:b w:val="0"/>
                                <w:bCs w:val="0"/>
                                <w:i/>
                                <w:iCs/>
                                <w:sz w:val="20"/>
                                <w:szCs w:val="20"/>
                              </w:rPr>
                              <w:fldChar w:fldCharType="separate"/>
                            </w:r>
                            <w:r w:rsidR="001C5293">
                              <w:rPr>
                                <w:b w:val="0"/>
                                <w:bCs w:val="0"/>
                                <w:i/>
                                <w:iCs/>
                                <w:noProof/>
                                <w:sz w:val="20"/>
                                <w:szCs w:val="20"/>
                              </w:rPr>
                              <w:t>2</w:t>
                            </w:r>
                            <w:r w:rsidRPr="00A9065A">
                              <w:rPr>
                                <w:b w:val="0"/>
                                <w:bCs w:val="0"/>
                                <w:i/>
                                <w:iCs/>
                                <w:sz w:val="20"/>
                                <w:szCs w:val="20"/>
                              </w:rPr>
                              <w:fldChar w:fldCharType="end"/>
                            </w:r>
                            <w:r w:rsidRPr="00A9065A">
                              <w:rPr>
                                <w:b w:val="0"/>
                                <w:bCs w:val="0"/>
                                <w:i/>
                                <w:iCs/>
                                <w:sz w:val="20"/>
                                <w:szCs w:val="20"/>
                              </w:rPr>
                              <w:t xml:space="preserve"> An application of the P-S-R framework that aims to guide policy strategy to alleviate energy hardship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1ADD6" id="_x0000_t202" coordsize="21600,21600" o:spt="202" path="m,l,21600r21600,l21600,xe">
                <v:stroke joinstyle="miter"/>
                <v:path gradientshapeok="t" o:connecttype="rect"/>
              </v:shapetype>
              <v:shape id="Text Box 1" o:spid="_x0000_s1026" type="#_x0000_t202" style="position:absolute;margin-left:394.3pt;margin-top:6.95pt;width:445.5pt;height:2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" stroked="f">
                <v:textbox inset="0,0,0,0">
                  <w:txbxContent>
                    <w:p w14:paraId="688DA4DA" w14:textId="554005C7" w:rsidR="00ED34EF" w:rsidRPr="00A9065A" w:rsidRDefault="00ED34EF" w:rsidP="00ED34EF">
                      <w:pPr>
                        <w:pStyle w:val="Caption"/>
                        <w:rPr>
                          <w:rFonts w:ascii="Montserrat"/>
                          <w:b w:val="0"/>
                          <w:bCs w:val="0"/>
                          <w:i/>
                          <w:iCs/>
                          <w:noProof/>
                          <w:sz w:val="20"/>
                          <w:szCs w:val="20"/>
                          <w:lang w:eastAsia="ja-JP"/>
                        </w:rPr>
                      </w:pPr>
                      <w:r w:rsidRPr="00A9065A">
                        <w:rPr>
                          <w:b w:val="0"/>
                          <w:bCs w:val="0"/>
                          <w:i/>
                          <w:iCs/>
                          <w:sz w:val="20"/>
                          <w:szCs w:val="20"/>
                        </w:rPr>
                        <w:t xml:space="preserve">Figure </w:t>
                      </w:r>
                      <w:r w:rsidRPr="00A9065A">
                        <w:rPr>
                          <w:b w:val="0"/>
                          <w:bCs w:val="0"/>
                          <w:i/>
                          <w:iCs/>
                          <w:sz w:val="20"/>
                          <w:szCs w:val="20"/>
                        </w:rPr>
                        <w:fldChar w:fldCharType="begin"/>
                      </w:r>
                      <w:r w:rsidRPr="00A9065A">
                        <w:rPr>
                          <w:b w:val="0"/>
                          <w:bCs w:val="0"/>
                          <w:i/>
                          <w:iCs/>
                          <w:sz w:val="20"/>
                          <w:szCs w:val="20"/>
                        </w:rPr>
                        <w:instrText xml:space="preserve"> SEQ Figure \* ARABIC </w:instrText>
                      </w:r>
                      <w:r w:rsidRPr="00A9065A">
                        <w:rPr>
                          <w:b w:val="0"/>
                          <w:bCs w:val="0"/>
                          <w:i/>
                          <w:iCs/>
                          <w:sz w:val="20"/>
                          <w:szCs w:val="20"/>
                        </w:rPr>
                        <w:fldChar w:fldCharType="separate"/>
                      </w:r>
                      <w:r w:rsidR="001C5293">
                        <w:rPr>
                          <w:b w:val="0"/>
                          <w:bCs w:val="0"/>
                          <w:i/>
                          <w:iCs/>
                          <w:noProof/>
                          <w:sz w:val="20"/>
                          <w:szCs w:val="20"/>
                        </w:rPr>
                        <w:t>2</w:t>
                      </w:r>
                      <w:r w:rsidRPr="00A9065A">
                        <w:rPr>
                          <w:b w:val="0"/>
                          <w:bCs w:val="0"/>
                          <w:i/>
                          <w:iCs/>
                          <w:sz w:val="20"/>
                          <w:szCs w:val="20"/>
                        </w:rPr>
                        <w:fldChar w:fldCharType="end"/>
                      </w:r>
                      <w:r w:rsidRPr="00A9065A">
                        <w:rPr>
                          <w:b w:val="0"/>
                          <w:bCs w:val="0"/>
                          <w:i/>
                          <w:iCs/>
                          <w:sz w:val="20"/>
                          <w:szCs w:val="20"/>
                        </w:rPr>
                        <w:t xml:space="preserve"> An application of the P-S-R framework that aims to guide policy strategy to alleviate energy hardship</w:t>
                      </w:r>
                    </w:p>
                  </w:txbxContent>
                </v:textbox>
                <w10:wrap anchorx="margin"/>
              </v:shape>
            </w:pict>
          </mc:Fallback>
        </mc:AlternateContent>
      </w:r>
    </w:p>
    <w:p w14:paraId="29EB96CF" w14:textId="0E47E16C" w:rsidR="00191C73" w:rsidRDefault="00191C73" w:rsidP="00E569AC">
      <w:pPr>
        <w:spacing w:before="120" w:after="120"/>
        <w:contextualSpacing/>
      </w:pPr>
    </w:p>
    <w:p w14:paraId="26A3A7A6" w14:textId="77777777" w:rsidR="003638D2" w:rsidRDefault="003638D2" w:rsidP="00E569AC">
      <w:pPr>
        <w:spacing w:before="120" w:after="120"/>
        <w:contextualSpacing/>
      </w:pPr>
    </w:p>
    <w:p w14:paraId="68F4628E" w14:textId="1A2F60DC" w:rsidR="008250BD" w:rsidRDefault="005E01A8" w:rsidP="00E569AC">
      <w:pPr>
        <w:spacing w:before="120" w:after="120"/>
        <w:contextualSpacing/>
      </w:pPr>
      <w:r>
        <w:t>Applying the P-S-R model to the relevant, existing suite of intervention measures, policies and programs can be a useful exercise to quickly identify any gaps that may exist, enabling policy makers to better target future policy and/or program design efforts. A hypothetical example is presented below:</w:t>
      </w:r>
    </w:p>
    <w:p w14:paraId="4C7D61D7" w14:textId="325C4986" w:rsidR="001D1708" w:rsidRDefault="00C7221A" w:rsidP="00A67E4E">
      <w:pPr>
        <w:keepNext/>
        <w:spacing w:before="120" w:after="120"/>
        <w:contextualSpacing/>
        <w:rPr>
          <w:noProof/>
        </w:rPr>
      </w:pPr>
      <w:r>
        <w:rPr>
          <w:noProof/>
        </w:rPr>
        <w:drawing>
          <wp:inline distT="0" distB="0" distL="0" distR="0" wp14:anchorId="524752D5" wp14:editId="2E36A866">
            <wp:extent cx="5657850" cy="3082803"/>
            <wp:effectExtent l="0" t="0" r="0" b="3810"/>
            <wp:docPr id="1539416448" name="Picture 2" descr="Figure 3: An illustration of a hypothetical scenario of applying the P-S-R model where a jurisdiction wants to address the issue of renters being unable to install solar PV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16448" name="Picture 2" descr="Figure 3: An illustration of a hypothetical scenario of applying the P-S-R model where a jurisdiction wants to address the issue of renters being unable to install solar PV system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7720" cy="3093630"/>
                    </a:xfrm>
                    <a:prstGeom prst="rect">
                      <a:avLst/>
                    </a:prstGeom>
                    <a:noFill/>
                    <a:ln>
                      <a:noFill/>
                    </a:ln>
                  </pic:spPr>
                </pic:pic>
              </a:graphicData>
            </a:graphic>
          </wp:inline>
        </w:drawing>
      </w:r>
    </w:p>
    <w:p w14:paraId="0C40AD28" w14:textId="7E652A0B" w:rsidR="00A67E4E" w:rsidRPr="00A9065A" w:rsidRDefault="00A67E4E" w:rsidP="00A67E4E">
      <w:pPr>
        <w:pStyle w:val="Caption"/>
        <w:rPr>
          <w:b w:val="0"/>
          <w:bCs w:val="0"/>
          <w:i/>
          <w:iCs/>
          <w:sz w:val="20"/>
          <w:szCs w:val="20"/>
        </w:rPr>
      </w:pPr>
      <w:r w:rsidRPr="00A9065A">
        <w:rPr>
          <w:b w:val="0"/>
          <w:bCs w:val="0"/>
          <w:i/>
          <w:iCs/>
          <w:sz w:val="20"/>
          <w:szCs w:val="20"/>
        </w:rPr>
        <w:t xml:space="preserve">Figure </w:t>
      </w:r>
      <w:r w:rsidRPr="00A9065A">
        <w:rPr>
          <w:b w:val="0"/>
          <w:bCs w:val="0"/>
          <w:i/>
          <w:iCs/>
          <w:sz w:val="20"/>
          <w:szCs w:val="20"/>
        </w:rPr>
        <w:fldChar w:fldCharType="begin"/>
      </w:r>
      <w:r w:rsidRPr="00A9065A">
        <w:rPr>
          <w:b w:val="0"/>
          <w:bCs w:val="0"/>
          <w:i/>
          <w:iCs/>
          <w:sz w:val="20"/>
          <w:szCs w:val="20"/>
        </w:rPr>
        <w:instrText xml:space="preserve"> SEQ Figure \* ARABIC </w:instrText>
      </w:r>
      <w:r w:rsidRPr="00A9065A">
        <w:rPr>
          <w:b w:val="0"/>
          <w:bCs w:val="0"/>
          <w:i/>
          <w:iCs/>
          <w:sz w:val="20"/>
          <w:szCs w:val="20"/>
        </w:rPr>
        <w:fldChar w:fldCharType="separate"/>
      </w:r>
      <w:r w:rsidR="001C5293">
        <w:rPr>
          <w:b w:val="0"/>
          <w:bCs w:val="0"/>
          <w:i/>
          <w:iCs/>
          <w:noProof/>
          <w:sz w:val="20"/>
          <w:szCs w:val="20"/>
        </w:rPr>
        <w:t>3</w:t>
      </w:r>
      <w:r w:rsidRPr="00A9065A">
        <w:rPr>
          <w:b w:val="0"/>
          <w:bCs w:val="0"/>
          <w:i/>
          <w:iCs/>
          <w:sz w:val="20"/>
          <w:szCs w:val="20"/>
        </w:rPr>
        <w:fldChar w:fldCharType="end"/>
      </w:r>
      <w:r w:rsidR="00483ACD">
        <w:rPr>
          <w:b w:val="0"/>
          <w:bCs w:val="0"/>
          <w:i/>
          <w:iCs/>
          <w:sz w:val="20"/>
          <w:szCs w:val="20"/>
        </w:rPr>
        <w:t xml:space="preserve"> H</w:t>
      </w:r>
      <w:r w:rsidR="0054444E">
        <w:rPr>
          <w:b w:val="0"/>
          <w:bCs w:val="0"/>
          <w:i/>
          <w:iCs/>
          <w:sz w:val="20"/>
          <w:szCs w:val="20"/>
        </w:rPr>
        <w:t xml:space="preserve">ypothetical example of using the P-S-R model </w:t>
      </w:r>
    </w:p>
    <w:p w14:paraId="0BE9EEB7" w14:textId="03E7F1CE" w:rsidR="00A32152" w:rsidRPr="00E569AC" w:rsidRDefault="00A32152" w:rsidP="00E569AC">
      <w:pPr>
        <w:spacing w:before="120" w:after="120"/>
        <w:contextualSpacing/>
        <w:rPr>
          <w:b/>
        </w:rPr>
      </w:pPr>
      <w:r>
        <w:br w:type="page"/>
      </w:r>
    </w:p>
    <w:p w14:paraId="3FFA42A3" w14:textId="30679464" w:rsidR="007F6649" w:rsidRPr="007F6649" w:rsidRDefault="007F6649" w:rsidP="00342C94">
      <w:pPr>
        <w:pStyle w:val="Heading2"/>
        <w:rPr>
          <w:b/>
          <w:bCs w:val="0"/>
          <w:sz w:val="36"/>
          <w:szCs w:val="24"/>
        </w:rPr>
      </w:pPr>
      <w:bookmarkStart w:id="26" w:name="_Toc177742034"/>
      <w:r w:rsidRPr="00342C94">
        <w:lastRenderedPageBreak/>
        <w:t>A community of better practice</w:t>
      </w:r>
      <w:bookmarkEnd w:id="26"/>
    </w:p>
    <w:p w14:paraId="7EDB2A92" w14:textId="0C38DA0C" w:rsidR="007F6649" w:rsidRDefault="007F6649" w:rsidP="007F6649">
      <w:r>
        <w:t xml:space="preserve">The tools and research published alongside the </w:t>
      </w:r>
      <w:r w:rsidR="00982178">
        <w:t>f</w:t>
      </w:r>
      <w:r>
        <w:t>ramework can be used by government officials in the development and evaluation of energy policies and programs. They can form the basis of a community of better practice which will, in turn, provide an opportunity improve equity in policy and program design and better outcomes for those vulnerable to or facing hardship.</w:t>
      </w:r>
    </w:p>
    <w:bookmarkEnd w:id="11"/>
    <w:p w14:paraId="1FAC2329" w14:textId="77777777" w:rsidR="007F6649" w:rsidRDefault="007F6649" w:rsidP="00CB2439">
      <w:pPr>
        <w:pStyle w:val="Heading2"/>
      </w:pPr>
    </w:p>
    <w:sectPr w:rsidR="007F6649" w:rsidSect="00E05F8B">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891AE" w14:textId="77777777" w:rsidR="00196F6E" w:rsidRDefault="00196F6E">
      <w:r>
        <w:separator/>
      </w:r>
    </w:p>
    <w:p w14:paraId="17F99EEC" w14:textId="77777777" w:rsidR="00196F6E" w:rsidRDefault="00196F6E"/>
    <w:p w14:paraId="5E528DFD" w14:textId="77777777" w:rsidR="00196F6E" w:rsidRDefault="00196F6E"/>
  </w:endnote>
  <w:endnote w:type="continuationSeparator" w:id="0">
    <w:p w14:paraId="397EC309" w14:textId="77777777" w:rsidR="00196F6E" w:rsidRDefault="00196F6E">
      <w:r>
        <w:continuationSeparator/>
      </w:r>
    </w:p>
    <w:p w14:paraId="4F0CFD4C" w14:textId="77777777" w:rsidR="00196F6E" w:rsidRDefault="00196F6E"/>
    <w:p w14:paraId="405E1BF5" w14:textId="77777777" w:rsidR="00196F6E" w:rsidRDefault="00196F6E"/>
  </w:endnote>
  <w:endnote w:type="continuationNotice" w:id="1">
    <w:p w14:paraId="026EBB7A" w14:textId="77777777" w:rsidR="00196F6E" w:rsidRDefault="00196F6E">
      <w:pPr>
        <w:pStyle w:val="Footer"/>
      </w:pPr>
    </w:p>
    <w:p w14:paraId="6D1AF788" w14:textId="77777777" w:rsidR="00196F6E" w:rsidRDefault="00196F6E"/>
    <w:p w14:paraId="3E970FCC" w14:textId="77777777" w:rsidR="00196F6E" w:rsidRDefault="00196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B8D4" w14:textId="57559ECE" w:rsidR="00431070" w:rsidRDefault="00431070">
    <w:pPr>
      <w:pStyle w:val="Footer"/>
    </w:pPr>
    <w:r>
      <w:rPr>
        <w:noProof/>
      </w:rPr>
      <mc:AlternateContent>
        <mc:Choice Requires="wps">
          <w:drawing>
            <wp:anchor distT="0" distB="0" distL="0" distR="0" simplePos="0" relativeHeight="251658752" behindDoc="0" locked="0" layoutInCell="1" allowOverlap="1" wp14:anchorId="0ABA2B44" wp14:editId="16D1C1C7">
              <wp:simplePos x="635" y="635"/>
              <wp:positionH relativeFrom="page">
                <wp:align>center</wp:align>
              </wp:positionH>
              <wp:positionV relativeFrom="page">
                <wp:align>bottom</wp:align>
              </wp:positionV>
              <wp:extent cx="551815" cy="404495"/>
              <wp:effectExtent l="0" t="0" r="635" b="0"/>
              <wp:wrapNone/>
              <wp:docPr id="14557835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729F0C" w14:textId="024C4AEE" w:rsidR="00431070" w:rsidRPr="00431070" w:rsidRDefault="00431070" w:rsidP="00431070">
                          <w:pPr>
                            <w:spacing w:after="0"/>
                            <w:rPr>
                              <w:rFonts w:ascii="Calibri" w:eastAsia="Calibri" w:hAnsi="Calibri" w:cs="Calibri"/>
                              <w:noProof/>
                              <w:color w:val="FF0000"/>
                              <w:sz w:val="24"/>
                              <w:szCs w:val="24"/>
                            </w:rPr>
                          </w:pPr>
                          <w:r w:rsidRPr="0043107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BA2B44" id="_x0000_t202" coordsize="21600,21600" o:spt="202" path="m,l,21600r21600,l21600,xe">
              <v:stroke joinstyle="miter"/>
              <v:path gradientshapeok="t" o:connecttype="rect"/>
            </v:shapetype>
            <v:shape id="Text Box 5" o:spid="_x0000_s1029" type="#_x0000_t202" alt="OFFICIAL" style="position:absolute;left:0;text-align:left;margin-left:0;margin-top:0;width:43.45pt;height:31.8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2729F0C" w14:textId="024C4AEE" w:rsidR="00431070" w:rsidRPr="00431070" w:rsidRDefault="00431070" w:rsidP="00431070">
                    <w:pPr>
                      <w:spacing w:after="0"/>
                      <w:rPr>
                        <w:rFonts w:ascii="Calibri" w:eastAsia="Calibri" w:hAnsi="Calibri" w:cs="Calibri"/>
                        <w:noProof/>
                        <w:color w:val="FF0000"/>
                        <w:sz w:val="24"/>
                        <w:szCs w:val="24"/>
                      </w:rPr>
                    </w:pPr>
                    <w:r w:rsidRPr="0043107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8D09" w14:textId="126AC47F" w:rsidR="00B861B4" w:rsidRDefault="00431070">
    <w:pPr>
      <w:pStyle w:val="Footer"/>
    </w:pPr>
    <w:r>
      <w:rPr>
        <w:noProof/>
      </w:rPr>
      <mc:AlternateContent>
        <mc:Choice Requires="wps">
          <w:drawing>
            <wp:anchor distT="0" distB="0" distL="0" distR="0" simplePos="0" relativeHeight="251659776" behindDoc="0" locked="0" layoutInCell="1" allowOverlap="1" wp14:anchorId="2500E8B9" wp14:editId="1FA1DF93">
              <wp:simplePos x="904875" y="10048875"/>
              <wp:positionH relativeFrom="page">
                <wp:align>center</wp:align>
              </wp:positionH>
              <wp:positionV relativeFrom="page">
                <wp:align>bottom</wp:align>
              </wp:positionV>
              <wp:extent cx="551815" cy="404495"/>
              <wp:effectExtent l="0" t="0" r="635" b="0"/>
              <wp:wrapNone/>
              <wp:docPr id="124915887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5EBF02" w14:textId="0311354A" w:rsidR="00431070" w:rsidRPr="00431070" w:rsidRDefault="00431070" w:rsidP="00431070">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00E8B9" id="_x0000_t202" coordsize="21600,21600" o:spt="202" path="m,l,21600r21600,l21600,xe">
              <v:stroke joinstyle="miter"/>
              <v:path gradientshapeok="t" o:connecttype="rect"/>
            </v:shapetype>
            <v:shape id="Text Box 6" o:spid="_x0000_s1030" type="#_x0000_t202" alt="OFFICIAL" style="position:absolute;left:0;text-align:left;margin-left:0;margin-top:0;width:43.45pt;height:31.8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55EBF02" w14:textId="0311354A" w:rsidR="00431070" w:rsidRPr="00431070" w:rsidRDefault="00431070" w:rsidP="00431070">
                    <w:pPr>
                      <w:spacing w:after="0"/>
                      <w:rPr>
                        <w:rFonts w:ascii="Calibri" w:eastAsia="Calibri" w:hAnsi="Calibri" w:cs="Calibri"/>
                        <w:noProof/>
                        <w:color w:val="FF0000"/>
                        <w:sz w:val="24"/>
                        <w:szCs w:val="24"/>
                      </w:rPr>
                    </w:pPr>
                  </w:p>
                </w:txbxContent>
              </v:textbox>
              <w10:wrap anchorx="page" anchory="page"/>
            </v:shape>
          </w:pict>
        </mc:Fallback>
      </mc:AlternateContent>
    </w:r>
    <w:r w:rsidR="00D86640" w:rsidRPr="00D86640">
      <w:t>Department of Climate Change, Energy, the Environment and Water</w:t>
    </w:r>
  </w:p>
  <w:p w14:paraId="11746C56"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8FFE" w14:textId="09401A95" w:rsidR="00431070" w:rsidRDefault="00431070">
    <w:pPr>
      <w:pStyle w:val="Footer"/>
    </w:pPr>
    <w:r>
      <w:rPr>
        <w:noProof/>
      </w:rPr>
      <mc:AlternateContent>
        <mc:Choice Requires="wps">
          <w:drawing>
            <wp:anchor distT="0" distB="0" distL="0" distR="0" simplePos="0" relativeHeight="251657728" behindDoc="0" locked="0" layoutInCell="1" allowOverlap="1" wp14:anchorId="7B487B40" wp14:editId="1B8942C0">
              <wp:simplePos x="901065" y="10281920"/>
              <wp:positionH relativeFrom="page">
                <wp:align>center</wp:align>
              </wp:positionH>
              <wp:positionV relativeFrom="page">
                <wp:align>bottom</wp:align>
              </wp:positionV>
              <wp:extent cx="551815" cy="404495"/>
              <wp:effectExtent l="0" t="0" r="635" b="0"/>
              <wp:wrapNone/>
              <wp:docPr id="80055240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4E89817" w14:textId="0A1F755D" w:rsidR="00431070" w:rsidRPr="00431070" w:rsidRDefault="00431070" w:rsidP="00431070">
                          <w:pPr>
                            <w:spacing w:after="0"/>
                            <w:rPr>
                              <w:rFonts w:ascii="Calibri" w:eastAsia="Calibri" w:hAnsi="Calibri" w:cs="Calibri"/>
                              <w:noProof/>
                              <w:color w:val="FF0000"/>
                              <w:sz w:val="24"/>
                              <w:szCs w:val="24"/>
                            </w:rPr>
                          </w:pPr>
                          <w:r w:rsidRPr="0043107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487B40" id="_x0000_t202" coordsize="21600,21600" o:spt="202" path="m,l,21600r21600,l21600,xe">
              <v:stroke joinstyle="miter"/>
              <v:path gradientshapeok="t" o:connecttype="rect"/>
            </v:shapetype>
            <v:shape id="Text Box 4" o:spid="_x0000_s1032" type="#_x0000_t202" alt="OFFICIAL" style="position:absolute;left:0;text-align:left;margin-left:0;margin-top:0;width:43.45pt;height:31.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4E89817" w14:textId="0A1F755D" w:rsidR="00431070" w:rsidRPr="00431070" w:rsidRDefault="00431070" w:rsidP="00431070">
                    <w:pPr>
                      <w:spacing w:after="0"/>
                      <w:rPr>
                        <w:rFonts w:ascii="Calibri" w:eastAsia="Calibri" w:hAnsi="Calibri" w:cs="Calibri"/>
                        <w:noProof/>
                        <w:color w:val="FF0000"/>
                        <w:sz w:val="24"/>
                        <w:szCs w:val="24"/>
                      </w:rPr>
                    </w:pPr>
                    <w:r w:rsidRPr="0043107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0873C" w14:textId="77777777" w:rsidR="00196F6E" w:rsidRDefault="00196F6E">
      <w:r>
        <w:separator/>
      </w:r>
    </w:p>
    <w:p w14:paraId="3750C1AB" w14:textId="77777777" w:rsidR="00196F6E" w:rsidRDefault="00196F6E"/>
    <w:p w14:paraId="302291CB" w14:textId="77777777" w:rsidR="00196F6E" w:rsidRDefault="00196F6E"/>
  </w:footnote>
  <w:footnote w:type="continuationSeparator" w:id="0">
    <w:p w14:paraId="61002791" w14:textId="77777777" w:rsidR="00196F6E" w:rsidRDefault="00196F6E">
      <w:r>
        <w:continuationSeparator/>
      </w:r>
    </w:p>
    <w:p w14:paraId="5DFAC06A" w14:textId="77777777" w:rsidR="00196F6E" w:rsidRDefault="00196F6E"/>
    <w:p w14:paraId="77B47B12" w14:textId="77777777" w:rsidR="00196F6E" w:rsidRDefault="00196F6E"/>
  </w:footnote>
  <w:footnote w:type="continuationNotice" w:id="1">
    <w:p w14:paraId="4311DBB0" w14:textId="77777777" w:rsidR="00196F6E" w:rsidRDefault="00196F6E">
      <w:pPr>
        <w:pStyle w:val="Footer"/>
      </w:pPr>
    </w:p>
    <w:p w14:paraId="1F25BDC4" w14:textId="77777777" w:rsidR="00196F6E" w:rsidRDefault="00196F6E"/>
    <w:p w14:paraId="05EDBEFB" w14:textId="77777777" w:rsidR="00196F6E" w:rsidRDefault="00196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9ECC6" w14:textId="3B73379A" w:rsidR="00B861B4" w:rsidRDefault="00431070">
    <w:pPr>
      <w:pStyle w:val="Header"/>
    </w:pPr>
    <w:r>
      <w:rPr>
        <w:noProof/>
        <w:lang w:val="en-US"/>
      </w:rPr>
      <mc:AlternateContent>
        <mc:Choice Requires="wps">
          <w:drawing>
            <wp:anchor distT="0" distB="0" distL="0" distR="0" simplePos="0" relativeHeight="251655680" behindDoc="0" locked="0" layoutInCell="1" allowOverlap="1" wp14:anchorId="46F7FF4A" wp14:editId="078BD8A5">
              <wp:simplePos x="635" y="635"/>
              <wp:positionH relativeFrom="page">
                <wp:align>center</wp:align>
              </wp:positionH>
              <wp:positionV relativeFrom="page">
                <wp:align>top</wp:align>
              </wp:positionV>
              <wp:extent cx="551815" cy="404495"/>
              <wp:effectExtent l="0" t="0" r="635" b="14605"/>
              <wp:wrapNone/>
              <wp:docPr id="44319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98FC6DD" w14:textId="6BCCD124" w:rsidR="00431070" w:rsidRPr="00431070" w:rsidRDefault="00431070" w:rsidP="00431070">
                          <w:pPr>
                            <w:spacing w:after="0"/>
                            <w:rPr>
                              <w:rFonts w:ascii="Calibri" w:eastAsia="Calibri" w:hAnsi="Calibri" w:cs="Calibri"/>
                              <w:noProof/>
                              <w:color w:val="FF0000"/>
                              <w:sz w:val="24"/>
                              <w:szCs w:val="24"/>
                            </w:rPr>
                          </w:pPr>
                          <w:r w:rsidRPr="0043107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7FF4A"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31.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98FC6DD" w14:textId="6BCCD124" w:rsidR="00431070" w:rsidRPr="00431070" w:rsidRDefault="00431070" w:rsidP="00431070">
                    <w:pPr>
                      <w:spacing w:after="0"/>
                      <w:rPr>
                        <w:rFonts w:ascii="Calibri" w:eastAsia="Calibri" w:hAnsi="Calibri" w:cs="Calibri"/>
                        <w:noProof/>
                        <w:color w:val="FF0000"/>
                        <w:sz w:val="24"/>
                        <w:szCs w:val="24"/>
                      </w:rPr>
                    </w:pPr>
                    <w:r w:rsidRPr="0043107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3FC3" w14:textId="6D8415E3" w:rsidR="00B861B4" w:rsidRDefault="001C5293">
    <w:pPr>
      <w:pStyle w:val="Header"/>
    </w:pPr>
    <w:sdt>
      <w:sdtPr>
        <w:id w:val="-24102521"/>
        <w:docPartObj>
          <w:docPartGallery w:val="Watermarks"/>
          <w:docPartUnique/>
        </w:docPartObj>
      </w:sdtPr>
      <w:sdtEndPr/>
      <w:sdtContent>
        <w:r>
          <w:rPr>
            <w:noProof/>
          </w:rPr>
          <w:pict w14:anchorId="41DEC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31070">
      <w:rPr>
        <w:noProof/>
        <w:lang w:val="en-US"/>
      </w:rPr>
      <mc:AlternateContent>
        <mc:Choice Requires="wps">
          <w:drawing>
            <wp:anchor distT="0" distB="0" distL="0" distR="0" simplePos="0" relativeHeight="251656704" behindDoc="0" locked="0" layoutInCell="1" allowOverlap="1" wp14:anchorId="03B1ECD9" wp14:editId="3990719B">
              <wp:simplePos x="904875" y="361950"/>
              <wp:positionH relativeFrom="page">
                <wp:align>center</wp:align>
              </wp:positionH>
              <wp:positionV relativeFrom="page">
                <wp:align>top</wp:align>
              </wp:positionV>
              <wp:extent cx="551815" cy="404495"/>
              <wp:effectExtent l="0" t="0" r="635" b="14605"/>
              <wp:wrapNone/>
              <wp:docPr id="194834239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280CA0" w14:textId="7279392D" w:rsidR="00431070" w:rsidRPr="00431070" w:rsidRDefault="00431070" w:rsidP="00431070">
                          <w:pPr>
                            <w:spacing w:after="0"/>
                            <w:rPr>
                              <w:rFonts w:ascii="Calibri" w:eastAsia="Calibri" w:hAnsi="Calibri" w:cs="Calibri"/>
                              <w:noProof/>
                              <w:color w:val="FF0000"/>
                              <w:sz w:val="24"/>
                              <w:szCs w:val="24"/>
                            </w:rPr>
                          </w:pPr>
                          <w:r w:rsidRPr="0043107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B1ECD9"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31.8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3280CA0" w14:textId="7279392D" w:rsidR="00431070" w:rsidRPr="00431070" w:rsidRDefault="00431070" w:rsidP="00431070">
                    <w:pPr>
                      <w:spacing w:after="0"/>
                      <w:rPr>
                        <w:rFonts w:ascii="Calibri" w:eastAsia="Calibri" w:hAnsi="Calibri" w:cs="Calibri"/>
                        <w:noProof/>
                        <w:color w:val="FF0000"/>
                        <w:sz w:val="24"/>
                        <w:szCs w:val="24"/>
                      </w:rPr>
                    </w:pPr>
                    <w:r w:rsidRPr="00431070">
                      <w:rPr>
                        <w:rFonts w:ascii="Calibri" w:eastAsia="Calibri" w:hAnsi="Calibri" w:cs="Calibri"/>
                        <w:noProof/>
                        <w:color w:val="FF0000"/>
                        <w:sz w:val="24"/>
                        <w:szCs w:val="24"/>
                      </w:rPr>
                      <w:t>OFFICIAL</w:t>
                    </w:r>
                  </w:p>
                </w:txbxContent>
              </v:textbox>
              <w10:wrap anchorx="page" anchory="page"/>
            </v:shape>
          </w:pict>
        </mc:Fallback>
      </mc:AlternateContent>
    </w:r>
    <w:r w:rsidR="00E507C9">
      <w:t>National Energy Equity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5887" w14:textId="1D3CAADA" w:rsidR="00B861B4" w:rsidRDefault="00431070">
    <w:pPr>
      <w:pStyle w:val="Header"/>
      <w:jc w:val="left"/>
    </w:pPr>
    <w:r>
      <w:rPr>
        <w:noProof/>
        <w:lang w:val="en-US"/>
      </w:rPr>
      <mc:AlternateContent>
        <mc:Choice Requires="wps">
          <w:drawing>
            <wp:anchor distT="0" distB="0" distL="0" distR="0" simplePos="0" relativeHeight="251654656" behindDoc="0" locked="0" layoutInCell="1" allowOverlap="1" wp14:anchorId="0D6CF243" wp14:editId="161CD6A2">
              <wp:simplePos x="901065" y="360680"/>
              <wp:positionH relativeFrom="page">
                <wp:align>center</wp:align>
              </wp:positionH>
              <wp:positionV relativeFrom="page">
                <wp:align>top</wp:align>
              </wp:positionV>
              <wp:extent cx="551815" cy="404495"/>
              <wp:effectExtent l="0" t="0" r="635" b="14605"/>
              <wp:wrapNone/>
              <wp:docPr id="12896456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1450934" w14:textId="307EEF20" w:rsidR="00431070" w:rsidRPr="00431070" w:rsidRDefault="00431070" w:rsidP="00431070">
                          <w:pPr>
                            <w:spacing w:after="0"/>
                            <w:rPr>
                              <w:rFonts w:ascii="Calibri" w:eastAsia="Calibri" w:hAnsi="Calibri" w:cs="Calibri"/>
                              <w:noProof/>
                              <w:color w:val="FF0000"/>
                              <w:sz w:val="24"/>
                              <w:szCs w:val="24"/>
                            </w:rPr>
                          </w:pPr>
                          <w:r w:rsidRPr="0043107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CF243" id="_x0000_t202" coordsize="21600,21600" o:spt="202" path="m,l,21600r21600,l21600,xe">
              <v:stroke joinstyle="miter"/>
              <v:path gradientshapeok="t" o:connecttype="rect"/>
            </v:shapetype>
            <v:shape id="_x0000_s1031" type="#_x0000_t202" alt="OFFICIAL" style="position:absolute;margin-left:0;margin-top:0;width:43.45pt;height:31.8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1450934" w14:textId="307EEF20" w:rsidR="00431070" w:rsidRPr="00431070" w:rsidRDefault="00431070" w:rsidP="00431070">
                    <w:pPr>
                      <w:spacing w:after="0"/>
                      <w:rPr>
                        <w:rFonts w:ascii="Calibri" w:eastAsia="Calibri" w:hAnsi="Calibri" w:cs="Calibri"/>
                        <w:noProof/>
                        <w:color w:val="FF0000"/>
                        <w:sz w:val="24"/>
                        <w:szCs w:val="24"/>
                      </w:rPr>
                    </w:pPr>
                    <w:r w:rsidRPr="0043107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4356F0E"/>
    <w:multiLevelType w:val="hybridMultilevel"/>
    <w:tmpl w:val="5C74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E1ED1"/>
    <w:multiLevelType w:val="hybridMultilevel"/>
    <w:tmpl w:val="4308F3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1C604DA8"/>
    <w:multiLevelType w:val="hybridMultilevel"/>
    <w:tmpl w:val="C2302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C1570"/>
    <w:multiLevelType w:val="multilevel"/>
    <w:tmpl w:val="32FC74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1A328D5"/>
    <w:multiLevelType w:val="multilevel"/>
    <w:tmpl w:val="BE78A4F8"/>
    <w:numStyleLink w:val="Numberlist"/>
  </w:abstractNum>
  <w:abstractNum w:abstractNumId="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71B60DD"/>
    <w:multiLevelType w:val="hybridMultilevel"/>
    <w:tmpl w:val="ABDC8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24EE7"/>
    <w:multiLevelType w:val="hybridMultilevel"/>
    <w:tmpl w:val="6D5E3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CF25C3"/>
    <w:multiLevelType w:val="hybridMultilevel"/>
    <w:tmpl w:val="A1C486AE"/>
    <w:lvl w:ilvl="0" w:tplc="5C22141A">
      <w:start w:val="1"/>
      <w:numFmt w:val="bullet"/>
      <w:lvlText w:val="•"/>
      <w:lvlJc w:val="left"/>
      <w:pPr>
        <w:tabs>
          <w:tab w:val="num" w:pos="720"/>
        </w:tabs>
        <w:ind w:left="720" w:hanging="360"/>
      </w:pPr>
      <w:rPr>
        <w:rFonts w:ascii="Arial" w:hAnsi="Arial" w:hint="default"/>
      </w:rPr>
    </w:lvl>
    <w:lvl w:ilvl="1" w:tplc="8606133C" w:tentative="1">
      <w:start w:val="1"/>
      <w:numFmt w:val="bullet"/>
      <w:lvlText w:val="•"/>
      <w:lvlJc w:val="left"/>
      <w:pPr>
        <w:tabs>
          <w:tab w:val="num" w:pos="1440"/>
        </w:tabs>
        <w:ind w:left="1440" w:hanging="360"/>
      </w:pPr>
      <w:rPr>
        <w:rFonts w:ascii="Arial" w:hAnsi="Arial" w:hint="default"/>
      </w:rPr>
    </w:lvl>
    <w:lvl w:ilvl="2" w:tplc="6CF6A96A" w:tentative="1">
      <w:start w:val="1"/>
      <w:numFmt w:val="bullet"/>
      <w:lvlText w:val="•"/>
      <w:lvlJc w:val="left"/>
      <w:pPr>
        <w:tabs>
          <w:tab w:val="num" w:pos="2160"/>
        </w:tabs>
        <w:ind w:left="2160" w:hanging="360"/>
      </w:pPr>
      <w:rPr>
        <w:rFonts w:ascii="Arial" w:hAnsi="Arial" w:hint="default"/>
      </w:rPr>
    </w:lvl>
    <w:lvl w:ilvl="3" w:tplc="D2BAEAD2" w:tentative="1">
      <w:start w:val="1"/>
      <w:numFmt w:val="bullet"/>
      <w:lvlText w:val="•"/>
      <w:lvlJc w:val="left"/>
      <w:pPr>
        <w:tabs>
          <w:tab w:val="num" w:pos="2880"/>
        </w:tabs>
        <w:ind w:left="2880" w:hanging="360"/>
      </w:pPr>
      <w:rPr>
        <w:rFonts w:ascii="Arial" w:hAnsi="Arial" w:hint="default"/>
      </w:rPr>
    </w:lvl>
    <w:lvl w:ilvl="4" w:tplc="414695A6" w:tentative="1">
      <w:start w:val="1"/>
      <w:numFmt w:val="bullet"/>
      <w:lvlText w:val="•"/>
      <w:lvlJc w:val="left"/>
      <w:pPr>
        <w:tabs>
          <w:tab w:val="num" w:pos="3600"/>
        </w:tabs>
        <w:ind w:left="3600" w:hanging="360"/>
      </w:pPr>
      <w:rPr>
        <w:rFonts w:ascii="Arial" w:hAnsi="Arial" w:hint="default"/>
      </w:rPr>
    </w:lvl>
    <w:lvl w:ilvl="5" w:tplc="9EF4985C" w:tentative="1">
      <w:start w:val="1"/>
      <w:numFmt w:val="bullet"/>
      <w:lvlText w:val="•"/>
      <w:lvlJc w:val="left"/>
      <w:pPr>
        <w:tabs>
          <w:tab w:val="num" w:pos="4320"/>
        </w:tabs>
        <w:ind w:left="4320" w:hanging="360"/>
      </w:pPr>
      <w:rPr>
        <w:rFonts w:ascii="Arial" w:hAnsi="Arial" w:hint="default"/>
      </w:rPr>
    </w:lvl>
    <w:lvl w:ilvl="6" w:tplc="A8AC6318" w:tentative="1">
      <w:start w:val="1"/>
      <w:numFmt w:val="bullet"/>
      <w:lvlText w:val="•"/>
      <w:lvlJc w:val="left"/>
      <w:pPr>
        <w:tabs>
          <w:tab w:val="num" w:pos="5040"/>
        </w:tabs>
        <w:ind w:left="5040" w:hanging="360"/>
      </w:pPr>
      <w:rPr>
        <w:rFonts w:ascii="Arial" w:hAnsi="Arial" w:hint="default"/>
      </w:rPr>
    </w:lvl>
    <w:lvl w:ilvl="7" w:tplc="2760EE64" w:tentative="1">
      <w:start w:val="1"/>
      <w:numFmt w:val="bullet"/>
      <w:lvlText w:val="•"/>
      <w:lvlJc w:val="left"/>
      <w:pPr>
        <w:tabs>
          <w:tab w:val="num" w:pos="5760"/>
        </w:tabs>
        <w:ind w:left="5760" w:hanging="360"/>
      </w:pPr>
      <w:rPr>
        <w:rFonts w:ascii="Arial" w:hAnsi="Arial" w:hint="default"/>
      </w:rPr>
    </w:lvl>
    <w:lvl w:ilvl="8" w:tplc="0AA47C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F01043"/>
    <w:multiLevelType w:val="hybridMultilevel"/>
    <w:tmpl w:val="FCB67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4A15FE"/>
    <w:multiLevelType w:val="multilevel"/>
    <w:tmpl w:val="F36C17E8"/>
    <w:numStyleLink w:val="Headinglist"/>
  </w:abstractNum>
  <w:abstractNum w:abstractNumId="13" w15:restartNumberingAfterBreak="0">
    <w:nsid w:val="414079C1"/>
    <w:multiLevelType w:val="hybridMultilevel"/>
    <w:tmpl w:val="D8A6D80C"/>
    <w:lvl w:ilvl="0" w:tplc="A3AA40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6800B4"/>
    <w:multiLevelType w:val="multilevel"/>
    <w:tmpl w:val="A0241B28"/>
    <w:numStyleLink w:val="List1"/>
  </w:abstractNum>
  <w:abstractNum w:abstractNumId="1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8C7042"/>
    <w:multiLevelType w:val="hybridMultilevel"/>
    <w:tmpl w:val="991652A2"/>
    <w:lvl w:ilvl="0" w:tplc="0770B494">
      <w:numFmt w:val="bullet"/>
      <w:lvlText w:val="-"/>
      <w:lvlJc w:val="left"/>
      <w:pPr>
        <w:ind w:left="732" w:hanging="360"/>
      </w:pPr>
      <w:rPr>
        <w:rFonts w:ascii="Arial" w:eastAsia="Batang" w:hAnsi="Arial" w:cs="Arial"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1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9" w15:restartNumberingAfterBreak="0">
    <w:nsid w:val="58CB206A"/>
    <w:multiLevelType w:val="hybridMultilevel"/>
    <w:tmpl w:val="5C8249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615D03E8"/>
    <w:multiLevelType w:val="hybridMultilevel"/>
    <w:tmpl w:val="22E29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8B69F6"/>
    <w:multiLevelType w:val="hybridMultilevel"/>
    <w:tmpl w:val="8EB2C7D6"/>
    <w:lvl w:ilvl="0" w:tplc="0F8844C2">
      <w:start w:val="1"/>
      <w:numFmt w:val="bullet"/>
      <w:lvlText w:val="•"/>
      <w:lvlJc w:val="left"/>
      <w:pPr>
        <w:tabs>
          <w:tab w:val="num" w:pos="720"/>
        </w:tabs>
        <w:ind w:left="720" w:hanging="360"/>
      </w:pPr>
      <w:rPr>
        <w:rFonts w:ascii="Arial" w:hAnsi="Arial" w:hint="default"/>
      </w:rPr>
    </w:lvl>
    <w:lvl w:ilvl="1" w:tplc="395A9F62" w:tentative="1">
      <w:start w:val="1"/>
      <w:numFmt w:val="bullet"/>
      <w:lvlText w:val="•"/>
      <w:lvlJc w:val="left"/>
      <w:pPr>
        <w:tabs>
          <w:tab w:val="num" w:pos="1440"/>
        </w:tabs>
        <w:ind w:left="1440" w:hanging="360"/>
      </w:pPr>
      <w:rPr>
        <w:rFonts w:ascii="Arial" w:hAnsi="Arial" w:hint="default"/>
      </w:rPr>
    </w:lvl>
    <w:lvl w:ilvl="2" w:tplc="F3189ABC" w:tentative="1">
      <w:start w:val="1"/>
      <w:numFmt w:val="bullet"/>
      <w:lvlText w:val="•"/>
      <w:lvlJc w:val="left"/>
      <w:pPr>
        <w:tabs>
          <w:tab w:val="num" w:pos="2160"/>
        </w:tabs>
        <w:ind w:left="2160" w:hanging="360"/>
      </w:pPr>
      <w:rPr>
        <w:rFonts w:ascii="Arial" w:hAnsi="Arial" w:hint="default"/>
      </w:rPr>
    </w:lvl>
    <w:lvl w:ilvl="3" w:tplc="CCDE0D42" w:tentative="1">
      <w:start w:val="1"/>
      <w:numFmt w:val="bullet"/>
      <w:lvlText w:val="•"/>
      <w:lvlJc w:val="left"/>
      <w:pPr>
        <w:tabs>
          <w:tab w:val="num" w:pos="2880"/>
        </w:tabs>
        <w:ind w:left="2880" w:hanging="360"/>
      </w:pPr>
      <w:rPr>
        <w:rFonts w:ascii="Arial" w:hAnsi="Arial" w:hint="default"/>
      </w:rPr>
    </w:lvl>
    <w:lvl w:ilvl="4" w:tplc="010C65A8" w:tentative="1">
      <w:start w:val="1"/>
      <w:numFmt w:val="bullet"/>
      <w:lvlText w:val="•"/>
      <w:lvlJc w:val="left"/>
      <w:pPr>
        <w:tabs>
          <w:tab w:val="num" w:pos="3600"/>
        </w:tabs>
        <w:ind w:left="3600" w:hanging="360"/>
      </w:pPr>
      <w:rPr>
        <w:rFonts w:ascii="Arial" w:hAnsi="Arial" w:hint="default"/>
      </w:rPr>
    </w:lvl>
    <w:lvl w:ilvl="5" w:tplc="5E50ADEA" w:tentative="1">
      <w:start w:val="1"/>
      <w:numFmt w:val="bullet"/>
      <w:lvlText w:val="•"/>
      <w:lvlJc w:val="left"/>
      <w:pPr>
        <w:tabs>
          <w:tab w:val="num" w:pos="4320"/>
        </w:tabs>
        <w:ind w:left="4320" w:hanging="360"/>
      </w:pPr>
      <w:rPr>
        <w:rFonts w:ascii="Arial" w:hAnsi="Arial" w:hint="default"/>
      </w:rPr>
    </w:lvl>
    <w:lvl w:ilvl="6" w:tplc="8D7A29F2" w:tentative="1">
      <w:start w:val="1"/>
      <w:numFmt w:val="bullet"/>
      <w:lvlText w:val="•"/>
      <w:lvlJc w:val="left"/>
      <w:pPr>
        <w:tabs>
          <w:tab w:val="num" w:pos="5040"/>
        </w:tabs>
        <w:ind w:left="5040" w:hanging="360"/>
      </w:pPr>
      <w:rPr>
        <w:rFonts w:ascii="Arial" w:hAnsi="Arial" w:hint="default"/>
      </w:rPr>
    </w:lvl>
    <w:lvl w:ilvl="7" w:tplc="902C58E6" w:tentative="1">
      <w:start w:val="1"/>
      <w:numFmt w:val="bullet"/>
      <w:lvlText w:val="•"/>
      <w:lvlJc w:val="left"/>
      <w:pPr>
        <w:tabs>
          <w:tab w:val="num" w:pos="5760"/>
        </w:tabs>
        <w:ind w:left="5760" w:hanging="360"/>
      </w:pPr>
      <w:rPr>
        <w:rFonts w:ascii="Arial" w:hAnsi="Arial" w:hint="default"/>
      </w:rPr>
    </w:lvl>
    <w:lvl w:ilvl="8" w:tplc="F84AF1D8" w:tentative="1">
      <w:start w:val="1"/>
      <w:numFmt w:val="bullet"/>
      <w:lvlText w:val="•"/>
      <w:lvlJc w:val="left"/>
      <w:pPr>
        <w:tabs>
          <w:tab w:val="num" w:pos="6480"/>
        </w:tabs>
        <w:ind w:left="6480" w:hanging="360"/>
      </w:pPr>
      <w:rPr>
        <w:rFonts w:ascii="Arial" w:hAnsi="Arial" w:hint="default"/>
      </w:rPr>
    </w:lvl>
  </w:abstractNum>
  <w:num w:numId="1" w16cid:durableId="1404451164">
    <w:abstractNumId w:val="15"/>
  </w:num>
  <w:num w:numId="2" w16cid:durableId="1666787524">
    <w:abstractNumId w:val="3"/>
  </w:num>
  <w:num w:numId="3" w16cid:durableId="381057155">
    <w:abstractNumId w:val="21"/>
  </w:num>
  <w:num w:numId="4" w16cid:durableId="1639215797">
    <w:abstractNumId w:val="22"/>
  </w:num>
  <w:num w:numId="5" w16cid:durableId="1643265712">
    <w:abstractNumId w:val="7"/>
  </w:num>
  <w:num w:numId="6" w16cid:durableId="793717093">
    <w:abstractNumId w:val="12"/>
    <w:lvlOverride w:ilvl="0">
      <w:lvl w:ilvl="0">
        <w:start w:val="1"/>
        <w:numFmt w:val="decimal"/>
        <w:lvlText w:val="%1"/>
        <w:lvlJc w:val="left"/>
        <w:pPr>
          <w:ind w:left="720" w:hanging="720"/>
        </w:pPr>
      </w:lvl>
    </w:lvlOverride>
  </w:num>
  <w:num w:numId="7" w16cid:durableId="1314063411">
    <w:abstractNumId w:val="18"/>
  </w:num>
  <w:num w:numId="8" w16cid:durableId="9570234">
    <w:abstractNumId w:val="6"/>
  </w:num>
  <w:num w:numId="9" w16cid:durableId="15689503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6202022">
    <w:abstractNumId w:val="16"/>
  </w:num>
  <w:num w:numId="11" w16cid:durableId="281765065">
    <w:abstractNumId w:val="20"/>
  </w:num>
  <w:num w:numId="12" w16cid:durableId="866915021">
    <w:abstractNumId w:val="0"/>
  </w:num>
  <w:num w:numId="13" w16cid:durableId="843126565">
    <w:abstractNumId w:val="5"/>
  </w:num>
  <w:num w:numId="14" w16cid:durableId="391927984">
    <w:abstractNumId w:val="9"/>
  </w:num>
  <w:num w:numId="15" w16cid:durableId="599921485">
    <w:abstractNumId w:val="1"/>
  </w:num>
  <w:num w:numId="16" w16cid:durableId="239799237">
    <w:abstractNumId w:val="8"/>
  </w:num>
  <w:num w:numId="17" w16cid:durableId="602961091">
    <w:abstractNumId w:val="4"/>
  </w:num>
  <w:num w:numId="18" w16cid:durableId="984090250">
    <w:abstractNumId w:val="24"/>
  </w:num>
  <w:num w:numId="19" w16cid:durableId="874732975">
    <w:abstractNumId w:val="10"/>
  </w:num>
  <w:num w:numId="20" w16cid:durableId="2093968653">
    <w:abstractNumId w:val="23"/>
  </w:num>
  <w:num w:numId="21" w16cid:durableId="1492527778">
    <w:abstractNumId w:val="17"/>
  </w:num>
  <w:num w:numId="22" w16cid:durableId="1884246260">
    <w:abstractNumId w:val="19"/>
  </w:num>
  <w:num w:numId="23" w16cid:durableId="1565489718">
    <w:abstractNumId w:val="11"/>
  </w:num>
  <w:num w:numId="24" w16cid:durableId="1637369874">
    <w:abstractNumId w:val="12"/>
    <w:lvlOverride w:ilvl="0">
      <w:lvl w:ilvl="0">
        <w:start w:val="1"/>
        <w:numFmt w:val="decimal"/>
        <w:lvlText w:val="%1"/>
        <w:lvlJc w:val="left"/>
        <w:pPr>
          <w:ind w:left="720" w:hanging="720"/>
        </w:pPr>
      </w:lvl>
    </w:lvlOverride>
  </w:num>
  <w:num w:numId="25" w16cid:durableId="1802729663">
    <w:abstractNumId w:val="12"/>
    <w:lvlOverride w:ilvl="0">
      <w:lvl w:ilvl="0">
        <w:start w:val="1"/>
        <w:numFmt w:val="decimal"/>
        <w:lvlText w:val="%1"/>
        <w:lvlJc w:val="left"/>
        <w:pPr>
          <w:ind w:left="720" w:hanging="720"/>
        </w:pPr>
      </w:lvl>
    </w:lvlOverride>
  </w:num>
  <w:num w:numId="26" w16cid:durableId="2113209282">
    <w:abstractNumId w:val="12"/>
    <w:lvlOverride w:ilvl="0">
      <w:lvl w:ilvl="0">
        <w:start w:val="1"/>
        <w:numFmt w:val="decimal"/>
        <w:lvlText w:val="%1"/>
        <w:lvlJc w:val="left"/>
        <w:pPr>
          <w:ind w:left="720" w:hanging="720"/>
        </w:pPr>
      </w:lvl>
    </w:lvlOverride>
  </w:num>
  <w:num w:numId="27" w16cid:durableId="528373286">
    <w:abstractNumId w:val="12"/>
    <w:lvlOverride w:ilvl="0">
      <w:lvl w:ilvl="0">
        <w:start w:val="1"/>
        <w:numFmt w:val="decimal"/>
        <w:lvlText w:val="%1"/>
        <w:lvlJc w:val="left"/>
        <w:pPr>
          <w:ind w:left="720" w:hanging="720"/>
        </w:pPr>
      </w:lvl>
    </w:lvlOverride>
  </w:num>
  <w:num w:numId="28" w16cid:durableId="2054572191">
    <w:abstractNumId w:val="12"/>
    <w:lvlOverride w:ilvl="0">
      <w:lvl w:ilvl="0">
        <w:start w:val="1"/>
        <w:numFmt w:val="decimal"/>
        <w:lvlText w:val="%1"/>
        <w:lvlJc w:val="left"/>
        <w:pPr>
          <w:ind w:left="720" w:hanging="720"/>
        </w:pPr>
      </w:lvl>
    </w:lvlOverride>
  </w:num>
  <w:num w:numId="29" w16cid:durableId="1995526694">
    <w:abstractNumId w:val="12"/>
    <w:lvlOverride w:ilvl="0">
      <w:lvl w:ilvl="0">
        <w:start w:val="1"/>
        <w:numFmt w:val="decimal"/>
        <w:lvlText w:val="%1"/>
        <w:lvlJc w:val="left"/>
        <w:pPr>
          <w:ind w:left="720" w:hanging="720"/>
        </w:pPr>
      </w:lvl>
    </w:lvlOverride>
  </w:num>
  <w:num w:numId="30" w16cid:durableId="178812712">
    <w:abstractNumId w:val="12"/>
    <w:lvlOverride w:ilvl="0">
      <w:lvl w:ilvl="0">
        <w:start w:val="1"/>
        <w:numFmt w:val="decimal"/>
        <w:lvlText w:val="%1"/>
        <w:lvlJc w:val="left"/>
        <w:pPr>
          <w:ind w:left="720" w:hanging="720"/>
        </w:pPr>
      </w:lvl>
    </w:lvlOverride>
  </w:num>
  <w:num w:numId="31" w16cid:durableId="948705526">
    <w:abstractNumId w:val="13"/>
  </w:num>
  <w:num w:numId="32" w16cid:durableId="5829185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70"/>
    <w:rsid w:val="000077E5"/>
    <w:rsid w:val="00033A65"/>
    <w:rsid w:val="00041B38"/>
    <w:rsid w:val="000424EF"/>
    <w:rsid w:val="000425AF"/>
    <w:rsid w:val="00071EE8"/>
    <w:rsid w:val="00077EC6"/>
    <w:rsid w:val="000869AB"/>
    <w:rsid w:val="00093E82"/>
    <w:rsid w:val="00093FFB"/>
    <w:rsid w:val="00097FA8"/>
    <w:rsid w:val="000A517D"/>
    <w:rsid w:val="000A7443"/>
    <w:rsid w:val="000A7AAF"/>
    <w:rsid w:val="000B2F70"/>
    <w:rsid w:val="000B4108"/>
    <w:rsid w:val="000D6E96"/>
    <w:rsid w:val="000E29E4"/>
    <w:rsid w:val="000F043D"/>
    <w:rsid w:val="000F2194"/>
    <w:rsid w:val="000F6A2A"/>
    <w:rsid w:val="00103803"/>
    <w:rsid w:val="00107522"/>
    <w:rsid w:val="00114002"/>
    <w:rsid w:val="0011600A"/>
    <w:rsid w:val="00123033"/>
    <w:rsid w:val="00147B2E"/>
    <w:rsid w:val="001523F2"/>
    <w:rsid w:val="00176594"/>
    <w:rsid w:val="0017699C"/>
    <w:rsid w:val="001773DC"/>
    <w:rsid w:val="00191C73"/>
    <w:rsid w:val="00193AC6"/>
    <w:rsid w:val="00196F6E"/>
    <w:rsid w:val="001A7982"/>
    <w:rsid w:val="001B346A"/>
    <w:rsid w:val="001C1FC1"/>
    <w:rsid w:val="001C5293"/>
    <w:rsid w:val="001D1708"/>
    <w:rsid w:val="001D420D"/>
    <w:rsid w:val="00201F73"/>
    <w:rsid w:val="002163DF"/>
    <w:rsid w:val="002164B0"/>
    <w:rsid w:val="00222137"/>
    <w:rsid w:val="00233B1F"/>
    <w:rsid w:val="00244957"/>
    <w:rsid w:val="00247261"/>
    <w:rsid w:val="00250189"/>
    <w:rsid w:val="00266B3F"/>
    <w:rsid w:val="00281BB6"/>
    <w:rsid w:val="00284C5A"/>
    <w:rsid w:val="00284D14"/>
    <w:rsid w:val="00286307"/>
    <w:rsid w:val="002A47A8"/>
    <w:rsid w:val="002A6C19"/>
    <w:rsid w:val="002D2BF1"/>
    <w:rsid w:val="002D5B0A"/>
    <w:rsid w:val="002D5B20"/>
    <w:rsid w:val="002D6883"/>
    <w:rsid w:val="002D6D4A"/>
    <w:rsid w:val="003024BD"/>
    <w:rsid w:val="003042F1"/>
    <w:rsid w:val="00311300"/>
    <w:rsid w:val="003214B3"/>
    <w:rsid w:val="00324BD0"/>
    <w:rsid w:val="0033522D"/>
    <w:rsid w:val="00341111"/>
    <w:rsid w:val="00342C94"/>
    <w:rsid w:val="003537AD"/>
    <w:rsid w:val="003638D2"/>
    <w:rsid w:val="00364A4A"/>
    <w:rsid w:val="0037308E"/>
    <w:rsid w:val="00397A43"/>
    <w:rsid w:val="00397C01"/>
    <w:rsid w:val="003C0BA5"/>
    <w:rsid w:val="003D2DA1"/>
    <w:rsid w:val="003E19BA"/>
    <w:rsid w:val="003F2D07"/>
    <w:rsid w:val="004046DD"/>
    <w:rsid w:val="00410B27"/>
    <w:rsid w:val="004119A5"/>
    <w:rsid w:val="00424847"/>
    <w:rsid w:val="00425DF8"/>
    <w:rsid w:val="00431070"/>
    <w:rsid w:val="004535E5"/>
    <w:rsid w:val="00461957"/>
    <w:rsid w:val="00483ACD"/>
    <w:rsid w:val="00491E5F"/>
    <w:rsid w:val="004B1D54"/>
    <w:rsid w:val="004F5A3C"/>
    <w:rsid w:val="005043EB"/>
    <w:rsid w:val="00504913"/>
    <w:rsid w:val="00517A68"/>
    <w:rsid w:val="00526945"/>
    <w:rsid w:val="00543FCB"/>
    <w:rsid w:val="0054444E"/>
    <w:rsid w:val="00551B08"/>
    <w:rsid w:val="00552370"/>
    <w:rsid w:val="005574C7"/>
    <w:rsid w:val="0057476A"/>
    <w:rsid w:val="00576259"/>
    <w:rsid w:val="005821F7"/>
    <w:rsid w:val="00583EC3"/>
    <w:rsid w:val="005863A2"/>
    <w:rsid w:val="00587D14"/>
    <w:rsid w:val="00594A4E"/>
    <w:rsid w:val="005A10EC"/>
    <w:rsid w:val="005A7193"/>
    <w:rsid w:val="005C11D1"/>
    <w:rsid w:val="005C42D7"/>
    <w:rsid w:val="005D3790"/>
    <w:rsid w:val="005D45E3"/>
    <w:rsid w:val="005E01A8"/>
    <w:rsid w:val="005E25BD"/>
    <w:rsid w:val="006138D1"/>
    <w:rsid w:val="00625F72"/>
    <w:rsid w:val="00641920"/>
    <w:rsid w:val="00643C78"/>
    <w:rsid w:val="006440A9"/>
    <w:rsid w:val="006718E4"/>
    <w:rsid w:val="00680970"/>
    <w:rsid w:val="00682464"/>
    <w:rsid w:val="00682690"/>
    <w:rsid w:val="00682D4A"/>
    <w:rsid w:val="00685ED0"/>
    <w:rsid w:val="00686614"/>
    <w:rsid w:val="006A1ED6"/>
    <w:rsid w:val="006A3182"/>
    <w:rsid w:val="006A4918"/>
    <w:rsid w:val="006B0FFE"/>
    <w:rsid w:val="006B222A"/>
    <w:rsid w:val="006B34F6"/>
    <w:rsid w:val="006B3B85"/>
    <w:rsid w:val="006C16FF"/>
    <w:rsid w:val="006C261F"/>
    <w:rsid w:val="006C5145"/>
    <w:rsid w:val="006D6CE3"/>
    <w:rsid w:val="006F065B"/>
    <w:rsid w:val="00714DD1"/>
    <w:rsid w:val="00716EBC"/>
    <w:rsid w:val="00734D2E"/>
    <w:rsid w:val="007402EB"/>
    <w:rsid w:val="0074296C"/>
    <w:rsid w:val="00750441"/>
    <w:rsid w:val="00753CD6"/>
    <w:rsid w:val="00760C73"/>
    <w:rsid w:val="00761FCF"/>
    <w:rsid w:val="00764D6A"/>
    <w:rsid w:val="00766B2D"/>
    <w:rsid w:val="00767705"/>
    <w:rsid w:val="00773056"/>
    <w:rsid w:val="00774587"/>
    <w:rsid w:val="00792C2A"/>
    <w:rsid w:val="007A5D10"/>
    <w:rsid w:val="007C358A"/>
    <w:rsid w:val="007C4017"/>
    <w:rsid w:val="007C4F81"/>
    <w:rsid w:val="007D2456"/>
    <w:rsid w:val="007E0880"/>
    <w:rsid w:val="007F6649"/>
    <w:rsid w:val="007F7F92"/>
    <w:rsid w:val="00820F04"/>
    <w:rsid w:val="008250BD"/>
    <w:rsid w:val="00840B60"/>
    <w:rsid w:val="00841E2B"/>
    <w:rsid w:val="00842423"/>
    <w:rsid w:val="00846E29"/>
    <w:rsid w:val="00865FD3"/>
    <w:rsid w:val="00877E8F"/>
    <w:rsid w:val="00884E3A"/>
    <w:rsid w:val="00892CC1"/>
    <w:rsid w:val="008A0EE3"/>
    <w:rsid w:val="008C1FBD"/>
    <w:rsid w:val="008D3DFD"/>
    <w:rsid w:val="008D619B"/>
    <w:rsid w:val="008E2272"/>
    <w:rsid w:val="008E2377"/>
    <w:rsid w:val="008F52CB"/>
    <w:rsid w:val="00902712"/>
    <w:rsid w:val="00914E4F"/>
    <w:rsid w:val="00923CC9"/>
    <w:rsid w:val="0093673C"/>
    <w:rsid w:val="009433B3"/>
    <w:rsid w:val="00946A37"/>
    <w:rsid w:val="0097237F"/>
    <w:rsid w:val="00981757"/>
    <w:rsid w:val="00982178"/>
    <w:rsid w:val="009841F7"/>
    <w:rsid w:val="00995C87"/>
    <w:rsid w:val="009B5394"/>
    <w:rsid w:val="009B73F2"/>
    <w:rsid w:val="009D5007"/>
    <w:rsid w:val="009E2823"/>
    <w:rsid w:val="00A151DB"/>
    <w:rsid w:val="00A17196"/>
    <w:rsid w:val="00A31745"/>
    <w:rsid w:val="00A32152"/>
    <w:rsid w:val="00A32CE8"/>
    <w:rsid w:val="00A37758"/>
    <w:rsid w:val="00A37E39"/>
    <w:rsid w:val="00A400FF"/>
    <w:rsid w:val="00A416D0"/>
    <w:rsid w:val="00A4349F"/>
    <w:rsid w:val="00A45F75"/>
    <w:rsid w:val="00A532E4"/>
    <w:rsid w:val="00A632FC"/>
    <w:rsid w:val="00A67E4E"/>
    <w:rsid w:val="00A9065A"/>
    <w:rsid w:val="00A91307"/>
    <w:rsid w:val="00AB7911"/>
    <w:rsid w:val="00AC3178"/>
    <w:rsid w:val="00AC35F5"/>
    <w:rsid w:val="00AC6511"/>
    <w:rsid w:val="00AC68A0"/>
    <w:rsid w:val="00AE0EAF"/>
    <w:rsid w:val="00AE4237"/>
    <w:rsid w:val="00AF7F28"/>
    <w:rsid w:val="00B02B9B"/>
    <w:rsid w:val="00B32369"/>
    <w:rsid w:val="00B33C7B"/>
    <w:rsid w:val="00B5005D"/>
    <w:rsid w:val="00B5740E"/>
    <w:rsid w:val="00B60597"/>
    <w:rsid w:val="00B63A9F"/>
    <w:rsid w:val="00B84485"/>
    <w:rsid w:val="00B861B4"/>
    <w:rsid w:val="00B872F2"/>
    <w:rsid w:val="00B8745D"/>
    <w:rsid w:val="00B97D2D"/>
    <w:rsid w:val="00B97E61"/>
    <w:rsid w:val="00BA3593"/>
    <w:rsid w:val="00BB7759"/>
    <w:rsid w:val="00BC1616"/>
    <w:rsid w:val="00BD3374"/>
    <w:rsid w:val="00BD4126"/>
    <w:rsid w:val="00BE561A"/>
    <w:rsid w:val="00BF4E55"/>
    <w:rsid w:val="00C003C5"/>
    <w:rsid w:val="00C02519"/>
    <w:rsid w:val="00C029D5"/>
    <w:rsid w:val="00C02F9C"/>
    <w:rsid w:val="00C05EAD"/>
    <w:rsid w:val="00C12ACE"/>
    <w:rsid w:val="00C13950"/>
    <w:rsid w:val="00C33358"/>
    <w:rsid w:val="00C35892"/>
    <w:rsid w:val="00C416EC"/>
    <w:rsid w:val="00C45E41"/>
    <w:rsid w:val="00C52C6B"/>
    <w:rsid w:val="00C7221A"/>
    <w:rsid w:val="00C74D26"/>
    <w:rsid w:val="00C85C62"/>
    <w:rsid w:val="00C9451C"/>
    <w:rsid w:val="00CB2439"/>
    <w:rsid w:val="00CC731F"/>
    <w:rsid w:val="00CD14AC"/>
    <w:rsid w:val="00CF4F5E"/>
    <w:rsid w:val="00D07F7D"/>
    <w:rsid w:val="00D100F7"/>
    <w:rsid w:val="00D1032B"/>
    <w:rsid w:val="00D23BD3"/>
    <w:rsid w:val="00D250EC"/>
    <w:rsid w:val="00D464F4"/>
    <w:rsid w:val="00D47121"/>
    <w:rsid w:val="00D51752"/>
    <w:rsid w:val="00D51BBC"/>
    <w:rsid w:val="00D60B6F"/>
    <w:rsid w:val="00D65CD1"/>
    <w:rsid w:val="00D6626A"/>
    <w:rsid w:val="00D66355"/>
    <w:rsid w:val="00D766D8"/>
    <w:rsid w:val="00D852EA"/>
    <w:rsid w:val="00D86640"/>
    <w:rsid w:val="00D92F6E"/>
    <w:rsid w:val="00D93746"/>
    <w:rsid w:val="00DA39B9"/>
    <w:rsid w:val="00DA71B8"/>
    <w:rsid w:val="00DB5661"/>
    <w:rsid w:val="00DC36FB"/>
    <w:rsid w:val="00DC4286"/>
    <w:rsid w:val="00DD54DB"/>
    <w:rsid w:val="00DE0AAE"/>
    <w:rsid w:val="00DE6753"/>
    <w:rsid w:val="00DF01A1"/>
    <w:rsid w:val="00DF5279"/>
    <w:rsid w:val="00DF6CFC"/>
    <w:rsid w:val="00E0007F"/>
    <w:rsid w:val="00E05F8B"/>
    <w:rsid w:val="00E20810"/>
    <w:rsid w:val="00E27715"/>
    <w:rsid w:val="00E304A4"/>
    <w:rsid w:val="00E350EC"/>
    <w:rsid w:val="00E36C1D"/>
    <w:rsid w:val="00E44E29"/>
    <w:rsid w:val="00E507C9"/>
    <w:rsid w:val="00E50DA7"/>
    <w:rsid w:val="00E5620C"/>
    <w:rsid w:val="00E569AC"/>
    <w:rsid w:val="00E65559"/>
    <w:rsid w:val="00E91D72"/>
    <w:rsid w:val="00EA3780"/>
    <w:rsid w:val="00EA40C5"/>
    <w:rsid w:val="00EC40D3"/>
    <w:rsid w:val="00ED34EF"/>
    <w:rsid w:val="00EE4833"/>
    <w:rsid w:val="00EF55CC"/>
    <w:rsid w:val="00F03FAF"/>
    <w:rsid w:val="00F04729"/>
    <w:rsid w:val="00F16BA9"/>
    <w:rsid w:val="00F3222D"/>
    <w:rsid w:val="00F33015"/>
    <w:rsid w:val="00F36510"/>
    <w:rsid w:val="00F43FE6"/>
    <w:rsid w:val="00F448C4"/>
    <w:rsid w:val="00F57522"/>
    <w:rsid w:val="00F82F27"/>
    <w:rsid w:val="00F83FCC"/>
    <w:rsid w:val="00F92704"/>
    <w:rsid w:val="00F93A7C"/>
    <w:rsid w:val="00FA2743"/>
    <w:rsid w:val="00FB16A3"/>
    <w:rsid w:val="00FB36D5"/>
    <w:rsid w:val="00FC0B39"/>
    <w:rsid w:val="00FC1759"/>
    <w:rsid w:val="00FC3D7E"/>
    <w:rsid w:val="00FC7E38"/>
    <w:rsid w:val="00FD12E5"/>
    <w:rsid w:val="00FE274C"/>
    <w:rsid w:val="00FE64BC"/>
    <w:rsid w:val="00FF35C1"/>
    <w:rsid w:val="00FF47E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4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A32152"/>
    <w:p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9"/>
    <w:rsid w:val="00A32152"/>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3"/>
      </w:numPr>
      <w:spacing w:before="120" w:after="120"/>
      <w:contextualSpacing/>
    </w:pPr>
  </w:style>
  <w:style w:type="paragraph" w:styleId="ListNumber">
    <w:name w:val="List Number"/>
    <w:basedOn w:val="Normal"/>
    <w:uiPriority w:val="9"/>
    <w:qFormat/>
    <w:rsid w:val="00123033"/>
    <w:pPr>
      <w:numPr>
        <w:numId w:val="8"/>
      </w:numPr>
      <w:tabs>
        <w:tab w:val="left" w:pos="142"/>
      </w:tabs>
      <w:spacing w:before="120" w:after="120"/>
    </w:pPr>
  </w:style>
  <w:style w:type="paragraph" w:styleId="ListNumber2">
    <w:name w:val="List Number 2"/>
    <w:uiPriority w:val="10"/>
    <w:qFormat/>
    <w:rsid w:val="00884E3A"/>
    <w:pPr>
      <w:numPr>
        <w:ilvl w:val="1"/>
        <w:numId w:val="8"/>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8"/>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197C7D" w:themeColor="accent1"/>
    </w:rPr>
  </w:style>
  <w:style w:type="paragraph" w:customStyle="1" w:styleId="TableBullet2">
    <w:name w:val="Table Bullet 2"/>
    <w:basedOn w:val="TableBullet1"/>
    <w:qFormat/>
    <w:pPr>
      <w:numPr>
        <w:numId w:val="12"/>
      </w:numPr>
      <w:tabs>
        <w:tab w:val="num" w:pos="284"/>
      </w:tabs>
      <w:ind w:left="568" w:hanging="284"/>
    </w:pPr>
  </w:style>
  <w:style w:type="numbering" w:customStyle="1" w:styleId="TableBulletlist">
    <w:name w:val="Table Bullet list"/>
    <w:uiPriority w:val="99"/>
    <w:pPr>
      <w:numPr>
        <w:numId w:val="10"/>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Figure_name,List Paragraph1,Bullet- First level,CAB - List Bullet,List Bullet Cab,Recommendation,List Paragraph11,L,F5 List Paragraph,Dot pt,CV text,Table text,List Paragraph111,Medium Grid 1 - Accent 21,Numbered Paragraph,List Paragraph2"/>
    <w:basedOn w:val="Normal"/>
    <w:link w:val="ListParagraphChar"/>
    <w:uiPriority w:val="34"/>
    <w:qFormat/>
    <w:rsid w:val="006C261F"/>
    <w:pPr>
      <w:spacing w:after="0" w:line="240" w:lineRule="auto"/>
      <w:ind w:left="720"/>
    </w:pPr>
    <w:rPr>
      <w:rFonts w:ascii="Calibri" w:hAnsi="Calibri" w:cs="Calibri"/>
    </w:rPr>
  </w:style>
  <w:style w:type="paragraph" w:customStyle="1" w:styleId="paragraph">
    <w:name w:val="paragraph"/>
    <w:basedOn w:val="Normal"/>
    <w:rsid w:val="00AC68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C68A0"/>
  </w:style>
  <w:style w:type="character" w:customStyle="1" w:styleId="eop">
    <w:name w:val="eop"/>
    <w:basedOn w:val="DefaultParagraphFont"/>
    <w:rsid w:val="00AC68A0"/>
  </w:style>
  <w:style w:type="character" w:customStyle="1" w:styleId="ListParagraphChar">
    <w:name w:val="List Paragraph Char"/>
    <w:aliases w:val="Figure_name Char,List Paragraph1 Char,Bullet- First level Char,CAB - List Bullet Char,List Bullet Cab Char,Recommendation Char,List Paragraph11 Char,L Char,F5 List Paragraph Char,Dot pt Char,CV text Char,Table text Char"/>
    <w:basedOn w:val="DefaultParagraphFont"/>
    <w:link w:val="ListParagraph"/>
    <w:uiPriority w:val="34"/>
    <w:qFormat/>
    <w:locked/>
    <w:rsid w:val="00A37E39"/>
    <w:rPr>
      <w:rFonts w:ascii="Calibri" w:eastAsiaTheme="minorHAnsi" w:hAnsi="Calibri" w:cs="Calibri"/>
      <w:sz w:val="22"/>
      <w:szCs w:val="22"/>
      <w:lang w:eastAsia="en-US"/>
    </w:rPr>
  </w:style>
  <w:style w:type="table" w:styleId="ListTable3-Accent2">
    <w:name w:val="List Table 3 Accent 2"/>
    <w:basedOn w:val="TableNormal"/>
    <w:uiPriority w:val="48"/>
    <w:rsid w:val="00247261"/>
    <w:rPr>
      <w:rFonts w:asciiTheme="minorHAnsi" w:eastAsiaTheme="minorHAnsi" w:hAnsiTheme="minorHAnsi" w:cstheme="minorBidi"/>
      <w:sz w:val="22"/>
      <w:szCs w:val="22"/>
      <w:lang w:eastAsia="en-US"/>
    </w:rPr>
    <w:tblPr>
      <w:tblStyleRowBandSize w:val="1"/>
      <w:tblStyleColBandSize w:val="1"/>
      <w:tblBorders>
        <w:top w:val="single" w:sz="4" w:space="0" w:color="40C1AC" w:themeColor="accent2"/>
        <w:left w:val="single" w:sz="4" w:space="0" w:color="40C1AC" w:themeColor="accent2"/>
        <w:bottom w:val="single" w:sz="4" w:space="0" w:color="40C1AC" w:themeColor="accent2"/>
        <w:right w:val="single" w:sz="4" w:space="0" w:color="40C1AC" w:themeColor="accent2"/>
      </w:tblBorders>
    </w:tblPr>
    <w:tblStylePr w:type="firstRow">
      <w:rPr>
        <w:b/>
        <w:bCs/>
        <w:color w:val="FFFFFF" w:themeColor="background1"/>
      </w:rPr>
      <w:tblPr/>
      <w:tcPr>
        <w:shd w:val="clear" w:color="auto" w:fill="40C1AC" w:themeFill="accent2"/>
      </w:tcPr>
    </w:tblStylePr>
    <w:tblStylePr w:type="lastRow">
      <w:rPr>
        <w:b/>
        <w:bCs/>
      </w:rPr>
      <w:tblPr/>
      <w:tcPr>
        <w:tcBorders>
          <w:top w:val="double" w:sz="4" w:space="0" w:color="40C1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C1AC" w:themeColor="accent2"/>
          <w:right w:val="single" w:sz="4" w:space="0" w:color="40C1AC" w:themeColor="accent2"/>
        </w:tcBorders>
      </w:tcPr>
    </w:tblStylePr>
    <w:tblStylePr w:type="band1Horz">
      <w:tblPr/>
      <w:tcPr>
        <w:tcBorders>
          <w:top w:val="single" w:sz="4" w:space="0" w:color="40C1AC" w:themeColor="accent2"/>
          <w:bottom w:val="single" w:sz="4" w:space="0" w:color="40C1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C1AC" w:themeColor="accent2"/>
          <w:left w:val="nil"/>
        </w:tcBorders>
      </w:tcPr>
    </w:tblStylePr>
    <w:tblStylePr w:type="swCell">
      <w:tblPr/>
      <w:tcPr>
        <w:tcBorders>
          <w:top w:val="double" w:sz="4" w:space="0" w:color="40C1AC" w:themeColor="accent2"/>
          <w:right w:val="nil"/>
        </w:tcBorders>
      </w:tcPr>
    </w:tblStylePr>
  </w:style>
  <w:style w:type="paragraph" w:styleId="Revision">
    <w:name w:val="Revision"/>
    <w:hidden/>
    <w:uiPriority w:val="99"/>
    <w:semiHidden/>
    <w:rsid w:val="003E19B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dcceew.gov.a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dcceew.gov.au"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222021"/>
      </a:dk2>
      <a:lt2>
        <a:srgbClr val="083A42"/>
      </a:lt2>
      <a:accent1>
        <a:srgbClr val="197C7D"/>
      </a:accent1>
      <a:accent2>
        <a:srgbClr val="40C1AC"/>
      </a:accent2>
      <a:accent3>
        <a:srgbClr val="9AFFBE"/>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3d03dc-b7c1-44e9-9036-c016af1f05a9" xsi:nil="true"/>
    <_ip_UnifiedCompliancePolicyUIAction xmlns="http://schemas.microsoft.com/sharepoint/v3" xsi:nil="true"/>
    <Lead xmlns="273d03dc-b7c1-44e9-9036-c016af1f05a9">
      <UserInfo>
        <DisplayName/>
        <AccountId xsi:nil="true"/>
        <AccountType/>
      </UserInfo>
    </Lead>
    <Meetingtype xmlns="273d03dc-b7c1-44e9-9036-c016af1f05a9" xsi:nil="true"/>
    <Inopportunities_x002d_barrierstracker xmlns="273d03dc-b7c1-44e9-9036-c016af1f05a9">false</Inopportunities_x002d_barrierstracker>
    <Incommentarytracker xmlns="273d03dc-b7c1-44e9-9036-c016af1f05a9">false</Incommentarytracker>
    <_ip_UnifiedCompliancePolicyProperties xmlns="http://schemas.microsoft.com/sharepoint/v3" xsi:nil="true"/>
    <Hyperlink xmlns="273d03dc-b7c1-44e9-9036-c016af1f05a9">
      <Url xsi:nil="true"/>
      <Description xsi:nil="true"/>
    </Hyperlink>
    <lcf76f155ced4ddcb4097134ff3c332f xmlns="d81c2681-db7b-4a56-9abd-a3238a78f6b2">
      <Terms xmlns="http://schemas.microsoft.com/office/infopath/2007/PartnerControls"/>
    </lcf76f155ced4ddcb4097134ff3c332f>
    <TaxCatchAll xmlns="a95247a4-6a6b-40fb-87b6-0fb2f012c536" xsi:nil="true"/>
    <Notes xmlns="273d03dc-b7c1-44e9-9036-c016af1f05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e98685f936094fea81223dac1333d80d">
  <xsd:schema xmlns:xsd="http://www.w3.org/2001/XMLSchema" xmlns:xs="http://www.w3.org/2001/XMLSchema" xmlns:p="http://schemas.microsoft.com/office/2006/metadata/properties" xmlns:ns1="http://schemas.microsoft.com/sharepoint/v3" xmlns:ns2="273d03dc-b7c1-44e9-9036-c016af1f05a9" xmlns:ns3="e739c3f4-2048-4c70-b396-4ba49b230377" xmlns:ns4="d81c2681-db7b-4a56-9abd-a3238a78f6b2" xmlns:ns5="a95247a4-6a6b-40fb-87b6-0fb2f012c536" targetNamespace="http://schemas.microsoft.com/office/2006/metadata/properties" ma:root="true" ma:fieldsID="6b2b7d238850eb4d2e61bf662065897a" ns1:_="" ns2:_="" ns3:_="" ns4:_="" ns5:_="">
    <xsd:import namespace="http://schemas.microsoft.com/sharepoint/v3"/>
    <xsd:import namespace="273d03dc-b7c1-44e9-9036-c016af1f05a9"/>
    <xsd:import namespace="e739c3f4-2048-4c70-b396-4ba49b230377"/>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Notes" minOccurs="0"/>
                <xsd:element ref="ns2:Hyperlink" minOccurs="0"/>
                <xsd:element ref="ns2:_Flow_SignoffStatu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ead" minOccurs="0"/>
                <xsd:element ref="ns2:Meetingtype" minOccurs="0"/>
                <xsd:element ref="ns2:MediaServiceSearchProperties" minOccurs="0"/>
                <xsd:element ref="ns2:Incommentarytracker" minOccurs="0"/>
                <xsd:element ref="ns2:Inopportunities_x002d_barrierstracker"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d03dc-b7c1-44e9-9036-c016af1f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Hyperlink" ma:index="1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15" nillable="true" ma:displayName="Sign-off status" ma:internalName="Sign_x002d_off_x0020_status">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Lead" ma:index="22" nillable="true" ma:displayName="Assigned to"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type" ma:index="23" nillable="true" ma:displayName="Meeting type" ma:format="Dropdown" ma:internalName="Meetingtype">
      <xsd:simpleType>
        <xsd:restriction base="dms:Choice">
          <xsd:enumeration value="Policy team"/>
          <xsd:enumeration value="Commonwealth entity"/>
          <xsd:enumeration value="External stakeholder"/>
          <xsd:enumeration value="States and territories"/>
          <xsd:enumeration value="Modelling"/>
          <xsd:enumeration value="Discussion paper"/>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ncommentarytracker" ma:index="25" nillable="true" ma:displayName="In commentary tracker" ma:default="0" ma:format="Dropdown" ma:internalName="Incommentarytracker">
      <xsd:simpleType>
        <xsd:restriction base="dms:Boolean"/>
      </xsd:simpleType>
    </xsd:element>
    <xsd:element name="Inopportunities_x002d_barrierstracker" ma:index="26" nillable="true" ma:displayName="In opportunities-barriers tracker" ma:default="0" ma:format="Dropdown" ma:internalName="Inopportunities_x002d_barrierstra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39c3f4-2048-4c70-b396-4ba49b2303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4abc2b07-4a45-49da-97aa-57af897c69c4}"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3301FA54-0715-4323-B657-06456A2B36F8}">
  <ds:schemaRefs>
    <ds:schemaRef ds:uri="http://www.w3.org/XML/1998/namespace"/>
    <ds:schemaRef ds:uri="http://purl.org/dc/terms/"/>
    <ds:schemaRef ds:uri="http://purl.org/dc/elements/1.1/"/>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schemas.microsoft.com/sharepoint/v3"/>
    <ds:schemaRef ds:uri="d81c2681-db7b-4a56-9abd-a3238a78f6b2"/>
    <ds:schemaRef ds:uri="e739c3f4-2048-4c70-b396-4ba49b230377"/>
    <ds:schemaRef ds:uri="273d03dc-b7c1-44e9-9036-c016af1f05a9"/>
  </ds:schemaRefs>
</ds:datastoreItem>
</file>

<file path=customXml/itemProps3.xml><?xml version="1.0" encoding="utf-8"?>
<ds:datastoreItem xmlns:ds="http://schemas.openxmlformats.org/officeDocument/2006/customXml" ds:itemID="{110996AB-63E2-4C47-B689-ACB11C51A4F7}">
  <ds:schemaRefs>
    <ds:schemaRef ds:uri="http://schemas.microsoft.com/sharepoint/v3/contenttype/forms"/>
  </ds:schemaRefs>
</ds:datastoreItem>
</file>

<file path=customXml/itemProps4.xml><?xml version="1.0" encoding="utf-8"?>
<ds:datastoreItem xmlns:ds="http://schemas.openxmlformats.org/officeDocument/2006/customXml" ds:itemID="{C83F60A8-59F3-4833-A05E-57AD0851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3d03dc-b7c1-44e9-9036-c016af1f05a9"/>
    <ds:schemaRef ds:uri="e739c3f4-2048-4c70-b396-4ba49b230377"/>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2024-09-02T00:44:00Z</dcterms:created>
  <dcterms:modified xsi:type="dcterms:W3CDTF">2024-09-24T05:47:00Z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