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DBBFE" w14:textId="77777777" w:rsidR="00216395" w:rsidRDefault="00216395" w:rsidP="00395A30">
      <w:pPr>
        <w:pStyle w:val="Cover-tagline"/>
        <w:framePr w:wrap="around"/>
      </w:pPr>
    </w:p>
    <w:p w14:paraId="473D985C" w14:textId="05A30970" w:rsidR="00BF1EB8" w:rsidRDefault="007C090F" w:rsidP="00395A30">
      <w:pPr>
        <w:pStyle w:val="Cover-tagline"/>
        <w:framePr w:wrap="around"/>
      </w:pPr>
      <w:r w:rsidRPr="005156B1">
        <w:drawing>
          <wp:inline distT="0" distB="0" distL="0" distR="0" wp14:anchorId="67705F5A" wp14:editId="5D06EDB0">
            <wp:extent cx="709200" cy="428400"/>
            <wp:effectExtent l="0" t="0" r="0" b="0"/>
            <wp:docPr id="7" name="Protect Grow Innovate" descr="Protect, Grow, Innovate - tagline">
              <a:extLst xmlns:a="http://schemas.openxmlformats.org/drawingml/2006/main">
                <a:ext uri="{FF2B5EF4-FFF2-40B4-BE49-F238E27FC236}">
                  <a16:creationId xmlns:a16="http://schemas.microsoft.com/office/drawing/2014/main" id="{564514B1-1223-865B-CFD9-F026A8558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tect Grow Innovate" descr="Protect, Grow, Innovate - tagline">
                      <a:extLst>
                        <a:ext uri="{FF2B5EF4-FFF2-40B4-BE49-F238E27FC236}">
                          <a16:creationId xmlns:a16="http://schemas.microsoft.com/office/drawing/2014/main" id="{564514B1-1223-865B-CFD9-F026A85581D0}"/>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09200" cy="428400"/>
                    </a:xfrm>
                    <a:prstGeom prst="rect">
                      <a:avLst/>
                    </a:prstGeom>
                  </pic:spPr>
                </pic:pic>
              </a:graphicData>
            </a:graphic>
          </wp:inline>
        </w:drawing>
      </w:r>
    </w:p>
    <w:p w14:paraId="210AE6CD" w14:textId="77777777" w:rsidR="00361777" w:rsidRDefault="00361777" w:rsidP="00395A30">
      <w:pPr>
        <w:rPr>
          <w:noProof/>
        </w:rPr>
      </w:pPr>
      <w:r w:rsidRPr="00361777">
        <w:rPr>
          <w:noProof/>
        </w:rPr>
        <w:drawing>
          <wp:anchor distT="0" distB="0" distL="114300" distR="114300" simplePos="0" relativeHeight="251671552" behindDoc="1" locked="1" layoutInCell="1" allowOverlap="1" wp14:anchorId="6DD96BA6" wp14:editId="5688DD49">
            <wp:simplePos x="0" y="0"/>
            <wp:positionH relativeFrom="page">
              <wp:align>left</wp:align>
            </wp:positionH>
            <wp:positionV relativeFrom="page">
              <wp:posOffset>89535</wp:posOffset>
            </wp:positionV>
            <wp:extent cx="7559675" cy="10684510"/>
            <wp:effectExtent l="0" t="0" r="3175" b="2540"/>
            <wp:wrapNone/>
            <wp:docPr id="11" name="Cover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ver graphic">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p>
    <w:p w14:paraId="3A451719" w14:textId="77777777" w:rsidR="005156B1" w:rsidRDefault="00395A30" w:rsidP="00361777">
      <w:pPr>
        <w:pStyle w:val="Cover-logo"/>
        <w:framePr w:wrap="around"/>
      </w:pPr>
      <w:r w:rsidRPr="005156B1">
        <w:drawing>
          <wp:inline distT="0" distB="0" distL="0" distR="0" wp14:anchorId="305DC9F9" wp14:editId="191A148D">
            <wp:extent cx="1645200" cy="540000"/>
            <wp:effectExtent l="0" t="0" r="0" b="0"/>
            <wp:docPr id="5" name="Department of Primary Industries and Regional Development - logo" descr="Department of Primary Industries and Regional Development - logo ">
              <a:extLst xmlns:a="http://schemas.openxmlformats.org/drawingml/2006/main">
                <a:ext uri="{FF2B5EF4-FFF2-40B4-BE49-F238E27FC236}">
                  <a16:creationId xmlns:a16="http://schemas.microsoft.com/office/drawing/2014/main" id="{7378AA8B-413E-168E-8618-F39AEC990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partment of Primary Industries and Regional Development - logo" descr="Department of Primary Industries and Regional Development - logo ">
                      <a:extLst>
                        <a:ext uri="{FF2B5EF4-FFF2-40B4-BE49-F238E27FC236}">
                          <a16:creationId xmlns:a16="http://schemas.microsoft.com/office/drawing/2014/main" id="{7378AA8B-413E-168E-8618-F39AEC99084B}"/>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645200" cy="540000"/>
                    </a:xfrm>
                    <a:prstGeom prst="rect">
                      <a:avLst/>
                    </a:prstGeom>
                  </pic:spPr>
                </pic:pic>
              </a:graphicData>
            </a:graphic>
          </wp:inline>
        </w:drawing>
      </w:r>
    </w:p>
    <w:p w14:paraId="0793DEA5" w14:textId="77777777" w:rsidR="005156B1" w:rsidRPr="005156B1" w:rsidRDefault="005156B1" w:rsidP="005156B1"/>
    <w:tbl>
      <w:tblPr>
        <w:tblStyle w:val="Blank"/>
        <w:tblW w:w="0" w:type="auto"/>
        <w:tblLook w:val="04A0" w:firstRow="1" w:lastRow="0" w:firstColumn="1" w:lastColumn="0" w:noHBand="0" w:noVBand="1"/>
      </w:tblPr>
      <w:tblGrid>
        <w:gridCol w:w="8485"/>
      </w:tblGrid>
      <w:tr w:rsidR="00E77F23" w14:paraId="057C65A1" w14:textId="77777777" w:rsidTr="00E77F23">
        <w:trPr>
          <w:cantSplit/>
          <w:trHeight w:hRule="exact" w:val="5670"/>
        </w:trPr>
        <w:tc>
          <w:tcPr>
            <w:tcW w:w="8485" w:type="dxa"/>
            <w:vAlign w:val="center"/>
          </w:tcPr>
          <w:p w14:paraId="4ED11B22" w14:textId="704E4259" w:rsidR="00E77F23" w:rsidRPr="00812361" w:rsidRDefault="006055F5" w:rsidP="00537327">
            <w:pPr>
              <w:pStyle w:val="Title"/>
              <w:framePr w:wrap="around" w:hAnchor="page" w:x="1365"/>
              <w:rPr>
                <w:sz w:val="56"/>
                <w:szCs w:val="48"/>
              </w:rPr>
            </w:pPr>
            <w:sdt>
              <w:sdtPr>
                <w:rPr>
                  <w:sz w:val="56"/>
                  <w:szCs w:val="48"/>
                </w:rPr>
                <w:alias w:val="Title"/>
                <w:tag w:val=""/>
                <w:id w:val="-1331358350"/>
                <w:placeholder>
                  <w:docPart w:val="D8F9CDCBDDF74ACAB8B286B38036A34A"/>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80CEB">
                  <w:rPr>
                    <w:sz w:val="56"/>
                    <w:szCs w:val="48"/>
                  </w:rPr>
                  <w:t xml:space="preserve">Western Australia’s </w:t>
                </w:r>
                <w:r w:rsidR="00C147AF">
                  <w:rPr>
                    <w:sz w:val="56"/>
                    <w:szCs w:val="48"/>
                  </w:rPr>
                  <w:t xml:space="preserve">Abalone </w:t>
                </w:r>
                <w:r w:rsidR="00180CEB">
                  <w:rPr>
                    <w:sz w:val="56"/>
                    <w:szCs w:val="48"/>
                  </w:rPr>
                  <w:t>Managed Fishery</w:t>
                </w:r>
              </w:sdtContent>
            </w:sdt>
          </w:p>
          <w:p w14:paraId="0E39E641" w14:textId="77777777" w:rsidR="00E77F23" w:rsidRDefault="00812361" w:rsidP="00537327">
            <w:pPr>
              <w:pStyle w:val="Subtitle"/>
              <w:framePr w:wrap="auto" w:vAnchor="page" w:hAnchor="page" w:x="1365"/>
              <w:rPr>
                <w:sz w:val="36"/>
                <w:szCs w:val="20"/>
              </w:rPr>
            </w:pPr>
            <w:r w:rsidRPr="00812361">
              <w:rPr>
                <w:sz w:val="36"/>
                <w:szCs w:val="20"/>
              </w:rPr>
              <w:t>Submission to the Department of Climate Change, Energy, the Environment and Water</w:t>
            </w:r>
          </w:p>
          <w:p w14:paraId="5E42F619" w14:textId="77777777" w:rsidR="00812361" w:rsidRDefault="00812361" w:rsidP="00812361">
            <w:pPr>
              <w:framePr w:wrap="auto" w:vAnchor="page" w:hAnchor="page" w:x="1365"/>
              <w:rPr>
                <w:i/>
                <w:iCs/>
              </w:rPr>
            </w:pPr>
            <w:r>
              <w:t xml:space="preserve">Against the </w:t>
            </w:r>
            <w:r>
              <w:rPr>
                <w:i/>
                <w:iCs/>
              </w:rPr>
              <w:t>Guidelines for Ecologically Sustainable Management of Fisheries</w:t>
            </w:r>
          </w:p>
          <w:p w14:paraId="4CC0A677" w14:textId="77777777" w:rsidR="00812361" w:rsidRDefault="00812361" w:rsidP="00812361">
            <w:pPr>
              <w:framePr w:wrap="auto" w:vAnchor="page" w:hAnchor="page" w:x="1365"/>
            </w:pPr>
          </w:p>
          <w:p w14:paraId="470AD439" w14:textId="5A4AFB5F" w:rsidR="00812361" w:rsidRPr="00812361" w:rsidRDefault="006F7A33" w:rsidP="00812361">
            <w:pPr>
              <w:framePr w:wrap="auto" w:vAnchor="page" w:hAnchor="page" w:x="1365"/>
              <w:rPr>
                <w:b/>
                <w:bCs/>
              </w:rPr>
            </w:pPr>
            <w:r>
              <w:rPr>
                <w:b/>
                <w:bCs/>
              </w:rPr>
              <w:t>September</w:t>
            </w:r>
            <w:r w:rsidR="00812361">
              <w:rPr>
                <w:b/>
                <w:bCs/>
              </w:rPr>
              <w:t xml:space="preserve"> 2024</w:t>
            </w:r>
          </w:p>
        </w:tc>
      </w:tr>
    </w:tbl>
    <w:p w14:paraId="10537994" w14:textId="77777777" w:rsidR="0042508F" w:rsidRDefault="0042508F" w:rsidP="00537327">
      <w:pPr>
        <w:pStyle w:val="Title"/>
        <w:framePr w:wrap="around" w:hAnchor="page" w:x="1365"/>
      </w:pPr>
    </w:p>
    <w:p w14:paraId="254F5449" w14:textId="77777777" w:rsidR="007D1005" w:rsidRDefault="007D1005" w:rsidP="00012D1B">
      <w:pPr>
        <w:pStyle w:val="DisclaimerHeading"/>
      </w:pPr>
      <w:bookmarkStart w:id="0" w:name="_Toc30502210"/>
      <w:bookmarkStart w:id="1" w:name="_Toc87857019"/>
      <w:r>
        <w:br w:type="page"/>
      </w:r>
    </w:p>
    <w:sdt>
      <w:sdtPr>
        <w:rPr>
          <w:rFonts w:asciiTheme="minorHAnsi" w:eastAsiaTheme="minorHAnsi" w:hAnsiTheme="minorHAnsi" w:cstheme="minorBidi"/>
          <w:b w:val="0"/>
          <w:color w:val="auto"/>
          <w:sz w:val="24"/>
          <w:szCs w:val="22"/>
          <w:lang w:val="en-AU"/>
        </w:rPr>
        <w:id w:val="-797845096"/>
        <w:docPartObj>
          <w:docPartGallery w:val="Table of Contents"/>
          <w:docPartUnique/>
        </w:docPartObj>
      </w:sdtPr>
      <w:sdtEndPr>
        <w:rPr>
          <w:bCs/>
          <w:noProof/>
        </w:rPr>
      </w:sdtEndPr>
      <w:sdtContent>
        <w:p w14:paraId="2B9FC5AE" w14:textId="46633D71" w:rsidR="00A826DD" w:rsidRDefault="00A826DD">
          <w:pPr>
            <w:pStyle w:val="TOCHeading"/>
          </w:pPr>
          <w:r>
            <w:t>Table of Contents</w:t>
          </w:r>
        </w:p>
        <w:p w14:paraId="3EB9E715" w14:textId="544720F9" w:rsidR="00A826DD" w:rsidRDefault="00A826DD" w:rsidP="00985CD2">
          <w:pPr>
            <w:pStyle w:val="TOC1"/>
            <w:spacing w:before="0"/>
            <w:rPr>
              <w:rFonts w:eastAsiaTheme="minorEastAsia"/>
              <w:b w:val="0"/>
              <w:noProof/>
              <w:kern w:val="2"/>
              <w:szCs w:val="24"/>
              <w:lang w:eastAsia="en-AU"/>
              <w14:ligatures w14:val="standardContextual"/>
            </w:rPr>
          </w:pPr>
          <w:r>
            <w:fldChar w:fldCharType="begin"/>
          </w:r>
          <w:r>
            <w:instrText xml:space="preserve"> TOC \o "1-3" \h \z \u </w:instrText>
          </w:r>
          <w:r>
            <w:fldChar w:fldCharType="separate"/>
          </w:r>
          <w:hyperlink w:anchor="_Toc176435147" w:history="1">
            <w:r w:rsidRPr="00FF55EB">
              <w:rPr>
                <w:rStyle w:val="Hyperlink"/>
                <w:noProof/>
              </w:rPr>
              <w:t>Acronyms</w:t>
            </w:r>
            <w:r>
              <w:rPr>
                <w:noProof/>
                <w:webHidden/>
              </w:rPr>
              <w:tab/>
            </w:r>
            <w:r>
              <w:rPr>
                <w:noProof/>
                <w:webHidden/>
              </w:rPr>
              <w:fldChar w:fldCharType="begin"/>
            </w:r>
            <w:r>
              <w:rPr>
                <w:noProof/>
                <w:webHidden/>
              </w:rPr>
              <w:instrText xml:space="preserve"> PAGEREF _Toc176435147 \h </w:instrText>
            </w:r>
            <w:r>
              <w:rPr>
                <w:noProof/>
                <w:webHidden/>
              </w:rPr>
            </w:r>
            <w:r>
              <w:rPr>
                <w:noProof/>
                <w:webHidden/>
              </w:rPr>
              <w:fldChar w:fldCharType="separate"/>
            </w:r>
            <w:r w:rsidR="00985CD2">
              <w:rPr>
                <w:noProof/>
                <w:webHidden/>
              </w:rPr>
              <w:t>3</w:t>
            </w:r>
            <w:r>
              <w:rPr>
                <w:noProof/>
                <w:webHidden/>
              </w:rPr>
              <w:fldChar w:fldCharType="end"/>
            </w:r>
          </w:hyperlink>
        </w:p>
        <w:p w14:paraId="7CE2F4CE" w14:textId="693437A3" w:rsidR="00A826DD" w:rsidRDefault="006055F5">
          <w:pPr>
            <w:pStyle w:val="TOC1"/>
            <w:rPr>
              <w:rFonts w:eastAsiaTheme="minorEastAsia"/>
              <w:b w:val="0"/>
              <w:noProof/>
              <w:kern w:val="2"/>
              <w:szCs w:val="24"/>
              <w:lang w:eastAsia="en-AU"/>
              <w14:ligatures w14:val="standardContextual"/>
            </w:rPr>
          </w:pPr>
          <w:hyperlink w:anchor="_Toc176435148" w:history="1">
            <w:r w:rsidR="00A826DD" w:rsidRPr="00FF55EB">
              <w:rPr>
                <w:rStyle w:val="Hyperlink"/>
                <w:noProof/>
              </w:rPr>
              <w:t>Introduction</w:t>
            </w:r>
            <w:r w:rsidR="00A826DD">
              <w:rPr>
                <w:noProof/>
                <w:webHidden/>
              </w:rPr>
              <w:tab/>
            </w:r>
            <w:r w:rsidR="00A826DD">
              <w:rPr>
                <w:noProof/>
                <w:webHidden/>
              </w:rPr>
              <w:fldChar w:fldCharType="begin"/>
            </w:r>
            <w:r w:rsidR="00A826DD">
              <w:rPr>
                <w:noProof/>
                <w:webHidden/>
              </w:rPr>
              <w:instrText xml:space="preserve"> PAGEREF _Toc176435148 \h </w:instrText>
            </w:r>
            <w:r w:rsidR="00A826DD">
              <w:rPr>
                <w:noProof/>
                <w:webHidden/>
              </w:rPr>
            </w:r>
            <w:r w:rsidR="00A826DD">
              <w:rPr>
                <w:noProof/>
                <w:webHidden/>
              </w:rPr>
              <w:fldChar w:fldCharType="separate"/>
            </w:r>
            <w:r w:rsidR="00985CD2">
              <w:rPr>
                <w:noProof/>
                <w:webHidden/>
              </w:rPr>
              <w:t>4</w:t>
            </w:r>
            <w:r w:rsidR="00A826DD">
              <w:rPr>
                <w:noProof/>
                <w:webHidden/>
              </w:rPr>
              <w:fldChar w:fldCharType="end"/>
            </w:r>
          </w:hyperlink>
        </w:p>
        <w:p w14:paraId="29D67D6C" w14:textId="095CB5EF" w:rsidR="00A826DD" w:rsidRDefault="006055F5">
          <w:pPr>
            <w:pStyle w:val="TOC1"/>
            <w:rPr>
              <w:rFonts w:eastAsiaTheme="minorEastAsia"/>
              <w:b w:val="0"/>
              <w:noProof/>
              <w:kern w:val="2"/>
              <w:szCs w:val="24"/>
              <w:lang w:eastAsia="en-AU"/>
              <w14:ligatures w14:val="standardContextual"/>
            </w:rPr>
          </w:pPr>
          <w:hyperlink w:anchor="_Toc176435149" w:history="1">
            <w:r w:rsidR="00A826DD" w:rsidRPr="00FF55EB">
              <w:rPr>
                <w:rStyle w:val="Hyperlink"/>
                <w:noProof/>
              </w:rPr>
              <w:t>The Fishery</w:t>
            </w:r>
            <w:r w:rsidR="00A826DD">
              <w:rPr>
                <w:noProof/>
                <w:webHidden/>
              </w:rPr>
              <w:tab/>
            </w:r>
            <w:r w:rsidR="00A826DD">
              <w:rPr>
                <w:noProof/>
                <w:webHidden/>
              </w:rPr>
              <w:fldChar w:fldCharType="begin"/>
            </w:r>
            <w:r w:rsidR="00A826DD">
              <w:rPr>
                <w:noProof/>
                <w:webHidden/>
              </w:rPr>
              <w:instrText xml:space="preserve"> PAGEREF _Toc176435149 \h </w:instrText>
            </w:r>
            <w:r w:rsidR="00A826DD">
              <w:rPr>
                <w:noProof/>
                <w:webHidden/>
              </w:rPr>
            </w:r>
            <w:r w:rsidR="00A826DD">
              <w:rPr>
                <w:noProof/>
                <w:webHidden/>
              </w:rPr>
              <w:fldChar w:fldCharType="separate"/>
            </w:r>
            <w:r w:rsidR="00985CD2">
              <w:rPr>
                <w:noProof/>
                <w:webHidden/>
              </w:rPr>
              <w:t>5</w:t>
            </w:r>
            <w:r w:rsidR="00A826DD">
              <w:rPr>
                <w:noProof/>
                <w:webHidden/>
              </w:rPr>
              <w:fldChar w:fldCharType="end"/>
            </w:r>
          </w:hyperlink>
        </w:p>
        <w:p w14:paraId="24965202" w14:textId="2EAE0155" w:rsidR="00A826DD" w:rsidRDefault="006055F5">
          <w:pPr>
            <w:pStyle w:val="TOC2"/>
            <w:rPr>
              <w:rFonts w:eastAsiaTheme="minorEastAsia"/>
              <w:noProof/>
              <w:kern w:val="2"/>
              <w:szCs w:val="24"/>
              <w:lang w:eastAsia="en-AU"/>
              <w14:ligatures w14:val="standardContextual"/>
            </w:rPr>
          </w:pPr>
          <w:hyperlink w:anchor="_Toc176435150" w:history="1">
            <w:r w:rsidR="00A826DD" w:rsidRPr="00FF55EB">
              <w:rPr>
                <w:rStyle w:val="Hyperlink"/>
                <w:noProof/>
              </w:rPr>
              <w:t>Description of the fishery</w:t>
            </w:r>
            <w:r w:rsidR="00A826DD">
              <w:rPr>
                <w:noProof/>
                <w:webHidden/>
              </w:rPr>
              <w:tab/>
            </w:r>
            <w:r w:rsidR="00A826DD">
              <w:rPr>
                <w:noProof/>
                <w:webHidden/>
              </w:rPr>
              <w:fldChar w:fldCharType="begin"/>
            </w:r>
            <w:r w:rsidR="00A826DD">
              <w:rPr>
                <w:noProof/>
                <w:webHidden/>
              </w:rPr>
              <w:instrText xml:space="preserve"> PAGEREF _Toc176435150 \h </w:instrText>
            </w:r>
            <w:r w:rsidR="00A826DD">
              <w:rPr>
                <w:noProof/>
                <w:webHidden/>
              </w:rPr>
            </w:r>
            <w:r w:rsidR="00A826DD">
              <w:rPr>
                <w:noProof/>
                <w:webHidden/>
              </w:rPr>
              <w:fldChar w:fldCharType="separate"/>
            </w:r>
            <w:r w:rsidR="00985CD2">
              <w:rPr>
                <w:noProof/>
                <w:webHidden/>
              </w:rPr>
              <w:t>5</w:t>
            </w:r>
            <w:r w:rsidR="00A826DD">
              <w:rPr>
                <w:noProof/>
                <w:webHidden/>
              </w:rPr>
              <w:fldChar w:fldCharType="end"/>
            </w:r>
          </w:hyperlink>
        </w:p>
        <w:p w14:paraId="35D4CBED" w14:textId="19691192" w:rsidR="00A826DD" w:rsidRDefault="006055F5">
          <w:pPr>
            <w:pStyle w:val="TOC2"/>
            <w:rPr>
              <w:rFonts w:eastAsiaTheme="minorEastAsia"/>
              <w:noProof/>
              <w:kern w:val="2"/>
              <w:szCs w:val="24"/>
              <w:lang w:eastAsia="en-AU"/>
              <w14:ligatures w14:val="standardContextual"/>
            </w:rPr>
          </w:pPr>
          <w:hyperlink w:anchor="_Toc176435151" w:history="1">
            <w:r w:rsidR="00A826DD">
              <w:rPr>
                <w:noProof/>
                <w:webHidden/>
              </w:rPr>
              <w:tab/>
            </w:r>
            <w:r w:rsidR="00A826DD">
              <w:rPr>
                <w:noProof/>
                <w:webHidden/>
              </w:rPr>
              <w:fldChar w:fldCharType="begin"/>
            </w:r>
            <w:r w:rsidR="00A826DD">
              <w:rPr>
                <w:noProof/>
                <w:webHidden/>
              </w:rPr>
              <w:instrText xml:space="preserve"> PAGEREF _Toc176435151 \h </w:instrText>
            </w:r>
            <w:r w:rsidR="00A826DD">
              <w:rPr>
                <w:noProof/>
                <w:webHidden/>
              </w:rPr>
            </w:r>
            <w:r w:rsidR="00A826DD">
              <w:rPr>
                <w:noProof/>
                <w:webHidden/>
              </w:rPr>
              <w:fldChar w:fldCharType="separate"/>
            </w:r>
            <w:r w:rsidR="00985CD2">
              <w:rPr>
                <w:noProof/>
                <w:webHidden/>
              </w:rPr>
              <w:t>6</w:t>
            </w:r>
            <w:r w:rsidR="00A826DD">
              <w:rPr>
                <w:noProof/>
                <w:webHidden/>
              </w:rPr>
              <w:fldChar w:fldCharType="end"/>
            </w:r>
          </w:hyperlink>
        </w:p>
        <w:p w14:paraId="3FA01B97" w14:textId="29D04BB2" w:rsidR="00A826DD" w:rsidRDefault="006055F5">
          <w:pPr>
            <w:pStyle w:val="TOC2"/>
            <w:rPr>
              <w:rFonts w:eastAsiaTheme="minorEastAsia"/>
              <w:noProof/>
              <w:kern w:val="2"/>
              <w:szCs w:val="24"/>
              <w:lang w:eastAsia="en-AU"/>
              <w14:ligatures w14:val="standardContextual"/>
            </w:rPr>
          </w:pPr>
          <w:hyperlink w:anchor="_Toc176435152" w:history="1">
            <w:r w:rsidR="00A826DD" w:rsidRPr="00FF55EB">
              <w:rPr>
                <w:rStyle w:val="Hyperlink"/>
                <w:noProof/>
              </w:rPr>
              <w:t>Fishing methods and gear</w:t>
            </w:r>
            <w:r w:rsidR="00A826DD">
              <w:rPr>
                <w:noProof/>
                <w:webHidden/>
              </w:rPr>
              <w:tab/>
            </w:r>
            <w:r w:rsidR="00A826DD">
              <w:rPr>
                <w:noProof/>
                <w:webHidden/>
              </w:rPr>
              <w:fldChar w:fldCharType="begin"/>
            </w:r>
            <w:r w:rsidR="00A826DD">
              <w:rPr>
                <w:noProof/>
                <w:webHidden/>
              </w:rPr>
              <w:instrText xml:space="preserve"> PAGEREF _Toc176435152 \h </w:instrText>
            </w:r>
            <w:r w:rsidR="00A826DD">
              <w:rPr>
                <w:noProof/>
                <w:webHidden/>
              </w:rPr>
            </w:r>
            <w:r w:rsidR="00A826DD">
              <w:rPr>
                <w:noProof/>
                <w:webHidden/>
              </w:rPr>
              <w:fldChar w:fldCharType="separate"/>
            </w:r>
            <w:r w:rsidR="00985CD2">
              <w:rPr>
                <w:noProof/>
                <w:webHidden/>
              </w:rPr>
              <w:t>7</w:t>
            </w:r>
            <w:r w:rsidR="00A826DD">
              <w:rPr>
                <w:noProof/>
                <w:webHidden/>
              </w:rPr>
              <w:fldChar w:fldCharType="end"/>
            </w:r>
          </w:hyperlink>
        </w:p>
        <w:p w14:paraId="7C4F372F" w14:textId="00992802" w:rsidR="00A826DD" w:rsidRDefault="006055F5">
          <w:pPr>
            <w:pStyle w:val="TOC2"/>
            <w:rPr>
              <w:rFonts w:eastAsiaTheme="minorEastAsia"/>
              <w:noProof/>
              <w:kern w:val="2"/>
              <w:szCs w:val="24"/>
              <w:lang w:eastAsia="en-AU"/>
              <w14:ligatures w14:val="standardContextual"/>
            </w:rPr>
          </w:pPr>
          <w:hyperlink w:anchor="_Toc176435153" w:history="1">
            <w:r w:rsidR="00A826DD" w:rsidRPr="00FF55EB">
              <w:rPr>
                <w:rStyle w:val="Hyperlink"/>
                <w:noProof/>
              </w:rPr>
              <w:t>Target and byproduct species</w:t>
            </w:r>
            <w:r w:rsidR="00A826DD">
              <w:rPr>
                <w:noProof/>
                <w:webHidden/>
              </w:rPr>
              <w:tab/>
            </w:r>
            <w:r w:rsidR="00A826DD">
              <w:rPr>
                <w:noProof/>
                <w:webHidden/>
              </w:rPr>
              <w:fldChar w:fldCharType="begin"/>
            </w:r>
            <w:r w:rsidR="00A826DD">
              <w:rPr>
                <w:noProof/>
                <w:webHidden/>
              </w:rPr>
              <w:instrText xml:space="preserve"> PAGEREF _Toc176435153 \h </w:instrText>
            </w:r>
            <w:r w:rsidR="00A826DD">
              <w:rPr>
                <w:noProof/>
                <w:webHidden/>
              </w:rPr>
            </w:r>
            <w:r w:rsidR="00A826DD">
              <w:rPr>
                <w:noProof/>
                <w:webHidden/>
              </w:rPr>
              <w:fldChar w:fldCharType="separate"/>
            </w:r>
            <w:r w:rsidR="00985CD2">
              <w:rPr>
                <w:noProof/>
                <w:webHidden/>
              </w:rPr>
              <w:t>7</w:t>
            </w:r>
            <w:r w:rsidR="00A826DD">
              <w:rPr>
                <w:noProof/>
                <w:webHidden/>
              </w:rPr>
              <w:fldChar w:fldCharType="end"/>
            </w:r>
          </w:hyperlink>
        </w:p>
        <w:p w14:paraId="06050349" w14:textId="69CE0B58" w:rsidR="00A826DD" w:rsidRDefault="006055F5">
          <w:pPr>
            <w:pStyle w:val="TOC2"/>
            <w:rPr>
              <w:rFonts w:eastAsiaTheme="minorEastAsia"/>
              <w:noProof/>
              <w:kern w:val="2"/>
              <w:szCs w:val="24"/>
              <w:lang w:eastAsia="en-AU"/>
              <w14:ligatures w14:val="standardContextual"/>
            </w:rPr>
          </w:pPr>
          <w:hyperlink w:anchor="_Toc176435154" w:history="1">
            <w:r w:rsidR="00A826DD" w:rsidRPr="00FF55EB">
              <w:rPr>
                <w:rStyle w:val="Hyperlink"/>
                <w:noProof/>
              </w:rPr>
              <w:t>Estimates of total removals</w:t>
            </w:r>
            <w:r w:rsidR="00A826DD">
              <w:rPr>
                <w:noProof/>
                <w:webHidden/>
              </w:rPr>
              <w:tab/>
            </w:r>
            <w:r w:rsidR="00A826DD">
              <w:rPr>
                <w:noProof/>
                <w:webHidden/>
              </w:rPr>
              <w:fldChar w:fldCharType="begin"/>
            </w:r>
            <w:r w:rsidR="00A826DD">
              <w:rPr>
                <w:noProof/>
                <w:webHidden/>
              </w:rPr>
              <w:instrText xml:space="preserve"> PAGEREF _Toc176435154 \h </w:instrText>
            </w:r>
            <w:r w:rsidR="00A826DD">
              <w:rPr>
                <w:noProof/>
                <w:webHidden/>
              </w:rPr>
            </w:r>
            <w:r w:rsidR="00A826DD">
              <w:rPr>
                <w:noProof/>
                <w:webHidden/>
              </w:rPr>
              <w:fldChar w:fldCharType="separate"/>
            </w:r>
            <w:r w:rsidR="00985CD2">
              <w:rPr>
                <w:noProof/>
                <w:webHidden/>
              </w:rPr>
              <w:t>7</w:t>
            </w:r>
            <w:r w:rsidR="00A826DD">
              <w:rPr>
                <w:noProof/>
                <w:webHidden/>
              </w:rPr>
              <w:fldChar w:fldCharType="end"/>
            </w:r>
          </w:hyperlink>
        </w:p>
        <w:p w14:paraId="095BA8B7" w14:textId="30F40F7F" w:rsidR="00A826DD" w:rsidRDefault="006055F5">
          <w:pPr>
            <w:pStyle w:val="TOC2"/>
            <w:rPr>
              <w:rFonts w:eastAsiaTheme="minorEastAsia"/>
              <w:noProof/>
              <w:kern w:val="2"/>
              <w:szCs w:val="24"/>
              <w:lang w:eastAsia="en-AU"/>
              <w14:ligatures w14:val="standardContextual"/>
            </w:rPr>
          </w:pPr>
          <w:hyperlink w:anchor="_Toc176435155" w:history="1">
            <w:r w:rsidR="00A826DD" w:rsidRPr="00FF55EB">
              <w:rPr>
                <w:rStyle w:val="Hyperlink"/>
                <w:noProof/>
              </w:rPr>
              <w:t>Value of the fishery</w:t>
            </w:r>
            <w:r w:rsidR="00A826DD">
              <w:rPr>
                <w:noProof/>
                <w:webHidden/>
              </w:rPr>
              <w:tab/>
            </w:r>
            <w:r w:rsidR="00A826DD">
              <w:rPr>
                <w:noProof/>
                <w:webHidden/>
              </w:rPr>
              <w:fldChar w:fldCharType="begin"/>
            </w:r>
            <w:r w:rsidR="00A826DD">
              <w:rPr>
                <w:noProof/>
                <w:webHidden/>
              </w:rPr>
              <w:instrText xml:space="preserve"> PAGEREF _Toc176435155 \h </w:instrText>
            </w:r>
            <w:r w:rsidR="00A826DD">
              <w:rPr>
                <w:noProof/>
                <w:webHidden/>
              </w:rPr>
            </w:r>
            <w:r w:rsidR="00A826DD">
              <w:rPr>
                <w:noProof/>
                <w:webHidden/>
              </w:rPr>
              <w:fldChar w:fldCharType="separate"/>
            </w:r>
            <w:r w:rsidR="00985CD2">
              <w:rPr>
                <w:noProof/>
                <w:webHidden/>
              </w:rPr>
              <w:t>7</w:t>
            </w:r>
            <w:r w:rsidR="00A826DD">
              <w:rPr>
                <w:noProof/>
                <w:webHidden/>
              </w:rPr>
              <w:fldChar w:fldCharType="end"/>
            </w:r>
          </w:hyperlink>
        </w:p>
        <w:p w14:paraId="1C6439DE" w14:textId="13EA313E" w:rsidR="00A826DD" w:rsidRDefault="006055F5">
          <w:pPr>
            <w:pStyle w:val="TOC2"/>
            <w:rPr>
              <w:rFonts w:eastAsiaTheme="minorEastAsia"/>
              <w:noProof/>
              <w:kern w:val="2"/>
              <w:szCs w:val="24"/>
              <w:lang w:eastAsia="en-AU"/>
              <w14:ligatures w14:val="standardContextual"/>
            </w:rPr>
          </w:pPr>
          <w:hyperlink w:anchor="_Toc176435156" w:history="1">
            <w:r w:rsidR="00A826DD" w:rsidRPr="00FF55EB">
              <w:rPr>
                <w:rStyle w:val="Hyperlink"/>
                <w:noProof/>
              </w:rPr>
              <w:t>Management regime</w:t>
            </w:r>
            <w:r w:rsidR="00A826DD">
              <w:rPr>
                <w:noProof/>
                <w:webHidden/>
              </w:rPr>
              <w:tab/>
            </w:r>
            <w:r w:rsidR="00A826DD">
              <w:rPr>
                <w:noProof/>
                <w:webHidden/>
              </w:rPr>
              <w:fldChar w:fldCharType="begin"/>
            </w:r>
            <w:r w:rsidR="00A826DD">
              <w:rPr>
                <w:noProof/>
                <w:webHidden/>
              </w:rPr>
              <w:instrText xml:space="preserve"> PAGEREF _Toc176435156 \h </w:instrText>
            </w:r>
            <w:r w:rsidR="00A826DD">
              <w:rPr>
                <w:noProof/>
                <w:webHidden/>
              </w:rPr>
            </w:r>
            <w:r w:rsidR="00A826DD">
              <w:rPr>
                <w:noProof/>
                <w:webHidden/>
              </w:rPr>
              <w:fldChar w:fldCharType="separate"/>
            </w:r>
            <w:r w:rsidR="00985CD2">
              <w:rPr>
                <w:noProof/>
                <w:webHidden/>
              </w:rPr>
              <w:t>8</w:t>
            </w:r>
            <w:r w:rsidR="00A826DD">
              <w:rPr>
                <w:noProof/>
                <w:webHidden/>
              </w:rPr>
              <w:fldChar w:fldCharType="end"/>
            </w:r>
          </w:hyperlink>
        </w:p>
        <w:p w14:paraId="4C0CB4C4" w14:textId="26106C2B" w:rsidR="00A826DD" w:rsidRDefault="006055F5">
          <w:pPr>
            <w:pStyle w:val="TOC2"/>
            <w:rPr>
              <w:rFonts w:eastAsiaTheme="minorEastAsia"/>
              <w:noProof/>
              <w:kern w:val="2"/>
              <w:szCs w:val="24"/>
              <w:lang w:eastAsia="en-AU"/>
              <w14:ligatures w14:val="standardContextual"/>
            </w:rPr>
          </w:pPr>
          <w:hyperlink w:anchor="_Toc176435157" w:history="1">
            <w:r w:rsidR="00A826DD" w:rsidRPr="00FF55EB">
              <w:rPr>
                <w:rStyle w:val="Hyperlink"/>
                <w:noProof/>
              </w:rPr>
              <w:t>Controlling the level of harvest</w:t>
            </w:r>
            <w:r w:rsidR="00A826DD">
              <w:rPr>
                <w:noProof/>
                <w:webHidden/>
              </w:rPr>
              <w:tab/>
            </w:r>
            <w:r w:rsidR="00A826DD">
              <w:rPr>
                <w:noProof/>
                <w:webHidden/>
              </w:rPr>
              <w:fldChar w:fldCharType="begin"/>
            </w:r>
            <w:r w:rsidR="00A826DD">
              <w:rPr>
                <w:noProof/>
                <w:webHidden/>
              </w:rPr>
              <w:instrText xml:space="preserve"> PAGEREF _Toc176435157 \h </w:instrText>
            </w:r>
            <w:r w:rsidR="00A826DD">
              <w:rPr>
                <w:noProof/>
                <w:webHidden/>
              </w:rPr>
            </w:r>
            <w:r w:rsidR="00A826DD">
              <w:rPr>
                <w:noProof/>
                <w:webHidden/>
              </w:rPr>
              <w:fldChar w:fldCharType="separate"/>
            </w:r>
            <w:r w:rsidR="00985CD2">
              <w:rPr>
                <w:noProof/>
                <w:webHidden/>
              </w:rPr>
              <w:t>9</w:t>
            </w:r>
            <w:r w:rsidR="00A826DD">
              <w:rPr>
                <w:noProof/>
                <w:webHidden/>
              </w:rPr>
              <w:fldChar w:fldCharType="end"/>
            </w:r>
          </w:hyperlink>
        </w:p>
        <w:p w14:paraId="1E7FA91C" w14:textId="204E4DA5" w:rsidR="00A826DD" w:rsidRDefault="006055F5">
          <w:pPr>
            <w:pStyle w:val="TOC2"/>
            <w:rPr>
              <w:rFonts w:eastAsiaTheme="minorEastAsia"/>
              <w:noProof/>
              <w:kern w:val="2"/>
              <w:szCs w:val="24"/>
              <w:lang w:eastAsia="en-AU"/>
              <w14:ligatures w14:val="standardContextual"/>
            </w:rPr>
          </w:pPr>
          <w:hyperlink w:anchor="_Toc176435158" w:history="1">
            <w:r w:rsidR="00A826DD" w:rsidRPr="00FF55EB">
              <w:rPr>
                <w:rStyle w:val="Hyperlink"/>
                <w:noProof/>
              </w:rPr>
              <w:t>Recreational Management Regime</w:t>
            </w:r>
            <w:r w:rsidR="00A826DD">
              <w:rPr>
                <w:noProof/>
                <w:webHidden/>
              </w:rPr>
              <w:tab/>
            </w:r>
            <w:r w:rsidR="00A826DD">
              <w:rPr>
                <w:noProof/>
                <w:webHidden/>
              </w:rPr>
              <w:fldChar w:fldCharType="begin"/>
            </w:r>
            <w:r w:rsidR="00A826DD">
              <w:rPr>
                <w:noProof/>
                <w:webHidden/>
              </w:rPr>
              <w:instrText xml:space="preserve"> PAGEREF _Toc176435158 \h </w:instrText>
            </w:r>
            <w:r w:rsidR="00A826DD">
              <w:rPr>
                <w:noProof/>
                <w:webHidden/>
              </w:rPr>
            </w:r>
            <w:r w:rsidR="00A826DD">
              <w:rPr>
                <w:noProof/>
                <w:webHidden/>
              </w:rPr>
              <w:fldChar w:fldCharType="separate"/>
            </w:r>
            <w:r w:rsidR="00985CD2">
              <w:rPr>
                <w:noProof/>
                <w:webHidden/>
              </w:rPr>
              <w:t>10</w:t>
            </w:r>
            <w:r w:rsidR="00A826DD">
              <w:rPr>
                <w:noProof/>
                <w:webHidden/>
              </w:rPr>
              <w:fldChar w:fldCharType="end"/>
            </w:r>
          </w:hyperlink>
        </w:p>
        <w:p w14:paraId="22874BD9" w14:textId="24746843" w:rsidR="00A826DD" w:rsidRDefault="006055F5">
          <w:pPr>
            <w:pStyle w:val="TOC2"/>
            <w:rPr>
              <w:rFonts w:eastAsiaTheme="minorEastAsia"/>
              <w:noProof/>
              <w:kern w:val="2"/>
              <w:szCs w:val="24"/>
              <w:lang w:eastAsia="en-AU"/>
              <w14:ligatures w14:val="standardContextual"/>
            </w:rPr>
          </w:pPr>
          <w:hyperlink w:anchor="_Toc176435159" w:history="1">
            <w:r w:rsidR="00A826DD" w:rsidRPr="00FF55EB">
              <w:rPr>
                <w:rStyle w:val="Hyperlink"/>
                <w:noProof/>
              </w:rPr>
              <w:t>Harvest Strategy</w:t>
            </w:r>
            <w:r w:rsidR="00A826DD">
              <w:rPr>
                <w:noProof/>
                <w:webHidden/>
              </w:rPr>
              <w:tab/>
            </w:r>
            <w:r w:rsidR="00A826DD">
              <w:rPr>
                <w:noProof/>
                <w:webHidden/>
              </w:rPr>
              <w:fldChar w:fldCharType="begin"/>
            </w:r>
            <w:r w:rsidR="00A826DD">
              <w:rPr>
                <w:noProof/>
                <w:webHidden/>
              </w:rPr>
              <w:instrText xml:space="preserve"> PAGEREF _Toc176435159 \h </w:instrText>
            </w:r>
            <w:r w:rsidR="00A826DD">
              <w:rPr>
                <w:noProof/>
                <w:webHidden/>
              </w:rPr>
            </w:r>
            <w:r w:rsidR="00A826DD">
              <w:rPr>
                <w:noProof/>
                <w:webHidden/>
              </w:rPr>
              <w:fldChar w:fldCharType="separate"/>
            </w:r>
            <w:r w:rsidR="00985CD2">
              <w:rPr>
                <w:noProof/>
                <w:webHidden/>
              </w:rPr>
              <w:t>13</w:t>
            </w:r>
            <w:r w:rsidR="00A826DD">
              <w:rPr>
                <w:noProof/>
                <w:webHidden/>
              </w:rPr>
              <w:fldChar w:fldCharType="end"/>
            </w:r>
          </w:hyperlink>
        </w:p>
        <w:p w14:paraId="3B7591E8" w14:textId="7AF81F3E" w:rsidR="00A826DD" w:rsidRDefault="006055F5">
          <w:pPr>
            <w:pStyle w:val="TOC3"/>
            <w:rPr>
              <w:rFonts w:eastAsiaTheme="minorEastAsia"/>
              <w:noProof/>
              <w:kern w:val="2"/>
              <w:szCs w:val="24"/>
              <w:lang w:eastAsia="en-AU"/>
              <w14:ligatures w14:val="standardContextual"/>
            </w:rPr>
          </w:pPr>
          <w:hyperlink w:anchor="_Toc176435160" w:history="1">
            <w:r w:rsidR="00A826DD" w:rsidRPr="00FF55EB">
              <w:rPr>
                <w:rStyle w:val="Hyperlink"/>
                <w:noProof/>
              </w:rPr>
              <w:t>Harvest Strategy for Roe’s Abalone -Area 7-Perth Metropolitan Region</w:t>
            </w:r>
            <w:r w:rsidR="00A826DD">
              <w:rPr>
                <w:noProof/>
                <w:webHidden/>
              </w:rPr>
              <w:tab/>
            </w:r>
            <w:r w:rsidR="00A826DD">
              <w:rPr>
                <w:noProof/>
                <w:webHidden/>
              </w:rPr>
              <w:fldChar w:fldCharType="begin"/>
            </w:r>
            <w:r w:rsidR="00A826DD">
              <w:rPr>
                <w:noProof/>
                <w:webHidden/>
              </w:rPr>
              <w:instrText xml:space="preserve"> PAGEREF _Toc176435160 \h </w:instrText>
            </w:r>
            <w:r w:rsidR="00A826DD">
              <w:rPr>
                <w:noProof/>
                <w:webHidden/>
              </w:rPr>
            </w:r>
            <w:r w:rsidR="00A826DD">
              <w:rPr>
                <w:noProof/>
                <w:webHidden/>
              </w:rPr>
              <w:fldChar w:fldCharType="separate"/>
            </w:r>
            <w:r w:rsidR="00985CD2">
              <w:rPr>
                <w:noProof/>
                <w:webHidden/>
              </w:rPr>
              <w:t>14</w:t>
            </w:r>
            <w:r w:rsidR="00A826DD">
              <w:rPr>
                <w:noProof/>
                <w:webHidden/>
              </w:rPr>
              <w:fldChar w:fldCharType="end"/>
            </w:r>
          </w:hyperlink>
        </w:p>
        <w:p w14:paraId="286B5576" w14:textId="4B8D17DE" w:rsidR="00A826DD" w:rsidRDefault="006055F5">
          <w:pPr>
            <w:pStyle w:val="TOC3"/>
            <w:rPr>
              <w:rFonts w:eastAsiaTheme="minorEastAsia"/>
              <w:noProof/>
              <w:kern w:val="2"/>
              <w:szCs w:val="24"/>
              <w:lang w:eastAsia="en-AU"/>
              <w14:ligatures w14:val="standardContextual"/>
            </w:rPr>
          </w:pPr>
          <w:hyperlink w:anchor="_Toc176435161" w:history="1">
            <w:r w:rsidR="00A826DD" w:rsidRPr="00FF55EB">
              <w:rPr>
                <w:rStyle w:val="Hyperlink"/>
                <w:noProof/>
              </w:rPr>
              <w:t>Recovery Plan</w:t>
            </w:r>
            <w:r w:rsidR="00A826DD">
              <w:rPr>
                <w:noProof/>
                <w:webHidden/>
              </w:rPr>
              <w:tab/>
            </w:r>
            <w:r w:rsidR="00A826DD">
              <w:rPr>
                <w:noProof/>
                <w:webHidden/>
              </w:rPr>
              <w:fldChar w:fldCharType="begin"/>
            </w:r>
            <w:r w:rsidR="00A826DD">
              <w:rPr>
                <w:noProof/>
                <w:webHidden/>
              </w:rPr>
              <w:instrText xml:space="preserve"> PAGEREF _Toc176435161 \h </w:instrText>
            </w:r>
            <w:r w:rsidR="00A826DD">
              <w:rPr>
                <w:noProof/>
                <w:webHidden/>
              </w:rPr>
            </w:r>
            <w:r w:rsidR="00A826DD">
              <w:rPr>
                <w:noProof/>
                <w:webHidden/>
              </w:rPr>
              <w:fldChar w:fldCharType="separate"/>
            </w:r>
            <w:r w:rsidR="00985CD2">
              <w:rPr>
                <w:noProof/>
                <w:webHidden/>
              </w:rPr>
              <w:t>16</w:t>
            </w:r>
            <w:r w:rsidR="00A826DD">
              <w:rPr>
                <w:noProof/>
                <w:webHidden/>
              </w:rPr>
              <w:fldChar w:fldCharType="end"/>
            </w:r>
          </w:hyperlink>
        </w:p>
        <w:p w14:paraId="38BA6416" w14:textId="1DA6D9CB" w:rsidR="00A826DD" w:rsidRDefault="006055F5">
          <w:pPr>
            <w:pStyle w:val="TOC3"/>
            <w:rPr>
              <w:rFonts w:eastAsiaTheme="minorEastAsia"/>
              <w:noProof/>
              <w:kern w:val="2"/>
              <w:szCs w:val="24"/>
              <w:lang w:eastAsia="en-AU"/>
              <w14:ligatures w14:val="standardContextual"/>
            </w:rPr>
          </w:pPr>
          <w:hyperlink w:anchor="_Toc176435162" w:history="1">
            <w:r w:rsidR="00A826DD" w:rsidRPr="00FF55EB">
              <w:rPr>
                <w:rStyle w:val="Hyperlink"/>
                <w:noProof/>
              </w:rPr>
              <w:t>Current Recovery Strategies</w:t>
            </w:r>
            <w:r w:rsidR="00A826DD">
              <w:rPr>
                <w:noProof/>
                <w:webHidden/>
              </w:rPr>
              <w:tab/>
            </w:r>
            <w:r w:rsidR="00A826DD">
              <w:rPr>
                <w:noProof/>
                <w:webHidden/>
              </w:rPr>
              <w:fldChar w:fldCharType="begin"/>
            </w:r>
            <w:r w:rsidR="00A826DD">
              <w:rPr>
                <w:noProof/>
                <w:webHidden/>
              </w:rPr>
              <w:instrText xml:space="preserve"> PAGEREF _Toc176435162 \h </w:instrText>
            </w:r>
            <w:r w:rsidR="00A826DD">
              <w:rPr>
                <w:noProof/>
                <w:webHidden/>
              </w:rPr>
            </w:r>
            <w:r w:rsidR="00A826DD">
              <w:rPr>
                <w:noProof/>
                <w:webHidden/>
              </w:rPr>
              <w:fldChar w:fldCharType="separate"/>
            </w:r>
            <w:r w:rsidR="00985CD2">
              <w:rPr>
                <w:noProof/>
                <w:webHidden/>
              </w:rPr>
              <w:t>17</w:t>
            </w:r>
            <w:r w:rsidR="00A826DD">
              <w:rPr>
                <w:noProof/>
                <w:webHidden/>
              </w:rPr>
              <w:fldChar w:fldCharType="end"/>
            </w:r>
          </w:hyperlink>
        </w:p>
        <w:p w14:paraId="619E8020" w14:textId="2B947C91" w:rsidR="00A826DD" w:rsidRDefault="006055F5">
          <w:pPr>
            <w:pStyle w:val="TOC2"/>
            <w:rPr>
              <w:rFonts w:eastAsiaTheme="minorEastAsia"/>
              <w:noProof/>
              <w:kern w:val="2"/>
              <w:szCs w:val="24"/>
              <w:lang w:eastAsia="en-AU"/>
              <w14:ligatures w14:val="standardContextual"/>
            </w:rPr>
          </w:pPr>
          <w:hyperlink w:anchor="_Toc176435163" w:history="1">
            <w:r w:rsidR="00A826DD" w:rsidRPr="00FF55EB">
              <w:rPr>
                <w:rStyle w:val="Hyperlink"/>
                <w:noProof/>
              </w:rPr>
              <w:t>Performance against objectives, performance indicators and performance measures</w:t>
            </w:r>
            <w:r w:rsidR="00A826DD">
              <w:rPr>
                <w:noProof/>
                <w:webHidden/>
              </w:rPr>
              <w:tab/>
            </w:r>
            <w:r w:rsidR="00A826DD">
              <w:rPr>
                <w:noProof/>
                <w:webHidden/>
              </w:rPr>
              <w:fldChar w:fldCharType="begin"/>
            </w:r>
            <w:r w:rsidR="00A826DD">
              <w:rPr>
                <w:noProof/>
                <w:webHidden/>
              </w:rPr>
              <w:instrText xml:space="preserve"> PAGEREF _Toc176435163 \h </w:instrText>
            </w:r>
            <w:r w:rsidR="00A826DD">
              <w:rPr>
                <w:noProof/>
                <w:webHidden/>
              </w:rPr>
            </w:r>
            <w:r w:rsidR="00A826DD">
              <w:rPr>
                <w:noProof/>
                <w:webHidden/>
              </w:rPr>
              <w:fldChar w:fldCharType="separate"/>
            </w:r>
            <w:r w:rsidR="00985CD2">
              <w:rPr>
                <w:noProof/>
                <w:webHidden/>
              </w:rPr>
              <w:t>18</w:t>
            </w:r>
            <w:r w:rsidR="00A826DD">
              <w:rPr>
                <w:noProof/>
                <w:webHidden/>
              </w:rPr>
              <w:fldChar w:fldCharType="end"/>
            </w:r>
          </w:hyperlink>
        </w:p>
        <w:p w14:paraId="18A62731" w14:textId="10CF8292" w:rsidR="00A826DD" w:rsidRDefault="006055F5">
          <w:pPr>
            <w:pStyle w:val="TOC3"/>
            <w:rPr>
              <w:rFonts w:eastAsiaTheme="minorEastAsia"/>
              <w:noProof/>
              <w:kern w:val="2"/>
              <w:szCs w:val="24"/>
              <w:lang w:eastAsia="en-AU"/>
              <w14:ligatures w14:val="standardContextual"/>
            </w:rPr>
          </w:pPr>
          <w:hyperlink w:anchor="_Toc176435164" w:history="1">
            <w:r w:rsidR="00A826DD" w:rsidRPr="00FF55EB">
              <w:rPr>
                <w:rStyle w:val="Hyperlink"/>
                <w:noProof/>
              </w:rPr>
              <w:t>Annual reporting</w:t>
            </w:r>
            <w:r w:rsidR="00A826DD">
              <w:rPr>
                <w:noProof/>
                <w:webHidden/>
              </w:rPr>
              <w:tab/>
            </w:r>
            <w:r w:rsidR="00A826DD">
              <w:rPr>
                <w:noProof/>
                <w:webHidden/>
              </w:rPr>
              <w:fldChar w:fldCharType="begin"/>
            </w:r>
            <w:r w:rsidR="00A826DD">
              <w:rPr>
                <w:noProof/>
                <w:webHidden/>
              </w:rPr>
              <w:instrText xml:space="preserve"> PAGEREF _Toc176435164 \h </w:instrText>
            </w:r>
            <w:r w:rsidR="00A826DD">
              <w:rPr>
                <w:noProof/>
                <w:webHidden/>
              </w:rPr>
            </w:r>
            <w:r w:rsidR="00A826DD">
              <w:rPr>
                <w:noProof/>
                <w:webHidden/>
              </w:rPr>
              <w:fldChar w:fldCharType="separate"/>
            </w:r>
            <w:r w:rsidR="00985CD2">
              <w:rPr>
                <w:noProof/>
                <w:webHidden/>
              </w:rPr>
              <w:t>18</w:t>
            </w:r>
            <w:r w:rsidR="00A826DD">
              <w:rPr>
                <w:noProof/>
                <w:webHidden/>
              </w:rPr>
              <w:fldChar w:fldCharType="end"/>
            </w:r>
          </w:hyperlink>
        </w:p>
        <w:p w14:paraId="393A34EE" w14:textId="0B26AE0C" w:rsidR="00A826DD" w:rsidRDefault="006055F5">
          <w:pPr>
            <w:pStyle w:val="TOC2"/>
            <w:rPr>
              <w:rFonts w:eastAsiaTheme="minorEastAsia"/>
              <w:noProof/>
              <w:kern w:val="2"/>
              <w:szCs w:val="24"/>
              <w:lang w:eastAsia="en-AU"/>
              <w14:ligatures w14:val="standardContextual"/>
            </w:rPr>
          </w:pPr>
          <w:hyperlink w:anchor="_Toc176435165" w:history="1">
            <w:r w:rsidR="00A826DD" w:rsidRPr="00FF55EB">
              <w:rPr>
                <w:rStyle w:val="Hyperlink"/>
                <w:noProof/>
              </w:rPr>
              <w:t>Stock assessments</w:t>
            </w:r>
            <w:r w:rsidR="00A826DD">
              <w:rPr>
                <w:noProof/>
                <w:webHidden/>
              </w:rPr>
              <w:tab/>
            </w:r>
            <w:r w:rsidR="00A826DD">
              <w:rPr>
                <w:noProof/>
                <w:webHidden/>
              </w:rPr>
              <w:fldChar w:fldCharType="begin"/>
            </w:r>
            <w:r w:rsidR="00A826DD">
              <w:rPr>
                <w:noProof/>
                <w:webHidden/>
              </w:rPr>
              <w:instrText xml:space="preserve"> PAGEREF _Toc176435165 \h </w:instrText>
            </w:r>
            <w:r w:rsidR="00A826DD">
              <w:rPr>
                <w:noProof/>
                <w:webHidden/>
              </w:rPr>
            </w:r>
            <w:r w:rsidR="00A826DD">
              <w:rPr>
                <w:noProof/>
                <w:webHidden/>
              </w:rPr>
              <w:fldChar w:fldCharType="separate"/>
            </w:r>
            <w:r w:rsidR="00985CD2">
              <w:rPr>
                <w:noProof/>
                <w:webHidden/>
              </w:rPr>
              <w:t>18</w:t>
            </w:r>
            <w:r w:rsidR="00A826DD">
              <w:rPr>
                <w:noProof/>
                <w:webHidden/>
              </w:rPr>
              <w:fldChar w:fldCharType="end"/>
            </w:r>
          </w:hyperlink>
        </w:p>
        <w:p w14:paraId="090D55CC" w14:textId="7627985A" w:rsidR="00A826DD" w:rsidRDefault="006055F5">
          <w:pPr>
            <w:pStyle w:val="TOC3"/>
            <w:rPr>
              <w:rFonts w:eastAsiaTheme="minorEastAsia"/>
              <w:noProof/>
              <w:kern w:val="2"/>
              <w:szCs w:val="24"/>
              <w:lang w:eastAsia="en-AU"/>
              <w14:ligatures w14:val="standardContextual"/>
            </w:rPr>
          </w:pPr>
          <w:hyperlink w:anchor="_Toc176435166" w:history="1">
            <w:r w:rsidR="00A826DD" w:rsidRPr="00FF55EB">
              <w:rPr>
                <w:rStyle w:val="Hyperlink"/>
                <w:noProof/>
              </w:rPr>
              <w:t>Summary of 2023 assessment key outcomes</w:t>
            </w:r>
            <w:r w:rsidR="00A826DD">
              <w:rPr>
                <w:noProof/>
                <w:webHidden/>
              </w:rPr>
              <w:tab/>
            </w:r>
            <w:r w:rsidR="00A826DD">
              <w:rPr>
                <w:noProof/>
                <w:webHidden/>
              </w:rPr>
              <w:fldChar w:fldCharType="begin"/>
            </w:r>
            <w:r w:rsidR="00A826DD">
              <w:rPr>
                <w:noProof/>
                <w:webHidden/>
              </w:rPr>
              <w:instrText xml:space="preserve"> PAGEREF _Toc176435166 \h </w:instrText>
            </w:r>
            <w:r w:rsidR="00A826DD">
              <w:rPr>
                <w:noProof/>
                <w:webHidden/>
              </w:rPr>
            </w:r>
            <w:r w:rsidR="00A826DD">
              <w:rPr>
                <w:noProof/>
                <w:webHidden/>
              </w:rPr>
              <w:fldChar w:fldCharType="separate"/>
            </w:r>
            <w:r w:rsidR="00985CD2">
              <w:rPr>
                <w:noProof/>
                <w:webHidden/>
              </w:rPr>
              <w:t>18</w:t>
            </w:r>
            <w:r w:rsidR="00A826DD">
              <w:rPr>
                <w:noProof/>
                <w:webHidden/>
              </w:rPr>
              <w:fldChar w:fldCharType="end"/>
            </w:r>
          </w:hyperlink>
        </w:p>
        <w:p w14:paraId="5FA12396" w14:textId="7D4E3EF8" w:rsidR="00A826DD" w:rsidRDefault="006055F5">
          <w:pPr>
            <w:pStyle w:val="TOC2"/>
            <w:rPr>
              <w:rFonts w:eastAsiaTheme="minorEastAsia"/>
              <w:noProof/>
              <w:kern w:val="2"/>
              <w:szCs w:val="24"/>
              <w:lang w:eastAsia="en-AU"/>
              <w14:ligatures w14:val="standardContextual"/>
            </w:rPr>
          </w:pPr>
          <w:hyperlink w:anchor="_Toc176435167" w:history="1">
            <w:r w:rsidR="00A826DD" w:rsidRPr="00FF55EB">
              <w:rPr>
                <w:rStyle w:val="Hyperlink"/>
                <w:noProof/>
              </w:rPr>
              <w:t>Monitoring and data collection</w:t>
            </w:r>
            <w:r w:rsidR="00A826DD">
              <w:rPr>
                <w:noProof/>
                <w:webHidden/>
              </w:rPr>
              <w:tab/>
            </w:r>
            <w:r w:rsidR="00A826DD">
              <w:rPr>
                <w:noProof/>
                <w:webHidden/>
              </w:rPr>
              <w:fldChar w:fldCharType="begin"/>
            </w:r>
            <w:r w:rsidR="00A826DD">
              <w:rPr>
                <w:noProof/>
                <w:webHidden/>
              </w:rPr>
              <w:instrText xml:space="preserve"> PAGEREF _Toc176435167 \h </w:instrText>
            </w:r>
            <w:r w:rsidR="00A826DD">
              <w:rPr>
                <w:noProof/>
                <w:webHidden/>
              </w:rPr>
            </w:r>
            <w:r w:rsidR="00A826DD">
              <w:rPr>
                <w:noProof/>
                <w:webHidden/>
              </w:rPr>
              <w:fldChar w:fldCharType="separate"/>
            </w:r>
            <w:r w:rsidR="00985CD2">
              <w:rPr>
                <w:noProof/>
                <w:webHidden/>
              </w:rPr>
              <w:t>21</w:t>
            </w:r>
            <w:r w:rsidR="00A826DD">
              <w:rPr>
                <w:noProof/>
                <w:webHidden/>
              </w:rPr>
              <w:fldChar w:fldCharType="end"/>
            </w:r>
          </w:hyperlink>
        </w:p>
        <w:p w14:paraId="43DF1F56" w14:textId="42AEDCFC" w:rsidR="00A826DD" w:rsidRDefault="006055F5">
          <w:pPr>
            <w:pStyle w:val="TOC3"/>
            <w:rPr>
              <w:rFonts w:eastAsiaTheme="minorEastAsia"/>
              <w:noProof/>
              <w:kern w:val="2"/>
              <w:szCs w:val="24"/>
              <w:lang w:eastAsia="en-AU"/>
              <w14:ligatures w14:val="standardContextual"/>
            </w:rPr>
          </w:pPr>
          <w:hyperlink w:anchor="_Toc176435168" w:history="1">
            <w:r w:rsidR="00A826DD" w:rsidRPr="00FF55EB">
              <w:rPr>
                <w:rStyle w:val="Hyperlink"/>
                <w:noProof/>
              </w:rPr>
              <w:t>Statutory logbook reporting</w:t>
            </w:r>
            <w:r w:rsidR="00A826DD">
              <w:rPr>
                <w:noProof/>
                <w:webHidden/>
              </w:rPr>
              <w:tab/>
            </w:r>
            <w:r w:rsidR="00A826DD">
              <w:rPr>
                <w:noProof/>
                <w:webHidden/>
              </w:rPr>
              <w:fldChar w:fldCharType="begin"/>
            </w:r>
            <w:r w:rsidR="00A826DD">
              <w:rPr>
                <w:noProof/>
                <w:webHidden/>
              </w:rPr>
              <w:instrText xml:space="preserve"> PAGEREF _Toc176435168 \h </w:instrText>
            </w:r>
            <w:r w:rsidR="00A826DD">
              <w:rPr>
                <w:noProof/>
                <w:webHidden/>
              </w:rPr>
            </w:r>
            <w:r w:rsidR="00A826DD">
              <w:rPr>
                <w:noProof/>
                <w:webHidden/>
              </w:rPr>
              <w:fldChar w:fldCharType="separate"/>
            </w:r>
            <w:r w:rsidR="00985CD2">
              <w:rPr>
                <w:noProof/>
                <w:webHidden/>
              </w:rPr>
              <w:t>21</w:t>
            </w:r>
            <w:r w:rsidR="00A826DD">
              <w:rPr>
                <w:noProof/>
                <w:webHidden/>
              </w:rPr>
              <w:fldChar w:fldCharType="end"/>
            </w:r>
          </w:hyperlink>
        </w:p>
        <w:p w14:paraId="61C20B05" w14:textId="6231A7C9" w:rsidR="00A826DD" w:rsidRDefault="006055F5">
          <w:pPr>
            <w:pStyle w:val="TOC2"/>
            <w:rPr>
              <w:rFonts w:eastAsiaTheme="minorEastAsia"/>
              <w:noProof/>
              <w:kern w:val="2"/>
              <w:szCs w:val="24"/>
              <w:lang w:eastAsia="en-AU"/>
              <w14:ligatures w14:val="standardContextual"/>
            </w:rPr>
          </w:pPr>
          <w:hyperlink w:anchor="_Toc176435169" w:history="1">
            <w:r w:rsidR="00A826DD" w:rsidRPr="00FF55EB">
              <w:rPr>
                <w:rStyle w:val="Hyperlink"/>
                <w:noProof/>
              </w:rPr>
              <w:t>Vessel monitoring system</w:t>
            </w:r>
            <w:r w:rsidR="00A826DD">
              <w:rPr>
                <w:noProof/>
                <w:webHidden/>
              </w:rPr>
              <w:tab/>
            </w:r>
            <w:r w:rsidR="00A826DD">
              <w:rPr>
                <w:noProof/>
                <w:webHidden/>
              </w:rPr>
              <w:fldChar w:fldCharType="begin"/>
            </w:r>
            <w:r w:rsidR="00A826DD">
              <w:rPr>
                <w:noProof/>
                <w:webHidden/>
              </w:rPr>
              <w:instrText xml:space="preserve"> PAGEREF _Toc176435169 \h </w:instrText>
            </w:r>
            <w:r w:rsidR="00A826DD">
              <w:rPr>
                <w:noProof/>
                <w:webHidden/>
              </w:rPr>
            </w:r>
            <w:r w:rsidR="00A826DD">
              <w:rPr>
                <w:noProof/>
                <w:webHidden/>
              </w:rPr>
              <w:fldChar w:fldCharType="separate"/>
            </w:r>
            <w:r w:rsidR="00985CD2">
              <w:rPr>
                <w:noProof/>
                <w:webHidden/>
              </w:rPr>
              <w:t>21</w:t>
            </w:r>
            <w:r w:rsidR="00A826DD">
              <w:rPr>
                <w:noProof/>
                <w:webHidden/>
              </w:rPr>
              <w:fldChar w:fldCharType="end"/>
            </w:r>
          </w:hyperlink>
        </w:p>
        <w:p w14:paraId="6C2DA46B" w14:textId="2B82329B" w:rsidR="00A826DD" w:rsidRDefault="006055F5">
          <w:pPr>
            <w:pStyle w:val="TOC2"/>
            <w:rPr>
              <w:rFonts w:eastAsiaTheme="minorEastAsia"/>
              <w:noProof/>
              <w:kern w:val="2"/>
              <w:szCs w:val="24"/>
              <w:lang w:eastAsia="en-AU"/>
              <w14:ligatures w14:val="standardContextual"/>
            </w:rPr>
          </w:pPr>
          <w:hyperlink w:anchor="_Toc176435170" w:history="1">
            <w:r w:rsidR="00A826DD" w:rsidRPr="00FF55EB">
              <w:rPr>
                <w:rStyle w:val="Hyperlink"/>
                <w:noProof/>
              </w:rPr>
              <w:t>Data collection, validation, and monitoring programs</w:t>
            </w:r>
            <w:r w:rsidR="00A826DD">
              <w:rPr>
                <w:noProof/>
                <w:webHidden/>
              </w:rPr>
              <w:tab/>
            </w:r>
            <w:r w:rsidR="00A826DD">
              <w:rPr>
                <w:noProof/>
                <w:webHidden/>
              </w:rPr>
              <w:fldChar w:fldCharType="begin"/>
            </w:r>
            <w:r w:rsidR="00A826DD">
              <w:rPr>
                <w:noProof/>
                <w:webHidden/>
              </w:rPr>
              <w:instrText xml:space="preserve"> PAGEREF _Toc176435170 \h </w:instrText>
            </w:r>
            <w:r w:rsidR="00A826DD">
              <w:rPr>
                <w:noProof/>
                <w:webHidden/>
              </w:rPr>
            </w:r>
            <w:r w:rsidR="00A826DD">
              <w:rPr>
                <w:noProof/>
                <w:webHidden/>
              </w:rPr>
              <w:fldChar w:fldCharType="separate"/>
            </w:r>
            <w:r w:rsidR="00985CD2">
              <w:rPr>
                <w:noProof/>
                <w:webHidden/>
              </w:rPr>
              <w:t>21</w:t>
            </w:r>
            <w:r w:rsidR="00A826DD">
              <w:rPr>
                <w:noProof/>
                <w:webHidden/>
              </w:rPr>
              <w:fldChar w:fldCharType="end"/>
            </w:r>
          </w:hyperlink>
        </w:p>
        <w:p w14:paraId="2E098266" w14:textId="7B01C1D7" w:rsidR="00A826DD" w:rsidRDefault="006055F5">
          <w:pPr>
            <w:pStyle w:val="TOC2"/>
            <w:rPr>
              <w:rFonts w:eastAsiaTheme="minorEastAsia"/>
              <w:noProof/>
              <w:kern w:val="2"/>
              <w:szCs w:val="24"/>
              <w:lang w:eastAsia="en-AU"/>
              <w14:ligatures w14:val="standardContextual"/>
            </w:rPr>
          </w:pPr>
          <w:hyperlink w:anchor="_Toc176435171" w:history="1">
            <w:r w:rsidR="00A826DD" w:rsidRPr="00FF55EB">
              <w:rPr>
                <w:rStyle w:val="Hyperlink"/>
                <w:noProof/>
              </w:rPr>
              <w:t>Ecosystem</w:t>
            </w:r>
            <w:r w:rsidR="00A826DD">
              <w:rPr>
                <w:noProof/>
                <w:webHidden/>
              </w:rPr>
              <w:tab/>
            </w:r>
            <w:r w:rsidR="00A826DD">
              <w:rPr>
                <w:noProof/>
                <w:webHidden/>
              </w:rPr>
              <w:fldChar w:fldCharType="begin"/>
            </w:r>
            <w:r w:rsidR="00A826DD">
              <w:rPr>
                <w:noProof/>
                <w:webHidden/>
              </w:rPr>
              <w:instrText xml:space="preserve"> PAGEREF _Toc176435171 \h </w:instrText>
            </w:r>
            <w:r w:rsidR="00A826DD">
              <w:rPr>
                <w:noProof/>
                <w:webHidden/>
              </w:rPr>
            </w:r>
            <w:r w:rsidR="00A826DD">
              <w:rPr>
                <w:noProof/>
                <w:webHidden/>
              </w:rPr>
              <w:fldChar w:fldCharType="separate"/>
            </w:r>
            <w:r w:rsidR="00985CD2">
              <w:rPr>
                <w:noProof/>
                <w:webHidden/>
              </w:rPr>
              <w:t>24</w:t>
            </w:r>
            <w:r w:rsidR="00A826DD">
              <w:rPr>
                <w:noProof/>
                <w:webHidden/>
              </w:rPr>
              <w:fldChar w:fldCharType="end"/>
            </w:r>
          </w:hyperlink>
        </w:p>
        <w:p w14:paraId="3DDC61B1" w14:textId="6D6CA9D4" w:rsidR="00A826DD" w:rsidRDefault="006055F5">
          <w:pPr>
            <w:pStyle w:val="TOC3"/>
            <w:rPr>
              <w:rFonts w:eastAsiaTheme="minorEastAsia"/>
              <w:noProof/>
              <w:kern w:val="2"/>
              <w:szCs w:val="24"/>
              <w:lang w:eastAsia="en-AU"/>
              <w14:ligatures w14:val="standardContextual"/>
            </w:rPr>
          </w:pPr>
          <w:hyperlink w:anchor="_Toc176435172" w:history="1">
            <w:r w:rsidR="00A826DD" w:rsidRPr="00FF55EB">
              <w:rPr>
                <w:rStyle w:val="Hyperlink"/>
                <w:noProof/>
              </w:rPr>
              <w:t>Mitigating impacts on the wider ecosystem</w:t>
            </w:r>
            <w:r w:rsidR="00A826DD">
              <w:rPr>
                <w:noProof/>
                <w:webHidden/>
              </w:rPr>
              <w:tab/>
            </w:r>
            <w:r w:rsidR="00A826DD">
              <w:rPr>
                <w:noProof/>
                <w:webHidden/>
              </w:rPr>
              <w:fldChar w:fldCharType="begin"/>
            </w:r>
            <w:r w:rsidR="00A826DD">
              <w:rPr>
                <w:noProof/>
                <w:webHidden/>
              </w:rPr>
              <w:instrText xml:space="preserve"> PAGEREF _Toc176435172 \h </w:instrText>
            </w:r>
            <w:r w:rsidR="00A826DD">
              <w:rPr>
                <w:noProof/>
                <w:webHidden/>
              </w:rPr>
            </w:r>
            <w:r w:rsidR="00A826DD">
              <w:rPr>
                <w:noProof/>
                <w:webHidden/>
              </w:rPr>
              <w:fldChar w:fldCharType="separate"/>
            </w:r>
            <w:r w:rsidR="00985CD2">
              <w:rPr>
                <w:noProof/>
                <w:webHidden/>
              </w:rPr>
              <w:t>24</w:t>
            </w:r>
            <w:r w:rsidR="00A826DD">
              <w:rPr>
                <w:noProof/>
                <w:webHidden/>
              </w:rPr>
              <w:fldChar w:fldCharType="end"/>
            </w:r>
          </w:hyperlink>
        </w:p>
        <w:p w14:paraId="4A9C8696" w14:textId="2D084612" w:rsidR="00A826DD" w:rsidRDefault="006055F5">
          <w:pPr>
            <w:pStyle w:val="TOC3"/>
            <w:rPr>
              <w:rFonts w:eastAsiaTheme="minorEastAsia"/>
              <w:noProof/>
              <w:kern w:val="2"/>
              <w:szCs w:val="24"/>
              <w:lang w:eastAsia="en-AU"/>
              <w14:ligatures w14:val="standardContextual"/>
            </w:rPr>
          </w:pPr>
          <w:hyperlink w:anchor="_Toc176435173" w:history="1">
            <w:r w:rsidR="00A826DD" w:rsidRPr="00FF55EB">
              <w:rPr>
                <w:rStyle w:val="Hyperlink"/>
                <w:noProof/>
              </w:rPr>
              <w:t>Ecological risk assessments</w:t>
            </w:r>
            <w:r w:rsidR="00A826DD">
              <w:rPr>
                <w:noProof/>
                <w:webHidden/>
              </w:rPr>
              <w:tab/>
            </w:r>
            <w:r w:rsidR="00A826DD">
              <w:rPr>
                <w:noProof/>
                <w:webHidden/>
              </w:rPr>
              <w:fldChar w:fldCharType="begin"/>
            </w:r>
            <w:r w:rsidR="00A826DD">
              <w:rPr>
                <w:noProof/>
                <w:webHidden/>
              </w:rPr>
              <w:instrText xml:space="preserve"> PAGEREF _Toc176435173 \h </w:instrText>
            </w:r>
            <w:r w:rsidR="00A826DD">
              <w:rPr>
                <w:noProof/>
                <w:webHidden/>
              </w:rPr>
            </w:r>
            <w:r w:rsidR="00A826DD">
              <w:rPr>
                <w:noProof/>
                <w:webHidden/>
              </w:rPr>
              <w:fldChar w:fldCharType="separate"/>
            </w:r>
            <w:r w:rsidR="00985CD2">
              <w:rPr>
                <w:noProof/>
                <w:webHidden/>
              </w:rPr>
              <w:t>24</w:t>
            </w:r>
            <w:r w:rsidR="00A826DD">
              <w:rPr>
                <w:noProof/>
                <w:webHidden/>
              </w:rPr>
              <w:fldChar w:fldCharType="end"/>
            </w:r>
          </w:hyperlink>
        </w:p>
        <w:p w14:paraId="71E406AD" w14:textId="5C112D0F" w:rsidR="00A826DD" w:rsidRDefault="006055F5">
          <w:pPr>
            <w:pStyle w:val="TOC3"/>
            <w:rPr>
              <w:rFonts w:eastAsiaTheme="minorEastAsia"/>
              <w:noProof/>
              <w:kern w:val="2"/>
              <w:szCs w:val="24"/>
              <w:lang w:eastAsia="en-AU"/>
              <w14:ligatures w14:val="standardContextual"/>
            </w:rPr>
          </w:pPr>
          <w:hyperlink w:anchor="_Toc176435174" w:history="1">
            <w:r w:rsidR="00A826DD" w:rsidRPr="00FF55EB">
              <w:rPr>
                <w:rStyle w:val="Hyperlink"/>
                <w:noProof/>
              </w:rPr>
              <w:t>Bycatch and protected species interactions</w:t>
            </w:r>
            <w:r w:rsidR="00A826DD">
              <w:rPr>
                <w:noProof/>
                <w:webHidden/>
              </w:rPr>
              <w:tab/>
            </w:r>
            <w:r w:rsidR="00A826DD">
              <w:rPr>
                <w:noProof/>
                <w:webHidden/>
              </w:rPr>
              <w:fldChar w:fldCharType="begin"/>
            </w:r>
            <w:r w:rsidR="00A826DD">
              <w:rPr>
                <w:noProof/>
                <w:webHidden/>
              </w:rPr>
              <w:instrText xml:space="preserve"> PAGEREF _Toc176435174 \h </w:instrText>
            </w:r>
            <w:r w:rsidR="00A826DD">
              <w:rPr>
                <w:noProof/>
                <w:webHidden/>
              </w:rPr>
            </w:r>
            <w:r w:rsidR="00A826DD">
              <w:rPr>
                <w:noProof/>
                <w:webHidden/>
              </w:rPr>
              <w:fldChar w:fldCharType="separate"/>
            </w:r>
            <w:r w:rsidR="00985CD2">
              <w:rPr>
                <w:noProof/>
                <w:webHidden/>
              </w:rPr>
              <w:t>24</w:t>
            </w:r>
            <w:r w:rsidR="00A826DD">
              <w:rPr>
                <w:noProof/>
                <w:webHidden/>
              </w:rPr>
              <w:fldChar w:fldCharType="end"/>
            </w:r>
          </w:hyperlink>
        </w:p>
        <w:p w14:paraId="53E1010D" w14:textId="75FD62A8" w:rsidR="00A826DD" w:rsidRDefault="006055F5">
          <w:pPr>
            <w:pStyle w:val="TOC2"/>
            <w:rPr>
              <w:rFonts w:eastAsiaTheme="minorEastAsia"/>
              <w:noProof/>
              <w:kern w:val="2"/>
              <w:szCs w:val="24"/>
              <w:lang w:eastAsia="en-AU"/>
              <w14:ligatures w14:val="standardContextual"/>
            </w:rPr>
          </w:pPr>
          <w:hyperlink w:anchor="_Toc176435175" w:history="1">
            <w:r w:rsidR="00A826DD" w:rsidRPr="00FF55EB">
              <w:rPr>
                <w:rStyle w:val="Hyperlink"/>
                <w:noProof/>
              </w:rPr>
              <w:t>Enforcement of the management arrangements</w:t>
            </w:r>
            <w:r w:rsidR="00A826DD">
              <w:rPr>
                <w:noProof/>
                <w:webHidden/>
              </w:rPr>
              <w:tab/>
            </w:r>
            <w:r w:rsidR="00A826DD">
              <w:rPr>
                <w:noProof/>
                <w:webHidden/>
              </w:rPr>
              <w:fldChar w:fldCharType="begin"/>
            </w:r>
            <w:r w:rsidR="00A826DD">
              <w:rPr>
                <w:noProof/>
                <w:webHidden/>
              </w:rPr>
              <w:instrText xml:space="preserve"> PAGEREF _Toc176435175 \h </w:instrText>
            </w:r>
            <w:r w:rsidR="00A826DD">
              <w:rPr>
                <w:noProof/>
                <w:webHidden/>
              </w:rPr>
            </w:r>
            <w:r w:rsidR="00A826DD">
              <w:rPr>
                <w:noProof/>
                <w:webHidden/>
              </w:rPr>
              <w:fldChar w:fldCharType="separate"/>
            </w:r>
            <w:r w:rsidR="00985CD2">
              <w:rPr>
                <w:noProof/>
                <w:webHidden/>
              </w:rPr>
              <w:t>25</w:t>
            </w:r>
            <w:r w:rsidR="00A826DD">
              <w:rPr>
                <w:noProof/>
                <w:webHidden/>
              </w:rPr>
              <w:fldChar w:fldCharType="end"/>
            </w:r>
          </w:hyperlink>
        </w:p>
        <w:p w14:paraId="79F22044" w14:textId="6CA00550" w:rsidR="00A826DD" w:rsidRDefault="006055F5">
          <w:pPr>
            <w:pStyle w:val="TOC2"/>
            <w:rPr>
              <w:rFonts w:eastAsiaTheme="minorEastAsia"/>
              <w:noProof/>
              <w:kern w:val="2"/>
              <w:szCs w:val="24"/>
              <w:lang w:eastAsia="en-AU"/>
              <w14:ligatures w14:val="standardContextual"/>
            </w:rPr>
          </w:pPr>
          <w:hyperlink w:anchor="_Toc176435176" w:history="1">
            <w:r w:rsidR="00A826DD" w:rsidRPr="00FF55EB">
              <w:rPr>
                <w:rStyle w:val="Hyperlink"/>
                <w:noProof/>
              </w:rPr>
              <w:t>Consultation process</w:t>
            </w:r>
            <w:r w:rsidR="00A826DD">
              <w:rPr>
                <w:noProof/>
                <w:webHidden/>
              </w:rPr>
              <w:tab/>
            </w:r>
            <w:r w:rsidR="00A826DD">
              <w:rPr>
                <w:noProof/>
                <w:webHidden/>
              </w:rPr>
              <w:fldChar w:fldCharType="begin"/>
            </w:r>
            <w:r w:rsidR="00A826DD">
              <w:rPr>
                <w:noProof/>
                <w:webHidden/>
              </w:rPr>
              <w:instrText xml:space="preserve"> PAGEREF _Toc176435176 \h </w:instrText>
            </w:r>
            <w:r w:rsidR="00A826DD">
              <w:rPr>
                <w:noProof/>
                <w:webHidden/>
              </w:rPr>
            </w:r>
            <w:r w:rsidR="00A826DD">
              <w:rPr>
                <w:noProof/>
                <w:webHidden/>
              </w:rPr>
              <w:fldChar w:fldCharType="separate"/>
            </w:r>
            <w:r w:rsidR="00985CD2">
              <w:rPr>
                <w:noProof/>
                <w:webHidden/>
              </w:rPr>
              <w:t>25</w:t>
            </w:r>
            <w:r w:rsidR="00A826DD">
              <w:rPr>
                <w:noProof/>
                <w:webHidden/>
              </w:rPr>
              <w:fldChar w:fldCharType="end"/>
            </w:r>
          </w:hyperlink>
        </w:p>
        <w:p w14:paraId="58CCDB05" w14:textId="44EFB5D8" w:rsidR="00A826DD" w:rsidRDefault="006055F5">
          <w:pPr>
            <w:pStyle w:val="TOC2"/>
            <w:rPr>
              <w:rFonts w:eastAsiaTheme="minorEastAsia"/>
              <w:noProof/>
              <w:kern w:val="2"/>
              <w:szCs w:val="24"/>
              <w:lang w:eastAsia="en-AU"/>
              <w14:ligatures w14:val="standardContextual"/>
            </w:rPr>
          </w:pPr>
          <w:hyperlink w:anchor="_Toc176435177" w:history="1">
            <w:r w:rsidR="00A826DD" w:rsidRPr="00FF55EB">
              <w:rPr>
                <w:rStyle w:val="Hyperlink"/>
                <w:noProof/>
              </w:rPr>
              <w:t>Research</w:t>
            </w:r>
            <w:r w:rsidR="00A826DD">
              <w:rPr>
                <w:noProof/>
                <w:webHidden/>
              </w:rPr>
              <w:tab/>
            </w:r>
            <w:r w:rsidR="00A826DD">
              <w:rPr>
                <w:noProof/>
                <w:webHidden/>
              </w:rPr>
              <w:fldChar w:fldCharType="begin"/>
            </w:r>
            <w:r w:rsidR="00A826DD">
              <w:rPr>
                <w:noProof/>
                <w:webHidden/>
              </w:rPr>
              <w:instrText xml:space="preserve"> PAGEREF _Toc176435177 \h </w:instrText>
            </w:r>
            <w:r w:rsidR="00A826DD">
              <w:rPr>
                <w:noProof/>
                <w:webHidden/>
              </w:rPr>
            </w:r>
            <w:r w:rsidR="00A826DD">
              <w:rPr>
                <w:noProof/>
                <w:webHidden/>
              </w:rPr>
              <w:fldChar w:fldCharType="separate"/>
            </w:r>
            <w:r w:rsidR="00985CD2">
              <w:rPr>
                <w:noProof/>
                <w:webHidden/>
              </w:rPr>
              <w:t>26</w:t>
            </w:r>
            <w:r w:rsidR="00A826DD">
              <w:rPr>
                <w:noProof/>
                <w:webHidden/>
              </w:rPr>
              <w:fldChar w:fldCharType="end"/>
            </w:r>
          </w:hyperlink>
        </w:p>
        <w:p w14:paraId="45FB34A5" w14:textId="2D67CAD4" w:rsidR="00A826DD" w:rsidRDefault="006055F5">
          <w:pPr>
            <w:pStyle w:val="TOC3"/>
            <w:rPr>
              <w:rFonts w:eastAsiaTheme="minorEastAsia"/>
              <w:noProof/>
              <w:kern w:val="2"/>
              <w:szCs w:val="24"/>
              <w:lang w:eastAsia="en-AU"/>
              <w14:ligatures w14:val="standardContextual"/>
            </w:rPr>
          </w:pPr>
          <w:hyperlink w:anchor="_Toc176435178" w:history="1">
            <w:r w:rsidR="00A826DD" w:rsidRPr="00FF55EB">
              <w:rPr>
                <w:rStyle w:val="Hyperlink"/>
                <w:noProof/>
              </w:rPr>
              <w:t>Fishery Independent Stock Surveys</w:t>
            </w:r>
            <w:r w:rsidR="00A826DD">
              <w:rPr>
                <w:noProof/>
                <w:webHidden/>
              </w:rPr>
              <w:tab/>
            </w:r>
            <w:r w:rsidR="00A826DD">
              <w:rPr>
                <w:noProof/>
                <w:webHidden/>
              </w:rPr>
              <w:fldChar w:fldCharType="begin"/>
            </w:r>
            <w:r w:rsidR="00A826DD">
              <w:rPr>
                <w:noProof/>
                <w:webHidden/>
              </w:rPr>
              <w:instrText xml:space="preserve"> PAGEREF _Toc176435178 \h </w:instrText>
            </w:r>
            <w:r w:rsidR="00A826DD">
              <w:rPr>
                <w:noProof/>
                <w:webHidden/>
              </w:rPr>
            </w:r>
            <w:r w:rsidR="00A826DD">
              <w:rPr>
                <w:noProof/>
                <w:webHidden/>
              </w:rPr>
              <w:fldChar w:fldCharType="separate"/>
            </w:r>
            <w:r w:rsidR="00985CD2">
              <w:rPr>
                <w:noProof/>
                <w:webHidden/>
              </w:rPr>
              <w:t>26</w:t>
            </w:r>
            <w:r w:rsidR="00A826DD">
              <w:rPr>
                <w:noProof/>
                <w:webHidden/>
              </w:rPr>
              <w:fldChar w:fldCharType="end"/>
            </w:r>
          </w:hyperlink>
        </w:p>
        <w:p w14:paraId="511F7203" w14:textId="27F46ABC" w:rsidR="00A826DD" w:rsidRDefault="006055F5">
          <w:pPr>
            <w:pStyle w:val="TOC2"/>
            <w:rPr>
              <w:rFonts w:eastAsiaTheme="minorEastAsia"/>
              <w:noProof/>
              <w:kern w:val="2"/>
              <w:szCs w:val="24"/>
              <w:lang w:eastAsia="en-AU"/>
              <w14:ligatures w14:val="standardContextual"/>
            </w:rPr>
          </w:pPr>
          <w:hyperlink w:anchor="_Toc176435179" w:history="1">
            <w:r w:rsidR="00A826DD" w:rsidRPr="00FF55EB">
              <w:rPr>
                <w:rStyle w:val="Hyperlink"/>
                <w:noProof/>
              </w:rPr>
              <w:t>References</w:t>
            </w:r>
            <w:r w:rsidR="00A826DD">
              <w:rPr>
                <w:noProof/>
                <w:webHidden/>
              </w:rPr>
              <w:tab/>
            </w:r>
            <w:r w:rsidR="00A826DD">
              <w:rPr>
                <w:noProof/>
                <w:webHidden/>
              </w:rPr>
              <w:fldChar w:fldCharType="begin"/>
            </w:r>
            <w:r w:rsidR="00A826DD">
              <w:rPr>
                <w:noProof/>
                <w:webHidden/>
              </w:rPr>
              <w:instrText xml:space="preserve"> PAGEREF _Toc176435179 \h </w:instrText>
            </w:r>
            <w:r w:rsidR="00A826DD">
              <w:rPr>
                <w:noProof/>
                <w:webHidden/>
              </w:rPr>
            </w:r>
            <w:r w:rsidR="00A826DD">
              <w:rPr>
                <w:noProof/>
                <w:webHidden/>
              </w:rPr>
              <w:fldChar w:fldCharType="separate"/>
            </w:r>
            <w:r w:rsidR="00985CD2">
              <w:rPr>
                <w:noProof/>
                <w:webHidden/>
              </w:rPr>
              <w:t>28</w:t>
            </w:r>
            <w:r w:rsidR="00A826DD">
              <w:rPr>
                <w:noProof/>
                <w:webHidden/>
              </w:rPr>
              <w:fldChar w:fldCharType="end"/>
            </w:r>
          </w:hyperlink>
        </w:p>
        <w:p w14:paraId="3E65AF49" w14:textId="794DC7A3" w:rsidR="00A826DD" w:rsidRDefault="006055F5">
          <w:pPr>
            <w:pStyle w:val="TOC2"/>
            <w:rPr>
              <w:rFonts w:eastAsiaTheme="minorEastAsia"/>
              <w:noProof/>
              <w:kern w:val="2"/>
              <w:szCs w:val="24"/>
              <w:lang w:eastAsia="en-AU"/>
              <w14:ligatures w14:val="standardContextual"/>
            </w:rPr>
          </w:pPr>
          <w:hyperlink w:anchor="_Toc176435180" w:history="1">
            <w:r w:rsidR="00A826DD" w:rsidRPr="00FF55EB">
              <w:rPr>
                <w:rStyle w:val="Hyperlink"/>
                <w:noProof/>
              </w:rPr>
              <w:t>Important Disclaimer</w:t>
            </w:r>
            <w:r w:rsidR="00A826DD">
              <w:rPr>
                <w:noProof/>
                <w:webHidden/>
              </w:rPr>
              <w:tab/>
            </w:r>
            <w:r w:rsidR="00A826DD">
              <w:rPr>
                <w:noProof/>
                <w:webHidden/>
              </w:rPr>
              <w:fldChar w:fldCharType="begin"/>
            </w:r>
            <w:r w:rsidR="00A826DD">
              <w:rPr>
                <w:noProof/>
                <w:webHidden/>
              </w:rPr>
              <w:instrText xml:space="preserve"> PAGEREF _Toc176435180 \h </w:instrText>
            </w:r>
            <w:r w:rsidR="00A826DD">
              <w:rPr>
                <w:noProof/>
                <w:webHidden/>
              </w:rPr>
            </w:r>
            <w:r w:rsidR="00A826DD">
              <w:rPr>
                <w:noProof/>
                <w:webHidden/>
              </w:rPr>
              <w:fldChar w:fldCharType="separate"/>
            </w:r>
            <w:r w:rsidR="00985CD2">
              <w:rPr>
                <w:noProof/>
                <w:webHidden/>
              </w:rPr>
              <w:t>29</w:t>
            </w:r>
            <w:r w:rsidR="00A826DD">
              <w:rPr>
                <w:noProof/>
                <w:webHidden/>
              </w:rPr>
              <w:fldChar w:fldCharType="end"/>
            </w:r>
          </w:hyperlink>
        </w:p>
        <w:p w14:paraId="2B6F7BE1" w14:textId="24BECA4A" w:rsidR="00A826DD" w:rsidRDefault="00A826DD">
          <w:r>
            <w:rPr>
              <w:b/>
              <w:bCs/>
              <w:noProof/>
            </w:rPr>
            <w:fldChar w:fldCharType="end"/>
          </w:r>
        </w:p>
      </w:sdtContent>
    </w:sdt>
    <w:p w14:paraId="37A06337" w14:textId="5EF4218C" w:rsidR="002C07DC" w:rsidRDefault="002C07DC" w:rsidP="002C07DC">
      <w:pPr>
        <w:pStyle w:val="Heading1"/>
      </w:pPr>
      <w:bookmarkStart w:id="2" w:name="_Toc176435147"/>
      <w:r>
        <w:lastRenderedPageBreak/>
        <w:t>Acronyms</w:t>
      </w:r>
      <w:bookmarkEnd w:id="2"/>
    </w:p>
    <w:p w14:paraId="27806DF4" w14:textId="77777777" w:rsidR="000E34A8" w:rsidRDefault="000E34A8" w:rsidP="006F7A33">
      <w:pPr>
        <w:spacing w:after="100"/>
      </w:pPr>
      <w:r>
        <w:t>AMF</w:t>
      </w:r>
      <w:r>
        <w:tab/>
      </w:r>
      <w:r>
        <w:tab/>
      </w:r>
      <w:r>
        <w:tab/>
        <w:t>Abalone Managed Fishery</w:t>
      </w:r>
    </w:p>
    <w:p w14:paraId="05070236" w14:textId="77777777" w:rsidR="000E34A8" w:rsidRPr="002560CB" w:rsidRDefault="000E34A8" w:rsidP="006F7A33">
      <w:pPr>
        <w:spacing w:after="100"/>
        <w:rPr>
          <w:i/>
          <w:iCs/>
        </w:rPr>
      </w:pPr>
      <w:r w:rsidRPr="002560CB">
        <w:t>BCA</w:t>
      </w:r>
      <w:r w:rsidRPr="002560CB">
        <w:tab/>
      </w:r>
      <w:r w:rsidRPr="002560CB">
        <w:tab/>
      </w:r>
      <w:r w:rsidRPr="002560CB">
        <w:tab/>
      </w:r>
      <w:r w:rsidRPr="002560CB">
        <w:rPr>
          <w:i/>
          <w:iCs/>
        </w:rPr>
        <w:t>Biodiversity Conservation Act 2016</w:t>
      </w:r>
    </w:p>
    <w:p w14:paraId="78EC798D" w14:textId="77777777" w:rsidR="000E34A8" w:rsidRPr="00143580" w:rsidRDefault="000E34A8" w:rsidP="006F7A33">
      <w:pPr>
        <w:spacing w:after="100"/>
      </w:pPr>
      <w:r w:rsidRPr="00143580">
        <w:t>CDR</w:t>
      </w:r>
      <w:r w:rsidRPr="00143580">
        <w:tab/>
      </w:r>
      <w:r w:rsidRPr="00143580">
        <w:tab/>
      </w:r>
      <w:r w:rsidRPr="00143580">
        <w:tab/>
        <w:t>Catch disposal record</w:t>
      </w:r>
    </w:p>
    <w:p w14:paraId="23000F4F" w14:textId="77777777" w:rsidR="000E34A8" w:rsidRDefault="000E34A8" w:rsidP="006F7A33">
      <w:pPr>
        <w:spacing w:after="100"/>
      </w:pPr>
      <w:r w:rsidRPr="00143580">
        <w:t>DBCA</w:t>
      </w:r>
      <w:r w:rsidRPr="00143580">
        <w:tab/>
      </w:r>
      <w:r w:rsidRPr="00143580">
        <w:tab/>
      </w:r>
      <w:r w:rsidRPr="00143580">
        <w:tab/>
        <w:t>Department of Biodiversity, Conservation and Attractions</w:t>
      </w:r>
    </w:p>
    <w:p w14:paraId="5458118E" w14:textId="77777777" w:rsidR="000E34A8" w:rsidRDefault="000E34A8" w:rsidP="006F7A33">
      <w:pPr>
        <w:spacing w:after="100"/>
      </w:pPr>
      <w:r>
        <w:t>DCCEEW</w:t>
      </w:r>
      <w:r>
        <w:tab/>
      </w:r>
      <w:r>
        <w:tab/>
        <w:t>Department of Climate Change, Energy the Environment and Water</w:t>
      </w:r>
    </w:p>
    <w:p w14:paraId="51A655D8" w14:textId="77777777" w:rsidR="000E34A8" w:rsidRDefault="000E34A8" w:rsidP="006F7A33">
      <w:pPr>
        <w:spacing w:after="100"/>
      </w:pPr>
      <w:r>
        <w:t>DPIRD</w:t>
      </w:r>
      <w:r>
        <w:tab/>
      </w:r>
      <w:r>
        <w:tab/>
        <w:t>Department of Primary Industries and Regional Development</w:t>
      </w:r>
    </w:p>
    <w:p w14:paraId="75381077" w14:textId="77777777" w:rsidR="000E34A8" w:rsidRPr="00143580" w:rsidRDefault="000E34A8" w:rsidP="006F7A33">
      <w:pPr>
        <w:spacing w:after="100"/>
      </w:pPr>
      <w:r w:rsidRPr="00143580">
        <w:t>EBFM</w:t>
      </w:r>
      <w:r w:rsidRPr="00143580">
        <w:tab/>
      </w:r>
      <w:r w:rsidRPr="00143580">
        <w:tab/>
      </w:r>
      <w:r w:rsidRPr="00143580">
        <w:tab/>
        <w:t>Ecosystem-based fisheries management</w:t>
      </w:r>
    </w:p>
    <w:p w14:paraId="02DC8CA3" w14:textId="77777777" w:rsidR="000E34A8" w:rsidRDefault="000E34A8" w:rsidP="006F7A33">
      <w:pPr>
        <w:spacing w:after="100"/>
      </w:pPr>
      <w:r>
        <w:t>EPBC Act</w:t>
      </w:r>
      <w:r>
        <w:tab/>
      </w:r>
      <w:r>
        <w:tab/>
      </w:r>
      <w:r>
        <w:rPr>
          <w:i/>
          <w:iCs/>
        </w:rPr>
        <w:t>Environment Protection and Biodiversity Conservation Act 1999</w:t>
      </w:r>
    </w:p>
    <w:p w14:paraId="620BEFCD" w14:textId="77777777" w:rsidR="000E34A8" w:rsidRPr="00143580" w:rsidRDefault="000E34A8" w:rsidP="006F7A33">
      <w:pPr>
        <w:spacing w:after="100"/>
      </w:pPr>
      <w:r w:rsidRPr="00143580">
        <w:t>ERA</w:t>
      </w:r>
      <w:r w:rsidRPr="00143580">
        <w:tab/>
      </w:r>
      <w:r w:rsidRPr="00143580">
        <w:tab/>
      </w:r>
      <w:r w:rsidRPr="00143580">
        <w:tab/>
        <w:t>Ecological risk assessment</w:t>
      </w:r>
    </w:p>
    <w:p w14:paraId="7EFB7A37" w14:textId="77777777" w:rsidR="000E34A8" w:rsidRPr="00143580" w:rsidRDefault="000E34A8" w:rsidP="006F7A33">
      <w:pPr>
        <w:spacing w:after="100"/>
      </w:pPr>
      <w:r w:rsidRPr="00143580">
        <w:t>ESD</w:t>
      </w:r>
      <w:r w:rsidRPr="00143580">
        <w:tab/>
      </w:r>
      <w:r w:rsidRPr="00143580">
        <w:tab/>
      </w:r>
      <w:r w:rsidRPr="00143580">
        <w:tab/>
        <w:t>Ecologically sustainable development</w:t>
      </w:r>
    </w:p>
    <w:p w14:paraId="108C92A9" w14:textId="77777777" w:rsidR="000E34A8" w:rsidRPr="002560CB" w:rsidRDefault="000E34A8" w:rsidP="006F7A33">
      <w:pPr>
        <w:spacing w:after="100"/>
      </w:pPr>
      <w:r w:rsidRPr="002560CB">
        <w:t>ETP species</w:t>
      </w:r>
      <w:r w:rsidRPr="002560CB">
        <w:tab/>
      </w:r>
      <w:r w:rsidRPr="002560CB">
        <w:tab/>
        <w:t>Endangered, threatened and protected species</w:t>
      </w:r>
    </w:p>
    <w:p w14:paraId="7BE3087A" w14:textId="77777777" w:rsidR="000E34A8" w:rsidRPr="002560CB" w:rsidRDefault="000E34A8" w:rsidP="006F7A33">
      <w:pPr>
        <w:spacing w:after="100"/>
        <w:rPr>
          <w:i/>
          <w:iCs/>
        </w:rPr>
      </w:pPr>
      <w:r w:rsidRPr="002560CB">
        <w:t>FRMA</w:t>
      </w:r>
      <w:r w:rsidRPr="002560CB">
        <w:tab/>
      </w:r>
      <w:r w:rsidRPr="002560CB">
        <w:tab/>
      </w:r>
      <w:r w:rsidRPr="002560CB">
        <w:tab/>
      </w:r>
      <w:r w:rsidRPr="002560CB">
        <w:rPr>
          <w:i/>
          <w:iCs/>
        </w:rPr>
        <w:t>Fish Resources Management Act 1994</w:t>
      </w:r>
    </w:p>
    <w:p w14:paraId="4FC91B2B" w14:textId="77777777" w:rsidR="000E34A8" w:rsidRPr="002560CB" w:rsidRDefault="000E34A8" w:rsidP="006F7A33">
      <w:pPr>
        <w:spacing w:after="100"/>
        <w:rPr>
          <w:i/>
          <w:iCs/>
        </w:rPr>
      </w:pPr>
      <w:r w:rsidRPr="002560CB">
        <w:t>FRMR</w:t>
      </w:r>
      <w:r w:rsidRPr="002560CB">
        <w:tab/>
      </w:r>
      <w:r w:rsidRPr="002560CB">
        <w:tab/>
      </w:r>
      <w:r w:rsidRPr="002560CB">
        <w:tab/>
      </w:r>
      <w:r w:rsidRPr="002560CB">
        <w:rPr>
          <w:i/>
          <w:iCs/>
        </w:rPr>
        <w:t>Fish Resources Management Regulations 1995</w:t>
      </w:r>
    </w:p>
    <w:p w14:paraId="71241B5B" w14:textId="77777777" w:rsidR="000E34A8" w:rsidRPr="002560CB" w:rsidRDefault="000E34A8" w:rsidP="006F7A33">
      <w:pPr>
        <w:spacing w:after="100"/>
      </w:pPr>
      <w:r w:rsidRPr="002560CB">
        <w:t>GVP</w:t>
      </w:r>
      <w:r w:rsidRPr="002560CB">
        <w:tab/>
      </w:r>
      <w:r w:rsidRPr="002560CB">
        <w:tab/>
      </w:r>
      <w:r w:rsidRPr="002560CB">
        <w:tab/>
        <w:t>Gross value product</w:t>
      </w:r>
    </w:p>
    <w:p w14:paraId="113A70FE" w14:textId="77777777" w:rsidR="000E34A8" w:rsidRDefault="000E34A8" w:rsidP="006F7A33">
      <w:pPr>
        <w:spacing w:after="100"/>
      </w:pPr>
      <w:r>
        <w:t>HS</w:t>
      </w:r>
      <w:r>
        <w:tab/>
      </w:r>
      <w:r>
        <w:tab/>
      </w:r>
      <w:r>
        <w:tab/>
        <w:t xml:space="preserve">Harvest Strategy </w:t>
      </w:r>
    </w:p>
    <w:p w14:paraId="0A0D685D" w14:textId="77777777" w:rsidR="000E34A8" w:rsidRPr="002560CB" w:rsidRDefault="000E34A8" w:rsidP="006F7A33">
      <w:pPr>
        <w:spacing w:after="100"/>
      </w:pPr>
      <w:r w:rsidRPr="002560CB">
        <w:t>ITQ</w:t>
      </w:r>
      <w:r w:rsidRPr="002560CB">
        <w:tab/>
      </w:r>
      <w:r w:rsidRPr="002560CB">
        <w:tab/>
      </w:r>
      <w:r w:rsidRPr="002560CB">
        <w:tab/>
        <w:t>Individual transferable quota</w:t>
      </w:r>
    </w:p>
    <w:p w14:paraId="3F697214" w14:textId="77777777" w:rsidR="000E34A8" w:rsidRDefault="000E34A8" w:rsidP="006F7A33">
      <w:pPr>
        <w:spacing w:after="100"/>
      </w:pPr>
      <w:r>
        <w:t xml:space="preserve">LENS </w:t>
      </w:r>
      <w:r>
        <w:tab/>
      </w:r>
      <w:r>
        <w:tab/>
      </w:r>
      <w:r>
        <w:tab/>
      </w:r>
      <w:bookmarkStart w:id="3" w:name="_Hlk174364329"/>
      <w:r>
        <w:t>List of Exempt Native Specimens</w:t>
      </w:r>
      <w:bookmarkEnd w:id="3"/>
    </w:p>
    <w:p w14:paraId="4B4A4F3E" w14:textId="77777777" w:rsidR="000E34A8" w:rsidRPr="00143580" w:rsidRDefault="000E34A8" w:rsidP="006F7A33">
      <w:pPr>
        <w:spacing w:after="100"/>
      </w:pPr>
      <w:r>
        <w:t>MFL</w:t>
      </w:r>
      <w:r>
        <w:tab/>
      </w:r>
      <w:r>
        <w:tab/>
      </w:r>
      <w:r>
        <w:tab/>
        <w:t xml:space="preserve">Managed Fishery Licence </w:t>
      </w:r>
    </w:p>
    <w:p w14:paraId="7CCEDF87" w14:textId="77777777" w:rsidR="000E34A8" w:rsidRDefault="000E34A8" w:rsidP="006F7A33">
      <w:pPr>
        <w:spacing w:after="100"/>
      </w:pPr>
      <w:r>
        <w:t>MSC</w:t>
      </w:r>
      <w:r>
        <w:tab/>
      </w:r>
      <w:r>
        <w:tab/>
      </w:r>
      <w:r>
        <w:tab/>
        <w:t xml:space="preserve">Marine Stewardship Council </w:t>
      </w:r>
    </w:p>
    <w:p w14:paraId="27622E5D" w14:textId="77777777" w:rsidR="000E34A8" w:rsidRDefault="000E34A8" w:rsidP="006F7A33">
      <w:pPr>
        <w:spacing w:after="100"/>
      </w:pPr>
      <w:r>
        <w:t>MSY</w:t>
      </w:r>
      <w:r>
        <w:tab/>
      </w:r>
      <w:r>
        <w:tab/>
      </w:r>
      <w:r>
        <w:tab/>
        <w:t xml:space="preserve">Maximum Sustainable Yield </w:t>
      </w:r>
    </w:p>
    <w:p w14:paraId="7C99640C" w14:textId="77777777" w:rsidR="000E34A8" w:rsidRDefault="000E34A8" w:rsidP="006F7A33">
      <w:pPr>
        <w:spacing w:after="100"/>
      </w:pPr>
      <w:r>
        <w:t>PI</w:t>
      </w:r>
      <w:r>
        <w:tab/>
      </w:r>
      <w:r>
        <w:tab/>
      </w:r>
      <w:r>
        <w:tab/>
        <w:t>Performance Indicator</w:t>
      </w:r>
    </w:p>
    <w:p w14:paraId="23A01E64" w14:textId="77777777" w:rsidR="000E34A8" w:rsidRDefault="000E34A8" w:rsidP="006F7A33">
      <w:pPr>
        <w:spacing w:after="100"/>
      </w:pPr>
      <w:r>
        <w:t>RAF</w:t>
      </w:r>
      <w:r>
        <w:tab/>
      </w:r>
      <w:r>
        <w:tab/>
      </w:r>
      <w:r>
        <w:tab/>
        <w:t xml:space="preserve">Recreational Abalone Fishery </w:t>
      </w:r>
    </w:p>
    <w:p w14:paraId="50BAA9E2" w14:textId="77777777" w:rsidR="000E34A8" w:rsidRDefault="000E34A8" w:rsidP="006F7A33">
      <w:pPr>
        <w:spacing w:after="100"/>
      </w:pPr>
      <w:r>
        <w:t>RL</w:t>
      </w:r>
      <w:r>
        <w:tab/>
      </w:r>
      <w:r>
        <w:tab/>
      </w:r>
      <w:r>
        <w:tab/>
        <w:t xml:space="preserve">Reference Level (s) </w:t>
      </w:r>
    </w:p>
    <w:p w14:paraId="24142EDA" w14:textId="77777777" w:rsidR="000E34A8" w:rsidRDefault="000E34A8" w:rsidP="006F7A33">
      <w:pPr>
        <w:spacing w:after="100"/>
      </w:pPr>
      <w:r>
        <w:t xml:space="preserve">RS </w:t>
      </w:r>
      <w:r>
        <w:tab/>
      </w:r>
      <w:r>
        <w:tab/>
      </w:r>
      <w:r>
        <w:tab/>
        <w:t xml:space="preserve">Recovery Strategy </w:t>
      </w:r>
    </w:p>
    <w:p w14:paraId="35561C51" w14:textId="77777777" w:rsidR="000E34A8" w:rsidRPr="002560CB" w:rsidRDefault="000E34A8" w:rsidP="006F7A33">
      <w:pPr>
        <w:spacing w:after="100"/>
      </w:pPr>
      <w:r w:rsidRPr="002560CB">
        <w:t>SCPUE</w:t>
      </w:r>
      <w:r w:rsidRPr="002560CB">
        <w:tab/>
      </w:r>
      <w:r w:rsidRPr="002560CB">
        <w:tab/>
        <w:t>Standardised</w:t>
      </w:r>
      <w:r w:rsidRPr="002560CB">
        <w:tab/>
        <w:t>Catch per unit effort</w:t>
      </w:r>
    </w:p>
    <w:p w14:paraId="43890EF7" w14:textId="77777777" w:rsidR="000E34A8" w:rsidRPr="002560CB" w:rsidRDefault="000E34A8" w:rsidP="006F7A33">
      <w:pPr>
        <w:spacing w:after="100"/>
      </w:pPr>
      <w:r>
        <w:t>SHL</w:t>
      </w:r>
      <w:r>
        <w:tab/>
      </w:r>
      <w:r>
        <w:tab/>
      </w:r>
      <w:r>
        <w:tab/>
        <w:t xml:space="preserve">Sustainable Harvest Level </w:t>
      </w:r>
    </w:p>
    <w:p w14:paraId="7C0FF4C4" w14:textId="77777777" w:rsidR="000E34A8" w:rsidRPr="002560CB" w:rsidRDefault="000E34A8" w:rsidP="006F7A33">
      <w:pPr>
        <w:spacing w:after="100"/>
      </w:pPr>
      <w:r w:rsidRPr="002560CB">
        <w:t>SRFAR</w:t>
      </w:r>
      <w:r w:rsidRPr="002560CB">
        <w:tab/>
      </w:r>
      <w:r w:rsidRPr="002560CB">
        <w:tab/>
        <w:t>Status Reports of the Fisheries and Aquatic Resources of WA</w:t>
      </w:r>
    </w:p>
    <w:p w14:paraId="0B2DF7A5" w14:textId="77777777" w:rsidR="000E34A8" w:rsidRDefault="000E34A8" w:rsidP="006F7A33">
      <w:pPr>
        <w:spacing w:after="100"/>
      </w:pPr>
      <w:r>
        <w:t>SST</w:t>
      </w:r>
      <w:r>
        <w:tab/>
      </w:r>
      <w:r>
        <w:tab/>
      </w:r>
      <w:r>
        <w:tab/>
        <w:t>Sea Surface Temperature</w:t>
      </w:r>
    </w:p>
    <w:p w14:paraId="7D8232E7" w14:textId="77777777" w:rsidR="000E34A8" w:rsidRPr="002560CB" w:rsidRDefault="000E34A8" w:rsidP="006F7A33">
      <w:pPr>
        <w:spacing w:after="100"/>
      </w:pPr>
      <w:r w:rsidRPr="002560CB">
        <w:t>TACC</w:t>
      </w:r>
      <w:r w:rsidRPr="002560CB">
        <w:tab/>
      </w:r>
      <w:r w:rsidRPr="002560CB">
        <w:tab/>
      </w:r>
      <w:r w:rsidRPr="002560CB">
        <w:tab/>
        <w:t>Total allowable commercial catch</w:t>
      </w:r>
    </w:p>
    <w:p w14:paraId="06E7D071" w14:textId="77777777" w:rsidR="000E34A8" w:rsidRDefault="000E34A8" w:rsidP="006F7A33">
      <w:pPr>
        <w:spacing w:after="100"/>
      </w:pPr>
      <w:r>
        <w:t>TARC</w:t>
      </w:r>
      <w:r>
        <w:tab/>
      </w:r>
      <w:r>
        <w:tab/>
      </w:r>
      <w:r>
        <w:tab/>
        <w:t xml:space="preserve">Total Allowable Recreational Catch </w:t>
      </w:r>
    </w:p>
    <w:p w14:paraId="063430BB" w14:textId="77777777" w:rsidR="000E34A8" w:rsidRPr="00143580" w:rsidRDefault="000E34A8" w:rsidP="006F7A33">
      <w:pPr>
        <w:spacing w:after="100"/>
      </w:pPr>
      <w:r w:rsidRPr="00143580">
        <w:t>VMS</w:t>
      </w:r>
      <w:r w:rsidRPr="00143580">
        <w:tab/>
      </w:r>
      <w:r w:rsidRPr="00143580">
        <w:tab/>
      </w:r>
      <w:r w:rsidRPr="00143580">
        <w:tab/>
        <w:t>Vessel monitoring system</w:t>
      </w:r>
    </w:p>
    <w:p w14:paraId="1B3E39D2" w14:textId="77777777" w:rsidR="000E34A8" w:rsidRDefault="000E34A8" w:rsidP="006F7A33">
      <w:pPr>
        <w:spacing w:after="100"/>
      </w:pPr>
      <w:r>
        <w:t>WA</w:t>
      </w:r>
      <w:r>
        <w:tab/>
      </w:r>
      <w:r>
        <w:tab/>
      </w:r>
      <w:r>
        <w:tab/>
        <w:t>Western Australia</w:t>
      </w:r>
    </w:p>
    <w:p w14:paraId="3D3CF67F" w14:textId="77777777" w:rsidR="000E34A8" w:rsidRPr="002560CB" w:rsidRDefault="000E34A8" w:rsidP="006F7A33">
      <w:pPr>
        <w:spacing w:after="100"/>
      </w:pPr>
      <w:r w:rsidRPr="002560CB">
        <w:t>WAFIC</w:t>
      </w:r>
      <w:r w:rsidRPr="002560CB">
        <w:tab/>
      </w:r>
      <w:r w:rsidRPr="002560CB">
        <w:tab/>
        <w:t>Western Australian Fishing Industry Council</w:t>
      </w:r>
    </w:p>
    <w:p w14:paraId="5E217D70" w14:textId="643722B6" w:rsidR="000E34A8" w:rsidRDefault="000E34A8" w:rsidP="006F7A33">
      <w:pPr>
        <w:spacing w:after="100"/>
      </w:pPr>
      <w:r w:rsidRPr="002560CB">
        <w:t>WCB</w:t>
      </w:r>
      <w:r w:rsidRPr="002560CB">
        <w:tab/>
      </w:r>
      <w:r w:rsidRPr="002560CB">
        <w:tab/>
      </w:r>
      <w:r w:rsidRPr="002560CB">
        <w:tab/>
        <w:t>West Coast Bioregio</w:t>
      </w:r>
      <w:r w:rsidR="006F7A33">
        <w:t>n</w:t>
      </w:r>
    </w:p>
    <w:p w14:paraId="40D329D3" w14:textId="0CF0B102" w:rsidR="001120EC" w:rsidRDefault="001120EC" w:rsidP="00FB3B30"/>
    <w:p w14:paraId="5E790432" w14:textId="040B082C" w:rsidR="007D1005" w:rsidRDefault="007D1005" w:rsidP="005356F5">
      <w:pPr>
        <w:pStyle w:val="Heading1"/>
      </w:pPr>
      <w:bookmarkStart w:id="4" w:name="_Toc176435148"/>
      <w:r>
        <w:lastRenderedPageBreak/>
        <w:t>Introduction</w:t>
      </w:r>
      <w:bookmarkEnd w:id="4"/>
    </w:p>
    <w:p w14:paraId="213D8B2C" w14:textId="03B492CF" w:rsidR="007D1005" w:rsidRDefault="007D1005" w:rsidP="00CD2CEE">
      <w:r>
        <w:t xml:space="preserve">This submission meets the requirements for the assessment of the Western Australian (WA) </w:t>
      </w:r>
      <w:r w:rsidR="001120EC">
        <w:t>Abalone</w:t>
      </w:r>
      <w:r>
        <w:t xml:space="preserve"> Managed Fishery (</w:t>
      </w:r>
      <w:r w:rsidR="001120EC">
        <w:t>A</w:t>
      </w:r>
      <w:r>
        <w:t xml:space="preserve">MF) under the </w:t>
      </w:r>
      <w:r w:rsidRPr="00696BDE">
        <w:rPr>
          <w:i/>
        </w:rPr>
        <w:t>Environment Protection and Biodiversity Conservation Act 1999</w:t>
      </w:r>
      <w:r>
        <w:t xml:space="preserve"> (EPBC Act).</w:t>
      </w:r>
    </w:p>
    <w:p w14:paraId="726618F7" w14:textId="284A477C" w:rsidR="007D1005" w:rsidRPr="00874E93" w:rsidRDefault="007D1005" w:rsidP="00CD2CEE">
      <w:r>
        <w:t xml:space="preserve">This submission has been produced by the Department of Primary Industries and Regional Development (DPIRD) to </w:t>
      </w:r>
      <w:r w:rsidRPr="002E3BCE">
        <w:t xml:space="preserve">enable the </w:t>
      </w:r>
      <w:r w:rsidRPr="00E639BF">
        <w:t>Department of Climate Change, Energy, the Environment and Water</w:t>
      </w:r>
      <w:r>
        <w:t xml:space="preserve"> (DCCEEW)</w:t>
      </w:r>
      <w:r w:rsidRPr="00E639BF">
        <w:t xml:space="preserve"> </w:t>
      </w:r>
      <w:r w:rsidRPr="002E3BCE">
        <w:t>to assess the</w:t>
      </w:r>
      <w:r>
        <w:t xml:space="preserve"> </w:t>
      </w:r>
      <w:r w:rsidR="00016213">
        <w:t>A</w:t>
      </w:r>
      <w:r>
        <w:t xml:space="preserve">MF </w:t>
      </w:r>
      <w:r w:rsidRPr="002E3BCE">
        <w:t>management</w:t>
      </w:r>
      <w:r>
        <w:t xml:space="preserve"> </w:t>
      </w:r>
      <w:r w:rsidRPr="002E3BCE">
        <w:t xml:space="preserve">arrangements </w:t>
      </w:r>
      <w:r>
        <w:t xml:space="preserve">against the </w:t>
      </w:r>
      <w:r w:rsidRPr="00B02C5C">
        <w:rPr>
          <w:i/>
          <w:iCs/>
        </w:rPr>
        <w:t>Guidelines for the Ecologically Sustainable Management of Fisheries – 2nd Edition</w:t>
      </w:r>
      <w:r w:rsidRPr="00B02C5C">
        <w:t xml:space="preserve"> </w:t>
      </w:r>
      <w:r w:rsidRPr="00874E93">
        <w:t>and the requirements set out in relevant sections of the EPBC Act.</w:t>
      </w:r>
    </w:p>
    <w:p w14:paraId="3DC4D60B" w14:textId="5618BE46" w:rsidR="007D1005" w:rsidRDefault="007D1005" w:rsidP="005356F5">
      <w:pPr>
        <w:pStyle w:val="Heading1"/>
      </w:pPr>
      <w:bookmarkStart w:id="5" w:name="_Toc176435149"/>
      <w:r>
        <w:lastRenderedPageBreak/>
        <w:t>The Fishery</w:t>
      </w:r>
      <w:bookmarkEnd w:id="5"/>
      <w:r>
        <w:t xml:space="preserve"> </w:t>
      </w:r>
    </w:p>
    <w:p w14:paraId="670E9137" w14:textId="77777777" w:rsidR="008E268C" w:rsidRDefault="007D1005" w:rsidP="005356F5">
      <w:pPr>
        <w:pStyle w:val="Heading2"/>
      </w:pPr>
      <w:bookmarkStart w:id="6" w:name="_Toc176435150"/>
      <w:r>
        <w:t>Description of the fishery</w:t>
      </w:r>
      <w:bookmarkEnd w:id="6"/>
    </w:p>
    <w:p w14:paraId="5E61976A" w14:textId="3CFF7CBC" w:rsidR="00FE19C5" w:rsidRDefault="00127A14" w:rsidP="00CD2CEE">
      <w:r w:rsidRPr="00127A14">
        <w:t xml:space="preserve">The WA abalone resource </w:t>
      </w:r>
      <w:r w:rsidR="00C1729E">
        <w:t xml:space="preserve">(resource) </w:t>
      </w:r>
      <w:r w:rsidRPr="00127A14">
        <w:t>consists of three species: Roe's abalone (</w:t>
      </w:r>
      <w:proofErr w:type="spellStart"/>
      <w:r w:rsidRPr="00E27A5F">
        <w:rPr>
          <w:i/>
          <w:iCs/>
        </w:rPr>
        <w:t>Haliotis</w:t>
      </w:r>
      <w:proofErr w:type="spellEnd"/>
      <w:r w:rsidRPr="00E27A5F">
        <w:rPr>
          <w:i/>
          <w:iCs/>
        </w:rPr>
        <w:t xml:space="preserve"> </w:t>
      </w:r>
      <w:proofErr w:type="spellStart"/>
      <w:r w:rsidRPr="00E27A5F">
        <w:rPr>
          <w:i/>
          <w:iCs/>
        </w:rPr>
        <w:t>roei</w:t>
      </w:r>
      <w:proofErr w:type="spellEnd"/>
      <w:r w:rsidRPr="00127A14">
        <w:t xml:space="preserve">), </w:t>
      </w:r>
      <w:proofErr w:type="spellStart"/>
      <w:r w:rsidRPr="00127A14">
        <w:t>Greenlip</w:t>
      </w:r>
      <w:proofErr w:type="spellEnd"/>
      <w:r w:rsidRPr="00127A14">
        <w:t xml:space="preserve"> abalone (</w:t>
      </w:r>
      <w:r w:rsidRPr="00E27A5F">
        <w:rPr>
          <w:i/>
          <w:iCs/>
        </w:rPr>
        <w:t>H. laevigata</w:t>
      </w:r>
      <w:r w:rsidRPr="00127A14">
        <w:t>) and Brownlip abalone (</w:t>
      </w:r>
      <w:r w:rsidRPr="00E27A5F">
        <w:rPr>
          <w:i/>
          <w:iCs/>
        </w:rPr>
        <w:t xml:space="preserve">H. </w:t>
      </w:r>
      <w:proofErr w:type="spellStart"/>
      <w:r w:rsidRPr="00E27A5F">
        <w:rPr>
          <w:i/>
          <w:iCs/>
        </w:rPr>
        <w:t>conicopora</w:t>
      </w:r>
      <w:proofErr w:type="spellEnd"/>
      <w:r w:rsidRPr="00127A14">
        <w:t xml:space="preserve">). </w:t>
      </w:r>
    </w:p>
    <w:p w14:paraId="53AA0A6C" w14:textId="4D1E2A25" w:rsidR="0047067C" w:rsidRDefault="0047067C" w:rsidP="00CD2CEE">
      <w:r w:rsidRPr="0047067C">
        <w:t xml:space="preserve">All three species are currently approved for export under the </w:t>
      </w:r>
      <w:r w:rsidR="00A75189">
        <w:t>List of Exempt Native Specimens</w:t>
      </w:r>
      <w:r w:rsidR="00A75189" w:rsidRPr="0047067C">
        <w:t xml:space="preserve"> </w:t>
      </w:r>
      <w:r w:rsidR="00A75189">
        <w:t>(</w:t>
      </w:r>
      <w:r w:rsidRPr="0047067C">
        <w:t>LEN</w:t>
      </w:r>
      <w:r w:rsidR="00630AA2">
        <w:t>S</w:t>
      </w:r>
      <w:r w:rsidR="00A75189">
        <w:t>)</w:t>
      </w:r>
      <w:r w:rsidRPr="0047067C">
        <w:t xml:space="preserve"> exempt from export regulations.</w:t>
      </w:r>
    </w:p>
    <w:p w14:paraId="54DE4D80" w14:textId="341966A0" w:rsidR="00FE19C5" w:rsidRDefault="00A334C1" w:rsidP="00CD2CEE">
      <w:r w:rsidRPr="00127A14">
        <w:t xml:space="preserve">Whilst the </w:t>
      </w:r>
      <w:proofErr w:type="gramStart"/>
      <w:r w:rsidRPr="00127A14">
        <w:t>boundaries</w:t>
      </w:r>
      <w:proofErr w:type="gramEnd"/>
      <w:r w:rsidRPr="00127A14">
        <w:t xml:space="preserve"> of the </w:t>
      </w:r>
      <w:r w:rsidR="00355ED4">
        <w:t>AMF</w:t>
      </w:r>
      <w:r w:rsidRPr="00127A14">
        <w:t xml:space="preserve"> encompasses all WA waters (</w:t>
      </w:r>
      <w:r w:rsidRPr="00A334C1">
        <w:rPr>
          <w:b/>
          <w:bCs/>
        </w:rPr>
        <w:t>Figure 1)</w:t>
      </w:r>
      <w:r>
        <w:t xml:space="preserve">, </w:t>
      </w:r>
      <w:r w:rsidR="009D43CB">
        <w:t xml:space="preserve">commercial </w:t>
      </w:r>
      <w:r>
        <w:t>a</w:t>
      </w:r>
      <w:r w:rsidR="008965C6" w:rsidRPr="008965C6">
        <w:t>balone fishers primarily operate in shallow coastal waters off the south-west and south coasts of WA where they hand-collect abalone whil</w:t>
      </w:r>
      <w:r w:rsidR="00E27A5F">
        <w:t>e</w:t>
      </w:r>
      <w:r w:rsidR="008965C6" w:rsidRPr="008965C6">
        <w:t xml:space="preserve"> diving or wading. Greenlip and Brownlip abalone are caught primarily on the south coast of WA, whilst Roe’s abalone is most abundant on the south-west coast. </w:t>
      </w:r>
    </w:p>
    <w:p w14:paraId="489E7EB0" w14:textId="35D55718" w:rsidR="00A334C1" w:rsidRDefault="00A334C1" w:rsidP="00A334C1">
      <w:r>
        <w:t>In 202</w:t>
      </w:r>
      <w:r w:rsidR="00C519BB">
        <w:t>4</w:t>
      </w:r>
      <w:r>
        <w:t xml:space="preserve"> there </w:t>
      </w:r>
      <w:r w:rsidR="00C519BB">
        <w:t>are</w:t>
      </w:r>
      <w:r>
        <w:t xml:space="preserve"> 5</w:t>
      </w:r>
      <w:r w:rsidR="00160CBE">
        <w:t>0</w:t>
      </w:r>
      <w:r>
        <w:t xml:space="preserve"> </w:t>
      </w:r>
      <w:r w:rsidR="004C3FD1">
        <w:t>Managed Fishery Licence</w:t>
      </w:r>
      <w:r w:rsidR="00C519BB">
        <w:t>’s</w:t>
      </w:r>
      <w:r w:rsidR="004C3FD1">
        <w:t xml:space="preserve"> </w:t>
      </w:r>
      <w:r w:rsidR="00C519BB">
        <w:t>(</w:t>
      </w:r>
      <w:r>
        <w:t>MFL</w:t>
      </w:r>
      <w:r w:rsidR="00160CBE">
        <w:t>’s</w:t>
      </w:r>
      <w:r w:rsidR="00C519BB">
        <w:t>)</w:t>
      </w:r>
      <w:r>
        <w:t xml:space="preserve"> in the AMF, with 2</w:t>
      </w:r>
      <w:r w:rsidR="00D23951">
        <w:t>9</w:t>
      </w:r>
      <w:r>
        <w:t xml:space="preserve"> licences endorsed to take Roe’s abalone and 2</w:t>
      </w:r>
      <w:r w:rsidR="008D5565">
        <w:t>1</w:t>
      </w:r>
      <w:r>
        <w:t xml:space="preserve"> endorsed to take Greenlip and Brownlip abalone. There </w:t>
      </w:r>
      <w:r w:rsidR="00C519BB">
        <w:t>are</w:t>
      </w:r>
      <w:r>
        <w:t xml:space="preserve"> 30 vessels used in the AMF; 12 of which target all three abalone species, 10 targeting only Roe’s abalone and </w:t>
      </w:r>
      <w:r w:rsidR="00421D0E">
        <w:t>8</w:t>
      </w:r>
      <w:r>
        <w:t xml:space="preserve"> targeting only Greenlip and Brownlip abalone. </w:t>
      </w:r>
    </w:p>
    <w:p w14:paraId="23338823" w14:textId="5A41C8FC" w:rsidR="0088514A" w:rsidRPr="00F939A0" w:rsidRDefault="00A334C1" w:rsidP="0088514A">
      <w:pPr>
        <w:rPr>
          <w:rStyle w:val="Hyperlink"/>
        </w:rPr>
      </w:pPr>
      <w:r>
        <w:t>The AMF achieved Marine Stewardship Council (MSC) certification in 2017 (Hart et al., 2017) and is due for recertification in late 2024.</w:t>
      </w:r>
      <w:r w:rsidR="00E97109">
        <w:t xml:space="preserve"> The </w:t>
      </w:r>
      <w:r w:rsidR="00E27A5F">
        <w:t>f</w:t>
      </w:r>
      <w:r w:rsidR="00E97109">
        <w:t xml:space="preserve">ull MSC assessment report can be found </w:t>
      </w:r>
      <w:r w:rsidR="00E27A5F">
        <w:t>on the DPIRD website -</w:t>
      </w:r>
      <w:r w:rsidR="00E97109">
        <w:t xml:space="preserve"> </w:t>
      </w:r>
      <w:r w:rsidR="00F939A0">
        <w:fldChar w:fldCharType="begin"/>
      </w:r>
      <w:r w:rsidR="00F939A0">
        <w:instrText>HYPERLINK "https://library.dpird.wa.gov.au/cgi/viewcontent.cgi?article=1016&amp;context=fr_msc"</w:instrText>
      </w:r>
      <w:r w:rsidR="00F939A0">
        <w:fldChar w:fldCharType="separate"/>
      </w:r>
      <w:r w:rsidR="00F939A0" w:rsidRPr="00F939A0">
        <w:rPr>
          <w:rStyle w:val="Hyperlink"/>
        </w:rPr>
        <w:t xml:space="preserve">Marine Stewardship Council Full Assessment Report Western Australian Abalone Managed Fishery  </w:t>
      </w:r>
    </w:p>
    <w:bookmarkStart w:id="7" w:name="_Toc162355681"/>
    <w:p w14:paraId="30DD54E0" w14:textId="08551C0B" w:rsidR="006F7A33" w:rsidRDefault="00F939A0" w:rsidP="005356F5">
      <w:pPr>
        <w:pStyle w:val="Heading2"/>
        <w:rPr>
          <w:rFonts w:asciiTheme="minorHAnsi" w:eastAsiaTheme="minorHAnsi" w:hAnsiTheme="minorHAnsi" w:cstheme="minorBidi"/>
          <w:color w:val="auto"/>
          <w:sz w:val="24"/>
          <w:szCs w:val="22"/>
        </w:rPr>
      </w:pPr>
      <w:r>
        <w:rPr>
          <w:rFonts w:asciiTheme="minorHAnsi" w:eastAsiaTheme="minorHAnsi" w:hAnsiTheme="minorHAnsi" w:cstheme="minorBidi"/>
          <w:color w:val="auto"/>
          <w:sz w:val="24"/>
          <w:szCs w:val="22"/>
        </w:rPr>
        <w:lastRenderedPageBreak/>
        <w:fldChar w:fldCharType="end"/>
      </w:r>
      <w:bookmarkStart w:id="8" w:name="_Toc176435151"/>
      <w:r w:rsidR="006F7A33">
        <w:rPr>
          <w:noProof/>
        </w:rPr>
        <w:drawing>
          <wp:inline distT="0" distB="0" distL="0" distR="0" wp14:anchorId="44218B2B" wp14:editId="3C796E6A">
            <wp:extent cx="6120130" cy="7364197"/>
            <wp:effectExtent l="0" t="0" r="0" b="8255"/>
            <wp:docPr id="400031317" name="Content Placeholder 10" descr="Figure 1. Boundaries and management areas of the commercial Abalone Managed Fishery in WA. The fishery for Greenlip and Brownlip abalone operates in Areas 1 to 4 and the Roe’s abalone fishery operates in Areas 1, 2, 5, 6, 7 and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0031317" name="Content Placeholder 10" descr="Figure 1. Boundaries and management areas of the commercial Abalone Managed Fishery in WA. The fishery for Greenlip and Brownlip abalone operates in Areas 1 to 4 and the Roe’s abalone fishery operates in Areas 1, 2, 5, 6, 7 and 8."/>
                    <pic:cNvPicPr>
                      <a:picLocks noGrp="1" noChangeAspect="1"/>
                    </pic:cNvPicPr>
                  </pic:nvPicPr>
                  <pic:blipFill rotWithShape="1">
                    <a:blip r:embed="rId17">
                      <a:extLst>
                        <a:ext uri="{28A0092B-C50C-407E-A947-70E740481C1C}">
                          <a14:useLocalDpi xmlns:a14="http://schemas.microsoft.com/office/drawing/2010/main" val="0"/>
                        </a:ext>
                      </a:extLst>
                    </a:blip>
                    <a:srcRect t="1698" b="1952"/>
                    <a:stretch/>
                  </pic:blipFill>
                  <pic:spPr>
                    <a:xfrm>
                      <a:off x="0" y="0"/>
                      <a:ext cx="6120130" cy="7364197"/>
                    </a:xfrm>
                    <a:prstGeom prst="rect">
                      <a:avLst/>
                    </a:prstGeom>
                  </pic:spPr>
                </pic:pic>
              </a:graphicData>
            </a:graphic>
          </wp:inline>
        </w:drawing>
      </w:r>
      <w:bookmarkEnd w:id="8"/>
    </w:p>
    <w:p w14:paraId="2075BDD0" w14:textId="77777777" w:rsidR="006F7A33" w:rsidRDefault="006F7A33" w:rsidP="006F7A33">
      <w:pPr>
        <w:pStyle w:val="Caption"/>
      </w:pPr>
      <w:r w:rsidRPr="001120EC">
        <w:rPr>
          <w:b/>
          <w:bCs/>
        </w:rPr>
        <w:t xml:space="preserve">Figure </w:t>
      </w:r>
      <w:r w:rsidRPr="001120EC">
        <w:rPr>
          <w:b/>
          <w:bCs/>
        </w:rPr>
        <w:fldChar w:fldCharType="begin"/>
      </w:r>
      <w:r w:rsidRPr="001120EC">
        <w:rPr>
          <w:b/>
          <w:bCs/>
        </w:rPr>
        <w:instrText xml:space="preserve"> SEQ Figure \* ARABIC </w:instrText>
      </w:r>
      <w:r w:rsidRPr="001120EC">
        <w:rPr>
          <w:b/>
          <w:bCs/>
        </w:rPr>
        <w:fldChar w:fldCharType="separate"/>
      </w:r>
      <w:r>
        <w:rPr>
          <w:b/>
          <w:bCs/>
          <w:noProof/>
        </w:rPr>
        <w:t>1</w:t>
      </w:r>
      <w:r w:rsidRPr="001120EC">
        <w:rPr>
          <w:b/>
          <w:bCs/>
        </w:rPr>
        <w:fldChar w:fldCharType="end"/>
      </w:r>
      <w:r>
        <w:t>.</w:t>
      </w:r>
      <w:r w:rsidRPr="00B37792">
        <w:t xml:space="preserve"> Boundaries and management areas of the commercial Abalone Managed Fishery in WA. The fishery for Greenlip and Brownlip abalone operates in Areas 1 to 4 and the Roe’s abalone fishery operates in Areas 1, 2, 5, 6, 7 and 8.</w:t>
      </w:r>
    </w:p>
    <w:p w14:paraId="576A53A2" w14:textId="6D86A58E" w:rsidR="00B50B38" w:rsidRPr="00490885" w:rsidRDefault="00B50B38" w:rsidP="005356F5">
      <w:pPr>
        <w:pStyle w:val="Heading2"/>
      </w:pPr>
      <w:bookmarkStart w:id="9" w:name="_Toc176435152"/>
      <w:r w:rsidRPr="00490885">
        <w:lastRenderedPageBreak/>
        <w:t>Fishing methods and gear</w:t>
      </w:r>
      <w:bookmarkEnd w:id="7"/>
      <w:bookmarkEnd w:id="9"/>
    </w:p>
    <w:p w14:paraId="7B25D251" w14:textId="77777777" w:rsidR="002904F1" w:rsidRPr="003203E4" w:rsidRDefault="002904F1" w:rsidP="002904F1">
      <w:pPr>
        <w:rPr>
          <w:rFonts w:ascii="Arial" w:hAnsi="Arial" w:cs="Arial"/>
          <w:szCs w:val="24"/>
        </w:rPr>
      </w:pPr>
      <w:bookmarkStart w:id="10" w:name="_Toc162355682"/>
      <w:r w:rsidRPr="00A948C4">
        <w:rPr>
          <w:rFonts w:ascii="Arial" w:hAnsi="Arial" w:cs="Arial"/>
          <w:szCs w:val="24"/>
        </w:rPr>
        <w:t>Abalone are</w:t>
      </w:r>
      <w:r>
        <w:rPr>
          <w:rFonts w:ascii="Arial" w:hAnsi="Arial" w:cs="Arial"/>
          <w:szCs w:val="24"/>
        </w:rPr>
        <w:t xml:space="preserve"> commercially</w:t>
      </w:r>
      <w:r w:rsidRPr="00A948C4">
        <w:rPr>
          <w:rFonts w:ascii="Arial" w:hAnsi="Arial" w:cs="Arial"/>
          <w:szCs w:val="24"/>
        </w:rPr>
        <w:t xml:space="preserve"> harvested through targeted hand collection.</w:t>
      </w:r>
      <w:r>
        <w:rPr>
          <w:rFonts w:ascii="Arial" w:hAnsi="Arial" w:cs="Arial"/>
          <w:szCs w:val="24"/>
        </w:rPr>
        <w:t xml:space="preserve"> </w:t>
      </w:r>
      <w:r w:rsidRPr="00A948C4">
        <w:rPr>
          <w:rFonts w:ascii="Arial" w:hAnsi="Arial" w:cs="Arial"/>
          <w:szCs w:val="24"/>
        </w:rPr>
        <w:t xml:space="preserve">Roe’s, Greenlip and Brownlip abalone are caught in the AMF by divers operating from small vessels, generally less than nine metres in length, using surface supplied breathing apparatus (hookah). </w:t>
      </w:r>
      <w:r w:rsidRPr="003203E4">
        <w:rPr>
          <w:rFonts w:ascii="Arial" w:hAnsi="Arial" w:cs="Arial"/>
          <w:szCs w:val="24"/>
        </w:rPr>
        <w:t>Divers measure abalone before removal and use a hand-held abalone ‘iron’ to prise individual abalone off the substrate.</w:t>
      </w:r>
    </w:p>
    <w:p w14:paraId="750264C9" w14:textId="703B442E" w:rsidR="002904F1" w:rsidRPr="00A948C4" w:rsidRDefault="002904F1" w:rsidP="002904F1">
      <w:pPr>
        <w:rPr>
          <w:rFonts w:ascii="Arial" w:hAnsi="Arial" w:cs="Arial"/>
          <w:szCs w:val="24"/>
        </w:rPr>
      </w:pPr>
      <w:r w:rsidRPr="003203E4">
        <w:rPr>
          <w:rFonts w:ascii="Arial" w:hAnsi="Arial" w:cs="Arial"/>
          <w:szCs w:val="24"/>
        </w:rPr>
        <w:t>Since the mid 1980’s, divers have used cages whilst</w:t>
      </w:r>
      <w:r>
        <w:rPr>
          <w:rFonts w:ascii="Arial" w:hAnsi="Arial" w:cs="Arial"/>
          <w:szCs w:val="24"/>
        </w:rPr>
        <w:t xml:space="preserve"> diving to ensure personal safety. Use of these cages is believed to have changed fishing behaviour</w:t>
      </w:r>
      <w:r w:rsidR="001329C8">
        <w:rPr>
          <w:rFonts w:ascii="Arial" w:hAnsi="Arial" w:cs="Arial"/>
          <w:szCs w:val="24"/>
        </w:rPr>
        <w:t xml:space="preserve"> reducing catch rate</w:t>
      </w:r>
      <w:r>
        <w:rPr>
          <w:rFonts w:ascii="Arial" w:hAnsi="Arial" w:cs="Arial"/>
          <w:szCs w:val="24"/>
        </w:rPr>
        <w:t xml:space="preserve"> as it decreases diver mobility and manoeuvrability. The cages are </w:t>
      </w:r>
      <w:r w:rsidRPr="00FA555F">
        <w:rPr>
          <w:rFonts w:ascii="Arial" w:hAnsi="Arial" w:cs="Arial"/>
          <w:szCs w:val="24"/>
        </w:rPr>
        <w:t xml:space="preserve">equipped with </w:t>
      </w:r>
      <w:r>
        <w:rPr>
          <w:rFonts w:ascii="Arial" w:hAnsi="Arial" w:cs="Arial"/>
          <w:szCs w:val="24"/>
        </w:rPr>
        <w:t>a tank to maintain neutral buoyancy and minimise contact with the bottom.</w:t>
      </w:r>
    </w:p>
    <w:p w14:paraId="6EB42AD9" w14:textId="77777777" w:rsidR="00B50B38" w:rsidRDefault="00B50B38" w:rsidP="005356F5">
      <w:pPr>
        <w:pStyle w:val="Heading2"/>
      </w:pPr>
      <w:bookmarkStart w:id="11" w:name="_Toc176435153"/>
      <w:r>
        <w:t>Target and byproduct species</w:t>
      </w:r>
      <w:bookmarkEnd w:id="10"/>
      <w:bookmarkEnd w:id="11"/>
    </w:p>
    <w:p w14:paraId="1CDF63F5" w14:textId="68B2DADA" w:rsidR="00434C89" w:rsidRDefault="00B22CF2" w:rsidP="00B22CF2">
      <w:pPr>
        <w:rPr>
          <w:rStyle w:val="Hyperlink"/>
          <w:rFonts w:ascii="Arial" w:eastAsia="Arial" w:hAnsi="Arial" w:cs="Arial"/>
          <w:szCs w:val="24"/>
          <w:u w:val="none"/>
        </w:rPr>
      </w:pPr>
      <w:r>
        <w:rPr>
          <w:rStyle w:val="Hyperlink"/>
          <w:rFonts w:ascii="Arial" w:eastAsia="Arial" w:hAnsi="Arial" w:cs="Arial"/>
          <w:szCs w:val="24"/>
          <w:u w:val="none"/>
        </w:rPr>
        <w:t>Target species vary between areas of the AMF, based on species distribution, abundance and market price</w:t>
      </w:r>
      <w:r w:rsidR="009B7E3C">
        <w:rPr>
          <w:rStyle w:val="Hyperlink"/>
          <w:rFonts w:ascii="Arial" w:eastAsia="Arial" w:hAnsi="Arial" w:cs="Arial"/>
          <w:szCs w:val="24"/>
          <w:u w:val="none"/>
        </w:rPr>
        <w:t>.</w:t>
      </w:r>
      <w:r>
        <w:rPr>
          <w:rStyle w:val="Hyperlink"/>
          <w:rFonts w:ascii="Arial" w:eastAsia="Arial" w:hAnsi="Arial" w:cs="Arial"/>
          <w:szCs w:val="24"/>
          <w:u w:val="none"/>
        </w:rPr>
        <w:t xml:space="preserve"> In </w:t>
      </w:r>
      <w:r w:rsidR="00421D0E">
        <w:rPr>
          <w:rStyle w:val="Hyperlink"/>
          <w:rFonts w:ascii="Arial" w:eastAsia="Arial" w:hAnsi="Arial" w:cs="Arial"/>
          <w:szCs w:val="24"/>
          <w:u w:val="none"/>
        </w:rPr>
        <w:t>Areas 1,</w:t>
      </w:r>
      <w:r w:rsidR="00E27A5F">
        <w:rPr>
          <w:rStyle w:val="Hyperlink"/>
          <w:rFonts w:ascii="Arial" w:eastAsia="Arial" w:hAnsi="Arial" w:cs="Arial"/>
          <w:szCs w:val="24"/>
          <w:u w:val="none"/>
        </w:rPr>
        <w:t xml:space="preserve"> </w:t>
      </w:r>
      <w:r w:rsidR="00421D0E">
        <w:rPr>
          <w:rStyle w:val="Hyperlink"/>
          <w:rFonts w:ascii="Arial" w:eastAsia="Arial" w:hAnsi="Arial" w:cs="Arial"/>
          <w:szCs w:val="24"/>
          <w:u w:val="none"/>
        </w:rPr>
        <w:t>2,</w:t>
      </w:r>
      <w:r w:rsidR="00E27A5F">
        <w:rPr>
          <w:rStyle w:val="Hyperlink"/>
          <w:rFonts w:ascii="Arial" w:eastAsia="Arial" w:hAnsi="Arial" w:cs="Arial"/>
          <w:szCs w:val="24"/>
          <w:u w:val="none"/>
        </w:rPr>
        <w:t xml:space="preserve"> </w:t>
      </w:r>
      <w:r w:rsidR="00421D0E">
        <w:rPr>
          <w:rStyle w:val="Hyperlink"/>
          <w:rFonts w:ascii="Arial" w:eastAsia="Arial" w:hAnsi="Arial" w:cs="Arial"/>
          <w:szCs w:val="24"/>
          <w:u w:val="none"/>
        </w:rPr>
        <w:t>5,</w:t>
      </w:r>
      <w:r w:rsidR="00E27A5F">
        <w:rPr>
          <w:rStyle w:val="Hyperlink"/>
          <w:rFonts w:ascii="Arial" w:eastAsia="Arial" w:hAnsi="Arial" w:cs="Arial"/>
          <w:szCs w:val="24"/>
          <w:u w:val="none"/>
        </w:rPr>
        <w:t xml:space="preserve"> </w:t>
      </w:r>
      <w:r w:rsidR="00421D0E">
        <w:rPr>
          <w:rStyle w:val="Hyperlink"/>
          <w:rFonts w:ascii="Arial" w:eastAsia="Arial" w:hAnsi="Arial" w:cs="Arial"/>
          <w:szCs w:val="24"/>
          <w:u w:val="none"/>
        </w:rPr>
        <w:t>6,</w:t>
      </w:r>
      <w:r w:rsidR="00E27A5F">
        <w:rPr>
          <w:rStyle w:val="Hyperlink"/>
          <w:rFonts w:ascii="Arial" w:eastAsia="Arial" w:hAnsi="Arial" w:cs="Arial"/>
          <w:szCs w:val="24"/>
          <w:u w:val="none"/>
        </w:rPr>
        <w:t xml:space="preserve"> </w:t>
      </w:r>
      <w:r w:rsidR="00421D0E">
        <w:rPr>
          <w:rStyle w:val="Hyperlink"/>
          <w:rFonts w:ascii="Arial" w:eastAsia="Arial" w:hAnsi="Arial" w:cs="Arial"/>
          <w:szCs w:val="24"/>
          <w:u w:val="none"/>
        </w:rPr>
        <w:t>7</w:t>
      </w:r>
      <w:r w:rsidR="009B7E3C">
        <w:rPr>
          <w:rStyle w:val="Hyperlink"/>
          <w:rFonts w:ascii="Arial" w:eastAsia="Arial" w:hAnsi="Arial" w:cs="Arial"/>
          <w:szCs w:val="24"/>
          <w:u w:val="none"/>
        </w:rPr>
        <w:t xml:space="preserve"> and </w:t>
      </w:r>
      <w:r w:rsidR="00FB2BE7">
        <w:rPr>
          <w:rStyle w:val="Hyperlink"/>
          <w:rFonts w:ascii="Arial" w:eastAsia="Arial" w:hAnsi="Arial" w:cs="Arial"/>
          <w:szCs w:val="24"/>
          <w:u w:val="none"/>
        </w:rPr>
        <w:t>8</w:t>
      </w:r>
      <w:r w:rsidR="009B7E3C">
        <w:rPr>
          <w:rStyle w:val="Hyperlink"/>
          <w:rFonts w:ascii="Arial" w:eastAsia="Arial" w:hAnsi="Arial" w:cs="Arial"/>
          <w:szCs w:val="24"/>
          <w:u w:val="none"/>
        </w:rPr>
        <w:t>,</w:t>
      </w:r>
      <w:r>
        <w:rPr>
          <w:rStyle w:val="Hyperlink"/>
          <w:rFonts w:ascii="Arial" w:eastAsia="Arial" w:hAnsi="Arial" w:cs="Arial"/>
          <w:szCs w:val="24"/>
          <w:u w:val="none"/>
        </w:rPr>
        <w:t xml:space="preserve"> operators primarily target the more abundant Roe’s abalone, whilst fishers in Areas 1</w:t>
      </w:r>
      <w:r w:rsidR="00FB2BE7">
        <w:rPr>
          <w:rStyle w:val="Hyperlink"/>
          <w:rFonts w:ascii="Arial" w:eastAsia="Arial" w:hAnsi="Arial" w:cs="Arial"/>
          <w:szCs w:val="24"/>
          <w:u w:val="none"/>
        </w:rPr>
        <w:t>-4</w:t>
      </w:r>
      <w:r>
        <w:rPr>
          <w:rStyle w:val="Hyperlink"/>
          <w:rFonts w:ascii="Arial" w:eastAsia="Arial" w:hAnsi="Arial" w:cs="Arial"/>
          <w:szCs w:val="24"/>
          <w:u w:val="none"/>
        </w:rPr>
        <w:t xml:space="preserve">, target Greenlip abalone. </w:t>
      </w:r>
    </w:p>
    <w:p w14:paraId="1861F5D3" w14:textId="11B9960B" w:rsidR="00B22CF2" w:rsidRPr="003C3D55" w:rsidRDefault="00B22CF2" w:rsidP="00B22CF2">
      <w:pPr>
        <w:rPr>
          <w:rFonts w:ascii="Arial" w:eastAsia="Arial" w:hAnsi="Arial" w:cs="Arial"/>
          <w:szCs w:val="24"/>
        </w:rPr>
      </w:pPr>
      <w:r>
        <w:rPr>
          <w:rStyle w:val="Hyperlink"/>
          <w:rFonts w:ascii="Arial" w:eastAsia="Arial" w:hAnsi="Arial" w:cs="Arial"/>
          <w:szCs w:val="24"/>
          <w:u w:val="none"/>
        </w:rPr>
        <w:t>Brownlip abalone has historically been considered a by</w:t>
      </w:r>
      <w:r w:rsidR="00EE73A4">
        <w:rPr>
          <w:rStyle w:val="Hyperlink"/>
          <w:rFonts w:ascii="Arial" w:eastAsia="Arial" w:hAnsi="Arial" w:cs="Arial"/>
          <w:szCs w:val="24"/>
          <w:u w:val="none"/>
        </w:rPr>
        <w:t xml:space="preserve">product </w:t>
      </w:r>
      <w:r>
        <w:rPr>
          <w:rStyle w:val="Hyperlink"/>
          <w:rFonts w:ascii="Arial" w:eastAsia="Arial" w:hAnsi="Arial" w:cs="Arial"/>
          <w:szCs w:val="24"/>
          <w:u w:val="none"/>
        </w:rPr>
        <w:t>species</w:t>
      </w:r>
      <w:r w:rsidR="009B7E3C">
        <w:rPr>
          <w:rStyle w:val="Hyperlink"/>
          <w:rFonts w:ascii="Arial" w:eastAsia="Arial" w:hAnsi="Arial" w:cs="Arial"/>
          <w:szCs w:val="24"/>
          <w:u w:val="none"/>
        </w:rPr>
        <w:t>. H</w:t>
      </w:r>
      <w:r>
        <w:rPr>
          <w:rStyle w:val="Hyperlink"/>
          <w:rFonts w:ascii="Arial" w:eastAsia="Arial" w:hAnsi="Arial" w:cs="Arial"/>
          <w:szCs w:val="24"/>
          <w:u w:val="none"/>
        </w:rPr>
        <w:t>owever</w:t>
      </w:r>
      <w:r w:rsidR="00EE73A4">
        <w:rPr>
          <w:rStyle w:val="Hyperlink"/>
          <w:rFonts w:ascii="Arial" w:eastAsia="Arial" w:hAnsi="Arial" w:cs="Arial"/>
          <w:szCs w:val="24"/>
          <w:u w:val="none"/>
        </w:rPr>
        <w:t>,</w:t>
      </w:r>
      <w:r w:rsidR="009A39FD">
        <w:rPr>
          <w:rStyle w:val="Hyperlink"/>
          <w:rFonts w:ascii="Arial" w:eastAsia="Arial" w:hAnsi="Arial" w:cs="Arial"/>
          <w:szCs w:val="24"/>
          <w:u w:val="none"/>
        </w:rPr>
        <w:t xml:space="preserve"> since 2023 </w:t>
      </w:r>
      <w:r w:rsidR="009B7E3C">
        <w:rPr>
          <w:rStyle w:val="Hyperlink"/>
          <w:rFonts w:ascii="Arial" w:eastAsia="Arial" w:hAnsi="Arial" w:cs="Arial"/>
          <w:szCs w:val="24"/>
          <w:u w:val="none"/>
        </w:rPr>
        <w:t xml:space="preserve">there has been an increase in the targeting </w:t>
      </w:r>
      <w:r w:rsidR="00EE73A4">
        <w:rPr>
          <w:rStyle w:val="Hyperlink"/>
          <w:rFonts w:ascii="Arial" w:eastAsia="Arial" w:hAnsi="Arial" w:cs="Arial"/>
          <w:szCs w:val="24"/>
          <w:u w:val="none"/>
        </w:rPr>
        <w:t>of B</w:t>
      </w:r>
      <w:r w:rsidR="009B7E3C">
        <w:rPr>
          <w:rStyle w:val="Hyperlink"/>
          <w:rFonts w:ascii="Arial" w:eastAsia="Arial" w:hAnsi="Arial" w:cs="Arial"/>
          <w:szCs w:val="24"/>
          <w:u w:val="none"/>
        </w:rPr>
        <w:t>rownlip, especially in Area 2 and Area 3</w:t>
      </w:r>
      <w:r w:rsidR="00EE73A4">
        <w:rPr>
          <w:rStyle w:val="Hyperlink"/>
          <w:rFonts w:ascii="Arial" w:eastAsia="Arial" w:hAnsi="Arial" w:cs="Arial"/>
          <w:szCs w:val="24"/>
          <w:u w:val="none"/>
        </w:rPr>
        <w:t>. This is</w:t>
      </w:r>
      <w:r w:rsidR="009B7E3C">
        <w:rPr>
          <w:rStyle w:val="Hyperlink"/>
          <w:rFonts w:ascii="Arial" w:eastAsia="Arial" w:hAnsi="Arial" w:cs="Arial"/>
          <w:szCs w:val="24"/>
          <w:u w:val="none"/>
        </w:rPr>
        <w:t xml:space="preserve"> due</w:t>
      </w:r>
      <w:r w:rsidR="006B2D2F">
        <w:rPr>
          <w:rStyle w:val="Hyperlink"/>
          <w:rFonts w:ascii="Arial" w:eastAsia="Arial" w:hAnsi="Arial" w:cs="Arial"/>
          <w:szCs w:val="24"/>
          <w:u w:val="none"/>
        </w:rPr>
        <w:t xml:space="preserve"> to </w:t>
      </w:r>
      <w:r w:rsidR="00434C89">
        <w:rPr>
          <w:rStyle w:val="Hyperlink"/>
          <w:rFonts w:ascii="Arial" w:eastAsia="Arial" w:hAnsi="Arial" w:cs="Arial"/>
          <w:szCs w:val="24"/>
          <w:u w:val="none"/>
        </w:rPr>
        <w:t xml:space="preserve">recent </w:t>
      </w:r>
      <w:r>
        <w:rPr>
          <w:rStyle w:val="Hyperlink"/>
          <w:rFonts w:ascii="Arial" w:eastAsia="Arial" w:hAnsi="Arial" w:cs="Arial"/>
          <w:szCs w:val="24"/>
          <w:u w:val="none"/>
        </w:rPr>
        <w:t>sustainability issues in</w:t>
      </w:r>
      <w:r w:rsidR="00434C89">
        <w:rPr>
          <w:rStyle w:val="Hyperlink"/>
          <w:rFonts w:ascii="Arial" w:eastAsia="Arial" w:hAnsi="Arial" w:cs="Arial"/>
          <w:szCs w:val="24"/>
          <w:u w:val="none"/>
        </w:rPr>
        <w:t xml:space="preserve"> </w:t>
      </w:r>
      <w:r>
        <w:rPr>
          <w:rStyle w:val="Hyperlink"/>
          <w:rFonts w:ascii="Arial" w:eastAsia="Arial" w:hAnsi="Arial" w:cs="Arial"/>
          <w:szCs w:val="24"/>
          <w:u w:val="none"/>
        </w:rPr>
        <w:t xml:space="preserve">Greenlip </w:t>
      </w:r>
      <w:r w:rsidR="00434C89">
        <w:rPr>
          <w:rStyle w:val="Hyperlink"/>
          <w:rFonts w:ascii="Arial" w:eastAsia="Arial" w:hAnsi="Arial" w:cs="Arial"/>
          <w:szCs w:val="24"/>
          <w:u w:val="none"/>
        </w:rPr>
        <w:t>abalone</w:t>
      </w:r>
      <w:r w:rsidR="002642BE">
        <w:rPr>
          <w:rStyle w:val="Hyperlink"/>
          <w:rFonts w:ascii="Arial" w:eastAsia="Arial" w:hAnsi="Arial" w:cs="Arial"/>
          <w:szCs w:val="24"/>
          <w:u w:val="none"/>
        </w:rPr>
        <w:t xml:space="preserve"> fishing</w:t>
      </w:r>
      <w:r w:rsidR="006B2D2F">
        <w:rPr>
          <w:rStyle w:val="Hyperlink"/>
          <w:rFonts w:ascii="Arial" w:eastAsia="Arial" w:hAnsi="Arial" w:cs="Arial"/>
          <w:szCs w:val="24"/>
          <w:u w:val="none"/>
        </w:rPr>
        <w:t xml:space="preserve"> </w:t>
      </w:r>
      <w:r w:rsidR="00434C89">
        <w:rPr>
          <w:rStyle w:val="Hyperlink"/>
          <w:rFonts w:ascii="Arial" w:eastAsia="Arial" w:hAnsi="Arial" w:cs="Arial"/>
          <w:szCs w:val="24"/>
          <w:u w:val="none"/>
        </w:rPr>
        <w:t xml:space="preserve">in </w:t>
      </w:r>
      <w:r w:rsidR="009A39FD">
        <w:rPr>
          <w:rStyle w:val="Hyperlink"/>
          <w:rFonts w:ascii="Arial" w:eastAsia="Arial" w:hAnsi="Arial" w:cs="Arial"/>
          <w:szCs w:val="24"/>
          <w:u w:val="none"/>
        </w:rPr>
        <w:t>A</w:t>
      </w:r>
      <w:r w:rsidR="00434C89">
        <w:rPr>
          <w:rStyle w:val="Hyperlink"/>
          <w:rFonts w:ascii="Arial" w:eastAsia="Arial" w:hAnsi="Arial" w:cs="Arial"/>
          <w:szCs w:val="24"/>
          <w:u w:val="none"/>
        </w:rPr>
        <w:t xml:space="preserve">rea 3 which is </w:t>
      </w:r>
      <w:r w:rsidR="002642BE">
        <w:rPr>
          <w:rStyle w:val="Hyperlink"/>
          <w:rFonts w:ascii="Arial" w:eastAsia="Arial" w:hAnsi="Arial" w:cs="Arial"/>
          <w:szCs w:val="24"/>
          <w:u w:val="none"/>
        </w:rPr>
        <w:t xml:space="preserve">now </w:t>
      </w:r>
      <w:r w:rsidR="00434C89">
        <w:rPr>
          <w:rStyle w:val="Hyperlink"/>
          <w:rFonts w:ascii="Arial" w:eastAsia="Arial" w:hAnsi="Arial" w:cs="Arial"/>
          <w:szCs w:val="24"/>
          <w:u w:val="none"/>
        </w:rPr>
        <w:t xml:space="preserve">closed to both </w:t>
      </w:r>
      <w:r w:rsidR="000D12E3">
        <w:rPr>
          <w:rStyle w:val="Hyperlink"/>
          <w:rFonts w:ascii="Arial" w:eastAsia="Arial" w:hAnsi="Arial" w:cs="Arial"/>
          <w:szCs w:val="24"/>
          <w:u w:val="none"/>
        </w:rPr>
        <w:t>commercial</w:t>
      </w:r>
      <w:r w:rsidR="00434C89">
        <w:rPr>
          <w:rStyle w:val="Hyperlink"/>
          <w:rFonts w:ascii="Arial" w:eastAsia="Arial" w:hAnsi="Arial" w:cs="Arial"/>
          <w:szCs w:val="24"/>
          <w:u w:val="none"/>
        </w:rPr>
        <w:t xml:space="preserve"> and recreational fishing</w:t>
      </w:r>
      <w:r w:rsidR="009A39FD">
        <w:rPr>
          <w:rStyle w:val="Hyperlink"/>
          <w:rFonts w:ascii="Arial" w:eastAsia="Arial" w:hAnsi="Arial" w:cs="Arial"/>
          <w:szCs w:val="24"/>
          <w:u w:val="none"/>
        </w:rPr>
        <w:t>.</w:t>
      </w:r>
      <w:r w:rsidR="007B0813">
        <w:rPr>
          <w:rStyle w:val="Hyperlink"/>
          <w:rFonts w:ascii="Arial" w:eastAsia="Arial" w:hAnsi="Arial" w:cs="Arial"/>
          <w:szCs w:val="24"/>
          <w:u w:val="none"/>
        </w:rPr>
        <w:t xml:space="preserve"> </w:t>
      </w:r>
      <w:r w:rsidR="009B7E3C">
        <w:rPr>
          <w:rStyle w:val="Hyperlink"/>
          <w:rFonts w:ascii="Arial" w:eastAsia="Arial" w:hAnsi="Arial" w:cs="Arial"/>
          <w:szCs w:val="24"/>
          <w:u w:val="none"/>
        </w:rPr>
        <w:t xml:space="preserve">This </w:t>
      </w:r>
      <w:r w:rsidR="007B0813">
        <w:rPr>
          <w:rStyle w:val="Hyperlink"/>
          <w:rFonts w:ascii="Arial" w:eastAsia="Arial" w:hAnsi="Arial" w:cs="Arial"/>
          <w:szCs w:val="24"/>
          <w:u w:val="none"/>
        </w:rPr>
        <w:t xml:space="preserve">change in fishing behaviour is being monitored and managed according to the </w:t>
      </w:r>
      <w:r w:rsidR="00775553">
        <w:rPr>
          <w:rStyle w:val="Hyperlink"/>
          <w:rFonts w:ascii="Arial" w:eastAsia="Arial" w:hAnsi="Arial" w:cs="Arial"/>
          <w:szCs w:val="24"/>
          <w:u w:val="none"/>
        </w:rPr>
        <w:t>resource</w:t>
      </w:r>
      <w:r w:rsidR="00C1729E">
        <w:rPr>
          <w:rStyle w:val="Hyperlink"/>
          <w:rFonts w:ascii="Arial" w:eastAsia="Arial" w:hAnsi="Arial" w:cs="Arial"/>
          <w:szCs w:val="24"/>
          <w:u w:val="none"/>
        </w:rPr>
        <w:t>’</w:t>
      </w:r>
      <w:r w:rsidR="00775553">
        <w:rPr>
          <w:rStyle w:val="Hyperlink"/>
          <w:rFonts w:ascii="Arial" w:eastAsia="Arial" w:hAnsi="Arial" w:cs="Arial"/>
          <w:szCs w:val="24"/>
          <w:u w:val="none"/>
        </w:rPr>
        <w:t xml:space="preserve">s </w:t>
      </w:r>
      <w:r w:rsidR="00C1729E">
        <w:rPr>
          <w:rStyle w:val="Hyperlink"/>
          <w:rFonts w:ascii="Arial" w:eastAsia="Arial" w:hAnsi="Arial" w:cs="Arial"/>
          <w:szCs w:val="24"/>
          <w:u w:val="none"/>
        </w:rPr>
        <w:t>harvest strategy (</w:t>
      </w:r>
      <w:hyperlink r:id="rId18" w:history="1">
        <w:r w:rsidR="00293B4F" w:rsidRPr="00AC721F">
          <w:rPr>
            <w:rStyle w:val="Hyperlink"/>
          </w:rPr>
          <w:t>Abalone Resource of Western Australia Harvest Strategy Version 2.2. (October 2023) Fisheries Management Paper No. 283</w:t>
        </w:r>
      </w:hyperlink>
      <w:r w:rsidR="00C1729E">
        <w:rPr>
          <w:rStyle w:val="Hyperlink"/>
          <w:rFonts w:ascii="Arial" w:eastAsia="Arial" w:hAnsi="Arial" w:cs="Arial"/>
          <w:szCs w:val="24"/>
          <w:u w:val="none"/>
        </w:rPr>
        <w:t>)</w:t>
      </w:r>
      <w:r w:rsidR="00775553">
        <w:rPr>
          <w:rStyle w:val="Hyperlink"/>
          <w:rFonts w:ascii="Arial" w:eastAsia="Arial" w:hAnsi="Arial" w:cs="Arial"/>
          <w:szCs w:val="24"/>
          <w:u w:val="none"/>
        </w:rPr>
        <w:t xml:space="preserve">. </w:t>
      </w:r>
      <w:r>
        <w:rPr>
          <w:rStyle w:val="Hyperlink"/>
          <w:rFonts w:ascii="Arial" w:eastAsia="Arial" w:hAnsi="Arial" w:cs="Arial"/>
          <w:szCs w:val="24"/>
          <w:u w:val="none"/>
        </w:rPr>
        <w:t xml:space="preserve"> </w:t>
      </w:r>
    </w:p>
    <w:p w14:paraId="4236010D" w14:textId="772ACF4B" w:rsidR="00197C36" w:rsidRDefault="00197C36" w:rsidP="00EF41E2">
      <w:pPr>
        <w:pStyle w:val="Heading2"/>
      </w:pPr>
      <w:bookmarkStart w:id="12" w:name="_Toc176435154"/>
      <w:r w:rsidRPr="00111497">
        <w:t>Estimates of total removals</w:t>
      </w:r>
      <w:bookmarkEnd w:id="12"/>
    </w:p>
    <w:p w14:paraId="023B950A" w14:textId="19F92326" w:rsidR="009267CB" w:rsidRDefault="009267CB" w:rsidP="009267CB">
      <w:pPr>
        <w:pStyle w:val="Heading4"/>
      </w:pPr>
      <w:r>
        <w:t>Commercial</w:t>
      </w:r>
    </w:p>
    <w:p w14:paraId="1B259562" w14:textId="739AEB8A" w:rsidR="00EA07B1" w:rsidRDefault="007B30E0" w:rsidP="00BA7900">
      <w:r w:rsidRPr="007B30E0">
        <w:t>In 2022, the total commercial Greenlip/Brownlip abalone catch was 40.1 t whole weight (Greenlip 26.6 t, and Brownlip 13.5 t), which was 89% of the combined TACC (45 t whole weight)</w:t>
      </w:r>
      <w:r>
        <w:t xml:space="preserve">. </w:t>
      </w:r>
      <w:r w:rsidR="00EA07B1">
        <w:t>T</w:t>
      </w:r>
      <w:r w:rsidR="00EA07B1" w:rsidRPr="00EA07B1">
        <w:t xml:space="preserve">he total commercial catch </w:t>
      </w:r>
      <w:r w:rsidR="00EA07B1">
        <w:t xml:space="preserve">of Roe’s abalone in 2022 </w:t>
      </w:r>
      <w:r w:rsidR="00EA07B1" w:rsidRPr="00EA07B1">
        <w:t>was 28.9 t whole weight, which was 41% of the 70.7 t whole weight TACC</w:t>
      </w:r>
      <w:r w:rsidR="00EA07B1">
        <w:t xml:space="preserve">. </w:t>
      </w:r>
      <w:r w:rsidR="001329C8">
        <w:t xml:space="preserve">Due to low market demand the Roe’s abalone TACC was not reached. </w:t>
      </w:r>
    </w:p>
    <w:p w14:paraId="0091D23F" w14:textId="46F2F6C7" w:rsidR="00CC2809" w:rsidRDefault="007B30E0" w:rsidP="00BA7900">
      <w:pPr>
        <w:rPr>
          <w:rFonts w:ascii="Arial" w:eastAsia="Calibri" w:hAnsi="Arial" w:cs="Times New Roman"/>
          <w14:ligatures w14:val="standardContextual"/>
        </w:rPr>
      </w:pPr>
      <w:r>
        <w:t>Additional i</w:t>
      </w:r>
      <w:r w:rsidR="00A024A5" w:rsidRPr="00F30296">
        <w:t xml:space="preserve">nformation on species retained by the </w:t>
      </w:r>
      <w:r w:rsidR="0015540A">
        <w:t>A</w:t>
      </w:r>
      <w:r w:rsidR="00A024A5">
        <w:t>MF</w:t>
      </w:r>
      <w:r w:rsidR="00A024A5" w:rsidRPr="00F30296">
        <w:t xml:space="preserve"> and total estimated live weight of species retained in the </w:t>
      </w:r>
      <w:r w:rsidR="0015540A">
        <w:t>A</w:t>
      </w:r>
      <w:r w:rsidR="00111497">
        <w:t>MF</w:t>
      </w:r>
      <w:r w:rsidR="00A024A5" w:rsidRPr="00F30296">
        <w:t xml:space="preserve"> per fishing season, is reported in the annual </w:t>
      </w:r>
      <w:hyperlink r:id="rId19" w:history="1">
        <w:r w:rsidR="00A024A5" w:rsidRPr="00997DD0">
          <w:rPr>
            <w:rStyle w:val="Hyperlink"/>
            <w:rFonts w:ascii="Arial" w:eastAsia="Calibri" w:hAnsi="Arial" w:cs="Times New Roman"/>
            <w14:ligatures w14:val="standardContextual"/>
          </w:rPr>
          <w:t>Status Reports of the Fisheries and Aquatic Resources of Western Australia (</w:t>
        </w:r>
        <w:r w:rsidR="00A024A5" w:rsidRPr="00997DD0">
          <w:rPr>
            <w:rStyle w:val="Hyperlink"/>
            <w:rFonts w:ascii="Arial" w:eastAsia="Calibri" w:hAnsi="Arial" w:cs="Times New Roman"/>
            <w:lang w:eastAsia="en-AU"/>
            <w14:ligatures w14:val="standardContextual"/>
          </w:rPr>
          <w:t>SRFAR)</w:t>
        </w:r>
      </w:hyperlink>
      <w:r w:rsidR="009F6400">
        <w:rPr>
          <w:rFonts w:ascii="Arial" w:eastAsia="Calibri" w:hAnsi="Arial" w:cs="Times New Roman"/>
          <w14:ligatures w14:val="standardContextual"/>
        </w:rPr>
        <w:t xml:space="preserve"> i.e. ‘State of the Fisheries’.</w:t>
      </w:r>
    </w:p>
    <w:p w14:paraId="42EC088F" w14:textId="685DAD51" w:rsidR="009267CB" w:rsidRDefault="009267CB" w:rsidP="009267CB">
      <w:pPr>
        <w:pStyle w:val="Heading4"/>
      </w:pPr>
      <w:r>
        <w:t>Recreational</w:t>
      </w:r>
    </w:p>
    <w:p w14:paraId="74EFD780" w14:textId="5D4EAE42" w:rsidR="0024465D" w:rsidRPr="0024465D" w:rsidRDefault="00EA07B1" w:rsidP="0024465D">
      <w:r w:rsidRPr="00EA07B1">
        <w:t>The recreational catch of Roe’s abalone in 2022 was 48.8 t whole weight, which represents 62.8% of the total Roe’s abalone catch</w:t>
      </w:r>
      <w:r>
        <w:t>.</w:t>
      </w:r>
      <w:r w:rsidR="0069683C" w:rsidRPr="0069683C">
        <w:t xml:space="preserve"> The recreational take of Greenlip and Brownlip abalone off the southern coast is much smaller at around 8 tonnes, which historically represents approximately 3 – 4 % of the total catch of these two species (Strain et al. 2021).</w:t>
      </w:r>
    </w:p>
    <w:p w14:paraId="2EED7E18" w14:textId="77777777" w:rsidR="00B50B38" w:rsidRDefault="00B50B38" w:rsidP="00EF41E2">
      <w:pPr>
        <w:pStyle w:val="Heading2"/>
      </w:pPr>
      <w:bookmarkStart w:id="13" w:name="_Toc162355683"/>
      <w:bookmarkStart w:id="14" w:name="_Toc176435155"/>
      <w:r>
        <w:lastRenderedPageBreak/>
        <w:t>Value of the fishery</w:t>
      </w:r>
      <w:bookmarkEnd w:id="13"/>
      <w:bookmarkEnd w:id="14"/>
    </w:p>
    <w:p w14:paraId="07DE5551" w14:textId="77777777" w:rsidR="00A9559E" w:rsidRPr="00A9559E" w:rsidRDefault="00A9559E" w:rsidP="00B4799B">
      <w:pPr>
        <w:pStyle w:val="Heading4"/>
        <w:rPr>
          <w:szCs w:val="26"/>
        </w:rPr>
      </w:pPr>
      <w:bookmarkStart w:id="15" w:name="_Toc171591989"/>
      <w:bookmarkStart w:id="16" w:name="_Hlk161230233"/>
      <w:bookmarkStart w:id="17" w:name="_Toc162355684"/>
      <w:r w:rsidRPr="00A9559E">
        <w:t>Roe’s Abalone Resource</w:t>
      </w:r>
      <w:bookmarkEnd w:id="15"/>
    </w:p>
    <w:bookmarkEnd w:id="16"/>
    <w:p w14:paraId="777BC529" w14:textId="4F181798" w:rsidR="00A9559E" w:rsidRPr="00A9559E" w:rsidRDefault="00A9559E" w:rsidP="00A9559E">
      <w:pPr>
        <w:rPr>
          <w:rFonts w:ascii="Arial" w:hAnsi="Arial" w:cs="Arial"/>
          <w:szCs w:val="24"/>
        </w:rPr>
      </w:pPr>
      <w:r w:rsidRPr="00A9559E">
        <w:rPr>
          <w:rFonts w:ascii="Arial" w:hAnsi="Arial" w:cs="Arial"/>
          <w:szCs w:val="24"/>
        </w:rPr>
        <w:t>Estimated annual value (to commercial fishers) of Roe’s abalone for 2022</w:t>
      </w:r>
      <w:r w:rsidR="00B764D2">
        <w:rPr>
          <w:rFonts w:ascii="Arial" w:hAnsi="Arial" w:cs="Arial"/>
          <w:szCs w:val="24"/>
        </w:rPr>
        <w:t>-2023</w:t>
      </w:r>
      <w:r w:rsidRPr="00A9559E">
        <w:rPr>
          <w:rFonts w:ascii="Arial" w:hAnsi="Arial" w:cs="Arial"/>
          <w:szCs w:val="24"/>
        </w:rPr>
        <w:t xml:space="preserve"> was $0.7 million, based on the estimated average beach price of $25.56/kg whole weight. The price has dropped by nearly 50% since 2000, when it was $55/kg whole weight. This was due to </w:t>
      </w:r>
      <w:r w:rsidR="009978D5">
        <w:rPr>
          <w:rFonts w:ascii="Arial" w:hAnsi="Arial" w:cs="Arial"/>
          <w:szCs w:val="24"/>
        </w:rPr>
        <w:t xml:space="preserve">changes in </w:t>
      </w:r>
      <w:r w:rsidRPr="00A9559E">
        <w:rPr>
          <w:rFonts w:ascii="Arial" w:hAnsi="Arial" w:cs="Arial"/>
          <w:szCs w:val="24"/>
        </w:rPr>
        <w:t xml:space="preserve">the value of the Australian dollar and wild caught Roe’s abalone being in direct market competition with aquaculture produced abalone (State of </w:t>
      </w:r>
      <w:r w:rsidR="009F6400">
        <w:rPr>
          <w:rFonts w:ascii="Arial" w:hAnsi="Arial" w:cs="Arial"/>
          <w:szCs w:val="24"/>
        </w:rPr>
        <w:t xml:space="preserve">the </w:t>
      </w:r>
      <w:r w:rsidRPr="00A9559E">
        <w:rPr>
          <w:rFonts w:ascii="Arial" w:hAnsi="Arial" w:cs="Arial"/>
          <w:szCs w:val="24"/>
        </w:rPr>
        <w:t>Fisheries 2022</w:t>
      </w:r>
      <w:r w:rsidR="00B764D2">
        <w:rPr>
          <w:rFonts w:ascii="Arial" w:hAnsi="Arial" w:cs="Arial"/>
          <w:szCs w:val="24"/>
        </w:rPr>
        <w:t>-2023</w:t>
      </w:r>
      <w:r w:rsidRPr="00A9559E">
        <w:rPr>
          <w:rFonts w:ascii="Arial" w:hAnsi="Arial" w:cs="Arial"/>
          <w:szCs w:val="24"/>
        </w:rPr>
        <w:t>).</w:t>
      </w:r>
    </w:p>
    <w:p w14:paraId="6247B3B3" w14:textId="77777777" w:rsidR="00A9559E" w:rsidRPr="00A9559E" w:rsidRDefault="00A9559E" w:rsidP="00A9559E">
      <w:pPr>
        <w:rPr>
          <w:rFonts w:ascii="Arial" w:hAnsi="Arial" w:cs="Arial"/>
          <w:szCs w:val="24"/>
        </w:rPr>
      </w:pPr>
      <w:r w:rsidRPr="00A9559E">
        <w:rPr>
          <w:rFonts w:ascii="Arial" w:hAnsi="Arial" w:cs="Arial"/>
          <w:szCs w:val="24"/>
        </w:rPr>
        <w:t>There have also been other economic impacts on overseas markets, which subsequently reduced the Roe’s abalone catches and consequently the Gross Value of Production (GVP) of the fishery in 2022.</w:t>
      </w:r>
    </w:p>
    <w:p w14:paraId="3D3B3E5E" w14:textId="461B24DC" w:rsidR="00A53058" w:rsidRDefault="00A9559E" w:rsidP="00B4799B">
      <w:pPr>
        <w:pStyle w:val="Heading4"/>
      </w:pPr>
      <w:bookmarkStart w:id="18" w:name="_Toc171591990"/>
      <w:r w:rsidRPr="00A9559E">
        <w:t>South Coast Greenlip/Brownlip Abalone Resource</w:t>
      </w:r>
      <w:bookmarkEnd w:id="18"/>
      <w:r w:rsidRPr="00A9559E">
        <w:t xml:space="preserve"> </w:t>
      </w:r>
    </w:p>
    <w:p w14:paraId="2BFF777F" w14:textId="6A4E1262" w:rsidR="00A53058" w:rsidRPr="00A53058" w:rsidRDefault="00A53058" w:rsidP="00A53058">
      <w:r w:rsidRPr="00E2704A">
        <w:t xml:space="preserve">The dispersed nature of the AMF means that small coastal towns receive income from the activities of </w:t>
      </w:r>
      <w:r>
        <w:t>commercial abalone fishing</w:t>
      </w:r>
      <w:r w:rsidRPr="00E2704A">
        <w:t xml:space="preserve"> (Hart et al. 2013a).</w:t>
      </w:r>
    </w:p>
    <w:p w14:paraId="026F9EE0" w14:textId="1F4E90FD" w:rsidR="00A9559E" w:rsidRPr="00A9559E" w:rsidRDefault="00A9559E" w:rsidP="00A9559E">
      <w:pPr>
        <w:rPr>
          <w:rFonts w:ascii="Arial" w:hAnsi="Arial" w:cs="Arial"/>
          <w:szCs w:val="24"/>
        </w:rPr>
      </w:pPr>
      <w:r w:rsidRPr="00A9559E">
        <w:rPr>
          <w:rFonts w:ascii="Arial" w:hAnsi="Arial" w:cs="Arial"/>
          <w:szCs w:val="24"/>
        </w:rPr>
        <w:t xml:space="preserve">Estimated annual value (to commercial fishers) for 2022 was $2.4 million, based on the estimated average price received by commercial fishers of $165.22/kg meat weight ($61.95/kg whole weight) for Greenlip abalone, and $133.58/kg meat weight ($53.43/kg whole weight) for Brownlip abalone (State of </w:t>
      </w:r>
      <w:r w:rsidR="009F6400">
        <w:rPr>
          <w:rFonts w:ascii="Arial" w:hAnsi="Arial" w:cs="Arial"/>
          <w:szCs w:val="24"/>
        </w:rPr>
        <w:t xml:space="preserve">the </w:t>
      </w:r>
      <w:r w:rsidRPr="00A9559E">
        <w:rPr>
          <w:rFonts w:ascii="Arial" w:hAnsi="Arial" w:cs="Arial"/>
          <w:szCs w:val="24"/>
        </w:rPr>
        <w:t>Fisheries 2022</w:t>
      </w:r>
      <w:r w:rsidR="009F6400">
        <w:rPr>
          <w:rFonts w:ascii="Arial" w:hAnsi="Arial" w:cs="Arial"/>
          <w:szCs w:val="24"/>
        </w:rPr>
        <w:t>-2023</w:t>
      </w:r>
      <w:r w:rsidRPr="00A9559E">
        <w:rPr>
          <w:rFonts w:ascii="Arial" w:hAnsi="Arial" w:cs="Arial"/>
          <w:szCs w:val="24"/>
        </w:rPr>
        <w:t>).</w:t>
      </w:r>
    </w:p>
    <w:p w14:paraId="0DFB2C40" w14:textId="77777777" w:rsidR="00A9559E" w:rsidRPr="00A9559E" w:rsidRDefault="00A9559E" w:rsidP="00B4799B">
      <w:pPr>
        <w:pStyle w:val="Heading4"/>
      </w:pPr>
      <w:bookmarkStart w:id="19" w:name="_Toc171591991"/>
      <w:r w:rsidRPr="00A9559E">
        <w:t>Export potential value</w:t>
      </w:r>
      <w:bookmarkEnd w:id="19"/>
    </w:p>
    <w:p w14:paraId="77DD4B4B" w14:textId="77777777" w:rsidR="00A9559E" w:rsidRPr="00A9559E" w:rsidRDefault="00A9559E" w:rsidP="00A9559E">
      <w:proofErr w:type="gramStart"/>
      <w:r w:rsidRPr="00A9559E">
        <w:t>The majority of</w:t>
      </w:r>
      <w:proofErr w:type="gramEnd"/>
      <w:r w:rsidRPr="00A9559E">
        <w:t xml:space="preserve"> Roe’s, Greenlip and Brownlip abalone are exported overseas, mainly to Asian markets. The economic value of the AMF is strongly affected by the value of the Australian dollar, with a decreased volume of sales when the dollar value is high.  </w:t>
      </w:r>
    </w:p>
    <w:p w14:paraId="7F9E775A" w14:textId="77777777" w:rsidR="00A9559E" w:rsidRPr="00A9559E" w:rsidRDefault="00A9559E" w:rsidP="00A9559E">
      <w:r w:rsidRPr="00A9559E">
        <w:t xml:space="preserve">The international market for abalone has also been periodically affected by financial pressures i.e., the global financial crisis in 2007 depressed the demand for high priced fisheries products, including abalone and overall, during this period prices were significantly reduced, sometimes by as much as 30%. More recently international demand reduced due to the impacts of COVID-19 on overseas markets.   </w:t>
      </w:r>
    </w:p>
    <w:p w14:paraId="7D55A251" w14:textId="4EBA0B12" w:rsidR="00A9559E" w:rsidRPr="00A9559E" w:rsidRDefault="00A9559E" w:rsidP="00A9559E">
      <w:r w:rsidRPr="00A9559E">
        <w:t>Large increases in illegal catches have also affected the world abalone market. It has been estimated that in 2008 the worldwide illegal catch totalled about 5,300 tonnes. The availability of illegal catch has had and continues to have a destabilizing effect on the world market. The dramatic increase in production of abalone from aquaculture over the past 10 years has had a large effect on the dominant species available on the world market, product availability and prices (Cook 2014).</w:t>
      </w:r>
    </w:p>
    <w:p w14:paraId="5940E98C" w14:textId="77777777" w:rsidR="00A9559E" w:rsidRPr="00A9559E" w:rsidRDefault="00A9559E" w:rsidP="00A9559E">
      <w:pPr>
        <w:rPr>
          <w:color w:val="FF0000"/>
        </w:rPr>
      </w:pPr>
      <w:r w:rsidRPr="00A9559E">
        <w:t xml:space="preserve">The AMF is currently on the LENS, allowing export of abalone product overseas until 30 May 2025. </w:t>
      </w:r>
    </w:p>
    <w:p w14:paraId="2A4C7DE5" w14:textId="77777777" w:rsidR="00A9559E" w:rsidRPr="00A9559E" w:rsidRDefault="00A9559E" w:rsidP="00B4799B">
      <w:pPr>
        <w:pStyle w:val="Heading4"/>
      </w:pPr>
      <w:bookmarkStart w:id="20" w:name="_Toc171591992"/>
      <w:r w:rsidRPr="00A9559E">
        <w:t>Recreational fishing value</w:t>
      </w:r>
      <w:bookmarkEnd w:id="20"/>
    </w:p>
    <w:p w14:paraId="53869275" w14:textId="007EEB79" w:rsidR="00A9559E" w:rsidRPr="00A9559E" w:rsidRDefault="00A9559E" w:rsidP="00A9559E">
      <w:r w:rsidRPr="00A9559E">
        <w:t>Recreational fishing for Greenlip, Brownlip and Roe’s abalone can only be undertaken by a person holding a current recreational abalone fishing licence. There are no restrictions on the number of recreational licences issued and in 202</w:t>
      </w:r>
      <w:r w:rsidR="00A53058">
        <w:t>2</w:t>
      </w:r>
      <w:r w:rsidRPr="00A9559E">
        <w:t>-202</w:t>
      </w:r>
      <w:r w:rsidR="00A53058">
        <w:t>3</w:t>
      </w:r>
      <w:r w:rsidRPr="00A9559E">
        <w:t xml:space="preserve"> there were 16,605 licences at a value of $50 per licence generating a return to Government of over $800,000 per year. </w:t>
      </w:r>
    </w:p>
    <w:p w14:paraId="1190DD45" w14:textId="21EFE365" w:rsidR="00B50B38" w:rsidRPr="00156383" w:rsidRDefault="00B50B38" w:rsidP="00B50B38">
      <w:pPr>
        <w:pStyle w:val="Heading2"/>
      </w:pPr>
      <w:bookmarkStart w:id="21" w:name="_Toc176435156"/>
      <w:r>
        <w:lastRenderedPageBreak/>
        <w:t>Management regime</w:t>
      </w:r>
      <w:bookmarkEnd w:id="17"/>
      <w:bookmarkEnd w:id="21"/>
    </w:p>
    <w:p w14:paraId="55EFE565" w14:textId="77777777" w:rsidR="00FA3B61" w:rsidRDefault="00FA3B61" w:rsidP="00FA3B61">
      <w:pPr>
        <w:pStyle w:val="Heading4"/>
      </w:pPr>
      <w:bookmarkStart w:id="22" w:name="_Toc162355686"/>
      <w:r>
        <w:t>Legislative framework</w:t>
      </w:r>
    </w:p>
    <w:p w14:paraId="6F402A15" w14:textId="740EC69D" w:rsidR="00FA3B61" w:rsidRPr="008F5698" w:rsidRDefault="00FA3B61" w:rsidP="00FA3B61">
      <w:pPr>
        <w:jc w:val="both"/>
      </w:pPr>
      <w:r w:rsidRPr="00C22DF7">
        <w:t xml:space="preserve">The </w:t>
      </w:r>
      <w:r w:rsidR="00841E6F">
        <w:t>A</w:t>
      </w:r>
      <w:r>
        <w:t>MF</w:t>
      </w:r>
      <w:r w:rsidRPr="00C22DF7">
        <w:t xml:space="preserve"> </w:t>
      </w:r>
      <w:r>
        <w:t>is</w:t>
      </w:r>
      <w:r w:rsidRPr="00C22DF7">
        <w:t xml:space="preserve"> managed </w:t>
      </w:r>
      <w:r>
        <w:t>by DPIRD under the following legislation</w:t>
      </w:r>
      <w:r w:rsidRPr="008F5698">
        <w:t>:</w:t>
      </w:r>
    </w:p>
    <w:p w14:paraId="0B9B5208" w14:textId="77777777" w:rsidR="00FA3B61" w:rsidRPr="008F5698" w:rsidRDefault="00FA3B61" w:rsidP="00FA4C32">
      <w:pPr>
        <w:numPr>
          <w:ilvl w:val="0"/>
          <w:numId w:val="8"/>
        </w:numPr>
        <w:spacing w:before="120"/>
        <w:ind w:left="714" w:hanging="357"/>
        <w:jc w:val="both"/>
      </w:pPr>
      <w:r w:rsidRPr="007674D5">
        <w:rPr>
          <w:i/>
          <w:iCs/>
        </w:rPr>
        <w:t>Fish Resources Management Act 1994</w:t>
      </w:r>
      <w:r>
        <w:rPr>
          <w:i/>
          <w:iCs/>
        </w:rPr>
        <w:t xml:space="preserve"> </w:t>
      </w:r>
      <w:r>
        <w:t>(FRMA).</w:t>
      </w:r>
    </w:p>
    <w:p w14:paraId="556245DF" w14:textId="77777777" w:rsidR="00FA3B61" w:rsidRDefault="00FA3B61" w:rsidP="00FA4C32">
      <w:pPr>
        <w:numPr>
          <w:ilvl w:val="0"/>
          <w:numId w:val="8"/>
        </w:numPr>
        <w:spacing w:before="120"/>
        <w:ind w:left="714" w:hanging="357"/>
        <w:jc w:val="both"/>
      </w:pPr>
      <w:r w:rsidRPr="007674D5">
        <w:rPr>
          <w:i/>
          <w:iCs/>
        </w:rPr>
        <w:t>Fish Resources Management Regulations 1995</w:t>
      </w:r>
      <w:r>
        <w:rPr>
          <w:i/>
          <w:iCs/>
        </w:rPr>
        <w:t xml:space="preserve"> </w:t>
      </w:r>
      <w:r>
        <w:t>(FRMR).</w:t>
      </w:r>
    </w:p>
    <w:p w14:paraId="3B1D5B45" w14:textId="77777777" w:rsidR="00DC0166" w:rsidRPr="00DC0166" w:rsidRDefault="00DC0166" w:rsidP="00DC0166">
      <w:pPr>
        <w:pStyle w:val="ListParagraph"/>
        <w:numPr>
          <w:ilvl w:val="0"/>
          <w:numId w:val="8"/>
        </w:numPr>
        <w:rPr>
          <w:rStyle w:val="Hyperlink"/>
          <w:rFonts w:ascii="Arial" w:eastAsia="Arial" w:hAnsi="Arial" w:cs="Arial"/>
          <w:i/>
          <w:iCs/>
          <w:szCs w:val="24"/>
        </w:rPr>
      </w:pPr>
      <w:r>
        <w:rPr>
          <w:rFonts w:ascii="Arial" w:eastAsia="Arial" w:hAnsi="Arial" w:cs="Arial"/>
          <w:i/>
          <w:iCs/>
          <w:szCs w:val="24"/>
        </w:rPr>
        <w:fldChar w:fldCharType="begin"/>
      </w:r>
      <w:r w:rsidRPr="00DC0166">
        <w:rPr>
          <w:rFonts w:ascii="Arial" w:eastAsia="Arial" w:hAnsi="Arial" w:cs="Arial"/>
          <w:i/>
          <w:iCs/>
          <w:szCs w:val="24"/>
        </w:rPr>
        <w:instrText>HYPERLINK "https://www.wa.gov.au/system/files/2021-08/Abalone.pdf"</w:instrText>
      </w:r>
      <w:r>
        <w:rPr>
          <w:rFonts w:ascii="Arial" w:eastAsia="Arial" w:hAnsi="Arial" w:cs="Arial"/>
          <w:i/>
          <w:iCs/>
          <w:szCs w:val="24"/>
        </w:rPr>
      </w:r>
      <w:r>
        <w:rPr>
          <w:rFonts w:ascii="Arial" w:eastAsia="Arial" w:hAnsi="Arial" w:cs="Arial"/>
          <w:i/>
          <w:iCs/>
          <w:szCs w:val="24"/>
        </w:rPr>
        <w:fldChar w:fldCharType="separate"/>
      </w:r>
      <w:r w:rsidRPr="00DC0166">
        <w:rPr>
          <w:rStyle w:val="Hyperlink"/>
          <w:rFonts w:ascii="Arial" w:eastAsia="Arial" w:hAnsi="Arial" w:cs="Arial"/>
          <w:i/>
          <w:iCs/>
          <w:szCs w:val="24"/>
        </w:rPr>
        <w:t>A</w:t>
      </w:r>
      <w:r w:rsidRPr="00DC0166">
        <w:rPr>
          <w:rStyle w:val="Hyperlink"/>
          <w:rFonts w:ascii="Arial" w:eastAsia="Arial" w:hAnsi="Arial" w:cs="Arial"/>
          <w:szCs w:val="24"/>
        </w:rPr>
        <w:t>balone</w:t>
      </w:r>
      <w:r w:rsidRPr="00DC0166">
        <w:rPr>
          <w:rStyle w:val="Hyperlink"/>
          <w:rFonts w:ascii="Arial" w:eastAsia="Arial" w:hAnsi="Arial" w:cs="Arial"/>
          <w:i/>
          <w:iCs/>
          <w:szCs w:val="24"/>
        </w:rPr>
        <w:t xml:space="preserve"> Managed Fishery Management Plan 1992</w:t>
      </w:r>
    </w:p>
    <w:p w14:paraId="7545F649" w14:textId="7F01A0C6" w:rsidR="00FA3B61" w:rsidRPr="008F5698" w:rsidRDefault="00DC0166" w:rsidP="008C2DE2">
      <w:r>
        <w:rPr>
          <w:rFonts w:ascii="Arial" w:eastAsia="Arial" w:hAnsi="Arial" w:cs="Arial"/>
          <w:i/>
          <w:iCs/>
          <w:szCs w:val="24"/>
        </w:rPr>
        <w:fldChar w:fldCharType="end"/>
      </w:r>
      <w:r w:rsidR="00FA3B61" w:rsidRPr="008F5698">
        <w:t xml:space="preserve">Fishers must also comply with the requirements of (but not limited to): </w:t>
      </w:r>
    </w:p>
    <w:p w14:paraId="1806534C" w14:textId="12AA4D8C" w:rsidR="00FA3B61" w:rsidRPr="008F5698" w:rsidRDefault="003A167B" w:rsidP="00FA4C32">
      <w:pPr>
        <w:numPr>
          <w:ilvl w:val="0"/>
          <w:numId w:val="8"/>
        </w:numPr>
        <w:spacing w:before="120"/>
        <w:ind w:left="714" w:hanging="357"/>
        <w:jc w:val="both"/>
      </w:pPr>
      <w:r>
        <w:t xml:space="preserve"> </w:t>
      </w:r>
      <w:r w:rsidR="00FA3B61" w:rsidRPr="008F5698">
        <w:t xml:space="preserve">The </w:t>
      </w:r>
      <w:r w:rsidR="00FA3B61" w:rsidRPr="000671AC">
        <w:t>Australian Government</w:t>
      </w:r>
      <w:r w:rsidR="00FA3B61" w:rsidRPr="000671AC">
        <w:rPr>
          <w:i/>
          <w:iCs/>
        </w:rPr>
        <w:t xml:space="preserve"> </w:t>
      </w:r>
      <w:r w:rsidR="00FA3B61" w:rsidRPr="007674D5">
        <w:rPr>
          <w:i/>
          <w:iCs/>
        </w:rPr>
        <w:t>Environment Protection and Biodiversity Conservation Act 1999</w:t>
      </w:r>
      <w:r w:rsidR="00FA3B61">
        <w:t xml:space="preserve"> (EPBC Act).</w:t>
      </w:r>
    </w:p>
    <w:p w14:paraId="45B638FD" w14:textId="77777777" w:rsidR="00FA3B61" w:rsidRPr="008F5698" w:rsidRDefault="00FA3B61" w:rsidP="00FA4C32">
      <w:pPr>
        <w:numPr>
          <w:ilvl w:val="0"/>
          <w:numId w:val="8"/>
        </w:numPr>
        <w:spacing w:before="120"/>
        <w:ind w:left="714" w:hanging="357"/>
        <w:jc w:val="both"/>
      </w:pPr>
      <w:r w:rsidRPr="007674D5">
        <w:rPr>
          <w:i/>
          <w:iCs/>
        </w:rPr>
        <w:t>Marine Safety (Domestic Commercial Vessel) National Law Act 2012</w:t>
      </w:r>
      <w:r>
        <w:t>.</w:t>
      </w:r>
    </w:p>
    <w:p w14:paraId="7AB52C74" w14:textId="77777777" w:rsidR="00FA3B61" w:rsidRPr="008F5698" w:rsidRDefault="00FA3B61" w:rsidP="00FA4C32">
      <w:pPr>
        <w:numPr>
          <w:ilvl w:val="0"/>
          <w:numId w:val="8"/>
        </w:numPr>
        <w:spacing w:before="120"/>
        <w:ind w:left="714" w:hanging="357"/>
        <w:jc w:val="both"/>
      </w:pPr>
      <w:r>
        <w:t>WA</w:t>
      </w:r>
      <w:r w:rsidRPr="007674D5">
        <w:rPr>
          <w:i/>
          <w:iCs/>
        </w:rPr>
        <w:t xml:space="preserve"> Marine Act 1982</w:t>
      </w:r>
      <w:r>
        <w:t>.</w:t>
      </w:r>
    </w:p>
    <w:p w14:paraId="13776996" w14:textId="77777777" w:rsidR="00FA3B61" w:rsidRDefault="00FA3B61" w:rsidP="00FA4C32">
      <w:pPr>
        <w:numPr>
          <w:ilvl w:val="0"/>
          <w:numId w:val="8"/>
        </w:numPr>
        <w:spacing w:before="120"/>
        <w:ind w:left="714" w:hanging="357"/>
        <w:jc w:val="both"/>
      </w:pPr>
      <w:r>
        <w:t>WA</w:t>
      </w:r>
      <w:r w:rsidRPr="007674D5">
        <w:rPr>
          <w:i/>
          <w:iCs/>
        </w:rPr>
        <w:t xml:space="preserve"> </w:t>
      </w:r>
      <w:r>
        <w:rPr>
          <w:i/>
          <w:iCs/>
        </w:rPr>
        <w:t xml:space="preserve">Biodiversity Conservation Act 2016 </w:t>
      </w:r>
      <w:r>
        <w:t>(BCA).</w:t>
      </w:r>
    </w:p>
    <w:p w14:paraId="671A5451" w14:textId="77777777" w:rsidR="00FA3B61" w:rsidRDefault="00FA3B61" w:rsidP="00FA4C32">
      <w:pPr>
        <w:numPr>
          <w:ilvl w:val="0"/>
          <w:numId w:val="8"/>
        </w:numPr>
        <w:spacing w:before="120"/>
        <w:ind w:left="714" w:hanging="357"/>
        <w:jc w:val="both"/>
      </w:pPr>
      <w:r>
        <w:t>WA</w:t>
      </w:r>
      <w:r w:rsidRPr="00156383">
        <w:rPr>
          <w:i/>
          <w:iCs/>
        </w:rPr>
        <w:t xml:space="preserve"> Conservation and Land Management Act 1984.</w:t>
      </w:r>
    </w:p>
    <w:p w14:paraId="1C22077C" w14:textId="3EE843FA" w:rsidR="00FA3B61" w:rsidRDefault="00FA3B61" w:rsidP="00FA3B61">
      <w:pPr>
        <w:spacing w:before="120"/>
        <w:jc w:val="both"/>
        <w:rPr>
          <w:b/>
          <w:bCs/>
        </w:rPr>
      </w:pPr>
      <w:r>
        <w:rPr>
          <w:b/>
          <w:bCs/>
        </w:rPr>
        <w:t xml:space="preserve">Licensing framework </w:t>
      </w:r>
    </w:p>
    <w:p w14:paraId="4F20D011" w14:textId="355D06C5" w:rsidR="00FA3B61" w:rsidRPr="00FA3B61" w:rsidRDefault="00FA3B61" w:rsidP="00FA3B61">
      <w:pPr>
        <w:spacing w:before="120"/>
        <w:jc w:val="both"/>
      </w:pPr>
      <w:r>
        <w:t xml:space="preserve">Commercial fishers in the </w:t>
      </w:r>
      <w:r w:rsidR="00841E6F">
        <w:t>A</w:t>
      </w:r>
      <w:r>
        <w:t>MF are required to have a</w:t>
      </w:r>
      <w:r w:rsidR="00C1729E">
        <w:t>n</w:t>
      </w:r>
      <w:r>
        <w:t xml:space="preserve"> </w:t>
      </w:r>
      <w:r w:rsidR="00841E6F">
        <w:t>Abalone</w:t>
      </w:r>
      <w:r>
        <w:t xml:space="preserve"> </w:t>
      </w:r>
      <w:r w:rsidR="002E5868">
        <w:t>MFL</w:t>
      </w:r>
      <w:r>
        <w:t xml:space="preserve"> to fish in the </w:t>
      </w:r>
      <w:r w:rsidR="00841E6F">
        <w:t>A</w:t>
      </w:r>
      <w:r>
        <w:t xml:space="preserve">MF. </w:t>
      </w:r>
      <w:r w:rsidR="00101B2A">
        <w:t>The</w:t>
      </w:r>
      <w:r w:rsidR="009A76FA">
        <w:t xml:space="preserve">re are a limited number of </w:t>
      </w:r>
      <w:r w:rsidR="00C1729E">
        <w:t xml:space="preserve">licences </w:t>
      </w:r>
      <w:r w:rsidR="009A76FA">
        <w:t xml:space="preserve">in the </w:t>
      </w:r>
      <w:r w:rsidR="00841E6F">
        <w:t>A</w:t>
      </w:r>
      <w:r w:rsidR="009A76FA">
        <w:t>MF</w:t>
      </w:r>
      <w:r w:rsidR="00C6196C">
        <w:t>. In 202</w:t>
      </w:r>
      <w:r w:rsidR="00F50C90">
        <w:t>3/24 the</w:t>
      </w:r>
      <w:r w:rsidR="00DD22B2">
        <w:t xml:space="preserve"> number of </w:t>
      </w:r>
      <w:r w:rsidR="00C1729E">
        <w:t xml:space="preserve">licences </w:t>
      </w:r>
      <w:r w:rsidR="00DD22B2">
        <w:t>was 50</w:t>
      </w:r>
      <w:r w:rsidR="00322CD5" w:rsidRPr="00322CD5">
        <w:t>.</w:t>
      </w:r>
    </w:p>
    <w:p w14:paraId="127A4E19" w14:textId="77777777" w:rsidR="00B50B38" w:rsidRDefault="00B50B38" w:rsidP="00EF41E2">
      <w:pPr>
        <w:pStyle w:val="Heading2"/>
      </w:pPr>
      <w:bookmarkStart w:id="23" w:name="_Toc162355688"/>
      <w:bookmarkStart w:id="24" w:name="_Toc176435157"/>
      <w:bookmarkEnd w:id="22"/>
      <w:r>
        <w:t>Controlling the level of harvest</w:t>
      </w:r>
      <w:bookmarkEnd w:id="23"/>
      <w:bookmarkEnd w:id="24"/>
    </w:p>
    <w:p w14:paraId="50193C15" w14:textId="77777777" w:rsidR="00422A4D" w:rsidRDefault="002E3F55" w:rsidP="002944CD">
      <w:r>
        <w:t xml:space="preserve">The </w:t>
      </w:r>
      <w:r w:rsidR="00BE5348">
        <w:t>A</w:t>
      </w:r>
      <w:r>
        <w:t xml:space="preserve">MF </w:t>
      </w:r>
      <w:r w:rsidR="00AC41ED">
        <w:t xml:space="preserve">is a limited entry fishery </w:t>
      </w:r>
      <w:r w:rsidR="00AA73B8">
        <w:t xml:space="preserve">managed using output controls via an </w:t>
      </w:r>
      <w:r w:rsidR="00A9566D">
        <w:t>Individual Transferable Quota (</w:t>
      </w:r>
      <w:r w:rsidR="00AA73B8">
        <w:t>ITQ</w:t>
      </w:r>
      <w:r w:rsidR="00A9566D">
        <w:t>)</w:t>
      </w:r>
      <w:r w:rsidR="00AA73B8">
        <w:t xml:space="preserve"> system.</w:t>
      </w:r>
      <w:r w:rsidR="00690E48">
        <w:t xml:space="preserve"> </w:t>
      </w:r>
    </w:p>
    <w:p w14:paraId="3849BFB3" w14:textId="31D42F00" w:rsidR="00DE6AF6" w:rsidRDefault="00DE6AF6" w:rsidP="00DE6AF6">
      <w:r w:rsidRPr="00D61DAB">
        <w:t>The T</w:t>
      </w:r>
      <w:r>
        <w:t xml:space="preserve">otal </w:t>
      </w:r>
      <w:r w:rsidRPr="00D61DAB">
        <w:t>A</w:t>
      </w:r>
      <w:r>
        <w:t xml:space="preserve">llowable </w:t>
      </w:r>
      <w:r w:rsidRPr="00D61DAB">
        <w:t>C</w:t>
      </w:r>
      <w:r>
        <w:t xml:space="preserve">ommercial </w:t>
      </w:r>
      <w:r w:rsidRPr="00D61DAB">
        <w:t>C</w:t>
      </w:r>
      <w:r>
        <w:t>atch</w:t>
      </w:r>
      <w:r w:rsidR="006F3F37">
        <w:t>es</w:t>
      </w:r>
      <w:r>
        <w:t xml:space="preserve"> (</w:t>
      </w:r>
      <w:r w:rsidR="003E0CC6">
        <w:t>TACC</w:t>
      </w:r>
      <w:r w:rsidR="006F3F37">
        <w:t>s</w:t>
      </w:r>
      <w:r w:rsidR="003E0CC6">
        <w:t xml:space="preserve">) </w:t>
      </w:r>
      <w:r w:rsidR="005C79C8">
        <w:t xml:space="preserve">are set each year based on the state of </w:t>
      </w:r>
      <w:r w:rsidR="006F3F37">
        <w:t xml:space="preserve">the </w:t>
      </w:r>
      <w:r w:rsidR="005C79C8">
        <w:t>resource relative to species- and area-specific reference levels (RL)</w:t>
      </w:r>
      <w:r w:rsidR="00667606">
        <w:t>.</w:t>
      </w:r>
    </w:p>
    <w:p w14:paraId="0097BC07" w14:textId="78BEA7D0" w:rsidR="00717F7F" w:rsidRDefault="00717F7F" w:rsidP="00717F7F">
      <w:r>
        <w:t>TACC</w:t>
      </w:r>
      <w:r w:rsidR="006F3F37">
        <w:t>s</w:t>
      </w:r>
      <w:r>
        <w:t xml:space="preserve"> </w:t>
      </w:r>
      <w:r w:rsidR="006F3F37">
        <w:t>are</w:t>
      </w:r>
      <w:r>
        <w:t xml:space="preserve"> divided into ITQ units for Roe’s, Greenlip and Brownlip abalone within each management area on AMF MFLs.</w:t>
      </w:r>
    </w:p>
    <w:p w14:paraId="2D335C3A" w14:textId="6BD033C0" w:rsidR="002A7990" w:rsidRDefault="00717F7F" w:rsidP="00717F7F">
      <w:r>
        <w:t>Abalone quota units are currently distributed across areas 1-2 and 5-8 for Roe’s abalone, and areas 1-4 for Greenlip and Brownlip abalone.</w:t>
      </w:r>
    </w:p>
    <w:p w14:paraId="3BF65C6B" w14:textId="45D8E76F" w:rsidR="00717F7F" w:rsidRDefault="00717F7F" w:rsidP="00717F7F">
      <w:r>
        <w:t>The total number of permanent units for Roe’s abalone is:</w:t>
      </w:r>
    </w:p>
    <w:p w14:paraId="4D458D8A" w14:textId="77777777" w:rsidR="002A7990" w:rsidRDefault="00717F7F" w:rsidP="00717F7F">
      <w:pPr>
        <w:pStyle w:val="ListParagraph"/>
        <w:numPr>
          <w:ilvl w:val="0"/>
          <w:numId w:val="21"/>
        </w:numPr>
      </w:pPr>
      <w:r>
        <w:t xml:space="preserve">Area 1 – 1980 units, </w:t>
      </w:r>
    </w:p>
    <w:p w14:paraId="285B3F6A" w14:textId="77777777" w:rsidR="002A7990" w:rsidRDefault="00717F7F" w:rsidP="00717F7F">
      <w:pPr>
        <w:pStyle w:val="ListParagraph"/>
        <w:numPr>
          <w:ilvl w:val="0"/>
          <w:numId w:val="21"/>
        </w:numPr>
      </w:pPr>
      <w:r>
        <w:t xml:space="preserve">Area 2 – 3600 units, </w:t>
      </w:r>
    </w:p>
    <w:p w14:paraId="5E7AB26F" w14:textId="0053C28D" w:rsidR="00717F7F" w:rsidRDefault="00717F7F" w:rsidP="00717F7F">
      <w:pPr>
        <w:pStyle w:val="ListParagraph"/>
        <w:numPr>
          <w:ilvl w:val="0"/>
          <w:numId w:val="21"/>
        </w:numPr>
      </w:pPr>
      <w:r>
        <w:t xml:space="preserve">Area 5 – 4000 units, </w:t>
      </w:r>
    </w:p>
    <w:p w14:paraId="45102B1C" w14:textId="77777777" w:rsidR="002A7990" w:rsidRDefault="00717F7F" w:rsidP="00717F7F">
      <w:pPr>
        <w:pStyle w:val="ListParagraph"/>
        <w:numPr>
          <w:ilvl w:val="0"/>
          <w:numId w:val="21"/>
        </w:numPr>
      </w:pPr>
      <w:r>
        <w:t xml:space="preserve">Area 6 – 2400 units, </w:t>
      </w:r>
    </w:p>
    <w:p w14:paraId="340D5F91" w14:textId="7BF44FE1" w:rsidR="002A7990" w:rsidRDefault="00717F7F" w:rsidP="002A7990">
      <w:pPr>
        <w:pStyle w:val="ListParagraph"/>
        <w:numPr>
          <w:ilvl w:val="0"/>
          <w:numId w:val="21"/>
        </w:numPr>
      </w:pPr>
      <w:r>
        <w:t xml:space="preserve">Area 7 – 7200 units, </w:t>
      </w:r>
    </w:p>
    <w:p w14:paraId="592A86AD" w14:textId="18529AE7" w:rsidR="00717F7F" w:rsidRDefault="00717F7F" w:rsidP="00717F7F">
      <w:pPr>
        <w:pStyle w:val="ListParagraph"/>
        <w:numPr>
          <w:ilvl w:val="0"/>
          <w:numId w:val="21"/>
        </w:numPr>
      </w:pPr>
      <w:r>
        <w:t>Area 8 – 6000 units.</w:t>
      </w:r>
    </w:p>
    <w:p w14:paraId="4F7D77D5" w14:textId="77777777" w:rsidR="00717F7F" w:rsidRDefault="00717F7F" w:rsidP="00717F7F">
      <w:r>
        <w:t xml:space="preserve">The total number of permanent units for Greenlip abalone is: </w:t>
      </w:r>
    </w:p>
    <w:p w14:paraId="44F2FA31" w14:textId="77777777" w:rsidR="002A7990" w:rsidRDefault="00717F7F" w:rsidP="00717F7F">
      <w:pPr>
        <w:pStyle w:val="ListParagraph"/>
        <w:numPr>
          <w:ilvl w:val="0"/>
          <w:numId w:val="22"/>
        </w:numPr>
      </w:pPr>
      <w:r>
        <w:t>Area 1 – 600 units,</w:t>
      </w:r>
    </w:p>
    <w:p w14:paraId="7AAF4C8B" w14:textId="77777777" w:rsidR="002A7990" w:rsidRDefault="00717F7F" w:rsidP="00717F7F">
      <w:pPr>
        <w:pStyle w:val="ListParagraph"/>
        <w:numPr>
          <w:ilvl w:val="0"/>
          <w:numId w:val="22"/>
        </w:numPr>
      </w:pPr>
      <w:r>
        <w:t xml:space="preserve">Area 2 – 6000 units, </w:t>
      </w:r>
    </w:p>
    <w:p w14:paraId="1F1FA4DA" w14:textId="77777777" w:rsidR="002A7990" w:rsidRDefault="00717F7F" w:rsidP="00717F7F">
      <w:pPr>
        <w:pStyle w:val="ListParagraph"/>
        <w:numPr>
          <w:ilvl w:val="0"/>
          <w:numId w:val="22"/>
        </w:numPr>
      </w:pPr>
      <w:r>
        <w:t xml:space="preserve">Area 3 – 7200 units, </w:t>
      </w:r>
    </w:p>
    <w:p w14:paraId="70548374" w14:textId="5F2B1A86" w:rsidR="00E41DB8" w:rsidRDefault="00717F7F" w:rsidP="00717F7F">
      <w:pPr>
        <w:pStyle w:val="ListParagraph"/>
        <w:numPr>
          <w:ilvl w:val="0"/>
          <w:numId w:val="22"/>
        </w:numPr>
      </w:pPr>
      <w:r>
        <w:t>Area 4 – 0   units.</w:t>
      </w:r>
    </w:p>
    <w:p w14:paraId="75587A77" w14:textId="10A6F6BE" w:rsidR="00717F7F" w:rsidRDefault="00717F7F" w:rsidP="00E41DB8">
      <w:r>
        <w:lastRenderedPageBreak/>
        <w:t>The total number of permanent units for Brownlip abalone is:</w:t>
      </w:r>
    </w:p>
    <w:p w14:paraId="4E31D4EC" w14:textId="77777777" w:rsidR="002A7990" w:rsidRDefault="00717F7F" w:rsidP="00E41DB8">
      <w:pPr>
        <w:pStyle w:val="ListParagraph"/>
        <w:numPr>
          <w:ilvl w:val="0"/>
          <w:numId w:val="22"/>
        </w:numPr>
      </w:pPr>
      <w:r>
        <w:t xml:space="preserve">Area 1 – 60 units, </w:t>
      </w:r>
    </w:p>
    <w:p w14:paraId="7FB359B7" w14:textId="77777777" w:rsidR="002A7990" w:rsidRDefault="00717F7F" w:rsidP="00E41DB8">
      <w:pPr>
        <w:pStyle w:val="ListParagraph"/>
        <w:numPr>
          <w:ilvl w:val="0"/>
          <w:numId w:val="22"/>
        </w:numPr>
      </w:pPr>
      <w:r>
        <w:t xml:space="preserve">Area 2 – 1440 units, </w:t>
      </w:r>
    </w:p>
    <w:p w14:paraId="5E5F2B8D" w14:textId="307C78AB" w:rsidR="00717F7F" w:rsidRDefault="00717F7F" w:rsidP="00E41DB8">
      <w:pPr>
        <w:pStyle w:val="ListParagraph"/>
        <w:numPr>
          <w:ilvl w:val="0"/>
          <w:numId w:val="22"/>
        </w:numPr>
      </w:pPr>
      <w:r>
        <w:t xml:space="preserve">Area 3 – 800 units,  </w:t>
      </w:r>
    </w:p>
    <w:p w14:paraId="70CB872F" w14:textId="669A211F" w:rsidR="00F356DB" w:rsidRDefault="00717F7F" w:rsidP="00E41DB8">
      <w:pPr>
        <w:pStyle w:val="ListParagraph"/>
        <w:numPr>
          <w:ilvl w:val="0"/>
          <w:numId w:val="22"/>
        </w:numPr>
      </w:pPr>
      <w:r>
        <w:t>Area 4 – 0 units.</w:t>
      </w:r>
    </w:p>
    <w:p w14:paraId="692358E3" w14:textId="703E2A05" w:rsidR="00BE778F" w:rsidRPr="00BE778F" w:rsidRDefault="00BE778F" w:rsidP="00EF41E2">
      <w:pPr>
        <w:pStyle w:val="Heading2"/>
      </w:pPr>
      <w:bookmarkStart w:id="25" w:name="_Toc171591998"/>
      <w:bookmarkStart w:id="26" w:name="_Toc176435158"/>
      <w:r w:rsidRPr="00BE778F">
        <w:t xml:space="preserve">Recreational Management </w:t>
      </w:r>
      <w:bookmarkEnd w:id="25"/>
      <w:r>
        <w:t>Regime</w:t>
      </w:r>
      <w:bookmarkEnd w:id="26"/>
    </w:p>
    <w:p w14:paraId="0C15E4FE" w14:textId="33AA2F7E" w:rsidR="00BE778F" w:rsidRPr="00BE778F" w:rsidRDefault="00BE778F" w:rsidP="00BE778F">
      <w:r w:rsidRPr="00BE778F">
        <w:t xml:space="preserve">Sectoral allocation between commercial and recreational fishers for the resource only exists for the Perth </w:t>
      </w:r>
      <w:r w:rsidR="00BF29B5">
        <w:t>m</w:t>
      </w:r>
      <w:r w:rsidR="00BF29B5" w:rsidRPr="00BE778F">
        <w:t xml:space="preserve">etropolitan </w:t>
      </w:r>
      <w:r w:rsidRPr="00BE778F">
        <w:t xml:space="preserve">Roe’s </w:t>
      </w:r>
      <w:r w:rsidR="00C1729E">
        <w:t>a</w:t>
      </w:r>
      <w:r w:rsidR="00C1729E" w:rsidRPr="00BE778F">
        <w:t xml:space="preserve">balone </w:t>
      </w:r>
      <w:r w:rsidR="00C1729E">
        <w:t>f</w:t>
      </w:r>
      <w:r w:rsidR="00C1729E" w:rsidRPr="00BE778F">
        <w:t>ishery</w:t>
      </w:r>
      <w:r w:rsidRPr="00BE778F">
        <w:t>, which comprises of Area 7 (commercial) and the Western Zone (</w:t>
      </w:r>
      <w:r w:rsidR="00C1729E">
        <w:t>r</w:t>
      </w:r>
      <w:r w:rsidR="00C1729E" w:rsidRPr="00BE778F">
        <w:t xml:space="preserve">ecreational </w:t>
      </w:r>
      <w:r w:rsidR="00C1729E">
        <w:t>z</w:t>
      </w:r>
      <w:r w:rsidR="00C1729E" w:rsidRPr="00BE778F">
        <w:t xml:space="preserve">one </w:t>
      </w:r>
      <w:r w:rsidRPr="00BE778F">
        <w:t>1)</w:t>
      </w:r>
      <w:r w:rsidR="008C3057">
        <w:t xml:space="preserve"> </w:t>
      </w:r>
      <w:r w:rsidR="008C3057" w:rsidRPr="008C3057">
        <w:rPr>
          <w:b/>
          <w:bCs/>
        </w:rPr>
        <w:t>Figure 2</w:t>
      </w:r>
      <w:r w:rsidR="008C3057">
        <w:t>.</w:t>
      </w:r>
    </w:p>
    <w:p w14:paraId="5381064B" w14:textId="073896C5" w:rsidR="00594198" w:rsidRDefault="00BE778F" w:rsidP="00594198">
      <w:r w:rsidRPr="00BE778F">
        <w:t xml:space="preserve">The </w:t>
      </w:r>
      <w:r w:rsidR="007C6356">
        <w:t>Recreational Abalone Fishery (</w:t>
      </w:r>
      <w:r w:rsidR="007C6356" w:rsidRPr="00BE778F">
        <w:t>RAF</w:t>
      </w:r>
      <w:r w:rsidR="007C6356">
        <w:t xml:space="preserve">) </w:t>
      </w:r>
      <w:r w:rsidR="007C6356" w:rsidRPr="00BE778F">
        <w:t>is</w:t>
      </w:r>
      <w:r w:rsidRPr="00BE778F">
        <w:t xml:space="preserve"> managed via a combination of input and output controls. </w:t>
      </w:r>
      <w:r w:rsidR="00594198" w:rsidRPr="00594198">
        <w:rPr>
          <w:b/>
          <w:bCs/>
        </w:rPr>
        <w:t>Table 1</w:t>
      </w:r>
      <w:r w:rsidR="00594198">
        <w:t xml:space="preserve"> provides a summary of recreational management arrangements. </w:t>
      </w:r>
      <w:r w:rsidRPr="00BE778F">
        <w:t xml:space="preserve">Management measures include -  </w:t>
      </w:r>
    </w:p>
    <w:p w14:paraId="6D0D1722" w14:textId="77777777" w:rsidR="00594198" w:rsidRDefault="00BE778F" w:rsidP="00594198">
      <w:pPr>
        <w:pStyle w:val="ListParagraph"/>
        <w:numPr>
          <w:ilvl w:val="0"/>
          <w:numId w:val="44"/>
        </w:numPr>
      </w:pPr>
      <w:r w:rsidRPr="00BE778F">
        <w:t xml:space="preserve">size, bag and possession limits, </w:t>
      </w:r>
    </w:p>
    <w:p w14:paraId="6D00DA6B" w14:textId="77777777" w:rsidR="00594198" w:rsidRDefault="00BE778F" w:rsidP="00594198">
      <w:pPr>
        <w:pStyle w:val="ListParagraph"/>
        <w:numPr>
          <w:ilvl w:val="0"/>
          <w:numId w:val="44"/>
        </w:numPr>
      </w:pPr>
      <w:r w:rsidRPr="00BE778F">
        <w:t>temporal and spatial closures,</w:t>
      </w:r>
    </w:p>
    <w:p w14:paraId="4DBC8BAF" w14:textId="77777777" w:rsidR="00594198" w:rsidRDefault="00BE778F" w:rsidP="00594198">
      <w:pPr>
        <w:pStyle w:val="ListParagraph"/>
        <w:numPr>
          <w:ilvl w:val="0"/>
          <w:numId w:val="44"/>
        </w:numPr>
      </w:pPr>
      <w:r w:rsidRPr="00BE778F">
        <w:t>requirement of an abalone licence to target any abalone species in WA,</w:t>
      </w:r>
    </w:p>
    <w:p w14:paraId="7C43DCF3" w14:textId="0869610B" w:rsidR="00BE778F" w:rsidRDefault="00BE778F" w:rsidP="00594198">
      <w:pPr>
        <w:pStyle w:val="ListParagraph"/>
        <w:numPr>
          <w:ilvl w:val="0"/>
          <w:numId w:val="44"/>
        </w:numPr>
      </w:pPr>
      <w:r w:rsidRPr="00BE778F">
        <w:t xml:space="preserve">three zones: the Northern Zone, the Western Zone and the Southern Zone. </w:t>
      </w:r>
    </w:p>
    <w:p w14:paraId="7F4F96F8" w14:textId="77777777" w:rsidR="00BB2FC2" w:rsidRDefault="00BB2FC2" w:rsidP="00BB2FC2">
      <w:pPr>
        <w:contextualSpacing/>
      </w:pPr>
    </w:p>
    <w:p w14:paraId="69E54670" w14:textId="77777777" w:rsidR="001D35A4" w:rsidRDefault="00BB2FC2" w:rsidP="001D35A4">
      <w:pPr>
        <w:keepNext/>
        <w:contextualSpacing/>
      </w:pPr>
      <w:r>
        <w:rPr>
          <w:noProof/>
        </w:rPr>
        <w:lastRenderedPageBreak/>
        <w:drawing>
          <wp:inline distT="0" distB="0" distL="0" distR="0" wp14:anchorId="36F814EB" wp14:editId="504530DA">
            <wp:extent cx="6120130" cy="7626194"/>
            <wp:effectExtent l="0" t="0" r="0" b="0"/>
            <wp:docPr id="1600874043" name="Picture 1" descr="Figure 2. Map of AMF and RAF Manage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74043" name="Picture 1" descr="Figure 2. Map of AMF and RAF Management Are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7626194"/>
                    </a:xfrm>
                    <a:prstGeom prst="rect">
                      <a:avLst/>
                    </a:prstGeom>
                    <a:noFill/>
                  </pic:spPr>
                </pic:pic>
              </a:graphicData>
            </a:graphic>
          </wp:inline>
        </w:drawing>
      </w:r>
    </w:p>
    <w:p w14:paraId="118B88FB" w14:textId="0833E2B9" w:rsidR="00BB2FC2" w:rsidRDefault="001D35A4" w:rsidP="001D35A4">
      <w:pPr>
        <w:pStyle w:val="Caption"/>
      </w:pPr>
      <w:r w:rsidRPr="001D35A4">
        <w:rPr>
          <w:b/>
          <w:bCs/>
        </w:rPr>
        <w:t xml:space="preserve">Figure </w:t>
      </w:r>
      <w:r w:rsidRPr="001D35A4">
        <w:rPr>
          <w:b/>
          <w:bCs/>
        </w:rPr>
        <w:fldChar w:fldCharType="begin"/>
      </w:r>
      <w:r w:rsidRPr="001D35A4">
        <w:rPr>
          <w:b/>
          <w:bCs/>
        </w:rPr>
        <w:instrText xml:space="preserve"> SEQ Figure \* ARABIC </w:instrText>
      </w:r>
      <w:r w:rsidRPr="001D35A4">
        <w:rPr>
          <w:b/>
          <w:bCs/>
        </w:rPr>
        <w:fldChar w:fldCharType="separate"/>
      </w:r>
      <w:r w:rsidR="00DD0274">
        <w:rPr>
          <w:b/>
          <w:bCs/>
          <w:noProof/>
        </w:rPr>
        <w:t>2</w:t>
      </w:r>
      <w:r w:rsidRPr="001D35A4">
        <w:rPr>
          <w:b/>
          <w:bCs/>
        </w:rPr>
        <w:fldChar w:fldCharType="end"/>
      </w:r>
      <w:r>
        <w:t xml:space="preserve">. </w:t>
      </w:r>
      <w:r w:rsidRPr="00C80492">
        <w:t>Map of AMF and RAF Management Areas.</w:t>
      </w:r>
    </w:p>
    <w:p w14:paraId="33B7FFB8" w14:textId="77777777" w:rsidR="00BE778F" w:rsidRDefault="00BE778F" w:rsidP="00C1729E">
      <w:pPr>
        <w:contextualSpacing/>
      </w:pPr>
    </w:p>
    <w:p w14:paraId="188677B0" w14:textId="77777777" w:rsidR="00C1729E" w:rsidRDefault="00C1729E" w:rsidP="00C1729E">
      <w:pPr>
        <w:contextualSpacing/>
      </w:pPr>
    </w:p>
    <w:p w14:paraId="78B2F0BE" w14:textId="77777777" w:rsidR="00C1729E" w:rsidRPr="00BE778F" w:rsidRDefault="00C1729E" w:rsidP="00293B4F">
      <w:pPr>
        <w:contextualSpacing/>
      </w:pPr>
    </w:p>
    <w:p w14:paraId="52805402" w14:textId="34DE91E0" w:rsidR="00BE778F" w:rsidRPr="00BE778F" w:rsidRDefault="00BE778F" w:rsidP="00BE778F">
      <w:r w:rsidRPr="00BE778F">
        <w:lastRenderedPageBreak/>
        <w:t xml:space="preserve">The Western Zone is the centre of the RAF and includes the Perth </w:t>
      </w:r>
      <w:r w:rsidR="00BF29B5">
        <w:t>m</w:t>
      </w:r>
      <w:r w:rsidR="00BF29B5" w:rsidRPr="00BE778F">
        <w:t xml:space="preserve">etro </w:t>
      </w:r>
      <w:r w:rsidR="00BF29B5">
        <w:t>f</w:t>
      </w:r>
      <w:r w:rsidR="00BF29B5" w:rsidRPr="00BE778F">
        <w:t>ishery</w:t>
      </w:r>
      <w:r w:rsidRPr="00BE778F">
        <w:t xml:space="preserve">. The Western Zone is highly regulated and only permitted for four x 1 hour sessions per year, which can be reduced or extended if in-season monitoring shows </w:t>
      </w:r>
      <w:r w:rsidR="00971B96">
        <w:t xml:space="preserve">it </w:t>
      </w:r>
      <w:r w:rsidRPr="00BE778F">
        <w:t xml:space="preserve">is necessary to protect stocks. </w:t>
      </w:r>
    </w:p>
    <w:p w14:paraId="2023A2C6" w14:textId="36A5B7E1" w:rsidR="00BE778F" w:rsidRPr="00BE778F" w:rsidRDefault="00BE778F" w:rsidP="00BE778F">
      <w:r w:rsidRPr="00BE778F">
        <w:t xml:space="preserve">The Northern Zone </w:t>
      </w:r>
      <w:r w:rsidR="00C00C1A">
        <w:t xml:space="preserve">in the RAF </w:t>
      </w:r>
      <w:r w:rsidR="009A0D72">
        <w:t>(</w:t>
      </w:r>
      <w:r w:rsidR="00C00C1A">
        <w:t>corresponding to Area 8 of the AMF</w:t>
      </w:r>
      <w:r w:rsidR="009A0D72">
        <w:t>)</w:t>
      </w:r>
      <w:r w:rsidR="00C00C1A">
        <w:t xml:space="preserve"> </w:t>
      </w:r>
      <w:r w:rsidRPr="00BE778F">
        <w:t xml:space="preserve">and the </w:t>
      </w:r>
      <w:r w:rsidR="00C00C1A">
        <w:t xml:space="preserve">northern end of the </w:t>
      </w:r>
      <w:r w:rsidRPr="00BE778F">
        <w:t xml:space="preserve">Western Zone </w:t>
      </w:r>
      <w:r w:rsidR="00C00C1A">
        <w:t>(</w:t>
      </w:r>
      <w:r w:rsidR="009A0D72">
        <w:t>Order 2011-</w:t>
      </w:r>
      <w:r w:rsidR="009A0D72" w:rsidRPr="009A0D72">
        <w:t xml:space="preserve">Prohibition on taking Abalone </w:t>
      </w:r>
      <w:r w:rsidR="009A0D72">
        <w:t>n</w:t>
      </w:r>
      <w:r w:rsidR="009A0D72" w:rsidRPr="009A0D72">
        <w:t xml:space="preserve">orth of Moore River) </w:t>
      </w:r>
      <w:r w:rsidRPr="00BE778F">
        <w:t xml:space="preserve">has been closed </w:t>
      </w:r>
      <w:r w:rsidR="00C00C1A">
        <w:t xml:space="preserve">to both recreational and commercial fishing </w:t>
      </w:r>
      <w:r w:rsidRPr="00BE778F">
        <w:t xml:space="preserve">since 2011 due to a catastrophic mortality (99.9%) associated with a marine heatwave. The Southern zone is dominated by catches of Greenlip and Brownlip </w:t>
      </w:r>
      <w:r w:rsidR="00C1729E">
        <w:t>a</w:t>
      </w:r>
      <w:r w:rsidR="00C1729E" w:rsidRPr="00BE778F">
        <w:t>balone</w:t>
      </w:r>
      <w:r w:rsidRPr="00BE778F">
        <w:t xml:space="preserve">. </w:t>
      </w:r>
    </w:p>
    <w:p w14:paraId="12285BCD" w14:textId="7ECD8486" w:rsidR="00BE778F" w:rsidRPr="00BE778F" w:rsidRDefault="00BE778F" w:rsidP="00BE778F">
      <w:pPr>
        <w:keepNext/>
        <w:spacing w:after="240"/>
        <w:rPr>
          <w:color w:val="000000" w:themeColor="text1"/>
          <w:sz w:val="22"/>
        </w:rPr>
      </w:pPr>
      <w:r w:rsidRPr="00BE778F">
        <w:rPr>
          <w:b/>
          <w:bCs/>
          <w:color w:val="000000" w:themeColor="text1"/>
          <w:sz w:val="22"/>
        </w:rPr>
        <w:t xml:space="preserve">Table </w:t>
      </w:r>
      <w:r w:rsidR="00611A32">
        <w:rPr>
          <w:b/>
          <w:bCs/>
          <w:color w:val="000000" w:themeColor="text1"/>
          <w:sz w:val="22"/>
        </w:rPr>
        <w:fldChar w:fldCharType="begin"/>
      </w:r>
      <w:r w:rsidR="00611A32">
        <w:rPr>
          <w:b/>
          <w:bCs/>
          <w:color w:val="000000" w:themeColor="text1"/>
          <w:sz w:val="22"/>
        </w:rPr>
        <w:instrText xml:space="preserve"> SEQ Table \* ARABIC </w:instrText>
      </w:r>
      <w:r w:rsidR="00611A32">
        <w:rPr>
          <w:b/>
          <w:bCs/>
          <w:color w:val="000000" w:themeColor="text1"/>
          <w:sz w:val="22"/>
        </w:rPr>
        <w:fldChar w:fldCharType="separate"/>
      </w:r>
      <w:r w:rsidR="00611A32">
        <w:rPr>
          <w:b/>
          <w:bCs/>
          <w:noProof/>
          <w:color w:val="000000" w:themeColor="text1"/>
          <w:sz w:val="22"/>
        </w:rPr>
        <w:t>1</w:t>
      </w:r>
      <w:r w:rsidR="00611A32">
        <w:rPr>
          <w:b/>
          <w:bCs/>
          <w:color w:val="000000" w:themeColor="text1"/>
          <w:sz w:val="22"/>
        </w:rPr>
        <w:fldChar w:fldCharType="end"/>
      </w:r>
      <w:r w:rsidRPr="00BE778F">
        <w:rPr>
          <w:b/>
          <w:bCs/>
          <w:color w:val="000000" w:themeColor="text1"/>
          <w:sz w:val="22"/>
        </w:rPr>
        <w:t>.</w:t>
      </w:r>
      <w:r w:rsidRPr="00BE778F">
        <w:rPr>
          <w:color w:val="000000" w:themeColor="text1"/>
          <w:sz w:val="22"/>
        </w:rPr>
        <w:t xml:space="preserve"> Recreational Management Arrangements.</w:t>
      </w:r>
    </w:p>
    <w:tbl>
      <w:tblPr>
        <w:tblStyle w:val="TableGrid3"/>
        <w:tblW w:w="0" w:type="auto"/>
        <w:tblLook w:val="04A0" w:firstRow="1" w:lastRow="0" w:firstColumn="1" w:lastColumn="0" w:noHBand="0" w:noVBand="1"/>
      </w:tblPr>
      <w:tblGrid>
        <w:gridCol w:w="1502"/>
        <w:gridCol w:w="5809"/>
        <w:gridCol w:w="2317"/>
      </w:tblGrid>
      <w:tr w:rsidR="00BE778F" w:rsidRPr="00BE778F" w14:paraId="25A62AFA" w14:textId="77777777" w:rsidTr="00B50CB3">
        <w:trPr>
          <w:cnfStyle w:val="100000000000" w:firstRow="1" w:lastRow="0" w:firstColumn="0" w:lastColumn="0" w:oddVBand="0" w:evenVBand="0" w:oddHBand="0" w:evenHBand="0" w:firstRowFirstColumn="0" w:firstRowLastColumn="0" w:lastRowFirstColumn="0" w:lastRowLastColumn="0"/>
          <w:trHeight w:val="300"/>
        </w:trPr>
        <w:tc>
          <w:tcPr>
            <w:tcW w:w="1502" w:type="dxa"/>
          </w:tcPr>
          <w:p w14:paraId="31568118" w14:textId="77777777" w:rsidR="00BE778F" w:rsidRPr="00BE778F" w:rsidRDefault="00BE778F" w:rsidP="00BE778F">
            <w:pPr>
              <w:rPr>
                <w:b w:val="0"/>
                <w:color w:val="auto"/>
              </w:rPr>
            </w:pPr>
            <w:r w:rsidRPr="00BE778F">
              <w:rPr>
                <w:b w:val="0"/>
                <w:color w:val="auto"/>
              </w:rPr>
              <w:t>Measure</w:t>
            </w:r>
          </w:p>
        </w:tc>
        <w:tc>
          <w:tcPr>
            <w:tcW w:w="5809" w:type="dxa"/>
          </w:tcPr>
          <w:p w14:paraId="5EA34358" w14:textId="77777777" w:rsidR="00BE778F" w:rsidRPr="00BE778F" w:rsidRDefault="00BE778F" w:rsidP="00BE778F">
            <w:pPr>
              <w:rPr>
                <w:b w:val="0"/>
                <w:color w:val="auto"/>
              </w:rPr>
            </w:pPr>
            <w:r w:rsidRPr="00BE778F">
              <w:rPr>
                <w:b w:val="0"/>
                <w:color w:val="auto"/>
              </w:rPr>
              <w:t>Description</w:t>
            </w:r>
          </w:p>
        </w:tc>
        <w:tc>
          <w:tcPr>
            <w:tcW w:w="2317" w:type="dxa"/>
          </w:tcPr>
          <w:p w14:paraId="385B67B4" w14:textId="77777777" w:rsidR="00BE778F" w:rsidRPr="00BE778F" w:rsidRDefault="00BE778F" w:rsidP="00BE778F">
            <w:pPr>
              <w:rPr>
                <w:b w:val="0"/>
                <w:color w:val="auto"/>
              </w:rPr>
            </w:pPr>
            <w:r w:rsidRPr="00BE778F">
              <w:rPr>
                <w:b w:val="0"/>
                <w:color w:val="auto"/>
              </w:rPr>
              <w:t>Instrument</w:t>
            </w:r>
          </w:p>
        </w:tc>
      </w:tr>
      <w:tr w:rsidR="00BE778F" w:rsidRPr="00BE778F" w14:paraId="080B6DA6" w14:textId="77777777" w:rsidTr="00B50CB3">
        <w:trPr>
          <w:trHeight w:val="2862"/>
        </w:trPr>
        <w:tc>
          <w:tcPr>
            <w:tcW w:w="1502" w:type="dxa"/>
          </w:tcPr>
          <w:p w14:paraId="72CB7057" w14:textId="77777777" w:rsidR="00BE778F" w:rsidRPr="00BE778F" w:rsidRDefault="00BE778F" w:rsidP="00BE778F">
            <w:pPr>
              <w:rPr>
                <w:b/>
                <w:bCs/>
              </w:rPr>
            </w:pPr>
            <w:r w:rsidRPr="00BE778F">
              <w:rPr>
                <w:b/>
                <w:bCs/>
              </w:rPr>
              <w:t>Bag limits</w:t>
            </w:r>
          </w:p>
        </w:tc>
        <w:tc>
          <w:tcPr>
            <w:tcW w:w="5809" w:type="dxa"/>
          </w:tcPr>
          <w:p w14:paraId="01A1AA4D" w14:textId="70BDED66" w:rsidR="00BE778F" w:rsidRPr="00BE778F" w:rsidRDefault="00BE778F" w:rsidP="00BE778F">
            <w:r w:rsidRPr="00BE778F">
              <w:t xml:space="preserve">Roe’s </w:t>
            </w:r>
            <w:r w:rsidR="00C1729E">
              <w:t>a</w:t>
            </w:r>
            <w:r w:rsidR="00C1729E" w:rsidRPr="00BE778F">
              <w:t>balone</w:t>
            </w:r>
          </w:p>
          <w:p w14:paraId="320F06A5" w14:textId="77777777" w:rsidR="00BE778F" w:rsidRPr="00BE778F" w:rsidRDefault="00BE778F" w:rsidP="00BE778F">
            <w:pPr>
              <w:numPr>
                <w:ilvl w:val="0"/>
                <w:numId w:val="29"/>
              </w:numPr>
              <w:contextualSpacing/>
            </w:pPr>
            <w:r w:rsidRPr="00BE778F">
              <w:t>15 per fisher per session in the West Coast Zone (Zone 1)</w:t>
            </w:r>
          </w:p>
          <w:p w14:paraId="057EA40A" w14:textId="77777777" w:rsidR="00BE778F" w:rsidRPr="00BE778F" w:rsidRDefault="00BE778F" w:rsidP="00BE778F">
            <w:pPr>
              <w:numPr>
                <w:ilvl w:val="0"/>
                <w:numId w:val="29"/>
              </w:numPr>
              <w:contextualSpacing/>
            </w:pPr>
            <w:r w:rsidRPr="00BE778F">
              <w:t xml:space="preserve">20 per fisher per day in the Southern Zone (Zone 3) </w:t>
            </w:r>
          </w:p>
          <w:p w14:paraId="6667C62C" w14:textId="77777777" w:rsidR="00BE778F" w:rsidRPr="00BE778F" w:rsidRDefault="00BE778F" w:rsidP="00BE778F">
            <w:r w:rsidRPr="00BE778F">
              <w:t>Greenlip/Brownlip abalone (combined)</w:t>
            </w:r>
          </w:p>
          <w:p w14:paraId="362A6076" w14:textId="77777777" w:rsidR="00BE778F" w:rsidRPr="00BE778F" w:rsidRDefault="00BE778F" w:rsidP="00BE778F">
            <w:pPr>
              <w:numPr>
                <w:ilvl w:val="0"/>
                <w:numId w:val="30"/>
              </w:numPr>
              <w:contextualSpacing/>
            </w:pPr>
            <w:r w:rsidRPr="00BE778F">
              <w:t>5 per fisher per day</w:t>
            </w:r>
          </w:p>
          <w:p w14:paraId="12C36231" w14:textId="77777777" w:rsidR="00BE778F" w:rsidRPr="00BE778F" w:rsidRDefault="00BE778F" w:rsidP="00BE778F">
            <w:pPr>
              <w:numPr>
                <w:ilvl w:val="0"/>
                <w:numId w:val="30"/>
              </w:numPr>
              <w:contextualSpacing/>
            </w:pPr>
            <w:r w:rsidRPr="00BE778F">
              <w:t xml:space="preserve">Where take of Greenlip abalone is prohibited, a bag limit of 5 Brownlip applies. </w:t>
            </w:r>
          </w:p>
        </w:tc>
        <w:tc>
          <w:tcPr>
            <w:tcW w:w="2317" w:type="dxa"/>
          </w:tcPr>
          <w:p w14:paraId="6C9AA4AD" w14:textId="77777777" w:rsidR="00BE778F" w:rsidRPr="00BE778F" w:rsidRDefault="006055F5" w:rsidP="00BE778F">
            <w:pPr>
              <w:rPr>
                <w:rFonts w:ascii="Arial" w:hAnsi="Arial" w:cs="Arial"/>
                <w:i/>
                <w:iCs/>
              </w:rPr>
            </w:pPr>
            <w:hyperlink r:id="rId21">
              <w:r w:rsidR="00BE778F" w:rsidRPr="00BE778F">
                <w:rPr>
                  <w:rFonts w:ascii="Arial" w:hAnsi="Arial" w:cs="Arial"/>
                  <w:i/>
                  <w:iCs/>
                  <w:color w:val="000000" w:themeColor="hyperlink"/>
                  <w:u w:val="single"/>
                </w:rPr>
                <w:t xml:space="preserve"> Fish Resources Management Regulations 1995</w:t>
              </w:r>
            </w:hyperlink>
            <w:r w:rsidR="00BE778F" w:rsidRPr="00BE778F">
              <w:rPr>
                <w:rFonts w:ascii="Arial" w:hAnsi="Arial" w:cs="Arial"/>
                <w:i/>
                <w:iCs/>
                <w:color w:val="000000" w:themeColor="hyperlink"/>
                <w:u w:val="single"/>
              </w:rPr>
              <w:t xml:space="preserve"> Schedule 3 Division 7</w:t>
            </w:r>
          </w:p>
          <w:p w14:paraId="03AC6781" w14:textId="77777777" w:rsidR="00BE778F" w:rsidRPr="00BE778F" w:rsidRDefault="00BE778F" w:rsidP="00BE778F"/>
        </w:tc>
      </w:tr>
      <w:tr w:rsidR="00BE778F" w:rsidRPr="00BE778F" w14:paraId="78B1F000" w14:textId="77777777" w:rsidTr="00B50CB3">
        <w:trPr>
          <w:trHeight w:val="1472"/>
        </w:trPr>
        <w:tc>
          <w:tcPr>
            <w:tcW w:w="1502" w:type="dxa"/>
          </w:tcPr>
          <w:p w14:paraId="397A2C1B" w14:textId="77777777" w:rsidR="00BE778F" w:rsidRPr="00BE778F" w:rsidRDefault="00BE778F" w:rsidP="00BE778F">
            <w:pPr>
              <w:rPr>
                <w:b/>
                <w:bCs/>
              </w:rPr>
            </w:pPr>
            <w:r w:rsidRPr="00BE778F">
              <w:rPr>
                <w:b/>
                <w:bCs/>
              </w:rPr>
              <w:t>Size limits</w:t>
            </w:r>
          </w:p>
        </w:tc>
        <w:tc>
          <w:tcPr>
            <w:tcW w:w="5809" w:type="dxa"/>
          </w:tcPr>
          <w:p w14:paraId="1EFAE77F" w14:textId="5E40AF70" w:rsidR="00BE778F" w:rsidRPr="00BE778F" w:rsidRDefault="00BE778F" w:rsidP="00BE778F">
            <w:pPr>
              <w:numPr>
                <w:ilvl w:val="0"/>
                <w:numId w:val="31"/>
              </w:numPr>
              <w:contextualSpacing/>
            </w:pPr>
            <w:r w:rsidRPr="00BE778F">
              <w:t xml:space="preserve">Brownlip </w:t>
            </w:r>
            <w:r w:rsidR="00C1729E">
              <w:t>a</w:t>
            </w:r>
            <w:r w:rsidR="00C1729E" w:rsidRPr="00BE778F">
              <w:t xml:space="preserve">balone </w:t>
            </w:r>
            <w:r w:rsidRPr="00BE778F">
              <w:t>140mm</w:t>
            </w:r>
          </w:p>
          <w:p w14:paraId="1A8FA4E4" w14:textId="1E718333" w:rsidR="00BE778F" w:rsidRPr="00BE778F" w:rsidRDefault="00BE778F" w:rsidP="00BE778F">
            <w:pPr>
              <w:numPr>
                <w:ilvl w:val="0"/>
                <w:numId w:val="31"/>
              </w:numPr>
              <w:contextualSpacing/>
            </w:pPr>
            <w:r w:rsidRPr="00BE778F">
              <w:t xml:space="preserve">Greenlip </w:t>
            </w:r>
            <w:r w:rsidR="00C1729E">
              <w:t>a</w:t>
            </w:r>
            <w:r w:rsidR="00C1729E" w:rsidRPr="00BE778F">
              <w:t xml:space="preserve">balone </w:t>
            </w:r>
            <w:r w:rsidRPr="00BE778F">
              <w:t>140mm</w:t>
            </w:r>
          </w:p>
          <w:p w14:paraId="13B589AF" w14:textId="77777777" w:rsidR="00BE778F" w:rsidRPr="00BE778F" w:rsidRDefault="00BE778F" w:rsidP="00BE778F">
            <w:pPr>
              <w:numPr>
                <w:ilvl w:val="0"/>
                <w:numId w:val="31"/>
              </w:numPr>
              <w:contextualSpacing/>
            </w:pPr>
            <w:r w:rsidRPr="00BE778F">
              <w:t>Abalone Roe’s 60mm</w:t>
            </w:r>
          </w:p>
        </w:tc>
        <w:tc>
          <w:tcPr>
            <w:tcW w:w="2317" w:type="dxa"/>
          </w:tcPr>
          <w:p w14:paraId="366FC3A9" w14:textId="77777777" w:rsidR="00BE778F" w:rsidRPr="00BE778F" w:rsidRDefault="006055F5" w:rsidP="00BE778F">
            <w:pPr>
              <w:rPr>
                <w:rFonts w:ascii="Arial" w:hAnsi="Arial" w:cs="Arial"/>
                <w:i/>
                <w:iCs/>
              </w:rPr>
            </w:pPr>
            <w:hyperlink r:id="rId22">
              <w:r w:rsidR="00BE778F" w:rsidRPr="00BE778F">
                <w:rPr>
                  <w:rFonts w:ascii="Arial" w:hAnsi="Arial" w:cs="Arial"/>
                  <w:i/>
                  <w:iCs/>
                  <w:color w:val="000000" w:themeColor="hyperlink"/>
                  <w:u w:val="single"/>
                </w:rPr>
                <w:t>Fish Resources Management Regulations 1995</w:t>
              </w:r>
            </w:hyperlink>
            <w:r w:rsidR="00BE778F" w:rsidRPr="00BE778F">
              <w:rPr>
                <w:rFonts w:ascii="Arial" w:hAnsi="Arial" w:cs="Arial"/>
                <w:i/>
                <w:iCs/>
                <w:color w:val="000000" w:themeColor="hyperlink"/>
                <w:u w:val="single"/>
              </w:rPr>
              <w:t xml:space="preserve"> Schedule 2 Part 3 Division 6 </w:t>
            </w:r>
          </w:p>
        </w:tc>
      </w:tr>
      <w:tr w:rsidR="00BE778F" w:rsidRPr="00BE778F" w14:paraId="113AC20E" w14:textId="77777777" w:rsidTr="00B50CB3">
        <w:trPr>
          <w:trHeight w:val="1472"/>
        </w:trPr>
        <w:tc>
          <w:tcPr>
            <w:tcW w:w="1502" w:type="dxa"/>
          </w:tcPr>
          <w:p w14:paraId="5D512663" w14:textId="77777777" w:rsidR="00BE778F" w:rsidRPr="00BE778F" w:rsidRDefault="00BE778F" w:rsidP="00BE778F">
            <w:pPr>
              <w:rPr>
                <w:b/>
                <w:bCs/>
              </w:rPr>
            </w:pPr>
            <w:r w:rsidRPr="00BE778F">
              <w:rPr>
                <w:b/>
                <w:bCs/>
              </w:rPr>
              <w:t>Effort restrictions</w:t>
            </w:r>
          </w:p>
        </w:tc>
        <w:tc>
          <w:tcPr>
            <w:tcW w:w="5809" w:type="dxa"/>
          </w:tcPr>
          <w:p w14:paraId="0D3A7D82" w14:textId="77777777" w:rsidR="00BE778F" w:rsidRPr="00BE778F" w:rsidDel="001721D4" w:rsidRDefault="00BE778F" w:rsidP="00BE778F">
            <w:r w:rsidRPr="00BE778F">
              <w:t xml:space="preserve">Diving for abalone using breathing apparatus prohibited in Abalone Zone 1 (West Coast Zone). </w:t>
            </w:r>
          </w:p>
        </w:tc>
        <w:tc>
          <w:tcPr>
            <w:tcW w:w="2317" w:type="dxa"/>
          </w:tcPr>
          <w:p w14:paraId="17ED9A07" w14:textId="77777777" w:rsidR="00BE778F" w:rsidRPr="00BE778F" w:rsidDel="001721D4" w:rsidRDefault="006055F5" w:rsidP="00BE778F">
            <w:pPr>
              <w:rPr>
                <w:rFonts w:ascii="Arial" w:hAnsi="Arial" w:cs="Arial"/>
                <w:i/>
                <w:iCs/>
              </w:rPr>
            </w:pPr>
            <w:hyperlink r:id="rId23">
              <w:r w:rsidR="00BE778F" w:rsidRPr="00BE778F">
                <w:rPr>
                  <w:rFonts w:ascii="Arial" w:hAnsi="Arial" w:cs="Arial"/>
                  <w:i/>
                  <w:iCs/>
                  <w:color w:val="000000" w:themeColor="hyperlink"/>
                  <w:u w:val="single"/>
                </w:rPr>
                <w:t>Fish Resources Management Regulations 1995</w:t>
              </w:r>
            </w:hyperlink>
            <w:r w:rsidR="00BE778F" w:rsidRPr="00BE778F">
              <w:rPr>
                <w:rFonts w:ascii="Arial" w:hAnsi="Arial" w:cs="Arial"/>
                <w:i/>
                <w:iCs/>
                <w:color w:val="000000" w:themeColor="hyperlink"/>
                <w:u w:val="single"/>
              </w:rPr>
              <w:t xml:space="preserve"> Part 4, Division 5B r 38E</w:t>
            </w:r>
          </w:p>
        </w:tc>
      </w:tr>
      <w:tr w:rsidR="00BE778F" w:rsidRPr="00BE778F" w14:paraId="1473B0BF" w14:textId="77777777" w:rsidTr="00B50CB3">
        <w:trPr>
          <w:trHeight w:val="1458"/>
        </w:trPr>
        <w:tc>
          <w:tcPr>
            <w:tcW w:w="1502" w:type="dxa"/>
          </w:tcPr>
          <w:p w14:paraId="16335FD1" w14:textId="77777777" w:rsidR="00BE778F" w:rsidRPr="00BE778F" w:rsidRDefault="00BE778F" w:rsidP="00BE778F">
            <w:pPr>
              <w:rPr>
                <w:b/>
                <w:bCs/>
              </w:rPr>
            </w:pPr>
            <w:r w:rsidRPr="00BE778F">
              <w:rPr>
                <w:b/>
                <w:bCs/>
              </w:rPr>
              <w:t>Gear Restrictions</w:t>
            </w:r>
          </w:p>
        </w:tc>
        <w:tc>
          <w:tcPr>
            <w:tcW w:w="5809" w:type="dxa"/>
          </w:tcPr>
          <w:p w14:paraId="4BEF8867" w14:textId="77777777" w:rsidR="00BE778F" w:rsidRPr="00BE778F" w:rsidRDefault="00BE778F" w:rsidP="00BE778F">
            <w:r w:rsidRPr="00BE778F">
              <w:t>Possession of fishing gear in Abalone Zone outside fishing season (1) A person must not, in Abalone Zone 1, 2 or 3, be in possession of any fishing gear capable of being used to take abalone at any time other than during the fishing season for that Abalone Zone.</w:t>
            </w:r>
          </w:p>
        </w:tc>
        <w:tc>
          <w:tcPr>
            <w:tcW w:w="2317" w:type="dxa"/>
          </w:tcPr>
          <w:p w14:paraId="3F50A917" w14:textId="77777777" w:rsidR="00BE778F" w:rsidRPr="00BE778F" w:rsidRDefault="006055F5" w:rsidP="00BE778F">
            <w:hyperlink r:id="rId24">
              <w:r w:rsidR="00BE778F" w:rsidRPr="00BE778F">
                <w:rPr>
                  <w:rFonts w:ascii="Arial" w:hAnsi="Arial" w:cs="Arial"/>
                  <w:i/>
                  <w:iCs/>
                  <w:color w:val="000000" w:themeColor="hyperlink"/>
                  <w:u w:val="single"/>
                </w:rPr>
                <w:t>Fish Resources Management Regulations 1995</w:t>
              </w:r>
            </w:hyperlink>
            <w:r w:rsidR="00BE778F" w:rsidRPr="00BE778F">
              <w:rPr>
                <w:rFonts w:ascii="Arial" w:hAnsi="Arial" w:cs="Arial"/>
                <w:i/>
                <w:iCs/>
                <w:color w:val="000000" w:themeColor="hyperlink"/>
                <w:u w:val="single"/>
              </w:rPr>
              <w:t xml:space="preserve"> Part 4, Division 5B r 38EA</w:t>
            </w:r>
          </w:p>
        </w:tc>
      </w:tr>
      <w:tr w:rsidR="00BE778F" w:rsidRPr="00BE778F" w14:paraId="01D0524A" w14:textId="77777777" w:rsidTr="00B50CB3">
        <w:trPr>
          <w:trHeight w:val="300"/>
        </w:trPr>
        <w:tc>
          <w:tcPr>
            <w:tcW w:w="1502" w:type="dxa"/>
          </w:tcPr>
          <w:p w14:paraId="35505D9D" w14:textId="77777777" w:rsidR="00BE778F" w:rsidRPr="00BE778F" w:rsidRDefault="00BE778F" w:rsidP="00BE778F">
            <w:pPr>
              <w:rPr>
                <w:b/>
                <w:bCs/>
              </w:rPr>
            </w:pPr>
            <w:r w:rsidRPr="00BE778F">
              <w:rPr>
                <w:b/>
                <w:bCs/>
              </w:rPr>
              <w:t>Seasons</w:t>
            </w:r>
          </w:p>
        </w:tc>
        <w:tc>
          <w:tcPr>
            <w:tcW w:w="5809" w:type="dxa"/>
          </w:tcPr>
          <w:p w14:paraId="67241BC9" w14:textId="77777777" w:rsidR="00BE778F" w:rsidRPr="00BE778F" w:rsidRDefault="00BE778F" w:rsidP="00BE778F">
            <w:r w:rsidRPr="00BE778F">
              <w:t>In this Division —</w:t>
            </w:r>
          </w:p>
          <w:p w14:paraId="6F4AE05C" w14:textId="77777777" w:rsidR="00BE778F" w:rsidRPr="00BE778F" w:rsidRDefault="00BE778F" w:rsidP="00BE778F">
            <w:r w:rsidRPr="00BE778F">
              <w:t>fishing season means —</w:t>
            </w:r>
          </w:p>
          <w:p w14:paraId="268E0A4E" w14:textId="77777777" w:rsidR="00BE778F" w:rsidRPr="00BE778F" w:rsidRDefault="00BE778F" w:rsidP="00BE778F">
            <w:r w:rsidRPr="00BE778F">
              <w:t xml:space="preserve">(a) for Abalone Zone 1, between 7 am and 8 am on the second Saturday in January, the first and third </w:t>
            </w:r>
            <w:r w:rsidRPr="00BE778F">
              <w:lastRenderedPageBreak/>
              <w:t>Saturdays in February and the second Saturday in December in any year; and</w:t>
            </w:r>
          </w:p>
          <w:p w14:paraId="322E26EE" w14:textId="77777777" w:rsidR="00BE778F" w:rsidRPr="00BE778F" w:rsidRDefault="00BE778F" w:rsidP="00BE778F">
            <w:r w:rsidRPr="00BE778F">
              <w:t>(b) for Abalone Zones 2 and 3, the period beginning on 1 October in any year and ending on 15 May in the following year.</w:t>
            </w:r>
          </w:p>
        </w:tc>
        <w:tc>
          <w:tcPr>
            <w:tcW w:w="2317" w:type="dxa"/>
          </w:tcPr>
          <w:p w14:paraId="2F985513" w14:textId="77777777" w:rsidR="00BE778F" w:rsidRPr="00BE778F" w:rsidRDefault="006055F5" w:rsidP="00BE778F">
            <w:pPr>
              <w:rPr>
                <w:rFonts w:ascii="Arial" w:hAnsi="Arial" w:cs="Arial"/>
                <w:i/>
                <w:iCs/>
              </w:rPr>
            </w:pPr>
            <w:hyperlink r:id="rId25">
              <w:r w:rsidR="00BE778F" w:rsidRPr="00BE778F">
                <w:rPr>
                  <w:rFonts w:ascii="Arial" w:hAnsi="Arial" w:cs="Arial"/>
                  <w:i/>
                  <w:iCs/>
                  <w:color w:val="000000" w:themeColor="hyperlink"/>
                  <w:u w:val="single"/>
                </w:rPr>
                <w:t>Fish Resources Management Regulations 1995</w:t>
              </w:r>
            </w:hyperlink>
            <w:r w:rsidR="00BE778F" w:rsidRPr="00BE778F">
              <w:rPr>
                <w:rFonts w:ascii="Arial" w:hAnsi="Arial" w:cs="Arial"/>
                <w:i/>
                <w:iCs/>
                <w:color w:val="000000" w:themeColor="hyperlink"/>
                <w:u w:val="single"/>
              </w:rPr>
              <w:t xml:space="preserve"> Part 4, Division 5B r 38DB</w:t>
            </w:r>
          </w:p>
          <w:p w14:paraId="020480DD" w14:textId="77777777" w:rsidR="00BE778F" w:rsidRPr="00BE778F" w:rsidRDefault="00BE778F" w:rsidP="00BE778F"/>
        </w:tc>
      </w:tr>
      <w:tr w:rsidR="00BE778F" w:rsidRPr="00BE778F" w14:paraId="0F3AE443" w14:textId="77777777" w:rsidTr="00B50CB3">
        <w:trPr>
          <w:trHeight w:val="1540"/>
        </w:trPr>
        <w:tc>
          <w:tcPr>
            <w:tcW w:w="1502" w:type="dxa"/>
          </w:tcPr>
          <w:p w14:paraId="2FF1969C" w14:textId="77777777" w:rsidR="00BE778F" w:rsidRPr="00BE778F" w:rsidRDefault="00BE778F" w:rsidP="00BE778F">
            <w:pPr>
              <w:rPr>
                <w:b/>
                <w:bCs/>
              </w:rPr>
            </w:pPr>
            <w:r w:rsidRPr="00BE778F">
              <w:rPr>
                <w:b/>
                <w:bCs/>
              </w:rPr>
              <w:lastRenderedPageBreak/>
              <w:t>Spatial Closures</w:t>
            </w:r>
          </w:p>
        </w:tc>
        <w:tc>
          <w:tcPr>
            <w:tcW w:w="5809" w:type="dxa"/>
          </w:tcPr>
          <w:p w14:paraId="622BB236" w14:textId="1CF36F74" w:rsidR="00BE778F" w:rsidRPr="00BE778F" w:rsidRDefault="00BE778F" w:rsidP="00BE778F">
            <w:pPr>
              <w:numPr>
                <w:ilvl w:val="0"/>
                <w:numId w:val="32"/>
              </w:numPr>
              <w:contextualSpacing/>
              <w:rPr>
                <w:rFonts w:ascii="Arial" w:hAnsi="Arial" w:cs="Arial"/>
                <w:szCs w:val="24"/>
              </w:rPr>
            </w:pPr>
            <w:r w:rsidRPr="00BE778F">
              <w:rPr>
                <w:rFonts w:ascii="Arial" w:hAnsi="Arial" w:cs="Arial"/>
                <w:szCs w:val="24"/>
              </w:rPr>
              <w:t xml:space="preserve">Prohibition on Recreational Fishing for Greenlip </w:t>
            </w:r>
            <w:r w:rsidR="00C1729E">
              <w:rPr>
                <w:rFonts w:ascii="Arial" w:hAnsi="Arial" w:cs="Arial"/>
                <w:szCs w:val="24"/>
              </w:rPr>
              <w:t>a</w:t>
            </w:r>
            <w:r w:rsidR="00C1729E" w:rsidRPr="00BE778F">
              <w:rPr>
                <w:rFonts w:ascii="Arial" w:hAnsi="Arial" w:cs="Arial"/>
                <w:szCs w:val="24"/>
              </w:rPr>
              <w:t xml:space="preserve">balone </w:t>
            </w:r>
            <w:r w:rsidRPr="00BE778F">
              <w:rPr>
                <w:rFonts w:ascii="Arial" w:hAnsi="Arial" w:cs="Arial"/>
                <w:szCs w:val="24"/>
              </w:rPr>
              <w:t xml:space="preserve">(Busselton Jetty to Shoal Cape) Order 2023 </w:t>
            </w:r>
          </w:p>
          <w:p w14:paraId="4160A81F" w14:textId="393D94DC" w:rsidR="00BE778F" w:rsidRPr="00BE778F" w:rsidRDefault="00BE778F" w:rsidP="00BE778F">
            <w:pPr>
              <w:numPr>
                <w:ilvl w:val="0"/>
                <w:numId w:val="32"/>
              </w:numPr>
              <w:contextualSpacing/>
              <w:rPr>
                <w:rFonts w:ascii="Arial" w:hAnsi="Arial" w:cs="Arial"/>
                <w:szCs w:val="24"/>
              </w:rPr>
            </w:pPr>
            <w:bookmarkStart w:id="27" w:name="_Hlk174707779"/>
            <w:r w:rsidRPr="00BE778F">
              <w:rPr>
                <w:rFonts w:ascii="Arial" w:hAnsi="Arial" w:cs="Arial"/>
                <w:szCs w:val="24"/>
              </w:rPr>
              <w:t xml:space="preserve">Prohibition on taking </w:t>
            </w:r>
            <w:r w:rsidR="00C1729E">
              <w:rPr>
                <w:rFonts w:ascii="Arial" w:hAnsi="Arial" w:cs="Arial"/>
                <w:szCs w:val="24"/>
              </w:rPr>
              <w:t>a</w:t>
            </w:r>
            <w:r w:rsidR="00C1729E" w:rsidRPr="00BE778F">
              <w:rPr>
                <w:rFonts w:ascii="Arial" w:hAnsi="Arial" w:cs="Arial"/>
                <w:szCs w:val="24"/>
              </w:rPr>
              <w:t xml:space="preserve">balone </w:t>
            </w:r>
            <w:r w:rsidRPr="00BE778F">
              <w:rPr>
                <w:rFonts w:ascii="Arial" w:hAnsi="Arial" w:cs="Arial"/>
                <w:szCs w:val="24"/>
              </w:rPr>
              <w:t>(North of Moore River) Order 2011</w:t>
            </w:r>
            <w:bookmarkEnd w:id="27"/>
          </w:p>
        </w:tc>
        <w:tc>
          <w:tcPr>
            <w:tcW w:w="2317" w:type="dxa"/>
          </w:tcPr>
          <w:p w14:paraId="341E7352" w14:textId="77777777" w:rsidR="00BE778F" w:rsidRPr="00BE778F" w:rsidRDefault="00BE778F" w:rsidP="00BE778F">
            <w:r w:rsidRPr="00BE778F">
              <w:t>FRMA Section 43 Order</w:t>
            </w:r>
          </w:p>
        </w:tc>
      </w:tr>
    </w:tbl>
    <w:p w14:paraId="3A2FAD4E" w14:textId="77777777" w:rsidR="00BE778F" w:rsidRDefault="00BE778F" w:rsidP="00BE778F"/>
    <w:p w14:paraId="18AC7AB6" w14:textId="77777777" w:rsidR="00B50B38" w:rsidRDefault="00B50B38" w:rsidP="00EF41E2">
      <w:pPr>
        <w:pStyle w:val="Heading2"/>
      </w:pPr>
      <w:bookmarkStart w:id="28" w:name="_Toc162355689"/>
      <w:bookmarkStart w:id="29" w:name="_Toc176435159"/>
      <w:r>
        <w:t>Harvest Strategy</w:t>
      </w:r>
      <w:bookmarkEnd w:id="28"/>
      <w:bookmarkEnd w:id="29"/>
    </w:p>
    <w:p w14:paraId="5C793003" w14:textId="4ED36117" w:rsidR="00957A66" w:rsidRDefault="00093E49" w:rsidP="007278F0">
      <w:pPr>
        <w:rPr>
          <w:rStyle w:val="Hyperlink"/>
          <w:u w:val="none"/>
        </w:rPr>
      </w:pPr>
      <w:r>
        <w:t xml:space="preserve">The </w:t>
      </w:r>
      <w:r w:rsidR="005B6B22">
        <w:t>A</w:t>
      </w:r>
      <w:r>
        <w:t>MF</w:t>
      </w:r>
      <w:r w:rsidR="0068022A">
        <w:t xml:space="preserve"> and the RAF</w:t>
      </w:r>
      <w:r>
        <w:t xml:space="preserve"> </w:t>
      </w:r>
      <w:r w:rsidR="0068022A">
        <w:t>are</w:t>
      </w:r>
      <w:r>
        <w:t xml:space="preserve"> currently managed in accordance with the </w:t>
      </w:r>
      <w:hyperlink r:id="rId26" w:history="1">
        <w:r w:rsidR="00994F5C" w:rsidRPr="00AC721F">
          <w:rPr>
            <w:rStyle w:val="Hyperlink"/>
          </w:rPr>
          <w:t xml:space="preserve">Abalone Resource of Western Australia Harvest Strategy Version 2.2. (October 2023) Fisheries Management Paper No. 283. </w:t>
        </w:r>
      </w:hyperlink>
      <w:r w:rsidR="00571821" w:rsidRPr="00571821">
        <w:t xml:space="preserve"> </w:t>
      </w:r>
      <w:r w:rsidR="00571821" w:rsidRPr="00571821">
        <w:rPr>
          <w:rStyle w:val="Hyperlink"/>
          <w:u w:val="none"/>
        </w:rPr>
        <w:t xml:space="preserve">The </w:t>
      </w:r>
      <w:r w:rsidR="00BF29B5">
        <w:rPr>
          <w:rStyle w:val="Hyperlink"/>
          <w:u w:val="none"/>
        </w:rPr>
        <w:t xml:space="preserve">harvest strategy </w:t>
      </w:r>
      <w:r w:rsidR="00AC721F">
        <w:rPr>
          <w:rStyle w:val="Hyperlink"/>
          <w:u w:val="none"/>
        </w:rPr>
        <w:t>(</w:t>
      </w:r>
      <w:r w:rsidR="00DC4AC0">
        <w:rPr>
          <w:rStyle w:val="Hyperlink"/>
          <w:u w:val="none"/>
        </w:rPr>
        <w:t>HS</w:t>
      </w:r>
      <w:r w:rsidR="00AC721F">
        <w:rPr>
          <w:rStyle w:val="Hyperlink"/>
          <w:u w:val="none"/>
        </w:rPr>
        <w:t>)</w:t>
      </w:r>
      <w:r w:rsidR="00571821" w:rsidRPr="00571821">
        <w:rPr>
          <w:rStyle w:val="Hyperlink"/>
          <w:u w:val="none"/>
        </w:rPr>
        <w:t xml:space="preserve"> was developed in 201</w:t>
      </w:r>
      <w:r w:rsidR="00162F0C">
        <w:rPr>
          <w:rStyle w:val="Hyperlink"/>
          <w:u w:val="none"/>
        </w:rPr>
        <w:t>7</w:t>
      </w:r>
      <w:r w:rsidR="00571821" w:rsidRPr="00571821">
        <w:rPr>
          <w:rStyle w:val="Hyperlink"/>
          <w:u w:val="none"/>
        </w:rPr>
        <w:t xml:space="preserve"> </w:t>
      </w:r>
      <w:r w:rsidR="00CE5BE7">
        <w:rPr>
          <w:rStyle w:val="Hyperlink"/>
          <w:u w:val="none"/>
        </w:rPr>
        <w:t xml:space="preserve">with </w:t>
      </w:r>
      <w:r w:rsidR="00D763C5">
        <w:rPr>
          <w:rStyle w:val="Hyperlink"/>
          <w:u w:val="none"/>
        </w:rPr>
        <w:t xml:space="preserve">the </w:t>
      </w:r>
      <w:r w:rsidR="00AC721F">
        <w:rPr>
          <w:rStyle w:val="Hyperlink"/>
          <w:u w:val="none"/>
        </w:rPr>
        <w:t>WA Fishing Industry Council (</w:t>
      </w:r>
      <w:r w:rsidR="00957A66" w:rsidRPr="00957A66">
        <w:rPr>
          <w:rStyle w:val="Hyperlink"/>
          <w:u w:val="none"/>
        </w:rPr>
        <w:t>WAFIC</w:t>
      </w:r>
      <w:r w:rsidR="00AC721F">
        <w:rPr>
          <w:rStyle w:val="Hyperlink"/>
          <w:u w:val="none"/>
        </w:rPr>
        <w:t>)</w:t>
      </w:r>
      <w:r w:rsidR="00957A66" w:rsidRPr="00957A66">
        <w:rPr>
          <w:rStyle w:val="Hyperlink"/>
          <w:u w:val="none"/>
        </w:rPr>
        <w:t xml:space="preserve"> and </w:t>
      </w:r>
      <w:r w:rsidR="00AC721F">
        <w:rPr>
          <w:rStyle w:val="Hyperlink"/>
          <w:u w:val="none"/>
        </w:rPr>
        <w:t>Recfishwest (</w:t>
      </w:r>
      <w:r w:rsidR="00957A66" w:rsidRPr="00957A66">
        <w:rPr>
          <w:rStyle w:val="Hyperlink"/>
          <w:u w:val="none"/>
        </w:rPr>
        <w:t>RFW</w:t>
      </w:r>
      <w:r w:rsidR="00AC721F">
        <w:rPr>
          <w:rStyle w:val="Hyperlink"/>
          <w:u w:val="none"/>
        </w:rPr>
        <w:t>)</w:t>
      </w:r>
      <w:r w:rsidR="00957A66" w:rsidRPr="00957A66">
        <w:rPr>
          <w:rStyle w:val="Hyperlink"/>
          <w:u w:val="none"/>
        </w:rPr>
        <w:t xml:space="preserve"> as the key sources of coordinated </w:t>
      </w:r>
      <w:r w:rsidR="00CE5BE7">
        <w:rPr>
          <w:rStyle w:val="Hyperlink"/>
          <w:u w:val="none"/>
        </w:rPr>
        <w:t>consultation</w:t>
      </w:r>
      <w:r w:rsidR="00957A66" w:rsidRPr="00957A66">
        <w:rPr>
          <w:rStyle w:val="Hyperlink"/>
          <w:u w:val="none"/>
        </w:rPr>
        <w:t xml:space="preserve"> for the commercial and recreational sectors, respectively.</w:t>
      </w:r>
    </w:p>
    <w:p w14:paraId="494CB098" w14:textId="77777777" w:rsidR="00DC4AC0" w:rsidRDefault="00DC4AC0" w:rsidP="00DC4AC0">
      <w:pPr>
        <w:jc w:val="both"/>
      </w:pPr>
      <w:r>
        <w:t xml:space="preserve">The HS involves two interrelated decision-making processes: </w:t>
      </w:r>
    </w:p>
    <w:p w14:paraId="1E1F9F12" w14:textId="58E1C6A5" w:rsidR="00DC4AC0" w:rsidRDefault="00DC4AC0" w:rsidP="00DC4AC0">
      <w:pPr>
        <w:pStyle w:val="ListParagraph"/>
        <w:numPr>
          <w:ilvl w:val="0"/>
          <w:numId w:val="23"/>
        </w:numPr>
        <w:spacing w:after="0"/>
        <w:ind w:left="357" w:hanging="357"/>
      </w:pPr>
      <w:r>
        <w:t xml:space="preserve">The first constitutes the formal review of targeted stocks and other ecological assets against defined </w:t>
      </w:r>
      <w:r w:rsidR="005C1D0B">
        <w:t xml:space="preserve">RL </w:t>
      </w:r>
      <w:r>
        <w:t xml:space="preserve">to determine performance against management objectives relating to ecological sustainability. </w:t>
      </w:r>
    </w:p>
    <w:p w14:paraId="3E2645F0" w14:textId="77777777" w:rsidR="00DC4AC0" w:rsidRDefault="00DC4AC0" w:rsidP="00DC4AC0">
      <w:pPr>
        <w:pStyle w:val="ListParagraph"/>
        <w:numPr>
          <w:ilvl w:val="0"/>
          <w:numId w:val="23"/>
        </w:numPr>
        <w:spacing w:after="0"/>
        <w:ind w:left="357" w:hanging="357"/>
        <w:jc w:val="both"/>
      </w:pPr>
      <w:r>
        <w:t>The second process involves an annual fishery-level review that determines whether the current catch/effort by each of the relevant fisheries/sectors is consistent with the levels expected when ecological objectives are met.</w:t>
      </w:r>
    </w:p>
    <w:p w14:paraId="56A71E11" w14:textId="77777777" w:rsidR="00DC4AC0" w:rsidRDefault="00DC4AC0" w:rsidP="00DC4AC0">
      <w:pPr>
        <w:jc w:val="both"/>
      </w:pPr>
    </w:p>
    <w:p w14:paraId="5D55DE34" w14:textId="498E5642" w:rsidR="00DC4AC0" w:rsidRDefault="00DC4AC0" w:rsidP="00DC4AC0">
      <w:pPr>
        <w:jc w:val="both"/>
        <w:rPr>
          <w:rFonts w:ascii="Arial" w:hAnsi="Arial" w:cs="Arial"/>
          <w:szCs w:val="24"/>
        </w:rPr>
      </w:pPr>
      <w:r w:rsidRPr="00AB5DF5">
        <w:t>In addition to ensuring the biological sustainability of all captured aquatic resources, th</w:t>
      </w:r>
      <w:r>
        <w:t>e</w:t>
      </w:r>
      <w:r w:rsidRPr="00AB5DF5">
        <w:t xml:space="preserve"> </w:t>
      </w:r>
      <w:r>
        <w:t>HS</w:t>
      </w:r>
      <w:r w:rsidRPr="00AB5DF5">
        <w:t xml:space="preserve"> includes broader ecological objectives for each </w:t>
      </w:r>
      <w:r>
        <w:t xml:space="preserve">relevant </w:t>
      </w:r>
      <w:r w:rsidRPr="00AB5DF5">
        <w:t xml:space="preserve">ecosystem component, as </w:t>
      </w:r>
      <w:r>
        <w:t xml:space="preserve">well as high-level </w:t>
      </w:r>
      <w:r w:rsidRPr="00AB5DF5">
        <w:t>social and economic objective</w:t>
      </w:r>
      <w:r>
        <w:t>s for the sectors</w:t>
      </w:r>
      <w:r w:rsidRPr="00AB5DF5">
        <w:t xml:space="preserve"> </w:t>
      </w:r>
      <w:r>
        <w:t>targeting this resource</w:t>
      </w:r>
      <w:r w:rsidRPr="00AB5DF5">
        <w:t>. It is important to note that the social and economic objective</w:t>
      </w:r>
      <w:r>
        <w:t>s</w:t>
      </w:r>
      <w:r w:rsidRPr="00AB5DF5">
        <w:t xml:space="preserve"> </w:t>
      </w:r>
      <w:r>
        <w:t>are</w:t>
      </w:r>
      <w:r w:rsidRPr="00AB5DF5">
        <w:t xml:space="preserve"> applied within the context of </w:t>
      </w:r>
      <w:r w:rsidR="001C5452">
        <w:t>Ecological Sustainable Development (</w:t>
      </w:r>
      <w:r w:rsidRPr="00AB5DF5">
        <w:t>ESD</w:t>
      </w:r>
      <w:r w:rsidR="001C5452">
        <w:t>)</w:t>
      </w:r>
      <w:r>
        <w:t xml:space="preserve"> and are considered once the ecological objectives have been met.</w:t>
      </w:r>
    </w:p>
    <w:p w14:paraId="386AB236" w14:textId="27593B67" w:rsidR="007B502B" w:rsidRDefault="00BB2AD4" w:rsidP="007278F0">
      <w:r>
        <w:t>Under the HS w</w:t>
      </w:r>
      <w:r w:rsidRPr="0073288A">
        <w:t xml:space="preserve">hen the </w:t>
      </w:r>
      <w:r w:rsidR="001C5452">
        <w:t>Performance Indicator (</w:t>
      </w:r>
      <w:r>
        <w:t>PI</w:t>
      </w:r>
      <w:r w:rsidR="001C5452">
        <w:t>)</w:t>
      </w:r>
      <w:r w:rsidRPr="0073288A">
        <w:t xml:space="preserve"> in a management area falls below the target and/or threshold </w:t>
      </w:r>
      <w:r>
        <w:t>RL</w:t>
      </w:r>
      <w:r w:rsidRPr="0073288A">
        <w:t xml:space="preserve">, the extent to which the annual </w:t>
      </w:r>
      <w:r w:rsidR="001C5452">
        <w:t>Sustainable Harvest Level (</w:t>
      </w:r>
      <w:r w:rsidRPr="0073288A">
        <w:t>SHL</w:t>
      </w:r>
      <w:r w:rsidR="001C5452">
        <w:t>)</w:t>
      </w:r>
      <w:r w:rsidRPr="0073288A">
        <w:t xml:space="preserve"> for the following year will be reduced is reflective of how far the indicator has fallen from the target/threshold </w:t>
      </w:r>
      <w:r>
        <w:t>RL</w:t>
      </w:r>
      <w:r w:rsidRPr="0073288A">
        <w:t xml:space="preserve"> (</w:t>
      </w:r>
      <w:r w:rsidRPr="000952E0">
        <w:rPr>
          <w:b/>
          <w:bCs/>
        </w:rPr>
        <w:t xml:space="preserve">Figure </w:t>
      </w:r>
      <w:r w:rsidR="00650D69" w:rsidRPr="000952E0">
        <w:rPr>
          <w:b/>
          <w:bCs/>
        </w:rPr>
        <w:t>3</w:t>
      </w:r>
      <w:r w:rsidRPr="0073288A">
        <w:t xml:space="preserve">). This allows for a precautionary approach to management, with reductions in catches addressed in a timely manner to minimise the risk of the indicator reaching the limit </w:t>
      </w:r>
      <w:r>
        <w:t>RL</w:t>
      </w:r>
      <w:r w:rsidRPr="0073288A">
        <w:t xml:space="preserve">. </w:t>
      </w:r>
    </w:p>
    <w:p w14:paraId="53E2F9E1" w14:textId="77777777" w:rsidR="00DD0274" w:rsidRDefault="00D44146" w:rsidP="00DD0274">
      <w:pPr>
        <w:keepNext/>
      </w:pPr>
      <w:r>
        <w:rPr>
          <w:noProof/>
        </w:rPr>
        <w:lastRenderedPageBreak/>
        <w:drawing>
          <wp:inline distT="0" distB="0" distL="0" distR="0" wp14:anchorId="460E2AE8" wp14:editId="57FE3476">
            <wp:extent cx="6120130" cy="3014980"/>
            <wp:effectExtent l="0" t="0" r="0" b="0"/>
            <wp:docPr id="1066475660" name="Picture 1" descr="Figure 3 Schematic of how the harvest control rules are applied to managing the abalone resource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75660" name="Picture 1" descr="Figure 3 Schematic of how the harvest control rules are applied to managing the abalone resource of Western Australia"/>
                    <pic:cNvPicPr/>
                  </pic:nvPicPr>
                  <pic:blipFill>
                    <a:blip r:embed="rId27">
                      <a:extLst>
                        <a:ext uri="{28A0092B-C50C-407E-A947-70E740481C1C}">
                          <a14:useLocalDpi xmlns:a14="http://schemas.microsoft.com/office/drawing/2010/main" val="0"/>
                        </a:ext>
                      </a:extLst>
                    </a:blip>
                    <a:stretch>
                      <a:fillRect/>
                    </a:stretch>
                  </pic:blipFill>
                  <pic:spPr>
                    <a:xfrm>
                      <a:off x="0" y="0"/>
                      <a:ext cx="6120130" cy="3014980"/>
                    </a:xfrm>
                    <a:prstGeom prst="rect">
                      <a:avLst/>
                    </a:prstGeom>
                  </pic:spPr>
                </pic:pic>
              </a:graphicData>
            </a:graphic>
          </wp:inline>
        </w:drawing>
      </w:r>
    </w:p>
    <w:p w14:paraId="7D28B3CC" w14:textId="15146C94" w:rsidR="006737A3" w:rsidRDefault="00DD0274" w:rsidP="00DD0274">
      <w:pPr>
        <w:pStyle w:val="Caption"/>
      </w:pPr>
      <w:r w:rsidRPr="00DD0274">
        <w:rPr>
          <w:b/>
          <w:bCs/>
        </w:rPr>
        <w:t xml:space="preserve">Figure </w:t>
      </w:r>
      <w:r w:rsidRPr="00DD0274">
        <w:rPr>
          <w:b/>
          <w:bCs/>
        </w:rPr>
        <w:fldChar w:fldCharType="begin"/>
      </w:r>
      <w:r w:rsidRPr="00DD0274">
        <w:rPr>
          <w:b/>
          <w:bCs/>
        </w:rPr>
        <w:instrText xml:space="preserve"> SEQ Figure \* ARABIC </w:instrText>
      </w:r>
      <w:r w:rsidRPr="00DD0274">
        <w:rPr>
          <w:b/>
          <w:bCs/>
        </w:rPr>
        <w:fldChar w:fldCharType="separate"/>
      </w:r>
      <w:r w:rsidRPr="00DD0274">
        <w:rPr>
          <w:b/>
          <w:bCs/>
          <w:noProof/>
        </w:rPr>
        <w:t>3</w:t>
      </w:r>
      <w:r w:rsidRPr="00DD0274">
        <w:rPr>
          <w:b/>
          <w:bCs/>
        </w:rPr>
        <w:fldChar w:fldCharType="end"/>
      </w:r>
      <w:r>
        <w:t xml:space="preserve"> </w:t>
      </w:r>
      <w:r w:rsidRPr="006F0B15">
        <w:t>Schematic of how the harvest control rules are applied to managing the abalone resource of Western Australia.</w:t>
      </w:r>
    </w:p>
    <w:p w14:paraId="60104E1F" w14:textId="43E7FEDE" w:rsidR="00A916BA" w:rsidRPr="008E1EC3" w:rsidRDefault="008E1EC3" w:rsidP="001C111F">
      <w:pPr>
        <w:pStyle w:val="Heading3"/>
      </w:pPr>
      <w:bookmarkStart w:id="30" w:name="_Toc176435160"/>
      <w:r w:rsidRPr="008E1EC3">
        <w:t>Harvest Strategy for Roe’s Abalone -Area 7-Perth Metropolitan Region</w:t>
      </w:r>
      <w:bookmarkEnd w:id="30"/>
      <w:r w:rsidRPr="008E1EC3">
        <w:t xml:space="preserve"> </w:t>
      </w:r>
    </w:p>
    <w:p w14:paraId="00F63C6E" w14:textId="17238B96" w:rsidR="000952E0" w:rsidRDefault="001D23CF" w:rsidP="001D23CF">
      <w:r w:rsidRPr="001D23CF">
        <w:t>For Roe’s abalone in the Perth metropolitan fishery, evidence on future harvest sized stock abundance is used as the primary PI and obtained from a stock prediction model (</w:t>
      </w:r>
      <w:r w:rsidRPr="001C111F">
        <w:rPr>
          <w:b/>
          <w:bCs/>
        </w:rPr>
        <w:t xml:space="preserve">Figure </w:t>
      </w:r>
      <w:r w:rsidR="001C111F" w:rsidRPr="001C111F">
        <w:rPr>
          <w:b/>
          <w:bCs/>
        </w:rPr>
        <w:t>4</w:t>
      </w:r>
      <w:r w:rsidRPr="001D23CF">
        <w:t xml:space="preserve">). It uses evidence from annual recruitment surveys of Age 1+ animals, combined with the average summer sea surface temperature (SST, i.e. January – March) during the four-year period in which the Age 1+ cohort grows to harvest size, to predict the availability of harvest size stock (density of abalone ≥71 mm in length) in the target year. </w:t>
      </w:r>
    </w:p>
    <w:p w14:paraId="206264E3" w14:textId="68E25990" w:rsidR="001D23CF" w:rsidRPr="001D23CF" w:rsidRDefault="001D23CF" w:rsidP="001D23CF">
      <w:r w:rsidRPr="001D23CF">
        <w:t xml:space="preserve">Such a model is only possible in </w:t>
      </w:r>
      <w:r w:rsidR="00D763C5">
        <w:t xml:space="preserve">the </w:t>
      </w:r>
      <w:r w:rsidRPr="001D23CF">
        <w:t>Perth metropolitan Roe’s abalone fishery because there is a 20-year time series trend of fishery-independent survey data at both fished and unfished sites.</w:t>
      </w:r>
    </w:p>
    <w:p w14:paraId="530061E1" w14:textId="77777777" w:rsidR="00650D69" w:rsidRDefault="001D23CF" w:rsidP="00650D69">
      <w:pPr>
        <w:keepNext/>
        <w:jc w:val="center"/>
      </w:pPr>
      <w:r w:rsidRPr="001D23CF">
        <w:rPr>
          <w:noProof/>
          <w:lang w:eastAsia="en-AU"/>
        </w:rPr>
        <w:lastRenderedPageBreak/>
        <w:drawing>
          <wp:inline distT="0" distB="0" distL="0" distR="0" wp14:anchorId="23338450" wp14:editId="3473A960">
            <wp:extent cx="4014000" cy="3600000"/>
            <wp:effectExtent l="0" t="0" r="5715" b="635"/>
            <wp:docPr id="17" name="Picture 17" descr="Figure 4 Density (per m2) and expected catch (t) of harvest-sized (≥71 mm) Roe’s abalone (year n), recruitment density (number per m2 of Age 1+ (17 – 32 mm) at year n – 4, e.g. 15 = density of Age 1+ in 2011) and the relationship with mean summer SST (January to to March) during the 4 year period (years n - 3 to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4 Density (per m2) and expected catch (t) of harvest-sized (≥71 mm) Roe’s abalone (year n), recruitment density (number per m2 of Age 1+ (17 – 32 mm) at year n – 4, e.g. 15 = density of Age 1+ in 2011) and the relationship with mean summer SST (January to to March) during the 4 year period (years n - 3 to 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14000" cy="3600000"/>
                    </a:xfrm>
                    <a:prstGeom prst="rect">
                      <a:avLst/>
                    </a:prstGeom>
                  </pic:spPr>
                </pic:pic>
              </a:graphicData>
            </a:graphic>
          </wp:inline>
        </w:drawing>
      </w:r>
    </w:p>
    <w:p w14:paraId="79C51C59" w14:textId="78145AD2" w:rsidR="001D23CF" w:rsidRPr="001D23CF" w:rsidRDefault="00650D69" w:rsidP="00650D69">
      <w:pPr>
        <w:pStyle w:val="Caption"/>
      </w:pPr>
      <w:r w:rsidRPr="00650D69">
        <w:rPr>
          <w:b/>
          <w:bCs/>
        </w:rPr>
        <w:t xml:space="preserve">Figure </w:t>
      </w:r>
      <w:r w:rsidRPr="00650D69">
        <w:rPr>
          <w:b/>
          <w:bCs/>
        </w:rPr>
        <w:fldChar w:fldCharType="begin"/>
      </w:r>
      <w:r w:rsidRPr="00650D69">
        <w:rPr>
          <w:b/>
          <w:bCs/>
        </w:rPr>
        <w:instrText xml:space="preserve"> SEQ Figure \* ARABIC </w:instrText>
      </w:r>
      <w:r w:rsidRPr="00650D69">
        <w:rPr>
          <w:b/>
          <w:bCs/>
        </w:rPr>
        <w:fldChar w:fldCharType="separate"/>
      </w:r>
      <w:r w:rsidR="00DD0274">
        <w:rPr>
          <w:b/>
          <w:bCs/>
          <w:noProof/>
        </w:rPr>
        <w:t>4</w:t>
      </w:r>
      <w:r w:rsidRPr="00650D69">
        <w:rPr>
          <w:b/>
          <w:bCs/>
        </w:rPr>
        <w:fldChar w:fldCharType="end"/>
      </w:r>
      <w:r>
        <w:t xml:space="preserve"> </w:t>
      </w:r>
      <w:r w:rsidRPr="00EA7E88">
        <w:t>Density (per m2) and expected catch (t) of harvest-sized (≥71 mm) Roe’s abalone (year n), recruitment density (number per m2 of Age 1+ (17 – 32 mm) at year n – 4, e.g. 15 = density of Age 1+ in 2011) and the relationship with mean summer SST (January to</w:t>
      </w:r>
      <w:r w:rsidR="00D1207B" w:rsidRPr="00D1207B">
        <w:t xml:space="preserve"> </w:t>
      </w:r>
      <w:r w:rsidR="00D1207B" w:rsidRPr="00436E8F">
        <w:t>to March)</w:t>
      </w:r>
      <w:r w:rsidR="00D1207B">
        <w:t xml:space="preserve"> </w:t>
      </w:r>
      <w:r w:rsidR="00D1207B" w:rsidRPr="00027830">
        <w:t xml:space="preserve">during the 4 year period (years </w:t>
      </w:r>
      <w:r w:rsidR="00D1207B" w:rsidRPr="00902AB6">
        <w:t>n</w:t>
      </w:r>
      <w:r w:rsidR="00D1207B" w:rsidRPr="00027830">
        <w:t xml:space="preserve"> - 3 to </w:t>
      </w:r>
      <w:r w:rsidR="00D1207B" w:rsidRPr="00902AB6">
        <w:t>n</w:t>
      </w:r>
      <w:r w:rsidR="00D1207B" w:rsidRPr="00027830">
        <w:t>).</w:t>
      </w:r>
    </w:p>
    <w:p w14:paraId="5F67703A" w14:textId="6966EC74" w:rsidR="001D23CF" w:rsidRPr="001D23CF" w:rsidRDefault="001D23CF" w:rsidP="00827A7C">
      <w:pPr>
        <w:contextualSpacing/>
      </w:pPr>
      <w:r w:rsidRPr="001D23CF">
        <w:t>The predicted availability of harvest size stock (density of abalone ≥71 mm in shell length) in the target year is then converted into a T</w:t>
      </w:r>
      <w:r w:rsidR="00BF29B5">
        <w:t xml:space="preserve">otal </w:t>
      </w:r>
      <w:r w:rsidRPr="001D23CF">
        <w:t>A</w:t>
      </w:r>
      <w:r w:rsidR="00BF29B5">
        <w:t xml:space="preserve">llowable </w:t>
      </w:r>
      <w:r w:rsidRPr="001D23CF">
        <w:t>C</w:t>
      </w:r>
      <w:r w:rsidR="00BF29B5">
        <w:t>atch (TAC)</w:t>
      </w:r>
      <w:r w:rsidRPr="001D23CF">
        <w:t xml:space="preserve"> for the Perth metropolitan Roe’s </w:t>
      </w:r>
      <w:r w:rsidR="00BF29B5">
        <w:t>a</w:t>
      </w:r>
      <w:r w:rsidR="00BF29B5" w:rsidRPr="001D23CF">
        <w:t xml:space="preserve">balone </w:t>
      </w:r>
      <w:r w:rsidRPr="001D23CF">
        <w:t xml:space="preserve">fishery. </w:t>
      </w:r>
    </w:p>
    <w:p w14:paraId="1B6213E9" w14:textId="77777777" w:rsidR="00827A7C" w:rsidRDefault="00827A7C" w:rsidP="00827A7C">
      <w:pPr>
        <w:contextualSpacing/>
      </w:pPr>
    </w:p>
    <w:p w14:paraId="1E493B96" w14:textId="723F10DC" w:rsidR="001D23CF" w:rsidRDefault="001D23CF" w:rsidP="00827A7C">
      <w:pPr>
        <w:contextualSpacing/>
      </w:pPr>
      <w:r w:rsidRPr="001D23CF">
        <w:t xml:space="preserve">This TAC is divided by the catch-share allocation equations that provide a TACC for the commercial fishery (Area 7) and a </w:t>
      </w:r>
      <w:r w:rsidR="00897E9E">
        <w:t>Total Allowable Recreational Catch (</w:t>
      </w:r>
      <w:r w:rsidRPr="001D23CF">
        <w:t>TARC</w:t>
      </w:r>
      <w:r w:rsidR="00897E9E">
        <w:t>)</w:t>
      </w:r>
      <w:r w:rsidRPr="001D23CF">
        <w:t xml:space="preserve"> for the recreational fishery (Zone 1).</w:t>
      </w:r>
      <w:r w:rsidR="00D40DF7">
        <w:t xml:space="preserve"> The </w:t>
      </w:r>
      <w:r w:rsidR="00481CD3">
        <w:t xml:space="preserve">reference levels for the </w:t>
      </w:r>
      <w:r w:rsidR="00D40DF7">
        <w:t xml:space="preserve">TARC </w:t>
      </w:r>
      <w:r w:rsidR="005819AB">
        <w:t>are</w:t>
      </w:r>
      <w:r w:rsidR="00D40DF7">
        <w:t xml:space="preserve"> monitored </w:t>
      </w:r>
      <w:r w:rsidR="005819AB">
        <w:t>throughout</w:t>
      </w:r>
      <w:r w:rsidR="00481CD3">
        <w:t xml:space="preserve"> </w:t>
      </w:r>
      <w:r w:rsidR="005819AB">
        <w:t>the Perth</w:t>
      </w:r>
      <w:r w:rsidR="00481CD3">
        <w:t xml:space="preserve"> metropolitan Roe’s </w:t>
      </w:r>
      <w:r w:rsidR="005819AB">
        <w:t xml:space="preserve">open season. </w:t>
      </w:r>
    </w:p>
    <w:p w14:paraId="7A7FAD26" w14:textId="6C30E424" w:rsidR="001D23CF" w:rsidRPr="001D23CF" w:rsidRDefault="001D23CF" w:rsidP="001D23CF">
      <w:pPr>
        <w:keepNext/>
        <w:spacing w:after="240"/>
        <w:rPr>
          <w:i/>
          <w:iCs/>
          <w:color w:val="000000" w:themeColor="text1"/>
          <w:sz w:val="22"/>
        </w:rPr>
      </w:pPr>
    </w:p>
    <w:tbl>
      <w:tblPr>
        <w:tblStyle w:val="TableGrid4"/>
        <w:tblW w:w="0" w:type="auto"/>
        <w:tblInd w:w="569" w:type="dxa"/>
        <w:tblLook w:val="04A0" w:firstRow="1" w:lastRow="0" w:firstColumn="1" w:lastColumn="0" w:noHBand="0" w:noVBand="1"/>
      </w:tblPr>
      <w:tblGrid>
        <w:gridCol w:w="8492"/>
      </w:tblGrid>
      <w:tr w:rsidR="001D23CF" w:rsidRPr="001D23CF" w14:paraId="3B5B3C20" w14:textId="77777777" w:rsidTr="00B50CB3">
        <w:trPr>
          <w:cnfStyle w:val="100000000000" w:firstRow="1" w:lastRow="0" w:firstColumn="0" w:lastColumn="0" w:oddVBand="0" w:evenVBand="0" w:oddHBand="0" w:evenHBand="0" w:firstRowFirstColumn="0" w:firstRowLastColumn="0" w:lastRowFirstColumn="0" w:lastRowLastColumn="0"/>
        </w:trPr>
        <w:tc>
          <w:tcPr>
            <w:tcW w:w="8492" w:type="dxa"/>
            <w:tcBorders>
              <w:top w:val="nil"/>
              <w:left w:val="nil"/>
              <w:bottom w:val="nil"/>
              <w:right w:val="nil"/>
            </w:tcBorders>
          </w:tcPr>
          <w:p w14:paraId="0F228BD6" w14:textId="77777777" w:rsidR="001D23CF" w:rsidRPr="001D23CF" w:rsidRDefault="001D23CF" w:rsidP="001D23CF">
            <w:pPr>
              <w:pBdr>
                <w:top w:val="single" w:sz="4" w:space="1" w:color="auto"/>
                <w:left w:val="single" w:sz="4" w:space="4" w:color="auto"/>
                <w:bottom w:val="single" w:sz="4" w:space="0" w:color="auto"/>
                <w:right w:val="single" w:sz="4" w:space="4" w:color="auto"/>
              </w:pBdr>
              <w:spacing w:before="120" w:after="0"/>
              <w:ind w:left="142"/>
            </w:pPr>
            <w:r w:rsidRPr="001D23CF">
              <w:t>Equation 1 – Separate Area 7/Zone 1 SHL by habitat:</w:t>
            </w:r>
          </w:p>
        </w:tc>
      </w:tr>
      <w:tr w:rsidR="001D23CF" w:rsidRPr="001D23CF" w14:paraId="42377ACC" w14:textId="77777777" w:rsidTr="00B50CB3">
        <w:tc>
          <w:tcPr>
            <w:tcW w:w="8492" w:type="dxa"/>
            <w:tcBorders>
              <w:top w:val="nil"/>
            </w:tcBorders>
          </w:tcPr>
          <w:p w14:paraId="361E77FC" w14:textId="77777777" w:rsidR="001D23CF" w:rsidRPr="001D23CF" w:rsidRDefault="001D23CF" w:rsidP="001D23CF">
            <w:r w:rsidRPr="001D23CF">
              <w:t xml:space="preserve">Subtidal habitat TAC=SHL×60% </w:t>
            </w:r>
          </w:p>
          <w:p w14:paraId="49EDC8A7" w14:textId="77777777" w:rsidR="001D23CF" w:rsidRPr="001D23CF" w:rsidRDefault="001D23CF" w:rsidP="001D23CF">
            <w:r w:rsidRPr="001D23CF">
              <w:t xml:space="preserve">Platform habitat TAC=SHL×40%  </w:t>
            </w:r>
          </w:p>
        </w:tc>
      </w:tr>
      <w:tr w:rsidR="001D23CF" w:rsidRPr="001D23CF" w14:paraId="61DF02F3" w14:textId="77777777" w:rsidTr="00B50CB3">
        <w:tc>
          <w:tcPr>
            <w:tcW w:w="8492" w:type="dxa"/>
            <w:shd w:val="clear" w:color="auto" w:fill="003F51" w:themeFill="accent1"/>
          </w:tcPr>
          <w:p w14:paraId="656EAC90" w14:textId="77777777" w:rsidR="001D23CF" w:rsidRPr="001D23CF" w:rsidRDefault="001D23CF" w:rsidP="001D23CF">
            <w:pPr>
              <w:rPr>
                <w:b/>
                <w:bCs/>
              </w:rPr>
            </w:pPr>
            <w:r w:rsidRPr="001D23CF">
              <w:rPr>
                <w:b/>
                <w:bCs/>
              </w:rPr>
              <w:t>Equation 2 – Determine TACC and TARC by sector use on each habitat TAC:</w:t>
            </w:r>
          </w:p>
        </w:tc>
      </w:tr>
      <w:tr w:rsidR="001D23CF" w:rsidRPr="001D23CF" w14:paraId="7C46F979" w14:textId="77777777" w:rsidTr="00B50CB3">
        <w:tc>
          <w:tcPr>
            <w:tcW w:w="8492" w:type="dxa"/>
          </w:tcPr>
          <w:p w14:paraId="43812108" w14:textId="77777777" w:rsidR="001D23CF" w:rsidRPr="001D23CF" w:rsidRDefault="001D23CF" w:rsidP="001D23CF">
            <w:r w:rsidRPr="001D23CF">
              <w:t>Area 7 TACC = ((Subtidal habitat TAC)/((a+b))  ×a)</w:t>
            </w:r>
          </w:p>
          <w:p w14:paraId="4BDD1A4E" w14:textId="77777777" w:rsidR="001D23CF" w:rsidRPr="001D23CF" w:rsidRDefault="001D23CF" w:rsidP="00611A32">
            <w:pPr>
              <w:keepNext/>
            </w:pPr>
            <w:r w:rsidRPr="001D23CF">
              <w:t>Zone 1 TARC = ((Subtidal habitat TAC)/((a+b) )  ×b)+(Platform habitat TAC)</w:t>
            </w:r>
          </w:p>
        </w:tc>
      </w:tr>
    </w:tbl>
    <w:p w14:paraId="49DDA0AD" w14:textId="1280A370" w:rsidR="001D23CF" w:rsidRPr="001D23CF" w:rsidRDefault="00611A32" w:rsidP="00611A32">
      <w:pPr>
        <w:pStyle w:val="Caption"/>
      </w:pPr>
      <w:r w:rsidRPr="00611A32">
        <w:rPr>
          <w:b/>
          <w:bCs/>
        </w:rPr>
        <w:t xml:space="preserve">Table </w:t>
      </w:r>
      <w:r w:rsidRPr="00611A32">
        <w:rPr>
          <w:b/>
          <w:bCs/>
        </w:rPr>
        <w:fldChar w:fldCharType="begin"/>
      </w:r>
      <w:r w:rsidRPr="00611A32">
        <w:rPr>
          <w:b/>
          <w:bCs/>
        </w:rPr>
        <w:instrText xml:space="preserve"> SEQ Table \* ARABIC </w:instrText>
      </w:r>
      <w:r w:rsidRPr="00611A32">
        <w:rPr>
          <w:b/>
          <w:bCs/>
        </w:rPr>
        <w:fldChar w:fldCharType="separate"/>
      </w:r>
      <w:r w:rsidRPr="00611A32">
        <w:rPr>
          <w:b/>
          <w:bCs/>
          <w:noProof/>
        </w:rPr>
        <w:t>2</w:t>
      </w:r>
      <w:r w:rsidRPr="00611A32">
        <w:rPr>
          <w:b/>
          <w:bCs/>
        </w:rPr>
        <w:fldChar w:fldCharType="end"/>
      </w:r>
      <w:r>
        <w:t>.</w:t>
      </w:r>
      <w:r w:rsidRPr="00611A32">
        <w:t xml:space="preserve"> Equations to allocate Roe’s abalone TAC in the Perth metropolitan Roe’s abalone fishery proportionally between sectors, based on the distribution of Roe’s abalone </w:t>
      </w:r>
      <w:r w:rsidRPr="00611A32">
        <w:lastRenderedPageBreak/>
        <w:t>spawning biomass and sectoral fishing effort by habitat. In Equation 2, a is the percentage of the commercial fishing effort that occurs in the subtidal habitat (100% in 2020/21) and b is the percentage of the recreational fishing effort that occurs in the subtidal habitat (17% in 2020/21).</w:t>
      </w:r>
    </w:p>
    <w:p w14:paraId="2DDE4091" w14:textId="0CF2DA9F" w:rsidR="00D0354B" w:rsidRDefault="00317099" w:rsidP="00623861">
      <w:pPr>
        <w:pStyle w:val="Heading4"/>
      </w:pPr>
      <w:r>
        <w:t>In season Recreational Effort Rule</w:t>
      </w:r>
    </w:p>
    <w:p w14:paraId="4EE487E5" w14:textId="017EBE3D" w:rsidR="00317099" w:rsidRDefault="00623861" w:rsidP="00317099">
      <w:r>
        <w:t xml:space="preserve">To manage the </w:t>
      </w:r>
      <w:r w:rsidR="0054415B">
        <w:t>Western Zone TARC during the season</w:t>
      </w:r>
      <w:r w:rsidR="00985CD2">
        <w:t>, an</w:t>
      </w:r>
      <w:r w:rsidR="001D23CF" w:rsidRPr="001D23CF">
        <w:t xml:space="preserve"> in-season </w:t>
      </w:r>
      <w:r w:rsidR="00985CD2">
        <w:t>r</w:t>
      </w:r>
      <w:r w:rsidR="001D23CF" w:rsidRPr="001D23CF">
        <w:t xml:space="preserve">ecreational </w:t>
      </w:r>
      <w:r w:rsidR="00985CD2">
        <w:t>e</w:t>
      </w:r>
      <w:r w:rsidR="001D23CF" w:rsidRPr="001D23CF">
        <w:t xml:space="preserve">ffort </w:t>
      </w:r>
      <w:r w:rsidR="00985CD2">
        <w:t>c</w:t>
      </w:r>
      <w:r w:rsidR="001D23CF" w:rsidRPr="001D23CF">
        <w:t xml:space="preserve">ontrol </w:t>
      </w:r>
      <w:r w:rsidR="00985CD2">
        <w:t>r</w:t>
      </w:r>
      <w:r w:rsidR="001D23CF" w:rsidRPr="001D23CF">
        <w:t xml:space="preserve">ule (RECR) management decision process has been established to limit catch to a pre-defined TARC based on annual sustainability assessments. </w:t>
      </w:r>
    </w:p>
    <w:p w14:paraId="5BABF999" w14:textId="77777777" w:rsidR="00317099" w:rsidRDefault="00317099" w:rsidP="00317099">
      <w:pPr>
        <w:contextualSpacing/>
      </w:pPr>
    </w:p>
    <w:p w14:paraId="36F4C8EC" w14:textId="6D205DA7" w:rsidR="001D23CF" w:rsidRDefault="00317099" w:rsidP="00317099">
      <w:pPr>
        <w:contextualSpacing/>
      </w:pPr>
      <w:r>
        <w:t>A</w:t>
      </w:r>
      <w:r w:rsidR="001D23CF" w:rsidRPr="001D23CF">
        <w:t xml:space="preserve">s part of the RECR the </w:t>
      </w:r>
      <w:r w:rsidR="00985CD2">
        <w:t>r</w:t>
      </w:r>
      <w:r w:rsidR="001D23CF" w:rsidRPr="001D23CF">
        <w:t xml:space="preserve">ecreational </w:t>
      </w:r>
      <w:r w:rsidR="00985CD2">
        <w:t>r</w:t>
      </w:r>
      <w:r w:rsidR="00CB1AB7">
        <w:t xml:space="preserve">eference </w:t>
      </w:r>
      <w:r w:rsidR="00985CD2">
        <w:t>l</w:t>
      </w:r>
      <w:r w:rsidR="00CB1AB7">
        <w:t xml:space="preserve">evel </w:t>
      </w:r>
      <w:r w:rsidR="001D23CF" w:rsidRPr="001D23CF">
        <w:t xml:space="preserve">(RRL) is set at the TARC minus 6 tonnes (the average hourly catch achieved by recreational abalone fishers in Zone 1). </w:t>
      </w:r>
    </w:p>
    <w:p w14:paraId="064043EE" w14:textId="77777777" w:rsidR="0054415B" w:rsidRDefault="0054415B" w:rsidP="00317099">
      <w:pPr>
        <w:contextualSpacing/>
      </w:pPr>
    </w:p>
    <w:p w14:paraId="67CCD4EE" w14:textId="7239B0F2" w:rsidR="001D23CF" w:rsidRPr="001D23CF" w:rsidRDefault="0054415B" w:rsidP="00317099">
      <w:pPr>
        <w:contextualSpacing/>
      </w:pPr>
      <w:r>
        <w:t xml:space="preserve">During the in season catch monitoring </w:t>
      </w:r>
      <w:r w:rsidR="00985CD2">
        <w:rPr>
          <w:lang w:eastAsia="en-AU"/>
        </w:rPr>
        <w:t>i</w:t>
      </w:r>
      <w:r w:rsidR="001D23CF" w:rsidRPr="001D23CF">
        <w:rPr>
          <w:lang w:eastAsia="en-AU"/>
        </w:rPr>
        <w:t xml:space="preserve">f the RRL is exceeded after the first two or three hours of the Zone 1 fishing season (of the four (potentially five) x one hour-long fishing sessions), the season length will be shortened by two or one fishing session(s) respectively. </w:t>
      </w:r>
    </w:p>
    <w:p w14:paraId="44F20186" w14:textId="77777777" w:rsidR="00317099" w:rsidRDefault="00317099" w:rsidP="00317099">
      <w:pPr>
        <w:contextualSpacing/>
        <w:rPr>
          <w:lang w:eastAsia="en-AU"/>
        </w:rPr>
      </w:pPr>
    </w:p>
    <w:p w14:paraId="195DE1D2" w14:textId="2A463A90" w:rsidR="001D23CF" w:rsidRPr="001D23CF" w:rsidRDefault="001D23CF" w:rsidP="00317099">
      <w:pPr>
        <w:contextualSpacing/>
      </w:pPr>
      <w:r w:rsidRPr="001D23CF">
        <w:rPr>
          <w:lang w:eastAsia="en-AU"/>
        </w:rPr>
        <w:t xml:space="preserve">If the RRL is not reached after the completion of the advised </w:t>
      </w:r>
      <w:r w:rsidRPr="001D23CF">
        <w:t>WA RAF</w:t>
      </w:r>
      <w:r w:rsidRPr="001D23CF">
        <w:rPr>
          <w:lang w:eastAsia="en-AU"/>
        </w:rPr>
        <w:t xml:space="preserve"> Zone 1 season, the season may be extended by one session. This will only occur if there are no stock sustainability issues, and weather conditions are deemed the main contributing factor. </w:t>
      </w:r>
    </w:p>
    <w:p w14:paraId="08FE3891" w14:textId="77777777" w:rsidR="00317099" w:rsidRDefault="00317099" w:rsidP="00317099">
      <w:pPr>
        <w:contextualSpacing/>
      </w:pPr>
    </w:p>
    <w:p w14:paraId="41ACF4AE" w14:textId="4DEFF105" w:rsidR="001D23CF" w:rsidRPr="001D23CF" w:rsidRDefault="001D23CF" w:rsidP="00317099">
      <w:pPr>
        <w:contextualSpacing/>
      </w:pPr>
      <w:r w:rsidRPr="001D23CF">
        <w:t xml:space="preserve">In addition, a review is triggered to determine the reasons for the low recreational catch in Zone 1. </w:t>
      </w:r>
    </w:p>
    <w:p w14:paraId="474E42B8" w14:textId="77777777" w:rsidR="001D23CF" w:rsidRPr="00BB2AD4" w:rsidRDefault="001D23CF" w:rsidP="007278F0">
      <w:pPr>
        <w:rPr>
          <w:rStyle w:val="Hyperlink"/>
          <w:color w:val="auto"/>
          <w:u w:val="none"/>
        </w:rPr>
      </w:pPr>
    </w:p>
    <w:p w14:paraId="46CE2546" w14:textId="1F8AD324" w:rsidR="00853413" w:rsidRDefault="00647237" w:rsidP="00EF41E2">
      <w:pPr>
        <w:pStyle w:val="Heading3"/>
      </w:pPr>
      <w:bookmarkStart w:id="31" w:name="_Toc176435161"/>
      <w:r>
        <w:t>Recovery Plan</w:t>
      </w:r>
      <w:bookmarkEnd w:id="31"/>
    </w:p>
    <w:p w14:paraId="4938613D" w14:textId="7F99A0C1" w:rsidR="00224348" w:rsidRDefault="0054752E" w:rsidP="00224348">
      <w:r>
        <w:t>If</w:t>
      </w:r>
      <w:r w:rsidR="00224348" w:rsidRPr="00C547A7">
        <w:t xml:space="preserve"> the PI for an abalone species breaches the limit, the HS requires that appropriate management action be taken to reduce the annual TACC to 0-50% of the long-term SHL, to return the PI to above the threshold within two generations. </w:t>
      </w:r>
      <w:r w:rsidR="00F82B04">
        <w:t>A</w:t>
      </w:r>
      <w:r w:rsidR="00224348" w:rsidRPr="00C547A7">
        <w:t xml:space="preserve"> R</w:t>
      </w:r>
      <w:r w:rsidR="00F82B04">
        <w:t>ecovery Strategy (RS)</w:t>
      </w:r>
      <w:r w:rsidR="00224348" w:rsidRPr="00C547A7">
        <w:t xml:space="preserve"> is to be initiated in the year immediately following a breach of the limit and defines when the timeframe for recovery begins</w:t>
      </w:r>
      <w:r w:rsidR="00326EC1">
        <w:t>.</w:t>
      </w:r>
    </w:p>
    <w:p w14:paraId="1638ADFB" w14:textId="77777777" w:rsidR="00E505B5" w:rsidRDefault="00C75F7C" w:rsidP="00C75F7C">
      <w:r>
        <w:t>A resource that has fallen below the acceptable level and for which suitable management adjustments have been implemented to reduce catch and/or effort (as outlined in the H</w:t>
      </w:r>
      <w:r w:rsidR="00953D44">
        <w:t>arvest Control Rules (H</w:t>
      </w:r>
      <w:r>
        <w:t>CRs</w:t>
      </w:r>
      <w:r w:rsidR="00953D44">
        <w:t xml:space="preserve">) </w:t>
      </w:r>
      <w:r>
        <w:t xml:space="preserve">is considered to be in a recovery phase. </w:t>
      </w:r>
    </w:p>
    <w:p w14:paraId="62071ADC" w14:textId="4E47BABD" w:rsidR="00C75F7C" w:rsidRDefault="00C75F7C" w:rsidP="00C75F7C">
      <w:r>
        <w:t>For target stocks that fall below the limit RL, a RS will be developed and implemented to ensure that the resource can rebuild at an acceptable rate (i.e. within two generation</w:t>
      </w:r>
      <w:r w:rsidR="00CE29B7">
        <w:t>s</w:t>
      </w:r>
      <w:r>
        <w:t>). Where the environmental conditions have led, or contributed significantly, to the resource being at an unacceptable level, the strategy needs to consider how this may affect the speed and extent of recovery.</w:t>
      </w:r>
    </w:p>
    <w:p w14:paraId="661087A0" w14:textId="639DD902" w:rsidR="00AE027F" w:rsidRDefault="00AE027F" w:rsidP="00AE027F">
      <w:pPr>
        <w:spacing w:after="0"/>
        <w:rPr>
          <w:rFonts w:cs="Arial"/>
        </w:rPr>
      </w:pPr>
      <w:r>
        <w:rPr>
          <w:rFonts w:cs="Arial"/>
        </w:rPr>
        <w:t xml:space="preserve">There are three steps as part of the process to </w:t>
      </w:r>
      <w:r w:rsidR="00D1207B">
        <w:rPr>
          <w:rFonts w:cs="Arial"/>
        </w:rPr>
        <w:t xml:space="preserve">recover </w:t>
      </w:r>
      <w:r>
        <w:rPr>
          <w:rFonts w:cs="Arial"/>
        </w:rPr>
        <w:t xml:space="preserve">abalone in accordance with the requirements of the RS. </w:t>
      </w:r>
      <w:r>
        <w:t xml:space="preserve">The time frames for these steps are consistent with the maximum time permitted to recover by the </w:t>
      </w:r>
      <w:r w:rsidR="00E72691">
        <w:t>MSC</w:t>
      </w:r>
      <w:r>
        <w:t>. There steps are</w:t>
      </w:r>
      <w:r>
        <w:rPr>
          <w:rFonts w:cs="Arial"/>
        </w:rPr>
        <w:t>:</w:t>
      </w:r>
    </w:p>
    <w:p w14:paraId="232FFD63" w14:textId="77777777" w:rsidR="00AE027F" w:rsidRPr="00541794" w:rsidRDefault="00AE027F" w:rsidP="00AE027F">
      <w:pPr>
        <w:spacing w:after="0"/>
        <w:rPr>
          <w:rFonts w:cs="Arial"/>
        </w:rPr>
      </w:pPr>
    </w:p>
    <w:p w14:paraId="031886E6" w14:textId="77777777" w:rsidR="00AE027F" w:rsidRDefault="00AE027F" w:rsidP="00AE027F">
      <w:pPr>
        <w:spacing w:after="0"/>
        <w:rPr>
          <w:rFonts w:cs="Arial"/>
        </w:rPr>
      </w:pPr>
      <w:r w:rsidRPr="00405E65">
        <w:rPr>
          <w:rFonts w:cs="Arial"/>
          <w:b/>
        </w:rPr>
        <w:t>Step 1:</w:t>
      </w:r>
      <w:r>
        <w:rPr>
          <w:rFonts w:cs="Arial"/>
        </w:rPr>
        <w:t xml:space="preserve"> </w:t>
      </w:r>
      <w:r w:rsidRPr="008E6FD8">
        <w:rPr>
          <w:rFonts w:cs="Arial"/>
        </w:rPr>
        <w:t xml:space="preserve">Initiate </w:t>
      </w:r>
      <w:r>
        <w:rPr>
          <w:rFonts w:cs="Arial"/>
        </w:rPr>
        <w:t>R</w:t>
      </w:r>
      <w:r w:rsidRPr="008E6FD8">
        <w:rPr>
          <w:rFonts w:cs="Arial"/>
        </w:rPr>
        <w:t>ecovery</w:t>
      </w:r>
      <w:r>
        <w:rPr>
          <w:rFonts w:cs="Arial"/>
        </w:rPr>
        <w:t xml:space="preserve"> (Milestone: PI above limit within 4 years of the limit breached).</w:t>
      </w:r>
    </w:p>
    <w:p w14:paraId="5EFBE76A" w14:textId="77777777" w:rsidR="00AE027F" w:rsidRDefault="00AE027F" w:rsidP="00AE027F">
      <w:pPr>
        <w:spacing w:after="0"/>
        <w:rPr>
          <w:rFonts w:cs="Arial"/>
        </w:rPr>
      </w:pPr>
    </w:p>
    <w:p w14:paraId="00E9C0C1" w14:textId="77777777" w:rsidR="00AE027F" w:rsidRDefault="00AE027F" w:rsidP="00AE027F">
      <w:pPr>
        <w:spacing w:after="0"/>
      </w:pPr>
      <w:r w:rsidRPr="00405E65">
        <w:rPr>
          <w:rFonts w:cs="Arial"/>
          <w:b/>
        </w:rPr>
        <w:lastRenderedPageBreak/>
        <w:t>Step 2:</w:t>
      </w:r>
      <w:r>
        <w:rPr>
          <w:rFonts w:cs="Arial"/>
        </w:rPr>
        <w:t xml:space="preserve"> Recover by</w:t>
      </w:r>
      <w:r>
        <w:t xml:space="preserve"> r</w:t>
      </w:r>
      <w:r w:rsidRPr="008E6FD8">
        <w:t>ebuild</w:t>
      </w:r>
      <w:r>
        <w:t>ing the PI</w:t>
      </w:r>
      <w:r w:rsidRPr="008E6FD8">
        <w:t xml:space="preserve"> </w:t>
      </w:r>
      <w:r>
        <w:t>to</w:t>
      </w:r>
      <w:r w:rsidRPr="008E6FD8">
        <w:t xml:space="preserve"> </w:t>
      </w:r>
      <w:r>
        <w:t>the t</w:t>
      </w:r>
      <w:r w:rsidRPr="008E6FD8">
        <w:t>hreshold</w:t>
      </w:r>
      <w:r>
        <w:t xml:space="preserve"> reference level (</w:t>
      </w:r>
      <w:r>
        <w:rPr>
          <w:rFonts w:cs="Arial"/>
        </w:rPr>
        <w:t xml:space="preserve">Milestone: at or above the threshold </w:t>
      </w:r>
      <w:r>
        <w:t>within XX (two generation times) years of the limit breached)</w:t>
      </w:r>
      <w:r w:rsidRPr="008E6FD8">
        <w:t>.</w:t>
      </w:r>
    </w:p>
    <w:p w14:paraId="22945E2B" w14:textId="77777777" w:rsidR="00AE027F" w:rsidRPr="008E6FD8" w:rsidRDefault="00AE027F" w:rsidP="00AE027F">
      <w:pPr>
        <w:spacing w:after="0"/>
        <w:rPr>
          <w:rFonts w:cs="Arial"/>
        </w:rPr>
      </w:pPr>
    </w:p>
    <w:p w14:paraId="30ED57FD" w14:textId="77777777" w:rsidR="00AE027F" w:rsidRDefault="00AE027F" w:rsidP="00AE027F">
      <w:pPr>
        <w:spacing w:after="0"/>
      </w:pPr>
      <w:r w:rsidRPr="00405E65">
        <w:rPr>
          <w:b/>
        </w:rPr>
        <w:t>Step 3:</w:t>
      </w:r>
      <w:r>
        <w:t xml:space="preserve"> Building to the Target (</w:t>
      </w:r>
      <w:r>
        <w:rPr>
          <w:rFonts w:cs="Arial"/>
        </w:rPr>
        <w:t>Milestone: PI above the target</w:t>
      </w:r>
      <w:r>
        <w:t>)</w:t>
      </w:r>
      <w:r w:rsidRPr="008E6FD8">
        <w:t>.</w:t>
      </w:r>
    </w:p>
    <w:p w14:paraId="5A27D34E" w14:textId="77777777" w:rsidR="00B669F3" w:rsidRDefault="00B669F3" w:rsidP="00AE027F">
      <w:pPr>
        <w:spacing w:after="0"/>
      </w:pPr>
    </w:p>
    <w:p w14:paraId="5F508195" w14:textId="54D6A3B4" w:rsidR="00C547A7" w:rsidRDefault="00B669F3" w:rsidP="00EF41E2">
      <w:pPr>
        <w:pStyle w:val="Heading3"/>
      </w:pPr>
      <w:bookmarkStart w:id="32" w:name="_Toc176435162"/>
      <w:r w:rsidRPr="00B669F3">
        <w:t>Current Recovery Strategies</w:t>
      </w:r>
      <w:bookmarkEnd w:id="32"/>
      <w:r w:rsidRPr="00B669F3">
        <w:t xml:space="preserve"> </w:t>
      </w:r>
    </w:p>
    <w:p w14:paraId="3A6CE888" w14:textId="77777777" w:rsidR="00E07E85" w:rsidRPr="001D2879" w:rsidRDefault="00E07E85" w:rsidP="00EF41E2">
      <w:pPr>
        <w:pStyle w:val="Heading4"/>
      </w:pPr>
      <w:r w:rsidRPr="001D2879">
        <w:t xml:space="preserve">Greenlip </w:t>
      </w:r>
      <w:r>
        <w:t xml:space="preserve">Abalone </w:t>
      </w:r>
      <w:r w:rsidRPr="001D2879">
        <w:t>Area 3</w:t>
      </w:r>
    </w:p>
    <w:p w14:paraId="7F217AB3" w14:textId="77777777" w:rsidR="00E07E85" w:rsidRDefault="00E07E85" w:rsidP="00E07E85">
      <w:r>
        <w:t xml:space="preserve">In response to declining stock biomass of Greenlip abalone in Area 3 to below the limit RL, a RS has been developed and implemented since 2019. </w:t>
      </w:r>
    </w:p>
    <w:p w14:paraId="426D284D" w14:textId="77777777" w:rsidR="00E07E85" w:rsidRDefault="00E07E85" w:rsidP="00E07E85">
      <w:pPr>
        <w:pStyle w:val="ListParagraph"/>
        <w:numPr>
          <w:ilvl w:val="0"/>
          <w:numId w:val="26"/>
        </w:numPr>
      </w:pPr>
      <w:r>
        <w:t xml:space="preserve">The RS aimed to return the PI to above the limit reference level within four years of being implemented. </w:t>
      </w:r>
    </w:p>
    <w:p w14:paraId="70AFF4CD" w14:textId="77777777" w:rsidR="00E07E85" w:rsidRDefault="00E07E85" w:rsidP="00E07E85">
      <w:pPr>
        <w:pStyle w:val="ListParagraph"/>
        <w:numPr>
          <w:ilvl w:val="0"/>
          <w:numId w:val="26"/>
        </w:numPr>
      </w:pPr>
      <w:r>
        <w:t>There has been limited positive response (increase) by the PI to the reduced TACC.</w:t>
      </w:r>
    </w:p>
    <w:p w14:paraId="294F4CB8" w14:textId="77777777" w:rsidR="00E07E85" w:rsidRDefault="00E07E85" w:rsidP="00E07E85">
      <w:pPr>
        <w:pStyle w:val="ListParagraph"/>
        <w:numPr>
          <w:ilvl w:val="0"/>
          <w:numId w:val="26"/>
        </w:numPr>
      </w:pPr>
      <w:r>
        <w:t>As such, appropriate management action was implemented with respect to the timeframes outlined in the RS and this resulted in the closure of Area 3 to all (commercial and recreational) Greenlip abalone fishing (in 2023).</w:t>
      </w:r>
      <w:r w:rsidRPr="00AB4566">
        <w:t xml:space="preserve"> </w:t>
      </w:r>
    </w:p>
    <w:p w14:paraId="623EE637" w14:textId="005355E7" w:rsidR="00E07E85" w:rsidRDefault="00E07E85" w:rsidP="00E07E85">
      <w:pPr>
        <w:pStyle w:val="ListParagraph"/>
        <w:numPr>
          <w:ilvl w:val="0"/>
          <w:numId w:val="26"/>
        </w:numPr>
      </w:pPr>
      <w:r>
        <w:t>Given the rebuilding trajectory has not met Step 1 of the Area 3 Greenlip abalone RS, revision of the RS is being undertaken and consultation with all stakeholders will occur throughout 2024</w:t>
      </w:r>
      <w:r w:rsidR="00D1207B">
        <w:t xml:space="preserve"> and 2025</w:t>
      </w:r>
      <w:r>
        <w:t>.</w:t>
      </w:r>
    </w:p>
    <w:p w14:paraId="2212AEBD" w14:textId="77777777" w:rsidR="00E07E85" w:rsidRPr="008B1FF3" w:rsidRDefault="00E07E85" w:rsidP="00EF41E2">
      <w:pPr>
        <w:pStyle w:val="Heading4"/>
      </w:pPr>
      <w:r w:rsidRPr="008B1FF3">
        <w:t>Greenlip Abalone Area 2</w:t>
      </w:r>
    </w:p>
    <w:p w14:paraId="7FCB14FB" w14:textId="18194EEF" w:rsidR="00E31B40" w:rsidRDefault="006A21D3" w:rsidP="00E31B40">
      <w:pPr>
        <w:pStyle w:val="ListParagraph"/>
        <w:numPr>
          <w:ilvl w:val="0"/>
          <w:numId w:val="45"/>
        </w:numPr>
        <w:spacing w:after="0"/>
        <w:jc w:val="both"/>
        <w:rPr>
          <w:rFonts w:ascii="Arial" w:hAnsi="Arial" w:cs="Arial"/>
          <w:szCs w:val="24"/>
        </w:rPr>
      </w:pPr>
      <w:r>
        <w:rPr>
          <w:rFonts w:ascii="Arial" w:hAnsi="Arial" w:cs="Arial"/>
          <w:szCs w:val="24"/>
        </w:rPr>
        <w:t xml:space="preserve">A RS was initiated in </w:t>
      </w:r>
      <w:r w:rsidR="00250722">
        <w:rPr>
          <w:rFonts w:ascii="Arial" w:hAnsi="Arial" w:cs="Arial"/>
          <w:szCs w:val="24"/>
        </w:rPr>
        <w:t>2020</w:t>
      </w:r>
      <w:r>
        <w:rPr>
          <w:rFonts w:ascii="Arial" w:hAnsi="Arial" w:cs="Arial"/>
          <w:szCs w:val="24"/>
        </w:rPr>
        <w:t xml:space="preserve"> </w:t>
      </w:r>
      <w:r w:rsidR="006B4491">
        <w:rPr>
          <w:rFonts w:ascii="Arial" w:hAnsi="Arial" w:cs="Arial"/>
          <w:szCs w:val="24"/>
        </w:rPr>
        <w:t xml:space="preserve">for greenlip abalone </w:t>
      </w:r>
      <w:r w:rsidR="005862C5">
        <w:rPr>
          <w:rFonts w:ascii="Arial" w:hAnsi="Arial" w:cs="Arial"/>
          <w:szCs w:val="24"/>
        </w:rPr>
        <w:t>in Area 2</w:t>
      </w:r>
    </w:p>
    <w:p w14:paraId="00483899" w14:textId="62B2C8B8" w:rsidR="00E31B40" w:rsidRDefault="00E07E85" w:rsidP="00E31B40">
      <w:pPr>
        <w:pStyle w:val="ListParagraph"/>
        <w:numPr>
          <w:ilvl w:val="0"/>
          <w:numId w:val="45"/>
        </w:numPr>
        <w:spacing w:after="0"/>
        <w:jc w:val="both"/>
        <w:rPr>
          <w:rFonts w:ascii="Arial" w:hAnsi="Arial" w:cs="Arial"/>
          <w:szCs w:val="24"/>
        </w:rPr>
      </w:pPr>
      <w:r w:rsidRPr="00E31B40">
        <w:rPr>
          <w:rFonts w:ascii="Arial" w:hAnsi="Arial" w:cs="Arial"/>
          <w:szCs w:val="24"/>
        </w:rPr>
        <w:t>Since the reduction of the TACC in 2020/21 the PI has shown a positive response.</w:t>
      </w:r>
    </w:p>
    <w:p w14:paraId="41C64B92" w14:textId="0845FEAF" w:rsidR="00E07E85" w:rsidRPr="00E31B40" w:rsidRDefault="00E07E85" w:rsidP="00E31B40">
      <w:pPr>
        <w:pStyle w:val="ListParagraph"/>
        <w:numPr>
          <w:ilvl w:val="0"/>
          <w:numId w:val="45"/>
        </w:numPr>
        <w:spacing w:after="0"/>
        <w:jc w:val="both"/>
        <w:rPr>
          <w:rFonts w:ascii="Arial" w:hAnsi="Arial" w:cs="Arial"/>
          <w:szCs w:val="24"/>
        </w:rPr>
      </w:pPr>
      <w:r w:rsidRPr="00E31B40">
        <w:rPr>
          <w:rFonts w:ascii="Arial" w:hAnsi="Arial" w:cs="Arial"/>
          <w:szCs w:val="24"/>
        </w:rPr>
        <w:t xml:space="preserve">Area 2 Greenlip abalone is considered a recovering fishery and has transitioned to Step 2 of the RS where any potential increase in the annual TACC should be between 0-10% of the previous season’s TACC. </w:t>
      </w:r>
    </w:p>
    <w:p w14:paraId="6F4E01BE" w14:textId="77777777" w:rsidR="00E07E85" w:rsidRPr="003E3C56" w:rsidRDefault="00E07E85" w:rsidP="00E07E85">
      <w:pPr>
        <w:spacing w:after="0"/>
        <w:jc w:val="both"/>
        <w:rPr>
          <w:rFonts w:ascii="Arial" w:hAnsi="Arial" w:cs="Arial"/>
          <w:szCs w:val="24"/>
        </w:rPr>
      </w:pPr>
    </w:p>
    <w:p w14:paraId="1EA5D0D5" w14:textId="77777777" w:rsidR="00E07E85" w:rsidRDefault="00E07E85" w:rsidP="00EF41E2">
      <w:pPr>
        <w:pStyle w:val="Heading4"/>
      </w:pPr>
      <w:r w:rsidRPr="00331F67">
        <w:t xml:space="preserve">Brownlip </w:t>
      </w:r>
      <w:r>
        <w:t xml:space="preserve">Abalone </w:t>
      </w:r>
      <w:r w:rsidRPr="00331F67">
        <w:t>Area 2</w:t>
      </w:r>
    </w:p>
    <w:p w14:paraId="2120B807" w14:textId="7A01B5BD" w:rsidR="00E07E85" w:rsidRDefault="00E07E85" w:rsidP="00E07E85">
      <w:pPr>
        <w:pStyle w:val="ListParagraph"/>
        <w:numPr>
          <w:ilvl w:val="0"/>
          <w:numId w:val="27"/>
        </w:numPr>
        <w:rPr>
          <w:rFonts w:ascii="Arial" w:hAnsi="Arial" w:cs="Arial"/>
          <w:bCs/>
          <w:iCs/>
          <w:szCs w:val="24"/>
        </w:rPr>
      </w:pPr>
      <w:r w:rsidRPr="00E07E85">
        <w:rPr>
          <w:rFonts w:ascii="Arial" w:hAnsi="Arial" w:cs="Arial"/>
          <w:bCs/>
          <w:iCs/>
          <w:szCs w:val="24"/>
        </w:rPr>
        <w:t>Following a sharp</w:t>
      </w:r>
      <w:r w:rsidRPr="00E07E85">
        <w:rPr>
          <w:rFonts w:ascii="Arial" w:hAnsi="Arial" w:cs="Arial"/>
          <w:iCs/>
          <w:szCs w:val="24"/>
          <w:lang w:val="en-US"/>
        </w:rPr>
        <w:t xml:space="preserve"> decline post the 2011 marine heatwave</w:t>
      </w:r>
      <w:r w:rsidRPr="00E07E85" w:rsidDel="008C3724">
        <w:rPr>
          <w:rFonts w:ascii="Arial" w:hAnsi="Arial" w:cs="Arial"/>
          <w:bCs/>
          <w:iCs/>
          <w:szCs w:val="24"/>
        </w:rPr>
        <w:t>,</w:t>
      </w:r>
      <w:r w:rsidRPr="00E07E85">
        <w:rPr>
          <w:rFonts w:ascii="Arial" w:hAnsi="Arial" w:cs="Arial"/>
          <w:bCs/>
          <w:iCs/>
          <w:szCs w:val="24"/>
        </w:rPr>
        <w:t xml:space="preserve"> the PI S</w:t>
      </w:r>
      <w:r w:rsidR="00950866">
        <w:rPr>
          <w:rFonts w:ascii="Arial" w:hAnsi="Arial" w:cs="Arial"/>
          <w:bCs/>
          <w:iCs/>
          <w:szCs w:val="24"/>
        </w:rPr>
        <w:t xml:space="preserve">tandardised </w:t>
      </w:r>
      <w:r w:rsidRPr="00E07E85">
        <w:rPr>
          <w:rFonts w:ascii="Arial" w:hAnsi="Arial" w:cs="Arial"/>
          <w:bCs/>
          <w:iCs/>
          <w:szCs w:val="24"/>
        </w:rPr>
        <w:t>C</w:t>
      </w:r>
      <w:r w:rsidR="00950866">
        <w:rPr>
          <w:rFonts w:ascii="Arial" w:hAnsi="Arial" w:cs="Arial"/>
          <w:bCs/>
          <w:iCs/>
          <w:szCs w:val="24"/>
        </w:rPr>
        <w:t xml:space="preserve">atch </w:t>
      </w:r>
      <w:r w:rsidRPr="00E07E85">
        <w:rPr>
          <w:rFonts w:ascii="Arial" w:hAnsi="Arial" w:cs="Arial"/>
          <w:bCs/>
          <w:iCs/>
          <w:szCs w:val="24"/>
        </w:rPr>
        <w:t>P</w:t>
      </w:r>
      <w:r w:rsidR="00950866">
        <w:rPr>
          <w:rFonts w:ascii="Arial" w:hAnsi="Arial" w:cs="Arial"/>
          <w:bCs/>
          <w:iCs/>
          <w:szCs w:val="24"/>
        </w:rPr>
        <w:t xml:space="preserve">er </w:t>
      </w:r>
      <w:r w:rsidRPr="00E07E85">
        <w:rPr>
          <w:rFonts w:ascii="Arial" w:hAnsi="Arial" w:cs="Arial"/>
          <w:bCs/>
          <w:iCs/>
          <w:szCs w:val="24"/>
        </w:rPr>
        <w:t>U</w:t>
      </w:r>
      <w:r w:rsidR="00950866">
        <w:rPr>
          <w:rFonts w:ascii="Arial" w:hAnsi="Arial" w:cs="Arial"/>
          <w:bCs/>
          <w:iCs/>
          <w:szCs w:val="24"/>
        </w:rPr>
        <w:t xml:space="preserve">nit </w:t>
      </w:r>
      <w:r w:rsidRPr="00E07E85">
        <w:rPr>
          <w:rFonts w:ascii="Arial" w:hAnsi="Arial" w:cs="Arial"/>
          <w:bCs/>
          <w:iCs/>
          <w:szCs w:val="24"/>
        </w:rPr>
        <w:t>E</w:t>
      </w:r>
      <w:r w:rsidR="00950866">
        <w:rPr>
          <w:rFonts w:ascii="Arial" w:hAnsi="Arial" w:cs="Arial"/>
          <w:bCs/>
          <w:iCs/>
          <w:szCs w:val="24"/>
        </w:rPr>
        <w:t>ffort (SCPUE)</w:t>
      </w:r>
      <w:r w:rsidR="00957F9A">
        <w:rPr>
          <w:rFonts w:ascii="Arial" w:hAnsi="Arial" w:cs="Arial"/>
          <w:bCs/>
          <w:iCs/>
          <w:szCs w:val="24"/>
        </w:rPr>
        <w:t xml:space="preserve"> </w:t>
      </w:r>
      <w:r w:rsidRPr="00E07E85">
        <w:rPr>
          <w:rFonts w:ascii="Arial" w:hAnsi="Arial" w:cs="Arial"/>
          <w:bCs/>
          <w:iCs/>
          <w:szCs w:val="24"/>
        </w:rPr>
        <w:t>for Area 2 Brownlip has been below the limit RL for nine of the last ten seasons and has subsequently been managed under a RS since 2021.</w:t>
      </w:r>
    </w:p>
    <w:p w14:paraId="533584C9" w14:textId="77777777" w:rsidR="00E07E85" w:rsidRDefault="00E07E85" w:rsidP="00E07E85">
      <w:pPr>
        <w:pStyle w:val="ListParagraph"/>
        <w:numPr>
          <w:ilvl w:val="0"/>
          <w:numId w:val="27"/>
        </w:numPr>
        <w:rPr>
          <w:rFonts w:ascii="Arial" w:hAnsi="Arial" w:cs="Arial"/>
          <w:bCs/>
          <w:iCs/>
          <w:szCs w:val="24"/>
        </w:rPr>
      </w:pPr>
      <w:r w:rsidRPr="00E07E85">
        <w:rPr>
          <w:rFonts w:ascii="Arial" w:hAnsi="Arial" w:cs="Arial"/>
          <w:bCs/>
          <w:iCs/>
          <w:szCs w:val="24"/>
        </w:rPr>
        <w:t>The stock has shown no positive response to management, despite five years of consecutive catch reductions. The PI reached historic low levels in 2022/23 and 2023/24.</w:t>
      </w:r>
    </w:p>
    <w:p w14:paraId="55200E78" w14:textId="77777777" w:rsidR="00E07E85" w:rsidRPr="00E07E85" w:rsidRDefault="00E07E85" w:rsidP="00E07E85">
      <w:pPr>
        <w:pStyle w:val="ListParagraph"/>
        <w:numPr>
          <w:ilvl w:val="0"/>
          <w:numId w:val="27"/>
        </w:numPr>
        <w:rPr>
          <w:rFonts w:ascii="Arial" w:hAnsi="Arial" w:cs="Arial"/>
          <w:bCs/>
          <w:iCs/>
          <w:szCs w:val="24"/>
        </w:rPr>
      </w:pPr>
      <w:r w:rsidRPr="00E07E85">
        <w:rPr>
          <w:rFonts w:ascii="Arial" w:hAnsi="Arial" w:cs="Arial"/>
        </w:rPr>
        <w:t xml:space="preserve">In 2024, Brownlip abalone in Area 2 was formally closed to commercial abalone fishing (0 kilogram TACC) as the Primary PI CPUE had fallen below the limit for nine of the last ten seasons. </w:t>
      </w:r>
    </w:p>
    <w:p w14:paraId="00B95BE5" w14:textId="6F40BEE9" w:rsidR="00C75F7C" w:rsidRPr="005862C5" w:rsidRDefault="00E07E85" w:rsidP="00853413">
      <w:pPr>
        <w:pStyle w:val="ListParagraph"/>
        <w:numPr>
          <w:ilvl w:val="0"/>
          <w:numId w:val="27"/>
        </w:numPr>
        <w:rPr>
          <w:rFonts w:ascii="Arial" w:hAnsi="Arial" w:cs="Arial"/>
          <w:bCs/>
          <w:iCs/>
          <w:szCs w:val="24"/>
        </w:rPr>
      </w:pPr>
      <w:r w:rsidRPr="00E07E85">
        <w:rPr>
          <w:rFonts w:ascii="Arial" w:hAnsi="Arial" w:cs="Arial"/>
        </w:rPr>
        <w:t xml:space="preserve">Fishing remains open to recreational fishers. Given the low level of recreational catch (approximately 1500) the risk to the Brownlip stock posed by recreational fishers is considered low. This position will be reviewed for the 2025/26 season. </w:t>
      </w:r>
    </w:p>
    <w:p w14:paraId="7E2865CE" w14:textId="77777777" w:rsidR="004B1ED5" w:rsidRPr="003B7F05" w:rsidRDefault="004B1ED5" w:rsidP="00EF41E2">
      <w:pPr>
        <w:pStyle w:val="Heading2"/>
      </w:pPr>
      <w:bookmarkStart w:id="33" w:name="_Toc162355687"/>
      <w:bookmarkStart w:id="34" w:name="_Toc176435163"/>
      <w:r w:rsidRPr="00E65245">
        <w:lastRenderedPageBreak/>
        <w:t>Performance against objectives, performance indicators and performance measures</w:t>
      </w:r>
      <w:bookmarkEnd w:id="33"/>
      <w:bookmarkEnd w:id="34"/>
    </w:p>
    <w:p w14:paraId="32B0A236" w14:textId="7A7C3084" w:rsidR="004B1ED5" w:rsidRDefault="00407CB7" w:rsidP="00EF41E2">
      <w:pPr>
        <w:pStyle w:val="Heading3"/>
      </w:pPr>
      <w:bookmarkStart w:id="35" w:name="_Toc176435164"/>
      <w:r>
        <w:t xml:space="preserve">Annual </w:t>
      </w:r>
      <w:r w:rsidR="002A549B">
        <w:t>r</w:t>
      </w:r>
      <w:r>
        <w:t>eporting</w:t>
      </w:r>
      <w:bookmarkEnd w:id="35"/>
      <w:r>
        <w:t xml:space="preserve"> </w:t>
      </w:r>
    </w:p>
    <w:p w14:paraId="145866F6" w14:textId="7FD0A536" w:rsidR="00F2746A" w:rsidRPr="00F2746A" w:rsidRDefault="00F2746A" w:rsidP="00EF41E2">
      <w:pPr>
        <w:pStyle w:val="Heading4"/>
      </w:pPr>
      <w:r w:rsidRPr="00F2746A">
        <w:t>SRFAR</w:t>
      </w:r>
    </w:p>
    <w:p w14:paraId="600A73FB" w14:textId="6683FA40" w:rsidR="00BD5C07" w:rsidRPr="009C14C9" w:rsidRDefault="00BD5C07" w:rsidP="00BA7900">
      <w:r w:rsidRPr="00144E98">
        <w:rPr>
          <w:rFonts w:ascii="Arial" w:eastAsia="Calibri" w:hAnsi="Arial" w:cs="Times New Roman"/>
          <w14:ligatures w14:val="standardContextual"/>
        </w:rPr>
        <w:t xml:space="preserve">DPIRD </w:t>
      </w:r>
      <w:r>
        <w:rPr>
          <w:rFonts w:ascii="Arial" w:eastAsia="Calibri" w:hAnsi="Arial" w:cs="Times New Roman"/>
          <w14:ligatures w14:val="standardContextual"/>
        </w:rPr>
        <w:t xml:space="preserve">reports on the status of the </w:t>
      </w:r>
      <w:r w:rsidR="000F2554">
        <w:rPr>
          <w:rFonts w:ascii="Arial" w:eastAsia="Calibri" w:hAnsi="Arial" w:cs="Times New Roman"/>
          <w14:ligatures w14:val="standardContextual"/>
        </w:rPr>
        <w:t>A</w:t>
      </w:r>
      <w:r>
        <w:rPr>
          <w:rFonts w:ascii="Arial" w:eastAsia="Calibri" w:hAnsi="Arial" w:cs="Times New Roman"/>
          <w14:ligatures w14:val="standardContextual"/>
        </w:rPr>
        <w:t xml:space="preserve">MF in the annual </w:t>
      </w:r>
      <w:r w:rsidR="007A336E">
        <w:rPr>
          <w:rStyle w:val="Hyperlink"/>
          <w:rFonts w:ascii="Arial" w:eastAsia="Calibri" w:hAnsi="Arial" w:cs="Times New Roman"/>
          <w:lang w:eastAsia="en-AU"/>
          <w14:ligatures w14:val="standardContextual"/>
        </w:rPr>
        <w:t>SRFAR</w:t>
      </w:r>
      <w:r w:rsidRPr="00144E98">
        <w:rPr>
          <w:rFonts w:ascii="Arial" w:eastAsia="Calibri" w:hAnsi="Arial" w:cs="Times New Roman"/>
          <w14:ligatures w14:val="standardContextual"/>
        </w:rPr>
        <w:t>.</w:t>
      </w:r>
      <w:r w:rsidRPr="00144E98">
        <w:rPr>
          <w:lang w:eastAsia="en-AU"/>
        </w:rPr>
        <w:t xml:space="preserve"> </w:t>
      </w:r>
      <w:r w:rsidRPr="00D422C9">
        <w:t xml:space="preserve">DPIRD has finalised and released the </w:t>
      </w:r>
      <w:r>
        <w:t xml:space="preserve">2022/23 </w:t>
      </w:r>
      <w:r>
        <w:rPr>
          <w:iCs/>
        </w:rPr>
        <w:t>SRFAR,</w:t>
      </w:r>
      <w:r w:rsidRPr="00D422C9">
        <w:t xml:space="preserve"> which includes stock status information up to and </w:t>
      </w:r>
      <w:r w:rsidRPr="00C73B9C">
        <w:t xml:space="preserve">including the </w:t>
      </w:r>
      <w:r>
        <w:t>2021-</w:t>
      </w:r>
      <w:r w:rsidRPr="00C73B9C">
        <w:t>202</w:t>
      </w:r>
      <w:r>
        <w:t>2</w:t>
      </w:r>
      <w:r w:rsidRPr="00C73B9C">
        <w:t xml:space="preserve"> fishing season.</w:t>
      </w:r>
      <w:r>
        <w:t xml:space="preserve"> </w:t>
      </w:r>
      <w:r w:rsidRPr="00D422C9">
        <w:t>Key conclusions of this report with respect to the status of indicator s</w:t>
      </w:r>
      <w:r>
        <w:t>pecies</w:t>
      </w:r>
      <w:r w:rsidRPr="00D422C9">
        <w:t xml:space="preserve"> taken by the </w:t>
      </w:r>
      <w:r w:rsidR="004670E9">
        <w:t>A</w:t>
      </w:r>
      <w:r>
        <w:t>MF</w:t>
      </w:r>
      <w:r w:rsidRPr="009C14C9">
        <w:t xml:space="preserve"> in</w:t>
      </w:r>
      <w:r>
        <w:t xml:space="preserve"> the</w:t>
      </w:r>
      <w:r w:rsidRPr="009C14C9">
        <w:t xml:space="preserve"> 20</w:t>
      </w:r>
      <w:r>
        <w:t>22</w:t>
      </w:r>
      <w:r w:rsidRPr="009C14C9">
        <w:t>/</w:t>
      </w:r>
      <w:r>
        <w:t>23 SRFAR</w:t>
      </w:r>
      <w:r w:rsidRPr="009C14C9">
        <w:t xml:space="preserve"> are as follows:</w:t>
      </w:r>
    </w:p>
    <w:p w14:paraId="51B6C00E" w14:textId="43FF1321" w:rsidR="000078CF" w:rsidRDefault="000C5693" w:rsidP="00FA4C32">
      <w:pPr>
        <w:pStyle w:val="ListParagraph"/>
        <w:numPr>
          <w:ilvl w:val="0"/>
          <w:numId w:val="9"/>
        </w:numPr>
        <w:spacing w:before="120"/>
        <w:ind w:hanging="357"/>
        <w:contextualSpacing w:val="0"/>
        <w:jc w:val="both"/>
      </w:pPr>
      <w:r>
        <w:t>Statewide c</w:t>
      </w:r>
      <w:r w:rsidR="00563DC3">
        <w:t xml:space="preserve">ommercial </w:t>
      </w:r>
      <w:r>
        <w:t>take</w:t>
      </w:r>
      <w:r w:rsidR="00563DC3">
        <w:t xml:space="preserve"> </w:t>
      </w:r>
      <w:r w:rsidR="00A155D1">
        <w:t xml:space="preserve">of </w:t>
      </w:r>
      <w:r>
        <w:t>Roe’s</w:t>
      </w:r>
      <w:r w:rsidR="00DD7275">
        <w:t xml:space="preserve"> </w:t>
      </w:r>
      <w:r w:rsidR="0079268F">
        <w:t>was</w:t>
      </w:r>
      <w:r w:rsidR="00DD7275">
        <w:t xml:space="preserve"> assessed as </w:t>
      </w:r>
      <w:r w:rsidR="00C4364A">
        <w:t xml:space="preserve">being </w:t>
      </w:r>
      <w:r w:rsidR="008714F1">
        <w:rPr>
          <w:b/>
          <w:bCs/>
        </w:rPr>
        <w:t>Adequate</w:t>
      </w:r>
      <w:r w:rsidR="00C4364A">
        <w:t>.</w:t>
      </w:r>
      <w:r w:rsidR="00A72603">
        <w:t xml:space="preserve"> Total catch </w:t>
      </w:r>
      <w:r w:rsidR="0088151A">
        <w:t xml:space="preserve">= </w:t>
      </w:r>
      <w:r w:rsidR="008714F1">
        <w:t>70.</w:t>
      </w:r>
      <w:r w:rsidR="00096A48">
        <w:t>7</w:t>
      </w:r>
      <w:r w:rsidR="000078CF">
        <w:t>t</w:t>
      </w:r>
      <w:r w:rsidR="00A72603">
        <w:t>.</w:t>
      </w:r>
    </w:p>
    <w:p w14:paraId="6782AAFC" w14:textId="72AFCCBA" w:rsidR="001917D2" w:rsidRPr="00F9364A" w:rsidRDefault="00C643E8" w:rsidP="00293B4F">
      <w:pPr>
        <w:pStyle w:val="ListParagraph"/>
        <w:numPr>
          <w:ilvl w:val="0"/>
          <w:numId w:val="9"/>
        </w:numPr>
        <w:spacing w:before="120"/>
        <w:ind w:hanging="357"/>
        <w:contextualSpacing w:val="0"/>
        <w:jc w:val="both"/>
        <w:rPr>
          <w:rStyle w:val="Hyperlink"/>
          <w:i/>
          <w:iCs/>
        </w:rPr>
      </w:pPr>
      <w:r>
        <w:t xml:space="preserve">Statewide commercial take of Greenlip/Brownlip were assessed as being </w:t>
      </w:r>
      <w:r w:rsidR="00E60638">
        <w:rPr>
          <w:b/>
          <w:bCs/>
        </w:rPr>
        <w:t>Inadequate</w:t>
      </w:r>
      <w:r>
        <w:t xml:space="preserve">. Total catch = </w:t>
      </w:r>
      <w:r w:rsidR="00E60638">
        <w:t>45</w:t>
      </w:r>
      <w:r>
        <w:t>t.</w:t>
      </w:r>
      <w:r w:rsidR="004165DC">
        <w:t xml:space="preserve"> TACC reduced to 29.9t and Area 3 closed to Greenlip abalone fishing for the 2023 season. </w:t>
      </w:r>
      <w:r w:rsidR="004D44E3" w:rsidRPr="009C14C9">
        <w:t xml:space="preserve">Further information </w:t>
      </w:r>
      <w:r w:rsidR="004D44E3">
        <w:t xml:space="preserve">can be found in </w:t>
      </w:r>
      <w:hyperlink r:id="rId29" w:history="1">
        <w:r w:rsidR="004D44E3" w:rsidRPr="00F9364A">
          <w:rPr>
            <w:rStyle w:val="Hyperlink"/>
            <w:i/>
            <w:iCs/>
          </w:rPr>
          <w:t>Status Reports of the Fisheries and Aquatic Resources of Western Australia 2022/2023</w:t>
        </w:r>
      </w:hyperlink>
      <w:r w:rsidR="004D44E3" w:rsidRPr="00F9364A">
        <w:rPr>
          <w:rStyle w:val="Hyperlink"/>
          <w:i/>
          <w:iCs/>
        </w:rPr>
        <w:t xml:space="preserve">. </w:t>
      </w:r>
    </w:p>
    <w:p w14:paraId="0E495E2E" w14:textId="6D459322" w:rsidR="004D44E3" w:rsidRDefault="004D44E3" w:rsidP="00EF41E2">
      <w:pPr>
        <w:pStyle w:val="Heading2"/>
      </w:pPr>
      <w:bookmarkStart w:id="36" w:name="_Toc176435165"/>
      <w:r>
        <w:t xml:space="preserve">Stock </w:t>
      </w:r>
      <w:r w:rsidR="00DA3CEE">
        <w:t>a</w:t>
      </w:r>
      <w:r>
        <w:t>ssessments</w:t>
      </w:r>
      <w:bookmarkEnd w:id="36"/>
    </w:p>
    <w:p w14:paraId="6E49AE06" w14:textId="5946509F" w:rsidR="004D44E3" w:rsidRPr="002D3E9D" w:rsidRDefault="004D44E3" w:rsidP="00A329C2">
      <w:pPr>
        <w:pStyle w:val="Heading4"/>
      </w:pPr>
      <w:r w:rsidRPr="002D3E9D">
        <w:t>Principles</w:t>
      </w:r>
    </w:p>
    <w:p w14:paraId="237B64CF" w14:textId="419651D3" w:rsidR="00DF6568" w:rsidRDefault="00DF6568" w:rsidP="00DF6568">
      <w:pPr>
        <w:spacing w:after="0"/>
      </w:pPr>
      <w:r>
        <w:t xml:space="preserve">DPIRD </w:t>
      </w:r>
      <w:r w:rsidR="008879A4">
        <w:t>carries out</w:t>
      </w:r>
      <w:r>
        <w:t xml:space="preserve"> annual </w:t>
      </w:r>
      <w:r w:rsidR="00F9364A">
        <w:t xml:space="preserve">weight </w:t>
      </w:r>
      <w:r>
        <w:t xml:space="preserve">of </w:t>
      </w:r>
      <w:r w:rsidR="00F9364A">
        <w:t xml:space="preserve">evidence stock assessments </w:t>
      </w:r>
      <w:r>
        <w:t>for all three species of abalone in WA. The stock assessment informs the stock status for the Department’s Annual Report and the Status Reports of the Fisheries and Aquatic Resources of WA, the MSC annual audit and the biennial Status of Australian Fish Stocks Report. This assessment is undertaken through a weight</w:t>
      </w:r>
      <w:r w:rsidR="00305F80">
        <w:t xml:space="preserve"> </w:t>
      </w:r>
      <w:r>
        <w:t>of</w:t>
      </w:r>
      <w:r w:rsidR="00305F80">
        <w:t xml:space="preserve"> </w:t>
      </w:r>
      <w:r>
        <w:t xml:space="preserve">evidence approach and evaluates the PI for each species within the individual management areas of the AMF against the specified </w:t>
      </w:r>
      <w:r w:rsidR="000B07D0">
        <w:t>RL</w:t>
      </w:r>
      <w:r>
        <w:t>.</w:t>
      </w:r>
    </w:p>
    <w:p w14:paraId="4FD70FBF" w14:textId="77777777" w:rsidR="00DF6568" w:rsidRDefault="00DF6568" w:rsidP="00DF6568">
      <w:pPr>
        <w:spacing w:after="0"/>
      </w:pPr>
    </w:p>
    <w:p w14:paraId="0883F539" w14:textId="3A7D2109" w:rsidR="00DF6568" w:rsidRDefault="00DF6568" w:rsidP="00DF6568">
      <w:pPr>
        <w:spacing w:after="0"/>
      </w:pPr>
      <w:r>
        <w:t>For Greenlip abalone in Area 3, a model-based assessment is also updated periodically to monitor the stock relative to M</w:t>
      </w:r>
      <w:r w:rsidR="000101E2">
        <w:t xml:space="preserve">aximum </w:t>
      </w:r>
      <w:r w:rsidR="00220231">
        <w:t xml:space="preserve">Sustainable </w:t>
      </w:r>
      <w:r>
        <w:t>Y</w:t>
      </w:r>
      <w:r w:rsidR="00220231">
        <w:t>ield (MSY)</w:t>
      </w:r>
      <w:r>
        <w:t xml:space="preserve">-based </w:t>
      </w:r>
      <w:r w:rsidR="000B07D0">
        <w:t>RL</w:t>
      </w:r>
      <w:r>
        <w:t xml:space="preserve"> and RS, and to evaluate whether the stock is rebuilding at the required rate. This has been incorporated into the HS and the weight</w:t>
      </w:r>
      <w:r w:rsidR="00ED3DBC">
        <w:t xml:space="preserve"> </w:t>
      </w:r>
      <w:r>
        <w:t>of</w:t>
      </w:r>
      <w:r w:rsidR="00ED3DBC">
        <w:t xml:space="preserve"> </w:t>
      </w:r>
      <w:r>
        <w:t>evidence assessment for this stock.</w:t>
      </w:r>
    </w:p>
    <w:p w14:paraId="306E9D92" w14:textId="77777777" w:rsidR="00663902" w:rsidRDefault="00663902" w:rsidP="00A329C2">
      <w:pPr>
        <w:pStyle w:val="Heading3"/>
      </w:pPr>
      <w:bookmarkStart w:id="37" w:name="_Toc171592019"/>
      <w:bookmarkStart w:id="38" w:name="_Toc176435166"/>
      <w:bookmarkStart w:id="39" w:name="_Hlk162261128"/>
      <w:r w:rsidRPr="00663902">
        <w:t>Summary of 2023 assessment key outcomes</w:t>
      </w:r>
      <w:bookmarkEnd w:id="37"/>
      <w:bookmarkEnd w:id="38"/>
      <w:r w:rsidRPr="00663902">
        <w:t xml:space="preserve"> </w:t>
      </w:r>
    </w:p>
    <w:p w14:paraId="2A00D1CF" w14:textId="298FB7B8" w:rsidR="00824279" w:rsidRPr="00824279" w:rsidRDefault="00824279" w:rsidP="00824279">
      <w:r>
        <w:t xml:space="preserve">As part of the annual TACC setting process an AMF stock assessment is carried out.  </w:t>
      </w:r>
    </w:p>
    <w:tbl>
      <w:tblPr>
        <w:tblStyle w:val="TableGrid1"/>
        <w:tblW w:w="9690" w:type="dxa"/>
        <w:tblLook w:val="04A0" w:firstRow="1" w:lastRow="0" w:firstColumn="1" w:lastColumn="0" w:noHBand="0" w:noVBand="1"/>
      </w:tblPr>
      <w:tblGrid>
        <w:gridCol w:w="1838"/>
        <w:gridCol w:w="851"/>
        <w:gridCol w:w="7001"/>
      </w:tblGrid>
      <w:tr w:rsidR="00CA1F4E" w:rsidRPr="00CA1F4E" w14:paraId="48DAC8BE" w14:textId="77777777" w:rsidTr="00890111">
        <w:trPr>
          <w:cnfStyle w:val="100000000000" w:firstRow="1" w:lastRow="0" w:firstColumn="0" w:lastColumn="0" w:oddVBand="0" w:evenVBand="0" w:oddHBand="0" w:evenHBand="0" w:firstRowFirstColumn="0" w:firstRowLastColumn="0" w:lastRowFirstColumn="0" w:lastRowLastColumn="0"/>
        </w:trPr>
        <w:tc>
          <w:tcPr>
            <w:tcW w:w="1838" w:type="dxa"/>
          </w:tcPr>
          <w:bookmarkEnd w:id="39"/>
          <w:p w14:paraId="6E7A1207" w14:textId="77777777" w:rsidR="00CA1F4E" w:rsidRPr="00CA1F4E" w:rsidRDefault="00CA1F4E" w:rsidP="00CA1F4E">
            <w:pPr>
              <w:rPr>
                <w:b w:val="0"/>
                <w:color w:val="auto"/>
              </w:rPr>
            </w:pPr>
            <w:r w:rsidRPr="00CA1F4E">
              <w:rPr>
                <w:b w:val="0"/>
                <w:color w:val="auto"/>
              </w:rPr>
              <w:t>Species</w:t>
            </w:r>
          </w:p>
        </w:tc>
        <w:tc>
          <w:tcPr>
            <w:tcW w:w="851" w:type="dxa"/>
          </w:tcPr>
          <w:p w14:paraId="5C128164" w14:textId="77777777" w:rsidR="00CA1F4E" w:rsidRPr="00CA1F4E" w:rsidRDefault="00CA1F4E" w:rsidP="00CA1F4E">
            <w:pPr>
              <w:rPr>
                <w:b w:val="0"/>
                <w:color w:val="auto"/>
              </w:rPr>
            </w:pPr>
            <w:r w:rsidRPr="00CA1F4E">
              <w:rPr>
                <w:b w:val="0"/>
                <w:color w:val="auto"/>
              </w:rPr>
              <w:t>Area</w:t>
            </w:r>
          </w:p>
        </w:tc>
        <w:tc>
          <w:tcPr>
            <w:tcW w:w="7001" w:type="dxa"/>
          </w:tcPr>
          <w:p w14:paraId="4CFAB411" w14:textId="77777777" w:rsidR="00CA1F4E" w:rsidRPr="00CA1F4E" w:rsidRDefault="00CA1F4E" w:rsidP="00CA1F4E">
            <w:pPr>
              <w:rPr>
                <w:b w:val="0"/>
                <w:color w:val="auto"/>
              </w:rPr>
            </w:pPr>
            <w:r w:rsidRPr="00CA1F4E">
              <w:rPr>
                <w:b w:val="0"/>
                <w:color w:val="auto"/>
              </w:rPr>
              <w:t>Status</w:t>
            </w:r>
          </w:p>
        </w:tc>
      </w:tr>
      <w:tr w:rsidR="00CA1F4E" w:rsidRPr="00CA1F4E" w14:paraId="0031794D" w14:textId="77777777" w:rsidTr="00890111">
        <w:tc>
          <w:tcPr>
            <w:tcW w:w="1838" w:type="dxa"/>
            <w:vMerge w:val="restart"/>
          </w:tcPr>
          <w:p w14:paraId="0C53EF54" w14:textId="77777777" w:rsidR="00CA1F4E" w:rsidRPr="00CA1F4E" w:rsidRDefault="00CA1F4E" w:rsidP="00CA1F4E">
            <w:pPr>
              <w:autoSpaceDE w:val="0"/>
              <w:autoSpaceDN w:val="0"/>
              <w:adjustRightInd w:val="0"/>
              <w:spacing w:after="0"/>
              <w:rPr>
                <w:rFonts w:ascii="Arial" w:hAnsi="Arial" w:cs="Arial"/>
                <w:b/>
                <w:bCs/>
                <w:color w:val="000000"/>
                <w:sz w:val="23"/>
                <w:szCs w:val="23"/>
              </w:rPr>
            </w:pPr>
            <w:r w:rsidRPr="00CA1F4E">
              <w:rPr>
                <w:rFonts w:ascii="Arial" w:hAnsi="Arial" w:cs="Arial"/>
                <w:b/>
                <w:bCs/>
                <w:color w:val="404040"/>
                <w:sz w:val="23"/>
                <w:szCs w:val="23"/>
              </w:rPr>
              <w:t xml:space="preserve">Roe’s abalone – </w:t>
            </w:r>
            <w:r w:rsidRPr="00CA1F4E">
              <w:rPr>
                <w:rFonts w:ascii="Arial" w:hAnsi="Arial" w:cs="Arial"/>
                <w:b/>
                <w:bCs/>
                <w:i/>
                <w:iCs/>
                <w:color w:val="404040"/>
                <w:sz w:val="23"/>
                <w:szCs w:val="23"/>
              </w:rPr>
              <w:t xml:space="preserve">Haliotis roei </w:t>
            </w:r>
          </w:p>
          <w:p w14:paraId="0B1115E0" w14:textId="77777777" w:rsidR="00CA1F4E" w:rsidRPr="00CA1F4E" w:rsidRDefault="00CA1F4E" w:rsidP="00CA1F4E">
            <w:pPr>
              <w:rPr>
                <w:b/>
                <w:bCs/>
              </w:rPr>
            </w:pPr>
          </w:p>
        </w:tc>
        <w:tc>
          <w:tcPr>
            <w:tcW w:w="851" w:type="dxa"/>
          </w:tcPr>
          <w:p w14:paraId="2980FA3C" w14:textId="77777777" w:rsidR="00CA1F4E" w:rsidRPr="00CA1F4E" w:rsidRDefault="00CA1F4E" w:rsidP="00CA1F4E">
            <w:pPr>
              <w:rPr>
                <w:b/>
                <w:bCs/>
              </w:rPr>
            </w:pPr>
            <w:r w:rsidRPr="00CA1F4E">
              <w:rPr>
                <w:b/>
                <w:bCs/>
              </w:rPr>
              <w:t>1</w:t>
            </w:r>
          </w:p>
        </w:tc>
        <w:tc>
          <w:tcPr>
            <w:tcW w:w="7001" w:type="dxa"/>
          </w:tcPr>
          <w:p w14:paraId="540C8AB1" w14:textId="77777777" w:rsidR="00CA1F4E" w:rsidRPr="00CA1F4E" w:rsidRDefault="00CA1F4E" w:rsidP="00293B4F">
            <w:pPr>
              <w:pStyle w:val="ListParagraph"/>
              <w:numPr>
                <w:ilvl w:val="0"/>
                <w:numId w:val="36"/>
              </w:numPr>
            </w:pPr>
            <w:r w:rsidRPr="00CA1F4E">
              <w:t>This area continues to have an exploratory TACC, noting that only 3,299 kg has been harvested over the past 10 seasons and no catch has been taken in the 2022/23 season to date.</w:t>
            </w:r>
          </w:p>
        </w:tc>
      </w:tr>
      <w:tr w:rsidR="00CA1F4E" w:rsidRPr="00CA1F4E" w14:paraId="5EA021BE" w14:textId="77777777" w:rsidTr="00890111">
        <w:trPr>
          <w:trHeight w:val="1280"/>
        </w:trPr>
        <w:tc>
          <w:tcPr>
            <w:tcW w:w="1838" w:type="dxa"/>
            <w:vMerge/>
          </w:tcPr>
          <w:p w14:paraId="05074004" w14:textId="77777777" w:rsidR="00CA1F4E" w:rsidRPr="00CA1F4E" w:rsidRDefault="00CA1F4E" w:rsidP="00CA1F4E">
            <w:pPr>
              <w:rPr>
                <w:b/>
                <w:bCs/>
              </w:rPr>
            </w:pPr>
          </w:p>
        </w:tc>
        <w:tc>
          <w:tcPr>
            <w:tcW w:w="851" w:type="dxa"/>
          </w:tcPr>
          <w:p w14:paraId="022F800C" w14:textId="77777777" w:rsidR="00CA1F4E" w:rsidRPr="00CA1F4E" w:rsidRDefault="00CA1F4E" w:rsidP="00CA1F4E">
            <w:pPr>
              <w:rPr>
                <w:b/>
                <w:bCs/>
              </w:rPr>
            </w:pPr>
            <w:r w:rsidRPr="00CA1F4E">
              <w:rPr>
                <w:b/>
                <w:bCs/>
              </w:rPr>
              <w:t>2</w:t>
            </w:r>
          </w:p>
        </w:tc>
        <w:tc>
          <w:tcPr>
            <w:tcW w:w="7001" w:type="dxa"/>
          </w:tcPr>
          <w:p w14:paraId="5BD1CA1F" w14:textId="77777777" w:rsidR="00293B4F" w:rsidRDefault="00CA1F4E" w:rsidP="00293B4F">
            <w:pPr>
              <w:pStyle w:val="ListParagraph"/>
              <w:numPr>
                <w:ilvl w:val="0"/>
                <w:numId w:val="36"/>
              </w:numPr>
              <w:autoSpaceDE w:val="0"/>
              <w:autoSpaceDN w:val="0"/>
              <w:adjustRightInd w:val="0"/>
              <w:spacing w:after="0"/>
              <w:rPr>
                <w:rFonts w:ascii="Arial" w:hAnsi="Arial" w:cs="Arial"/>
                <w:szCs w:val="24"/>
              </w:rPr>
            </w:pPr>
            <w:r w:rsidRPr="00293B4F">
              <w:rPr>
                <w:rFonts w:ascii="Arial" w:hAnsi="Arial" w:cs="Arial"/>
                <w:szCs w:val="24"/>
              </w:rPr>
              <w:t xml:space="preserve">The PI is above the target RL whereby the HCR advises that the TACC be set at 90-100% of the long-term SHL; 18,000 kg. </w:t>
            </w:r>
          </w:p>
          <w:p w14:paraId="734FFCBF" w14:textId="69722A68" w:rsidR="00CA1F4E" w:rsidRPr="00293B4F" w:rsidRDefault="00CA1F4E" w:rsidP="00293B4F">
            <w:pPr>
              <w:pStyle w:val="ListParagraph"/>
              <w:numPr>
                <w:ilvl w:val="0"/>
                <w:numId w:val="36"/>
              </w:numPr>
              <w:autoSpaceDE w:val="0"/>
              <w:autoSpaceDN w:val="0"/>
              <w:adjustRightInd w:val="0"/>
              <w:spacing w:after="0"/>
              <w:rPr>
                <w:rFonts w:ascii="Arial" w:hAnsi="Arial" w:cs="Arial"/>
                <w:szCs w:val="24"/>
              </w:rPr>
            </w:pPr>
            <w:r w:rsidRPr="00293B4F">
              <w:rPr>
                <w:rFonts w:ascii="Arial" w:hAnsi="Arial" w:cs="Arial"/>
                <w:szCs w:val="24"/>
              </w:rPr>
              <w:t xml:space="preserve">Note, only 37.3% of TACC has been taken due to the impact of COVID-19 on overseas markets. </w:t>
            </w:r>
          </w:p>
        </w:tc>
      </w:tr>
      <w:tr w:rsidR="00CA1F4E" w:rsidRPr="00CA1F4E" w14:paraId="73E20800" w14:textId="77777777" w:rsidTr="00890111">
        <w:trPr>
          <w:trHeight w:val="1442"/>
        </w:trPr>
        <w:tc>
          <w:tcPr>
            <w:tcW w:w="1838" w:type="dxa"/>
            <w:vMerge/>
          </w:tcPr>
          <w:p w14:paraId="403B57A8" w14:textId="77777777" w:rsidR="00CA1F4E" w:rsidRPr="00CA1F4E" w:rsidRDefault="00CA1F4E" w:rsidP="00CA1F4E">
            <w:pPr>
              <w:rPr>
                <w:b/>
                <w:bCs/>
              </w:rPr>
            </w:pPr>
          </w:p>
        </w:tc>
        <w:tc>
          <w:tcPr>
            <w:tcW w:w="851" w:type="dxa"/>
          </w:tcPr>
          <w:p w14:paraId="3F9E9582" w14:textId="77777777" w:rsidR="00CA1F4E" w:rsidRPr="00CA1F4E" w:rsidRDefault="00CA1F4E" w:rsidP="00CA1F4E">
            <w:pPr>
              <w:rPr>
                <w:b/>
                <w:bCs/>
              </w:rPr>
            </w:pPr>
            <w:r w:rsidRPr="00CA1F4E">
              <w:rPr>
                <w:b/>
                <w:bCs/>
              </w:rPr>
              <w:t>5</w:t>
            </w:r>
          </w:p>
        </w:tc>
        <w:tc>
          <w:tcPr>
            <w:tcW w:w="7001" w:type="dxa"/>
          </w:tcPr>
          <w:p w14:paraId="256F610A" w14:textId="77777777" w:rsidR="00293B4F" w:rsidRDefault="00CA1F4E" w:rsidP="00293B4F">
            <w:pPr>
              <w:pStyle w:val="ListParagraph"/>
              <w:numPr>
                <w:ilvl w:val="0"/>
                <w:numId w:val="37"/>
              </w:numPr>
            </w:pPr>
            <w:r w:rsidRPr="00CA1F4E">
              <w:t xml:space="preserve">The PI is above the target RL whereby the HCR advises that the TACC be set at 90-100% of the long-term SHL (20,000 kg). </w:t>
            </w:r>
          </w:p>
          <w:p w14:paraId="41DA6F06" w14:textId="022A2238" w:rsidR="00CA1F4E" w:rsidRPr="00CA1F4E" w:rsidRDefault="00CA1F4E" w:rsidP="00293B4F">
            <w:pPr>
              <w:pStyle w:val="ListParagraph"/>
              <w:numPr>
                <w:ilvl w:val="0"/>
                <w:numId w:val="37"/>
              </w:numPr>
            </w:pPr>
            <w:r w:rsidRPr="00CA1F4E">
              <w:t xml:space="preserve">Less than 1% of the TACC had been caught at the time of assessment due to the impact of COVID-19 on overseas markets. </w:t>
            </w:r>
          </w:p>
        </w:tc>
      </w:tr>
      <w:tr w:rsidR="00CA1F4E" w:rsidRPr="00CA1F4E" w14:paraId="2C97976E" w14:textId="77777777" w:rsidTr="00890111">
        <w:tc>
          <w:tcPr>
            <w:tcW w:w="1838" w:type="dxa"/>
            <w:vMerge/>
          </w:tcPr>
          <w:p w14:paraId="4159EB80" w14:textId="77777777" w:rsidR="00CA1F4E" w:rsidRPr="00CA1F4E" w:rsidRDefault="00CA1F4E" w:rsidP="00CA1F4E">
            <w:pPr>
              <w:rPr>
                <w:b/>
                <w:bCs/>
              </w:rPr>
            </w:pPr>
          </w:p>
        </w:tc>
        <w:tc>
          <w:tcPr>
            <w:tcW w:w="851" w:type="dxa"/>
          </w:tcPr>
          <w:p w14:paraId="31AC5EF3" w14:textId="77777777" w:rsidR="00CA1F4E" w:rsidRPr="00CA1F4E" w:rsidRDefault="00CA1F4E" w:rsidP="00CA1F4E">
            <w:pPr>
              <w:rPr>
                <w:b/>
                <w:bCs/>
              </w:rPr>
            </w:pPr>
            <w:r w:rsidRPr="00CA1F4E">
              <w:rPr>
                <w:b/>
                <w:bCs/>
              </w:rPr>
              <w:t>6</w:t>
            </w:r>
          </w:p>
        </w:tc>
        <w:tc>
          <w:tcPr>
            <w:tcW w:w="7001" w:type="dxa"/>
          </w:tcPr>
          <w:p w14:paraId="18EAE86E" w14:textId="77777777" w:rsidR="00293B4F" w:rsidRDefault="00CA1F4E" w:rsidP="00293B4F">
            <w:pPr>
              <w:pStyle w:val="ListParagraph"/>
              <w:numPr>
                <w:ilvl w:val="0"/>
                <w:numId w:val="38"/>
              </w:numPr>
            </w:pPr>
            <w:r w:rsidRPr="00CA1F4E">
              <w:t xml:space="preserve">The PI is above the target RL whereby the HCR advises that the TACC be set at 90-100% of the long-term SHL. Stock levels are considered adequate due to low catch over the past 11 seasons. </w:t>
            </w:r>
          </w:p>
          <w:p w14:paraId="3CC354C3" w14:textId="41BA08A8" w:rsidR="00CA1F4E" w:rsidRPr="00CA1F4E" w:rsidRDefault="00CA1F4E" w:rsidP="00293B4F">
            <w:pPr>
              <w:pStyle w:val="ListParagraph"/>
              <w:numPr>
                <w:ilvl w:val="0"/>
                <w:numId w:val="38"/>
              </w:numPr>
            </w:pPr>
            <w:r w:rsidRPr="00CA1F4E">
              <w:t>Only 16.2% of TACC had been caught at the time of assessment due to the impact of COVID-19 on overseas markets.</w:t>
            </w:r>
          </w:p>
        </w:tc>
      </w:tr>
      <w:tr w:rsidR="00CA1F4E" w:rsidRPr="00CA1F4E" w14:paraId="44BEBE71" w14:textId="77777777" w:rsidTr="00890111">
        <w:tc>
          <w:tcPr>
            <w:tcW w:w="1838" w:type="dxa"/>
            <w:vMerge/>
          </w:tcPr>
          <w:p w14:paraId="4E992197" w14:textId="77777777" w:rsidR="00CA1F4E" w:rsidRPr="00CA1F4E" w:rsidRDefault="00CA1F4E" w:rsidP="00CA1F4E">
            <w:pPr>
              <w:rPr>
                <w:b/>
                <w:bCs/>
              </w:rPr>
            </w:pPr>
          </w:p>
        </w:tc>
        <w:tc>
          <w:tcPr>
            <w:tcW w:w="851" w:type="dxa"/>
          </w:tcPr>
          <w:p w14:paraId="63AA7465" w14:textId="77777777" w:rsidR="00CA1F4E" w:rsidRPr="00CA1F4E" w:rsidRDefault="00CA1F4E" w:rsidP="00CA1F4E">
            <w:pPr>
              <w:rPr>
                <w:b/>
                <w:bCs/>
              </w:rPr>
            </w:pPr>
            <w:r w:rsidRPr="00CA1F4E">
              <w:rPr>
                <w:b/>
                <w:bCs/>
              </w:rPr>
              <w:t>7</w:t>
            </w:r>
          </w:p>
        </w:tc>
        <w:tc>
          <w:tcPr>
            <w:tcW w:w="7001" w:type="dxa"/>
          </w:tcPr>
          <w:p w14:paraId="0857ECC0" w14:textId="77777777" w:rsidR="00293B4F" w:rsidRDefault="00CA1F4E" w:rsidP="00293B4F">
            <w:pPr>
              <w:pStyle w:val="ListParagraph"/>
              <w:numPr>
                <w:ilvl w:val="0"/>
                <w:numId w:val="39"/>
              </w:numPr>
            </w:pPr>
            <w:r w:rsidRPr="00CA1F4E">
              <w:t xml:space="preserve">For Roe’s abalone in the Perth </w:t>
            </w:r>
            <w:r w:rsidR="00ED3DBC">
              <w:t>m</w:t>
            </w:r>
            <w:r w:rsidRPr="00CA1F4E">
              <w:t xml:space="preserve">etropolitan </w:t>
            </w:r>
            <w:r w:rsidR="00ED3DBC">
              <w:t>f</w:t>
            </w:r>
            <w:r w:rsidR="00ED3DBC" w:rsidRPr="00CA1F4E">
              <w:t xml:space="preserve">ishery </w:t>
            </w:r>
            <w:r w:rsidRPr="00CA1F4E">
              <w:t xml:space="preserve">(Area 7) under the HS, evidence on future harvest sized stock abundance (71+ mm) obtained from a </w:t>
            </w:r>
            <w:r w:rsidR="00ED3DBC">
              <w:t>s</w:t>
            </w:r>
            <w:r w:rsidR="00ED3DBC" w:rsidRPr="00CA1F4E">
              <w:t xml:space="preserve">tock </w:t>
            </w:r>
            <w:r w:rsidR="00ED3DBC">
              <w:t>p</w:t>
            </w:r>
            <w:r w:rsidR="00ED3DBC" w:rsidRPr="00CA1F4E">
              <w:t xml:space="preserve">rediction </w:t>
            </w:r>
            <w:r w:rsidR="00ED3DBC">
              <w:t>m</w:t>
            </w:r>
            <w:r w:rsidR="00ED3DBC" w:rsidRPr="00CA1F4E">
              <w:t xml:space="preserve">odel </w:t>
            </w:r>
            <w:r w:rsidRPr="00CA1F4E">
              <w:t>is used as the primary PI to set the TACC.</w:t>
            </w:r>
          </w:p>
          <w:p w14:paraId="2B69635B" w14:textId="77777777" w:rsidR="00293B4F" w:rsidRDefault="00CA1F4E" w:rsidP="00293B4F">
            <w:pPr>
              <w:pStyle w:val="ListParagraph"/>
              <w:numPr>
                <w:ilvl w:val="0"/>
                <w:numId w:val="39"/>
              </w:numPr>
            </w:pPr>
            <w:r w:rsidRPr="00CA1F4E">
              <w:t xml:space="preserve">Recovery of the Perth abalone stocks from historically low levels was complete in 2021. </w:t>
            </w:r>
          </w:p>
          <w:p w14:paraId="21208658" w14:textId="77777777" w:rsidR="00293B4F" w:rsidRDefault="00CA1F4E" w:rsidP="00293B4F">
            <w:pPr>
              <w:pStyle w:val="ListParagraph"/>
              <w:numPr>
                <w:ilvl w:val="0"/>
                <w:numId w:val="39"/>
              </w:numPr>
            </w:pPr>
            <w:r w:rsidRPr="00CA1F4E">
              <w:t xml:space="preserve">Stock indicators for adult Roe’s abalone (harvest-size animals and spawning biomass) are above pre-2011 marine heatwave levels with some at or near record-high levels since the Perth abalone stock surveys began (1997). </w:t>
            </w:r>
          </w:p>
          <w:p w14:paraId="4CBC9C6B" w14:textId="77777777" w:rsidR="00293B4F" w:rsidRDefault="00CA1F4E" w:rsidP="00293B4F">
            <w:pPr>
              <w:pStyle w:val="ListParagraph"/>
              <w:numPr>
                <w:ilvl w:val="0"/>
                <w:numId w:val="39"/>
              </w:numPr>
            </w:pPr>
            <w:r w:rsidRPr="00CA1F4E">
              <w:t xml:space="preserve">However, the increasing trend across all stock indicators (post 2015) halted in 2022, with juvenile recruitment exhibiting a sharp decline. </w:t>
            </w:r>
          </w:p>
          <w:p w14:paraId="235D57CE" w14:textId="77777777" w:rsidR="00293B4F" w:rsidRDefault="00CA1F4E" w:rsidP="00293B4F">
            <w:pPr>
              <w:pStyle w:val="ListParagraph"/>
              <w:numPr>
                <w:ilvl w:val="0"/>
                <w:numId w:val="39"/>
              </w:numPr>
            </w:pPr>
            <w:r w:rsidRPr="00CA1F4E">
              <w:t xml:space="preserve">The </w:t>
            </w:r>
            <w:r w:rsidR="00C35C05">
              <w:t>s</w:t>
            </w:r>
            <w:r w:rsidR="00C35C05" w:rsidRPr="00CA1F4E">
              <w:t xml:space="preserve">tock </w:t>
            </w:r>
            <w:r w:rsidR="00C35C05">
              <w:t>p</w:t>
            </w:r>
            <w:r w:rsidR="00C35C05" w:rsidRPr="00CA1F4E">
              <w:t xml:space="preserve">rediction </w:t>
            </w:r>
            <w:r w:rsidR="00C35C05">
              <w:t>m</w:t>
            </w:r>
            <w:r w:rsidR="00C35C05" w:rsidRPr="00CA1F4E">
              <w:t xml:space="preserve">odel </w:t>
            </w:r>
            <w:r w:rsidRPr="00CA1F4E">
              <w:t xml:space="preserve">has estimated a decline in density of harvest size (71+ mm) Roe’s abalone for 2023 (corresponds to end of the 2022/23 season given timing of surveys). </w:t>
            </w:r>
          </w:p>
          <w:p w14:paraId="0C4A77A1" w14:textId="77777777" w:rsidR="00293B4F" w:rsidRDefault="00CA1F4E" w:rsidP="00293B4F">
            <w:pPr>
              <w:pStyle w:val="ListParagraph"/>
              <w:numPr>
                <w:ilvl w:val="0"/>
                <w:numId w:val="39"/>
              </w:numPr>
            </w:pPr>
            <w:r w:rsidRPr="00CA1F4E">
              <w:t xml:space="preserve">This corresponded to an overall commercial and recreational catch (TAC) reducing for the 2022/23 season. </w:t>
            </w:r>
          </w:p>
          <w:p w14:paraId="585F2997" w14:textId="77777777" w:rsidR="00293B4F" w:rsidRDefault="00CA1F4E" w:rsidP="00293B4F">
            <w:pPr>
              <w:pStyle w:val="ListParagraph"/>
              <w:numPr>
                <w:ilvl w:val="0"/>
                <w:numId w:val="39"/>
              </w:numPr>
            </w:pPr>
            <w:r w:rsidRPr="00CA1F4E">
              <w:t xml:space="preserve">There was no change in the TACC for the 2023/24 season until the mid-season review that will be carried out in June 2024. </w:t>
            </w:r>
          </w:p>
          <w:p w14:paraId="1D403F07" w14:textId="1FDC1004" w:rsidR="00CA1F4E" w:rsidRPr="00CA1F4E" w:rsidRDefault="00CA1F4E" w:rsidP="00293B4F">
            <w:pPr>
              <w:pStyle w:val="ListParagraph"/>
              <w:numPr>
                <w:ilvl w:val="0"/>
                <w:numId w:val="39"/>
              </w:numPr>
            </w:pPr>
            <w:r w:rsidRPr="00CA1F4E">
              <w:t xml:space="preserve">This allows consideration of the results from the 2023 </w:t>
            </w:r>
            <w:r w:rsidR="00C35C05">
              <w:t>fi</w:t>
            </w:r>
            <w:r w:rsidR="00C35C05" w:rsidRPr="00CA1F4E">
              <w:t>shery</w:t>
            </w:r>
            <w:r w:rsidRPr="00CA1F4E">
              <w:t>-</w:t>
            </w:r>
            <w:r w:rsidR="00C35C05">
              <w:t>i</w:t>
            </w:r>
            <w:r w:rsidRPr="00CA1F4E">
              <w:t xml:space="preserve">ndependent </w:t>
            </w:r>
            <w:r w:rsidR="00C35C05">
              <w:t>s</w:t>
            </w:r>
            <w:r w:rsidR="00C35C05" w:rsidRPr="00CA1F4E">
              <w:t>urvey</w:t>
            </w:r>
            <w:r w:rsidRPr="00CA1F4E">
              <w:t xml:space="preserve">. </w:t>
            </w:r>
          </w:p>
        </w:tc>
      </w:tr>
      <w:tr w:rsidR="00CA1F4E" w:rsidRPr="00CA1F4E" w14:paraId="48A251FB" w14:textId="77777777" w:rsidTr="00890111">
        <w:tc>
          <w:tcPr>
            <w:tcW w:w="1838" w:type="dxa"/>
            <w:vMerge/>
          </w:tcPr>
          <w:p w14:paraId="649CD927" w14:textId="77777777" w:rsidR="00CA1F4E" w:rsidRPr="00CA1F4E" w:rsidRDefault="00CA1F4E" w:rsidP="00CA1F4E">
            <w:pPr>
              <w:rPr>
                <w:b/>
                <w:bCs/>
              </w:rPr>
            </w:pPr>
          </w:p>
        </w:tc>
        <w:tc>
          <w:tcPr>
            <w:tcW w:w="851" w:type="dxa"/>
          </w:tcPr>
          <w:p w14:paraId="7043A0C8" w14:textId="77777777" w:rsidR="00CA1F4E" w:rsidRPr="00CA1F4E" w:rsidRDefault="00CA1F4E" w:rsidP="00CA1F4E">
            <w:pPr>
              <w:rPr>
                <w:b/>
                <w:bCs/>
              </w:rPr>
            </w:pPr>
            <w:r w:rsidRPr="00CA1F4E">
              <w:rPr>
                <w:b/>
                <w:bCs/>
              </w:rPr>
              <w:t>8</w:t>
            </w:r>
          </w:p>
        </w:tc>
        <w:tc>
          <w:tcPr>
            <w:tcW w:w="7001" w:type="dxa"/>
          </w:tcPr>
          <w:p w14:paraId="6D7BFCE8" w14:textId="77777777" w:rsidR="00CA1F4E" w:rsidRPr="00CA1F4E" w:rsidRDefault="00CA1F4E" w:rsidP="00293B4F">
            <w:pPr>
              <w:pStyle w:val="ListParagraph"/>
              <w:numPr>
                <w:ilvl w:val="0"/>
                <w:numId w:val="40"/>
              </w:numPr>
            </w:pPr>
            <w:r w:rsidRPr="00CA1F4E">
              <w:t>Fishery closed due to catastrophic mortality associated with the marine heatwave in 2011.</w:t>
            </w:r>
          </w:p>
        </w:tc>
      </w:tr>
      <w:tr w:rsidR="00CA1F4E" w:rsidRPr="00CA1F4E" w14:paraId="2DA1994D" w14:textId="77777777" w:rsidTr="00890111">
        <w:tc>
          <w:tcPr>
            <w:tcW w:w="1838" w:type="dxa"/>
            <w:vMerge w:val="restart"/>
          </w:tcPr>
          <w:p w14:paraId="162FF436" w14:textId="77777777" w:rsidR="00CA1F4E" w:rsidRPr="00CA1F4E" w:rsidRDefault="00CA1F4E" w:rsidP="00CA1F4E">
            <w:pPr>
              <w:autoSpaceDE w:val="0"/>
              <w:autoSpaceDN w:val="0"/>
              <w:adjustRightInd w:val="0"/>
              <w:spacing w:after="0"/>
              <w:rPr>
                <w:rFonts w:ascii="Arial" w:hAnsi="Arial" w:cs="Arial"/>
                <w:color w:val="000000"/>
                <w:sz w:val="23"/>
                <w:szCs w:val="23"/>
              </w:rPr>
            </w:pPr>
            <w:r w:rsidRPr="00CA1F4E">
              <w:rPr>
                <w:rFonts w:ascii="Arial" w:hAnsi="Arial" w:cs="Arial"/>
                <w:b/>
                <w:bCs/>
                <w:color w:val="404040"/>
                <w:sz w:val="23"/>
                <w:szCs w:val="23"/>
              </w:rPr>
              <w:t xml:space="preserve">Greenlip abalone – </w:t>
            </w:r>
            <w:r w:rsidRPr="00CA1F4E">
              <w:rPr>
                <w:rFonts w:ascii="Arial" w:hAnsi="Arial" w:cs="Arial"/>
                <w:b/>
                <w:bCs/>
                <w:i/>
                <w:iCs/>
                <w:color w:val="404040"/>
                <w:sz w:val="23"/>
                <w:szCs w:val="23"/>
              </w:rPr>
              <w:t xml:space="preserve">Haliotis laevigata </w:t>
            </w:r>
          </w:p>
          <w:p w14:paraId="48B86FEB" w14:textId="77777777" w:rsidR="00CA1F4E" w:rsidRPr="00CA1F4E" w:rsidRDefault="00CA1F4E" w:rsidP="00CA1F4E"/>
        </w:tc>
        <w:tc>
          <w:tcPr>
            <w:tcW w:w="851" w:type="dxa"/>
          </w:tcPr>
          <w:p w14:paraId="66AA5BF7" w14:textId="77777777" w:rsidR="00CA1F4E" w:rsidRPr="00CA1F4E" w:rsidRDefault="00CA1F4E" w:rsidP="00CA1F4E">
            <w:pPr>
              <w:rPr>
                <w:b/>
                <w:bCs/>
              </w:rPr>
            </w:pPr>
            <w:r w:rsidRPr="00CA1F4E">
              <w:rPr>
                <w:b/>
                <w:bCs/>
              </w:rPr>
              <w:lastRenderedPageBreak/>
              <w:t>1</w:t>
            </w:r>
          </w:p>
        </w:tc>
        <w:tc>
          <w:tcPr>
            <w:tcW w:w="7001" w:type="dxa"/>
          </w:tcPr>
          <w:p w14:paraId="0905F2BE" w14:textId="77777777" w:rsidR="00293B4F" w:rsidRDefault="00CA1F4E" w:rsidP="00293B4F">
            <w:pPr>
              <w:pStyle w:val="ListParagraph"/>
              <w:numPr>
                <w:ilvl w:val="0"/>
                <w:numId w:val="40"/>
              </w:numPr>
              <w:autoSpaceDE w:val="0"/>
              <w:autoSpaceDN w:val="0"/>
              <w:adjustRightInd w:val="0"/>
              <w:spacing w:after="0"/>
              <w:rPr>
                <w:rFonts w:ascii="Arial" w:hAnsi="Arial" w:cs="Arial"/>
                <w:szCs w:val="24"/>
              </w:rPr>
            </w:pPr>
            <w:r w:rsidRPr="00293B4F">
              <w:rPr>
                <w:rFonts w:ascii="Arial" w:hAnsi="Arial" w:cs="Arial"/>
                <w:szCs w:val="24"/>
              </w:rPr>
              <w:t xml:space="preserve">This is an exploratory fishing area as stocks in this area are “stunted” and very minimal fishing has been undertaken since 2010/11 (910 kg). </w:t>
            </w:r>
          </w:p>
          <w:p w14:paraId="30970B84" w14:textId="2FD7E8AD" w:rsidR="00CA1F4E" w:rsidRPr="00293B4F" w:rsidRDefault="00CA1F4E" w:rsidP="00293B4F">
            <w:pPr>
              <w:pStyle w:val="ListParagraph"/>
              <w:numPr>
                <w:ilvl w:val="0"/>
                <w:numId w:val="40"/>
              </w:numPr>
              <w:autoSpaceDE w:val="0"/>
              <w:autoSpaceDN w:val="0"/>
              <w:adjustRightInd w:val="0"/>
              <w:spacing w:after="0"/>
              <w:rPr>
                <w:rFonts w:ascii="Arial" w:hAnsi="Arial" w:cs="Arial"/>
                <w:szCs w:val="24"/>
              </w:rPr>
            </w:pPr>
            <w:r w:rsidRPr="00293B4F">
              <w:rPr>
                <w:rFonts w:ascii="Arial" w:hAnsi="Arial" w:cs="Arial"/>
                <w:szCs w:val="24"/>
              </w:rPr>
              <w:t xml:space="preserve">No catch has been taken in the 2022/23 season to date. </w:t>
            </w:r>
          </w:p>
        </w:tc>
      </w:tr>
      <w:tr w:rsidR="00CA1F4E" w:rsidRPr="00CA1F4E" w14:paraId="2C9C9CA0" w14:textId="77777777" w:rsidTr="00890111">
        <w:tc>
          <w:tcPr>
            <w:tcW w:w="1838" w:type="dxa"/>
            <w:vMerge/>
          </w:tcPr>
          <w:p w14:paraId="2B82EA5A" w14:textId="77777777" w:rsidR="00CA1F4E" w:rsidRPr="00CA1F4E" w:rsidRDefault="00CA1F4E" w:rsidP="00CA1F4E">
            <w:pPr>
              <w:autoSpaceDE w:val="0"/>
              <w:autoSpaceDN w:val="0"/>
              <w:adjustRightInd w:val="0"/>
              <w:spacing w:after="0"/>
              <w:rPr>
                <w:rFonts w:ascii="Arial" w:hAnsi="Arial" w:cs="Arial"/>
                <w:b/>
                <w:bCs/>
                <w:color w:val="404040"/>
                <w:sz w:val="23"/>
                <w:szCs w:val="23"/>
              </w:rPr>
            </w:pPr>
          </w:p>
        </w:tc>
        <w:tc>
          <w:tcPr>
            <w:tcW w:w="851" w:type="dxa"/>
          </w:tcPr>
          <w:p w14:paraId="58654E31" w14:textId="77777777" w:rsidR="00CA1F4E" w:rsidRPr="00CA1F4E" w:rsidRDefault="00CA1F4E" w:rsidP="00CA1F4E">
            <w:pPr>
              <w:rPr>
                <w:b/>
                <w:bCs/>
              </w:rPr>
            </w:pPr>
            <w:r w:rsidRPr="00CA1F4E">
              <w:rPr>
                <w:b/>
                <w:bCs/>
              </w:rPr>
              <w:t>2</w:t>
            </w:r>
          </w:p>
        </w:tc>
        <w:tc>
          <w:tcPr>
            <w:tcW w:w="7001" w:type="dxa"/>
          </w:tcPr>
          <w:p w14:paraId="37B641C3" w14:textId="77777777" w:rsidR="00293B4F" w:rsidRDefault="00CA1F4E" w:rsidP="00293B4F">
            <w:pPr>
              <w:pStyle w:val="ListParagraph"/>
              <w:numPr>
                <w:ilvl w:val="0"/>
                <w:numId w:val="41"/>
              </w:numPr>
              <w:autoSpaceDE w:val="0"/>
              <w:autoSpaceDN w:val="0"/>
              <w:adjustRightInd w:val="0"/>
              <w:spacing w:after="0"/>
              <w:rPr>
                <w:rFonts w:ascii="Arial" w:hAnsi="Arial" w:cs="Arial"/>
                <w:szCs w:val="24"/>
              </w:rPr>
            </w:pPr>
            <w:r w:rsidRPr="00293B4F">
              <w:rPr>
                <w:rFonts w:ascii="Arial" w:hAnsi="Arial" w:cs="Arial"/>
                <w:szCs w:val="24"/>
              </w:rPr>
              <w:t xml:space="preserve">As per the HS, Area 2 Greenlip abalone has been under a RS, noting the TACC has been set at between 0-50% of the long-term SHL (30,000 kg) for the last five seasons (TACC reduced to 9,000 kg in 2018/19). </w:t>
            </w:r>
          </w:p>
          <w:p w14:paraId="2EDBC1D5" w14:textId="77777777" w:rsidR="00293B4F" w:rsidRDefault="00CA1F4E" w:rsidP="00CA1F4E">
            <w:pPr>
              <w:pStyle w:val="ListParagraph"/>
              <w:numPr>
                <w:ilvl w:val="0"/>
                <w:numId w:val="41"/>
              </w:numPr>
              <w:autoSpaceDE w:val="0"/>
              <w:autoSpaceDN w:val="0"/>
              <w:adjustRightInd w:val="0"/>
              <w:spacing w:after="0"/>
              <w:rPr>
                <w:rFonts w:ascii="Arial" w:hAnsi="Arial" w:cs="Arial"/>
                <w:szCs w:val="24"/>
              </w:rPr>
            </w:pPr>
            <w:r w:rsidRPr="00293B4F">
              <w:rPr>
                <w:rFonts w:ascii="Arial" w:hAnsi="Arial" w:cs="Arial"/>
                <w:szCs w:val="24"/>
              </w:rPr>
              <w:t xml:space="preserve">However, additional management action was undertaken in 2020/21 (TACC reduced to 6,000 kg) because of the continued decline in PI. </w:t>
            </w:r>
          </w:p>
          <w:p w14:paraId="23907332" w14:textId="77777777" w:rsidR="00293B4F" w:rsidRDefault="00CA1F4E" w:rsidP="00CA1F4E">
            <w:pPr>
              <w:pStyle w:val="ListParagraph"/>
              <w:numPr>
                <w:ilvl w:val="0"/>
                <w:numId w:val="41"/>
              </w:numPr>
              <w:autoSpaceDE w:val="0"/>
              <w:autoSpaceDN w:val="0"/>
              <w:adjustRightInd w:val="0"/>
              <w:spacing w:after="0"/>
              <w:rPr>
                <w:rFonts w:ascii="Arial" w:hAnsi="Arial" w:cs="Arial"/>
                <w:szCs w:val="24"/>
              </w:rPr>
            </w:pPr>
            <w:r w:rsidRPr="00293B4F">
              <w:rPr>
                <w:rFonts w:ascii="Arial" w:hAnsi="Arial" w:cs="Arial"/>
                <w:szCs w:val="24"/>
              </w:rPr>
              <w:t xml:space="preserve">Since the reduction of the TACC to 6,000 kg in 2020/21 the PI has increased, where in 2022/23 it is above the limit RL (high degree of certainty). </w:t>
            </w:r>
          </w:p>
          <w:p w14:paraId="78AE9D8F" w14:textId="77777777" w:rsidR="00250874" w:rsidRDefault="00CA1F4E" w:rsidP="00250874">
            <w:pPr>
              <w:pStyle w:val="ListParagraph"/>
              <w:numPr>
                <w:ilvl w:val="0"/>
                <w:numId w:val="41"/>
              </w:numPr>
              <w:autoSpaceDE w:val="0"/>
              <w:autoSpaceDN w:val="0"/>
              <w:adjustRightInd w:val="0"/>
              <w:spacing w:after="0"/>
              <w:rPr>
                <w:rFonts w:ascii="Arial" w:hAnsi="Arial" w:cs="Arial"/>
                <w:szCs w:val="24"/>
              </w:rPr>
            </w:pPr>
            <w:r w:rsidRPr="00293B4F">
              <w:rPr>
                <w:rFonts w:ascii="Arial" w:hAnsi="Arial" w:cs="Arial"/>
                <w:szCs w:val="24"/>
              </w:rPr>
              <w:t xml:space="preserve">Under Step 2 of the RS, when there is a positive trend in PI any potential increase in the annual TACC will only be 0-10% of the previous seasons TACC. </w:t>
            </w:r>
          </w:p>
          <w:p w14:paraId="0CB7F7F2" w14:textId="0003602C" w:rsidR="00250874" w:rsidRPr="00250874" w:rsidRDefault="00250874" w:rsidP="00250874">
            <w:pPr>
              <w:pStyle w:val="ListParagraph"/>
              <w:numPr>
                <w:ilvl w:val="0"/>
                <w:numId w:val="41"/>
              </w:numPr>
              <w:autoSpaceDE w:val="0"/>
              <w:autoSpaceDN w:val="0"/>
              <w:adjustRightInd w:val="0"/>
              <w:spacing w:after="0"/>
              <w:rPr>
                <w:rFonts w:ascii="Arial" w:hAnsi="Arial" w:cs="Arial"/>
                <w:szCs w:val="24"/>
              </w:rPr>
            </w:pPr>
            <w:r w:rsidRPr="00250874">
              <w:rPr>
                <w:rFonts w:ascii="Arial" w:hAnsi="Arial" w:cs="Arial"/>
                <w:szCs w:val="24"/>
              </w:rPr>
              <w:t xml:space="preserve">In 2022/23, </w:t>
            </w:r>
            <w:r>
              <w:rPr>
                <w:rFonts w:ascii="Arial" w:hAnsi="Arial" w:cs="Arial"/>
                <w:szCs w:val="24"/>
              </w:rPr>
              <w:t>in line with the RS</w:t>
            </w:r>
            <w:r w:rsidR="0070323F">
              <w:rPr>
                <w:rFonts w:ascii="Arial" w:hAnsi="Arial" w:cs="Arial"/>
                <w:szCs w:val="24"/>
              </w:rPr>
              <w:t xml:space="preserve"> </w:t>
            </w:r>
            <w:r w:rsidRPr="00250874">
              <w:rPr>
                <w:rFonts w:ascii="Arial" w:hAnsi="Arial" w:cs="Arial"/>
                <w:szCs w:val="24"/>
              </w:rPr>
              <w:t xml:space="preserve"> 5% increase</w:t>
            </w:r>
            <w:r w:rsidR="00EB1310">
              <w:rPr>
                <w:rFonts w:ascii="Arial" w:hAnsi="Arial" w:cs="Arial"/>
                <w:szCs w:val="24"/>
              </w:rPr>
              <w:t xml:space="preserve"> in TACC was implemented as</w:t>
            </w:r>
            <w:r w:rsidRPr="00250874">
              <w:rPr>
                <w:rFonts w:ascii="Arial" w:hAnsi="Arial" w:cs="Arial"/>
                <w:szCs w:val="24"/>
              </w:rPr>
              <w:t xml:space="preserve"> to be more precautionary </w:t>
            </w:r>
            <w:r w:rsidR="00EB1310">
              <w:rPr>
                <w:rFonts w:ascii="Arial" w:hAnsi="Arial" w:cs="Arial"/>
                <w:szCs w:val="24"/>
              </w:rPr>
              <w:t xml:space="preserve">approach </w:t>
            </w:r>
            <w:r w:rsidRPr="00250874">
              <w:rPr>
                <w:rFonts w:ascii="Arial" w:hAnsi="Arial" w:cs="Arial"/>
                <w:szCs w:val="24"/>
              </w:rPr>
              <w:t xml:space="preserve">to a TACC of 6,300kg. </w:t>
            </w:r>
          </w:p>
          <w:p w14:paraId="5B1AC24B" w14:textId="5E7106D8" w:rsidR="00CA1F4E" w:rsidRPr="00911471" w:rsidRDefault="00250874" w:rsidP="00911471">
            <w:pPr>
              <w:pStyle w:val="ListParagraph"/>
              <w:numPr>
                <w:ilvl w:val="0"/>
                <w:numId w:val="41"/>
              </w:numPr>
              <w:autoSpaceDE w:val="0"/>
              <w:autoSpaceDN w:val="0"/>
              <w:adjustRightInd w:val="0"/>
              <w:spacing w:after="0"/>
              <w:rPr>
                <w:rFonts w:ascii="Arial" w:hAnsi="Arial" w:cs="Arial"/>
                <w:szCs w:val="24"/>
              </w:rPr>
            </w:pPr>
            <w:r w:rsidRPr="00250874">
              <w:rPr>
                <w:rFonts w:ascii="Arial" w:hAnsi="Arial" w:cs="Arial"/>
                <w:szCs w:val="24"/>
              </w:rPr>
              <w:t xml:space="preserve">For 2024/2025 season </w:t>
            </w:r>
            <w:r w:rsidR="00EB1310">
              <w:rPr>
                <w:rFonts w:ascii="Arial" w:hAnsi="Arial" w:cs="Arial"/>
                <w:szCs w:val="24"/>
              </w:rPr>
              <w:t xml:space="preserve">a </w:t>
            </w:r>
            <w:r w:rsidRPr="00250874">
              <w:rPr>
                <w:rFonts w:ascii="Arial" w:hAnsi="Arial" w:cs="Arial"/>
                <w:szCs w:val="24"/>
              </w:rPr>
              <w:t>further 5% increase TACC of 6,600 kg</w:t>
            </w:r>
            <w:r w:rsidR="00EB1310">
              <w:rPr>
                <w:rFonts w:ascii="Arial" w:hAnsi="Arial" w:cs="Arial"/>
                <w:szCs w:val="24"/>
              </w:rPr>
              <w:t xml:space="preserve"> was implemented in line with Step 2 of the </w:t>
            </w:r>
            <w:r w:rsidR="00911471">
              <w:rPr>
                <w:rFonts w:ascii="Arial" w:hAnsi="Arial" w:cs="Arial"/>
                <w:szCs w:val="24"/>
              </w:rPr>
              <w:t xml:space="preserve">recovery strategy. </w:t>
            </w:r>
          </w:p>
        </w:tc>
      </w:tr>
      <w:tr w:rsidR="00CA1F4E" w:rsidRPr="00CA1F4E" w14:paraId="45082AA2" w14:textId="77777777" w:rsidTr="00890111">
        <w:trPr>
          <w:trHeight w:val="569"/>
        </w:trPr>
        <w:tc>
          <w:tcPr>
            <w:tcW w:w="1838" w:type="dxa"/>
            <w:vMerge/>
          </w:tcPr>
          <w:p w14:paraId="0F3176C0" w14:textId="77777777" w:rsidR="00CA1F4E" w:rsidRPr="00CA1F4E" w:rsidRDefault="00CA1F4E" w:rsidP="00CA1F4E">
            <w:pPr>
              <w:autoSpaceDE w:val="0"/>
              <w:autoSpaceDN w:val="0"/>
              <w:adjustRightInd w:val="0"/>
              <w:spacing w:after="0"/>
              <w:rPr>
                <w:rFonts w:ascii="Arial" w:hAnsi="Arial" w:cs="Arial"/>
                <w:b/>
                <w:bCs/>
                <w:color w:val="404040"/>
                <w:sz w:val="23"/>
                <w:szCs w:val="23"/>
              </w:rPr>
            </w:pPr>
          </w:p>
        </w:tc>
        <w:tc>
          <w:tcPr>
            <w:tcW w:w="851" w:type="dxa"/>
          </w:tcPr>
          <w:p w14:paraId="77A5684E" w14:textId="77777777" w:rsidR="00CA1F4E" w:rsidRPr="00CA1F4E" w:rsidRDefault="00CA1F4E" w:rsidP="00CA1F4E">
            <w:pPr>
              <w:rPr>
                <w:b/>
                <w:bCs/>
              </w:rPr>
            </w:pPr>
            <w:r w:rsidRPr="00CA1F4E">
              <w:rPr>
                <w:b/>
                <w:bCs/>
              </w:rPr>
              <w:t>3</w:t>
            </w:r>
          </w:p>
        </w:tc>
        <w:tc>
          <w:tcPr>
            <w:tcW w:w="7001" w:type="dxa"/>
          </w:tcPr>
          <w:p w14:paraId="1F9F8042" w14:textId="77777777" w:rsidR="00CA1F4E" w:rsidRPr="00293B4F" w:rsidRDefault="00CA1F4E" w:rsidP="00293B4F">
            <w:pPr>
              <w:pStyle w:val="ListParagraph"/>
              <w:numPr>
                <w:ilvl w:val="0"/>
                <w:numId w:val="42"/>
              </w:numPr>
              <w:autoSpaceDE w:val="0"/>
              <w:autoSpaceDN w:val="0"/>
              <w:adjustRightInd w:val="0"/>
              <w:spacing w:after="0"/>
              <w:rPr>
                <w:rFonts w:ascii="Arial" w:hAnsi="Arial" w:cs="Arial"/>
                <w:szCs w:val="24"/>
              </w:rPr>
            </w:pPr>
            <w:r w:rsidRPr="00293B4F">
              <w:rPr>
                <w:rFonts w:ascii="Arial" w:hAnsi="Arial" w:cs="Arial"/>
                <w:szCs w:val="24"/>
              </w:rPr>
              <w:t xml:space="preserve">Area 3 Greenlip abalone is currently being managed under a RS and is closed to both recreational and commercial fishing. </w:t>
            </w:r>
          </w:p>
        </w:tc>
      </w:tr>
      <w:tr w:rsidR="00CA1F4E" w:rsidRPr="00CA1F4E" w14:paraId="022DC373" w14:textId="77777777" w:rsidTr="00890111">
        <w:tc>
          <w:tcPr>
            <w:tcW w:w="1838" w:type="dxa"/>
            <w:vMerge w:val="restart"/>
          </w:tcPr>
          <w:p w14:paraId="65586DB4" w14:textId="77777777" w:rsidR="00CA1F4E" w:rsidRPr="00CA1F4E" w:rsidRDefault="00CA1F4E" w:rsidP="00CA1F4E">
            <w:pPr>
              <w:autoSpaceDE w:val="0"/>
              <w:autoSpaceDN w:val="0"/>
              <w:adjustRightInd w:val="0"/>
              <w:spacing w:after="0"/>
              <w:rPr>
                <w:rFonts w:ascii="Arial" w:hAnsi="Arial" w:cs="Arial"/>
                <w:color w:val="000000"/>
                <w:sz w:val="23"/>
                <w:szCs w:val="23"/>
              </w:rPr>
            </w:pPr>
            <w:r w:rsidRPr="00CA1F4E">
              <w:rPr>
                <w:rFonts w:ascii="Arial" w:hAnsi="Arial" w:cs="Arial"/>
                <w:b/>
                <w:bCs/>
                <w:color w:val="404040"/>
                <w:sz w:val="23"/>
                <w:szCs w:val="23"/>
              </w:rPr>
              <w:t xml:space="preserve">Brownlip abalone – </w:t>
            </w:r>
            <w:r w:rsidRPr="00CA1F4E">
              <w:rPr>
                <w:rFonts w:ascii="Arial" w:hAnsi="Arial" w:cs="Arial"/>
                <w:b/>
                <w:bCs/>
                <w:i/>
                <w:iCs/>
                <w:color w:val="404040"/>
                <w:sz w:val="23"/>
                <w:szCs w:val="23"/>
              </w:rPr>
              <w:t xml:space="preserve">Haliotis conicopora </w:t>
            </w:r>
          </w:p>
          <w:p w14:paraId="0C757EF7" w14:textId="77777777" w:rsidR="00CA1F4E" w:rsidRPr="00CA1F4E" w:rsidRDefault="00CA1F4E" w:rsidP="00CA1F4E">
            <w:pPr>
              <w:autoSpaceDE w:val="0"/>
              <w:autoSpaceDN w:val="0"/>
              <w:adjustRightInd w:val="0"/>
              <w:spacing w:after="0"/>
              <w:rPr>
                <w:rFonts w:ascii="Arial" w:hAnsi="Arial" w:cs="Arial"/>
                <w:b/>
                <w:bCs/>
                <w:color w:val="404040"/>
                <w:sz w:val="23"/>
                <w:szCs w:val="23"/>
              </w:rPr>
            </w:pPr>
          </w:p>
        </w:tc>
        <w:tc>
          <w:tcPr>
            <w:tcW w:w="851" w:type="dxa"/>
          </w:tcPr>
          <w:p w14:paraId="129484C7" w14:textId="77777777" w:rsidR="00CA1F4E" w:rsidRPr="00CA1F4E" w:rsidRDefault="00CA1F4E" w:rsidP="00CA1F4E">
            <w:pPr>
              <w:rPr>
                <w:b/>
                <w:bCs/>
              </w:rPr>
            </w:pPr>
            <w:r w:rsidRPr="00CA1F4E">
              <w:rPr>
                <w:b/>
                <w:bCs/>
              </w:rPr>
              <w:t>1</w:t>
            </w:r>
          </w:p>
        </w:tc>
        <w:tc>
          <w:tcPr>
            <w:tcW w:w="7001" w:type="dxa"/>
          </w:tcPr>
          <w:p w14:paraId="66B67EDD" w14:textId="77777777" w:rsidR="00CA1F4E" w:rsidRPr="00293B4F" w:rsidRDefault="00CA1F4E" w:rsidP="00293B4F">
            <w:pPr>
              <w:pStyle w:val="ListParagraph"/>
              <w:numPr>
                <w:ilvl w:val="0"/>
                <w:numId w:val="42"/>
              </w:numPr>
              <w:autoSpaceDE w:val="0"/>
              <w:autoSpaceDN w:val="0"/>
              <w:adjustRightInd w:val="0"/>
              <w:spacing w:after="0"/>
              <w:rPr>
                <w:rFonts w:ascii="Arial" w:hAnsi="Arial" w:cs="Arial"/>
                <w:color w:val="000000"/>
                <w:szCs w:val="24"/>
              </w:rPr>
            </w:pPr>
            <w:r w:rsidRPr="00293B4F">
              <w:rPr>
                <w:rFonts w:ascii="Arial" w:hAnsi="Arial" w:cs="Arial"/>
                <w:color w:val="000000"/>
                <w:szCs w:val="24"/>
              </w:rPr>
              <w:t xml:space="preserve">No Brownlip abalone stocks of note in this area. </w:t>
            </w:r>
          </w:p>
        </w:tc>
      </w:tr>
      <w:tr w:rsidR="00CA1F4E" w:rsidRPr="00CA1F4E" w14:paraId="7D399A51" w14:textId="77777777" w:rsidTr="00890111">
        <w:tc>
          <w:tcPr>
            <w:tcW w:w="1838" w:type="dxa"/>
            <w:vMerge/>
          </w:tcPr>
          <w:p w14:paraId="30AFBA1E" w14:textId="77777777" w:rsidR="00CA1F4E" w:rsidRPr="00CA1F4E" w:rsidRDefault="00CA1F4E" w:rsidP="00CA1F4E">
            <w:pPr>
              <w:autoSpaceDE w:val="0"/>
              <w:autoSpaceDN w:val="0"/>
              <w:adjustRightInd w:val="0"/>
              <w:spacing w:after="0"/>
              <w:rPr>
                <w:rFonts w:ascii="Arial" w:hAnsi="Arial" w:cs="Arial"/>
                <w:b/>
                <w:bCs/>
                <w:color w:val="404040"/>
                <w:sz w:val="23"/>
                <w:szCs w:val="23"/>
              </w:rPr>
            </w:pPr>
          </w:p>
        </w:tc>
        <w:tc>
          <w:tcPr>
            <w:tcW w:w="851" w:type="dxa"/>
          </w:tcPr>
          <w:p w14:paraId="6083D23D" w14:textId="77777777" w:rsidR="00CA1F4E" w:rsidRPr="00CA1F4E" w:rsidRDefault="00CA1F4E" w:rsidP="00CA1F4E">
            <w:pPr>
              <w:rPr>
                <w:b/>
                <w:bCs/>
              </w:rPr>
            </w:pPr>
            <w:r w:rsidRPr="00CA1F4E">
              <w:rPr>
                <w:b/>
                <w:bCs/>
              </w:rPr>
              <w:t>2</w:t>
            </w:r>
          </w:p>
        </w:tc>
        <w:tc>
          <w:tcPr>
            <w:tcW w:w="7001" w:type="dxa"/>
          </w:tcPr>
          <w:p w14:paraId="6689874C" w14:textId="77777777" w:rsidR="00293B4F" w:rsidRDefault="00CA1F4E" w:rsidP="00293B4F">
            <w:pPr>
              <w:pStyle w:val="ListParagraph"/>
              <w:numPr>
                <w:ilvl w:val="0"/>
                <w:numId w:val="42"/>
              </w:numPr>
              <w:autoSpaceDE w:val="0"/>
              <w:autoSpaceDN w:val="0"/>
              <w:adjustRightInd w:val="0"/>
              <w:spacing w:after="0"/>
              <w:rPr>
                <w:rFonts w:ascii="Arial" w:hAnsi="Arial" w:cs="Arial"/>
                <w:szCs w:val="24"/>
              </w:rPr>
            </w:pPr>
            <w:r w:rsidRPr="00293B4F">
              <w:rPr>
                <w:rFonts w:ascii="Arial" w:hAnsi="Arial" w:cs="Arial"/>
                <w:szCs w:val="24"/>
              </w:rPr>
              <w:t xml:space="preserve">As per the HS Area 2 Brownlip abalone has been under Step 1 of the RS, the TACC was set at between 0-50% of the long-term SHL in 2021/22. </w:t>
            </w:r>
          </w:p>
          <w:p w14:paraId="5415621B" w14:textId="77777777" w:rsidR="00293B4F" w:rsidRDefault="00CA1F4E" w:rsidP="00293B4F">
            <w:pPr>
              <w:pStyle w:val="ListParagraph"/>
              <w:numPr>
                <w:ilvl w:val="0"/>
                <w:numId w:val="42"/>
              </w:numPr>
              <w:autoSpaceDE w:val="0"/>
              <w:autoSpaceDN w:val="0"/>
              <w:adjustRightInd w:val="0"/>
              <w:spacing w:after="0"/>
              <w:rPr>
                <w:rFonts w:ascii="Arial" w:hAnsi="Arial" w:cs="Arial"/>
                <w:szCs w:val="24"/>
              </w:rPr>
            </w:pPr>
            <w:r w:rsidRPr="00293B4F">
              <w:rPr>
                <w:rFonts w:ascii="Arial" w:hAnsi="Arial" w:cs="Arial"/>
                <w:szCs w:val="24"/>
              </w:rPr>
              <w:t xml:space="preserve">Additional management action was undertaken in 2022/23 because of the continued decline in PI. </w:t>
            </w:r>
          </w:p>
          <w:p w14:paraId="6061DE58" w14:textId="77777777" w:rsidR="00293B4F" w:rsidRDefault="00CA1F4E" w:rsidP="00293B4F">
            <w:pPr>
              <w:pStyle w:val="ListParagraph"/>
              <w:numPr>
                <w:ilvl w:val="0"/>
                <w:numId w:val="42"/>
              </w:numPr>
              <w:autoSpaceDE w:val="0"/>
              <w:autoSpaceDN w:val="0"/>
              <w:adjustRightInd w:val="0"/>
              <w:spacing w:after="0"/>
              <w:rPr>
                <w:rFonts w:ascii="Arial" w:hAnsi="Arial" w:cs="Arial"/>
                <w:szCs w:val="24"/>
              </w:rPr>
            </w:pPr>
            <w:r w:rsidRPr="00293B4F">
              <w:rPr>
                <w:rFonts w:ascii="Arial" w:hAnsi="Arial" w:cs="Arial"/>
                <w:szCs w:val="24"/>
              </w:rPr>
              <w:t xml:space="preserve">The PI for Brownlip abalone within Area 2 in 2022/23 is below the limit RL and at a record low level. </w:t>
            </w:r>
          </w:p>
          <w:p w14:paraId="61CB3D53" w14:textId="77777777" w:rsidR="00293B4F" w:rsidRDefault="00CA1F4E" w:rsidP="00293B4F">
            <w:pPr>
              <w:pStyle w:val="ListParagraph"/>
              <w:numPr>
                <w:ilvl w:val="0"/>
                <w:numId w:val="42"/>
              </w:numPr>
              <w:autoSpaceDE w:val="0"/>
              <w:autoSpaceDN w:val="0"/>
              <w:adjustRightInd w:val="0"/>
              <w:spacing w:after="0"/>
              <w:rPr>
                <w:rFonts w:ascii="Arial" w:hAnsi="Arial" w:cs="Arial"/>
                <w:szCs w:val="24"/>
              </w:rPr>
            </w:pPr>
            <w:r w:rsidRPr="00293B4F">
              <w:rPr>
                <w:rFonts w:ascii="Arial" w:hAnsi="Arial" w:cs="Arial"/>
                <w:szCs w:val="24"/>
              </w:rPr>
              <w:t xml:space="preserve">In 2024 Area 2 Brownlip fishing was closed to commercial fishing. </w:t>
            </w:r>
          </w:p>
          <w:p w14:paraId="0F18C651" w14:textId="77777777" w:rsidR="00293B4F" w:rsidRDefault="00CA1F4E" w:rsidP="00293B4F">
            <w:pPr>
              <w:pStyle w:val="ListParagraph"/>
              <w:numPr>
                <w:ilvl w:val="0"/>
                <w:numId w:val="42"/>
              </w:numPr>
              <w:autoSpaceDE w:val="0"/>
              <w:autoSpaceDN w:val="0"/>
              <w:adjustRightInd w:val="0"/>
              <w:spacing w:after="0"/>
              <w:rPr>
                <w:rFonts w:ascii="Arial" w:hAnsi="Arial" w:cs="Arial"/>
                <w:szCs w:val="24"/>
              </w:rPr>
            </w:pPr>
            <w:r w:rsidRPr="00293B4F">
              <w:rPr>
                <w:rFonts w:ascii="Arial" w:hAnsi="Arial" w:cs="Arial"/>
                <w:szCs w:val="24"/>
              </w:rPr>
              <w:t xml:space="preserve">Area 2 Brownlip fishing remains open to recreational fishers. </w:t>
            </w:r>
          </w:p>
          <w:p w14:paraId="000B1592" w14:textId="77777777" w:rsidR="00293B4F" w:rsidRDefault="00CA1F4E" w:rsidP="00293B4F">
            <w:pPr>
              <w:pStyle w:val="ListParagraph"/>
              <w:numPr>
                <w:ilvl w:val="0"/>
                <w:numId w:val="42"/>
              </w:numPr>
              <w:autoSpaceDE w:val="0"/>
              <w:autoSpaceDN w:val="0"/>
              <w:adjustRightInd w:val="0"/>
              <w:spacing w:after="0"/>
              <w:rPr>
                <w:rFonts w:ascii="Arial" w:hAnsi="Arial" w:cs="Arial"/>
                <w:szCs w:val="24"/>
              </w:rPr>
            </w:pPr>
            <w:r w:rsidRPr="00293B4F">
              <w:rPr>
                <w:rFonts w:ascii="Arial" w:hAnsi="Arial" w:cs="Arial"/>
                <w:szCs w:val="24"/>
              </w:rPr>
              <w:t xml:space="preserve">Given the low level of recreational catch the risk to the Brownlip stock posed by recreational fishers is considered low. </w:t>
            </w:r>
          </w:p>
          <w:p w14:paraId="3C2547A0" w14:textId="447CBA7D" w:rsidR="00CA1F4E" w:rsidRPr="00293B4F" w:rsidRDefault="00CA1F4E" w:rsidP="00293B4F">
            <w:pPr>
              <w:pStyle w:val="ListParagraph"/>
              <w:numPr>
                <w:ilvl w:val="0"/>
                <w:numId w:val="42"/>
              </w:numPr>
              <w:autoSpaceDE w:val="0"/>
              <w:autoSpaceDN w:val="0"/>
              <w:adjustRightInd w:val="0"/>
              <w:spacing w:after="0"/>
              <w:rPr>
                <w:rFonts w:ascii="Arial" w:hAnsi="Arial" w:cs="Arial"/>
                <w:szCs w:val="24"/>
              </w:rPr>
            </w:pPr>
            <w:r w:rsidRPr="00293B4F">
              <w:rPr>
                <w:rFonts w:ascii="Arial" w:hAnsi="Arial" w:cs="Arial"/>
                <w:szCs w:val="24"/>
              </w:rPr>
              <w:t xml:space="preserve">This position will be reviewed for the 2025/26 season.  </w:t>
            </w:r>
          </w:p>
        </w:tc>
      </w:tr>
      <w:tr w:rsidR="00CA1F4E" w:rsidRPr="00CA1F4E" w14:paraId="13C77E4D" w14:textId="77777777" w:rsidTr="00890111">
        <w:tc>
          <w:tcPr>
            <w:tcW w:w="1838" w:type="dxa"/>
            <w:vMerge/>
          </w:tcPr>
          <w:p w14:paraId="25E2036C" w14:textId="77777777" w:rsidR="00CA1F4E" w:rsidRPr="00CA1F4E" w:rsidRDefault="00CA1F4E" w:rsidP="00CA1F4E">
            <w:pPr>
              <w:autoSpaceDE w:val="0"/>
              <w:autoSpaceDN w:val="0"/>
              <w:adjustRightInd w:val="0"/>
              <w:spacing w:after="0"/>
              <w:rPr>
                <w:rFonts w:ascii="Arial" w:hAnsi="Arial" w:cs="Arial"/>
                <w:b/>
                <w:bCs/>
                <w:color w:val="404040"/>
                <w:sz w:val="23"/>
                <w:szCs w:val="23"/>
              </w:rPr>
            </w:pPr>
          </w:p>
        </w:tc>
        <w:tc>
          <w:tcPr>
            <w:tcW w:w="851" w:type="dxa"/>
          </w:tcPr>
          <w:p w14:paraId="6AAA1296" w14:textId="77777777" w:rsidR="00CA1F4E" w:rsidRPr="00CA1F4E" w:rsidRDefault="00CA1F4E" w:rsidP="00CA1F4E">
            <w:pPr>
              <w:rPr>
                <w:b/>
                <w:bCs/>
              </w:rPr>
            </w:pPr>
            <w:r w:rsidRPr="00CA1F4E">
              <w:rPr>
                <w:b/>
                <w:bCs/>
              </w:rPr>
              <w:t>3</w:t>
            </w:r>
          </w:p>
        </w:tc>
        <w:tc>
          <w:tcPr>
            <w:tcW w:w="7001" w:type="dxa"/>
          </w:tcPr>
          <w:p w14:paraId="773BAE9A" w14:textId="77777777" w:rsidR="00293B4F" w:rsidRDefault="00CA1F4E" w:rsidP="00293B4F">
            <w:pPr>
              <w:pStyle w:val="ListParagraph"/>
              <w:numPr>
                <w:ilvl w:val="0"/>
                <w:numId w:val="43"/>
              </w:numPr>
              <w:autoSpaceDE w:val="0"/>
              <w:autoSpaceDN w:val="0"/>
              <w:adjustRightInd w:val="0"/>
              <w:spacing w:after="0"/>
              <w:rPr>
                <w:rFonts w:ascii="Arial" w:hAnsi="Arial" w:cs="Arial"/>
                <w:szCs w:val="24"/>
              </w:rPr>
            </w:pPr>
            <w:r w:rsidRPr="00293B4F">
              <w:rPr>
                <w:rFonts w:ascii="Arial" w:hAnsi="Arial" w:cs="Arial"/>
                <w:szCs w:val="24"/>
              </w:rPr>
              <w:t xml:space="preserve">The PI has been fluctuating around the target RL for the last five seasons. </w:t>
            </w:r>
          </w:p>
          <w:p w14:paraId="50ED6BC2" w14:textId="77777777" w:rsidR="00293B4F" w:rsidRDefault="00CA1F4E" w:rsidP="00293B4F">
            <w:pPr>
              <w:pStyle w:val="ListParagraph"/>
              <w:numPr>
                <w:ilvl w:val="0"/>
                <w:numId w:val="43"/>
              </w:numPr>
              <w:autoSpaceDE w:val="0"/>
              <w:autoSpaceDN w:val="0"/>
              <w:adjustRightInd w:val="0"/>
              <w:spacing w:after="0"/>
              <w:rPr>
                <w:rFonts w:ascii="Arial" w:hAnsi="Arial" w:cs="Arial"/>
                <w:szCs w:val="24"/>
              </w:rPr>
            </w:pPr>
            <w:r w:rsidRPr="00293B4F">
              <w:rPr>
                <w:rFonts w:ascii="Arial" w:hAnsi="Arial" w:cs="Arial"/>
                <w:szCs w:val="24"/>
              </w:rPr>
              <w:t xml:space="preserve">In 2022/23 the PI’s lower 95% confidence interval overlaps the target and is marginally above the threshold RL and as such, it cannot be determined with a high degree of certainty that the PI is above the target. </w:t>
            </w:r>
          </w:p>
          <w:p w14:paraId="5BA3BE80" w14:textId="77777777" w:rsidR="00293B4F" w:rsidRDefault="00CA1F4E" w:rsidP="00293B4F">
            <w:pPr>
              <w:pStyle w:val="ListParagraph"/>
              <w:numPr>
                <w:ilvl w:val="0"/>
                <w:numId w:val="43"/>
              </w:numPr>
              <w:autoSpaceDE w:val="0"/>
              <w:autoSpaceDN w:val="0"/>
              <w:adjustRightInd w:val="0"/>
              <w:spacing w:after="0"/>
              <w:rPr>
                <w:rFonts w:ascii="Arial" w:hAnsi="Arial" w:cs="Arial"/>
                <w:szCs w:val="24"/>
              </w:rPr>
            </w:pPr>
            <w:r w:rsidRPr="00293B4F">
              <w:rPr>
                <w:rFonts w:ascii="Arial" w:hAnsi="Arial" w:cs="Arial"/>
                <w:szCs w:val="24"/>
              </w:rPr>
              <w:t xml:space="preserve">Note, only 2,700 kg of the 4,500 kg TACC had been caught at the time of assessment, while over the last eight </w:t>
            </w:r>
            <w:r w:rsidRPr="00293B4F">
              <w:rPr>
                <w:rFonts w:ascii="Arial" w:hAnsi="Arial" w:cs="Arial"/>
                <w:szCs w:val="24"/>
              </w:rPr>
              <w:lastRenderedPageBreak/>
              <w:t xml:space="preserve">seasons the catch has been on average 85% of the annual TACC. </w:t>
            </w:r>
          </w:p>
          <w:p w14:paraId="764EA215" w14:textId="77777777" w:rsidR="00293B4F" w:rsidRDefault="00CA1F4E" w:rsidP="00CA1F4E">
            <w:pPr>
              <w:pStyle w:val="ListParagraph"/>
              <w:numPr>
                <w:ilvl w:val="0"/>
                <w:numId w:val="43"/>
              </w:numPr>
              <w:autoSpaceDE w:val="0"/>
              <w:autoSpaceDN w:val="0"/>
              <w:adjustRightInd w:val="0"/>
              <w:spacing w:after="0"/>
              <w:rPr>
                <w:rFonts w:ascii="Arial" w:hAnsi="Arial" w:cs="Arial"/>
                <w:szCs w:val="24"/>
              </w:rPr>
            </w:pPr>
            <w:r w:rsidRPr="00293B4F">
              <w:rPr>
                <w:rFonts w:ascii="Arial" w:hAnsi="Arial" w:cs="Arial"/>
                <w:szCs w:val="24"/>
              </w:rPr>
              <w:t>Given the level of certainty around the PI in relation to the RLs and the low catch in the 2022/23 season, the precautionary approach would be to recommend the lower HCR range (70-90% of long-term SHL (5,500 kg)).</w:t>
            </w:r>
          </w:p>
          <w:p w14:paraId="234172C0" w14:textId="77777777" w:rsidR="00293B4F" w:rsidRDefault="00CA1F4E" w:rsidP="00CA1F4E">
            <w:pPr>
              <w:pStyle w:val="ListParagraph"/>
              <w:numPr>
                <w:ilvl w:val="0"/>
                <w:numId w:val="43"/>
              </w:numPr>
              <w:autoSpaceDE w:val="0"/>
              <w:autoSpaceDN w:val="0"/>
              <w:adjustRightInd w:val="0"/>
              <w:spacing w:after="0"/>
              <w:rPr>
                <w:rFonts w:ascii="Arial" w:hAnsi="Arial" w:cs="Arial"/>
                <w:szCs w:val="24"/>
              </w:rPr>
            </w:pPr>
            <w:r w:rsidRPr="00293B4F">
              <w:rPr>
                <w:rFonts w:ascii="Arial" w:hAnsi="Arial" w:cs="Arial"/>
                <w:szCs w:val="24"/>
              </w:rPr>
              <w:t xml:space="preserve">The reduced Greenlip abalone TACC in recent seasons, the closure of the Augusta sub-area and now full closure to Greenlip abalone fishing has facilitated a change in fishing practices in Area 3 to the targeting of Brownlip abalone (historically was a by-product species). </w:t>
            </w:r>
          </w:p>
          <w:p w14:paraId="52E8B4CA" w14:textId="40EC6648" w:rsidR="00CA1F4E" w:rsidRPr="00911471" w:rsidRDefault="00CA1F4E" w:rsidP="00CA1F4E">
            <w:pPr>
              <w:pStyle w:val="ListParagraph"/>
              <w:numPr>
                <w:ilvl w:val="0"/>
                <w:numId w:val="43"/>
              </w:numPr>
              <w:autoSpaceDE w:val="0"/>
              <w:autoSpaceDN w:val="0"/>
              <w:adjustRightInd w:val="0"/>
              <w:spacing w:after="0"/>
              <w:rPr>
                <w:rFonts w:ascii="Arial" w:hAnsi="Arial" w:cs="Arial"/>
                <w:szCs w:val="24"/>
              </w:rPr>
            </w:pPr>
            <w:r w:rsidRPr="00293B4F">
              <w:rPr>
                <w:rFonts w:ascii="Arial" w:hAnsi="Arial" w:cs="Arial"/>
                <w:szCs w:val="24"/>
              </w:rPr>
              <w:t>The effect of this change in fishing practices is being explored through the consolidated model-based assessment.</w:t>
            </w:r>
          </w:p>
          <w:p w14:paraId="446C8F6F" w14:textId="0A7B9876" w:rsidR="00911471" w:rsidRPr="005110B1" w:rsidRDefault="00CA1F4E" w:rsidP="005110B1">
            <w:pPr>
              <w:pStyle w:val="ListParagraph"/>
              <w:numPr>
                <w:ilvl w:val="0"/>
                <w:numId w:val="43"/>
              </w:numPr>
              <w:autoSpaceDE w:val="0"/>
              <w:autoSpaceDN w:val="0"/>
              <w:adjustRightInd w:val="0"/>
              <w:spacing w:after="0"/>
              <w:rPr>
                <w:rFonts w:ascii="Arial" w:hAnsi="Arial" w:cs="Arial"/>
                <w:szCs w:val="24"/>
              </w:rPr>
            </w:pPr>
            <w:r w:rsidRPr="00293B4F">
              <w:rPr>
                <w:rFonts w:ascii="Arial" w:hAnsi="Arial" w:cs="Arial"/>
                <w:szCs w:val="24"/>
              </w:rPr>
              <w:t>A</w:t>
            </w:r>
            <w:r w:rsidR="00D63B34">
              <w:rPr>
                <w:rFonts w:ascii="Arial" w:hAnsi="Arial" w:cs="Arial"/>
                <w:szCs w:val="24"/>
              </w:rPr>
              <w:t xml:space="preserve">quatic Science and Assessments </w:t>
            </w:r>
            <w:r w:rsidRPr="00293B4F">
              <w:rPr>
                <w:rFonts w:ascii="Arial" w:hAnsi="Arial" w:cs="Arial"/>
                <w:szCs w:val="24"/>
              </w:rPr>
              <w:t>advice is for the TACC to remain at 4,500 kg (81.8% of the long-term SHL) for the 2023/24 season.</w:t>
            </w:r>
          </w:p>
        </w:tc>
      </w:tr>
    </w:tbl>
    <w:p w14:paraId="4158D4D6" w14:textId="77777777" w:rsidR="00286B2F" w:rsidRDefault="00286B2F" w:rsidP="00EC7F4E">
      <w:pPr>
        <w:pStyle w:val="Default"/>
        <w:spacing w:after="120"/>
      </w:pPr>
    </w:p>
    <w:p w14:paraId="7935B0D5" w14:textId="42A694B8" w:rsidR="00EC7F4E" w:rsidRDefault="005A2FA8" w:rsidP="004D44E3">
      <w:pPr>
        <w:rPr>
          <w:b/>
          <w:bCs/>
        </w:rPr>
      </w:pPr>
      <w:r>
        <w:rPr>
          <w:b/>
          <w:bCs/>
        </w:rPr>
        <w:t xml:space="preserve">Retained (non-indicator) </w:t>
      </w:r>
      <w:r w:rsidR="003037B6">
        <w:rPr>
          <w:b/>
          <w:bCs/>
        </w:rPr>
        <w:t>s</w:t>
      </w:r>
      <w:r>
        <w:rPr>
          <w:b/>
          <w:bCs/>
        </w:rPr>
        <w:t xml:space="preserve">pecies </w:t>
      </w:r>
    </w:p>
    <w:p w14:paraId="589C6020" w14:textId="77777777" w:rsidR="0076123E" w:rsidRPr="00CF2A83" w:rsidRDefault="0076123E" w:rsidP="0076123E">
      <w:bookmarkStart w:id="40" w:name="_Toc162355695"/>
      <w:r w:rsidRPr="0007502B">
        <w:t xml:space="preserve">Divers have the ability to target abalone of their choice (species, sizes and quality of abalone), and do not inadvertently harvest bycatch in their normal fishing activities.  </w:t>
      </w:r>
    </w:p>
    <w:p w14:paraId="081D035F" w14:textId="77777777" w:rsidR="00621208" w:rsidRPr="001020CF" w:rsidRDefault="00621208" w:rsidP="00A329C2">
      <w:pPr>
        <w:pStyle w:val="Heading2"/>
      </w:pPr>
      <w:bookmarkStart w:id="41" w:name="_Toc176435167"/>
      <w:r w:rsidRPr="00B50B38">
        <w:t>Monitoring and data collection</w:t>
      </w:r>
      <w:bookmarkEnd w:id="40"/>
      <w:bookmarkEnd w:id="41"/>
    </w:p>
    <w:p w14:paraId="68BF37BB" w14:textId="4FD54C12" w:rsidR="00621208" w:rsidRDefault="009D6B6E" w:rsidP="00A329C2">
      <w:pPr>
        <w:pStyle w:val="Heading3"/>
      </w:pPr>
      <w:bookmarkStart w:id="42" w:name="_Toc176435168"/>
      <w:r>
        <w:t>Statutory logbook reporting</w:t>
      </w:r>
      <w:bookmarkEnd w:id="42"/>
      <w:r>
        <w:t xml:space="preserve"> </w:t>
      </w:r>
    </w:p>
    <w:p w14:paraId="1724AEB6" w14:textId="26745D7A" w:rsidR="00684621" w:rsidRPr="0079268F" w:rsidRDefault="00684621" w:rsidP="004677D9">
      <w:pPr>
        <w:rPr>
          <w:szCs w:val="24"/>
        </w:rPr>
      </w:pPr>
      <w:r w:rsidRPr="00D87F6F">
        <w:rPr>
          <w:szCs w:val="24"/>
        </w:rPr>
        <w:t>Within 90 minutes of bringing abalone ashore, the person who is the nominated operator of the licence must complete a C</w:t>
      </w:r>
      <w:r>
        <w:rPr>
          <w:szCs w:val="24"/>
        </w:rPr>
        <w:t>atch and Disposal Record (C</w:t>
      </w:r>
      <w:r w:rsidRPr="00D87F6F">
        <w:rPr>
          <w:szCs w:val="24"/>
        </w:rPr>
        <w:t>DR</w:t>
      </w:r>
      <w:r>
        <w:rPr>
          <w:szCs w:val="24"/>
        </w:rPr>
        <w:t>)</w:t>
      </w:r>
      <w:r w:rsidRPr="00D87F6F">
        <w:rPr>
          <w:szCs w:val="24"/>
        </w:rPr>
        <w:t xml:space="preserve"> with accurate details of the weight and number of abalone caught (by species), fishing locations, diving time and any </w:t>
      </w:r>
      <w:r w:rsidRPr="005B0996">
        <w:t>Endangered, Threatened or Protected</w:t>
      </w:r>
      <w:r>
        <w:t xml:space="preserve"> (ETP)</w:t>
      </w:r>
      <w:r w:rsidRPr="00D87F6F">
        <w:rPr>
          <w:szCs w:val="24"/>
        </w:rPr>
        <w:t xml:space="preserve"> interactions.  </w:t>
      </w:r>
    </w:p>
    <w:p w14:paraId="0EF2A014" w14:textId="52822A9F" w:rsidR="004677D9" w:rsidRDefault="00D72808" w:rsidP="004677D9">
      <w:r>
        <w:t xml:space="preserve">Reporting is </w:t>
      </w:r>
      <w:r w:rsidR="00846482">
        <w:t xml:space="preserve">via </w:t>
      </w:r>
      <w:r w:rsidR="004677D9" w:rsidRPr="00677F62">
        <w:t xml:space="preserve">electronic </w:t>
      </w:r>
      <w:r w:rsidR="004677D9">
        <w:t xml:space="preserve">digital </w:t>
      </w:r>
      <w:r>
        <w:t xml:space="preserve">in </w:t>
      </w:r>
      <w:r w:rsidR="004677D9" w:rsidRPr="00677F62">
        <w:t>Fisheye or in the CDR paperwork.</w:t>
      </w:r>
    </w:p>
    <w:p w14:paraId="2919554F" w14:textId="3E44CE2B" w:rsidR="004677D9" w:rsidRPr="004677D9" w:rsidRDefault="004677D9" w:rsidP="004677D9">
      <w:r w:rsidRPr="004900D5">
        <w:t>There are currently 1</w:t>
      </w:r>
      <w:r>
        <w:t>8</w:t>
      </w:r>
      <w:r w:rsidRPr="004900D5">
        <w:t xml:space="preserve"> approved processors that hold a fish processor licence and are authorised to process abalone. All processors are </w:t>
      </w:r>
      <w:r w:rsidRPr="00FA5D50">
        <w:t>Australian Quarantine and Inspection Service</w:t>
      </w:r>
      <w:r>
        <w:t xml:space="preserve"> </w:t>
      </w:r>
      <w:r w:rsidRPr="004900D5">
        <w:t>established facilities. Abalone product arrives with the CDR that includes the licence holders name and number and a consignment number.</w:t>
      </w:r>
    </w:p>
    <w:p w14:paraId="2C4F4B4F" w14:textId="251F5ECF" w:rsidR="00A07612" w:rsidRDefault="002206A9" w:rsidP="002206A9">
      <w:pPr>
        <w:jc w:val="both"/>
        <w:rPr>
          <w:rStyle w:val="Hyperlink"/>
        </w:rPr>
      </w:pPr>
      <w:r w:rsidRPr="00F30296">
        <w:t xml:space="preserve">Information on species retained by the </w:t>
      </w:r>
      <w:r w:rsidR="006C1B35">
        <w:t>A</w:t>
      </w:r>
      <w:r>
        <w:t>MF</w:t>
      </w:r>
      <w:r w:rsidRPr="00F30296">
        <w:t xml:space="preserve"> and total estimated live weight of </w:t>
      </w:r>
      <w:r w:rsidR="00287FFD">
        <w:t xml:space="preserve">abalone species </w:t>
      </w:r>
      <w:r w:rsidRPr="00F30296">
        <w:t xml:space="preserve">retained in the </w:t>
      </w:r>
      <w:r w:rsidR="00287FFD">
        <w:t>A</w:t>
      </w:r>
      <w:r>
        <w:t>MF</w:t>
      </w:r>
      <w:r w:rsidRPr="00F30296">
        <w:t>, is reported in the annual SRFAR</w:t>
      </w:r>
      <w:r w:rsidRPr="0015272D">
        <w:rPr>
          <w:rStyle w:val="Hyperlink"/>
        </w:rPr>
        <w:t>.</w:t>
      </w:r>
    </w:p>
    <w:p w14:paraId="0A89BB7E" w14:textId="7C9512E5" w:rsidR="009D6B6E" w:rsidRDefault="009D6B6E" w:rsidP="00A329C2">
      <w:pPr>
        <w:pStyle w:val="Heading2"/>
      </w:pPr>
      <w:bookmarkStart w:id="43" w:name="_Toc176435169"/>
      <w:r>
        <w:t>Vessel monitoring system</w:t>
      </w:r>
      <w:bookmarkEnd w:id="43"/>
      <w:r>
        <w:t xml:space="preserve"> </w:t>
      </w:r>
    </w:p>
    <w:p w14:paraId="49F85F08" w14:textId="46C1D88F" w:rsidR="00CB16A5" w:rsidRDefault="000C5723" w:rsidP="00CB16A5">
      <w:r>
        <w:t>V</w:t>
      </w:r>
      <w:r w:rsidR="00BF37C3">
        <w:t>essel monitoring systems (V</w:t>
      </w:r>
      <w:r>
        <w:t>MS</w:t>
      </w:r>
      <w:r w:rsidR="00E24D83">
        <w:t>)</w:t>
      </w:r>
      <w:r>
        <w:t xml:space="preserve"> </w:t>
      </w:r>
      <w:r w:rsidR="00613CA3">
        <w:t xml:space="preserve">has not been implemented in the AMF. </w:t>
      </w:r>
    </w:p>
    <w:p w14:paraId="3D945852" w14:textId="72141583" w:rsidR="00572CCC" w:rsidRDefault="000B4D04" w:rsidP="00A329C2">
      <w:pPr>
        <w:pStyle w:val="Heading2"/>
      </w:pPr>
      <w:bookmarkStart w:id="44" w:name="_Toc163559874"/>
      <w:bookmarkStart w:id="45" w:name="_Toc176435170"/>
      <w:r w:rsidRPr="008320E7">
        <w:t>D</w:t>
      </w:r>
      <w:r w:rsidR="00572CCC" w:rsidRPr="008320E7">
        <w:t>ata collection, validation, and monitoring programs</w:t>
      </w:r>
      <w:bookmarkEnd w:id="44"/>
      <w:bookmarkEnd w:id="45"/>
    </w:p>
    <w:p w14:paraId="32D8967A" w14:textId="540C705A" w:rsidR="00CE7110" w:rsidRDefault="000F1A33" w:rsidP="0000216D">
      <w:r>
        <w:t>A summary</w:t>
      </w:r>
      <w:r w:rsidR="0000216D">
        <w:t xml:space="preserve"> </w:t>
      </w:r>
      <w:r w:rsidR="004B28B5">
        <w:t>of dependant and independent assessments for management of the WA abalone resources</w:t>
      </w:r>
      <w:r>
        <w:t xml:space="preserve"> can be seen in Table 3</w:t>
      </w:r>
      <w:r w:rsidR="00E54662">
        <w:t>.</w:t>
      </w:r>
    </w:p>
    <w:p w14:paraId="0305E21A" w14:textId="2F484232" w:rsidR="00CE7110" w:rsidRDefault="00CE7110" w:rsidP="00CE7110">
      <w:pPr>
        <w:pStyle w:val="Caption"/>
        <w:keepNext/>
      </w:pPr>
      <w:r w:rsidRPr="000F1A33">
        <w:rPr>
          <w:b/>
          <w:bCs/>
        </w:rPr>
        <w:lastRenderedPageBreak/>
        <w:t xml:space="preserve">Table </w:t>
      </w:r>
      <w:r w:rsidR="00611A32">
        <w:rPr>
          <w:b/>
          <w:bCs/>
        </w:rPr>
        <w:fldChar w:fldCharType="begin"/>
      </w:r>
      <w:r w:rsidR="00611A32">
        <w:rPr>
          <w:b/>
          <w:bCs/>
        </w:rPr>
        <w:instrText xml:space="preserve"> SEQ Table \* ARABIC </w:instrText>
      </w:r>
      <w:r w:rsidR="00611A32">
        <w:rPr>
          <w:b/>
          <w:bCs/>
        </w:rPr>
        <w:fldChar w:fldCharType="separate"/>
      </w:r>
      <w:r w:rsidR="00611A32">
        <w:rPr>
          <w:b/>
          <w:bCs/>
          <w:noProof/>
        </w:rPr>
        <w:t>3</w:t>
      </w:r>
      <w:r w:rsidR="00611A32">
        <w:rPr>
          <w:b/>
          <w:bCs/>
        </w:rPr>
        <w:fldChar w:fldCharType="end"/>
      </w:r>
      <w:r>
        <w:t>.</w:t>
      </w:r>
      <w:r w:rsidRPr="0014791B">
        <w:t>Summary of information available for assessing WA Abalone.</w:t>
      </w:r>
    </w:p>
    <w:tbl>
      <w:tblPr>
        <w:tblStyle w:val="TableGrid2"/>
        <w:tblW w:w="0" w:type="auto"/>
        <w:tblLook w:val="04A0" w:firstRow="1" w:lastRow="0" w:firstColumn="1" w:lastColumn="0" w:noHBand="0" w:noVBand="1"/>
      </w:tblPr>
      <w:tblGrid>
        <w:gridCol w:w="1546"/>
        <w:gridCol w:w="1568"/>
        <w:gridCol w:w="2268"/>
        <w:gridCol w:w="1592"/>
        <w:gridCol w:w="1354"/>
        <w:gridCol w:w="1300"/>
      </w:tblGrid>
      <w:tr w:rsidR="004B28B5" w:rsidRPr="00B524CE" w14:paraId="2BD7095B" w14:textId="77777777" w:rsidTr="00635C3E">
        <w:trPr>
          <w:cnfStyle w:val="100000000000" w:firstRow="1" w:lastRow="0" w:firstColumn="0" w:lastColumn="0" w:oddVBand="0" w:evenVBand="0" w:oddHBand="0" w:evenHBand="0" w:firstRowFirstColumn="0" w:firstRowLastColumn="0" w:lastRowFirstColumn="0" w:lastRowLastColumn="0"/>
        </w:trPr>
        <w:tc>
          <w:tcPr>
            <w:tcW w:w="1546" w:type="dxa"/>
            <w:tcBorders>
              <w:top w:val="single" w:sz="4" w:space="0" w:color="003F51" w:themeColor="accent1"/>
              <w:left w:val="single" w:sz="4" w:space="0" w:color="003F51" w:themeColor="accent1"/>
              <w:bottom w:val="single" w:sz="4" w:space="0" w:color="003F51" w:themeColor="accent1"/>
            </w:tcBorders>
            <w:hideMark/>
          </w:tcPr>
          <w:p w14:paraId="58CF9060" w14:textId="77777777" w:rsidR="004B28B5" w:rsidRPr="00B524CE" w:rsidRDefault="004B28B5" w:rsidP="00635C3E">
            <w:pPr>
              <w:rPr>
                <w:b w:val="0"/>
                <w:color w:val="auto"/>
              </w:rPr>
            </w:pPr>
            <w:r w:rsidRPr="00B524CE">
              <w:rPr>
                <w:b w:val="0"/>
                <w:color w:val="auto"/>
              </w:rPr>
              <w:t>Data Type</w:t>
            </w:r>
          </w:p>
        </w:tc>
        <w:tc>
          <w:tcPr>
            <w:tcW w:w="1568" w:type="dxa"/>
            <w:tcBorders>
              <w:top w:val="single" w:sz="4" w:space="0" w:color="003F51" w:themeColor="accent1"/>
              <w:bottom w:val="single" w:sz="4" w:space="0" w:color="003F51" w:themeColor="accent1"/>
            </w:tcBorders>
            <w:hideMark/>
          </w:tcPr>
          <w:p w14:paraId="2DE2A4EB" w14:textId="77777777" w:rsidR="004B28B5" w:rsidRPr="00B524CE" w:rsidRDefault="004B28B5" w:rsidP="00635C3E">
            <w:pPr>
              <w:rPr>
                <w:b w:val="0"/>
                <w:color w:val="auto"/>
              </w:rPr>
            </w:pPr>
            <w:r w:rsidRPr="00B524CE">
              <w:rPr>
                <w:b w:val="0"/>
                <w:color w:val="auto"/>
              </w:rPr>
              <w:t>Fishery-dependent or Independent</w:t>
            </w:r>
          </w:p>
        </w:tc>
        <w:tc>
          <w:tcPr>
            <w:tcW w:w="2268" w:type="dxa"/>
            <w:tcBorders>
              <w:top w:val="single" w:sz="4" w:space="0" w:color="003F51" w:themeColor="accent1"/>
              <w:bottom w:val="single" w:sz="4" w:space="0" w:color="003F51" w:themeColor="accent1"/>
              <w:right w:val="single" w:sz="4" w:space="0" w:color="003F51" w:themeColor="accent1"/>
            </w:tcBorders>
            <w:hideMark/>
          </w:tcPr>
          <w:p w14:paraId="6ADD9061" w14:textId="77777777" w:rsidR="004B28B5" w:rsidRPr="00B524CE" w:rsidRDefault="004B28B5" w:rsidP="00635C3E">
            <w:pPr>
              <w:rPr>
                <w:b w:val="0"/>
                <w:color w:val="auto"/>
              </w:rPr>
            </w:pPr>
            <w:r w:rsidRPr="00B524CE">
              <w:rPr>
                <w:b w:val="0"/>
                <w:color w:val="auto"/>
              </w:rPr>
              <w:t>Purpose/Use</w:t>
            </w:r>
          </w:p>
        </w:tc>
        <w:tc>
          <w:tcPr>
            <w:tcW w:w="1592" w:type="dxa"/>
            <w:tcBorders>
              <w:top w:val="single" w:sz="4" w:space="0" w:color="003F51" w:themeColor="accent1"/>
              <w:bottom w:val="single" w:sz="4" w:space="0" w:color="003F51" w:themeColor="accent1"/>
              <w:right w:val="single" w:sz="4" w:space="0" w:color="003F51" w:themeColor="accent1"/>
            </w:tcBorders>
          </w:tcPr>
          <w:p w14:paraId="50F8BE3E" w14:textId="77777777" w:rsidR="004B28B5" w:rsidRPr="00B524CE" w:rsidRDefault="004B28B5" w:rsidP="00635C3E">
            <w:pPr>
              <w:rPr>
                <w:b w:val="0"/>
              </w:rPr>
            </w:pPr>
            <w:r w:rsidRPr="00B524CE">
              <w:rPr>
                <w:b w:val="0"/>
              </w:rPr>
              <w:t>Area of collection</w:t>
            </w:r>
          </w:p>
        </w:tc>
        <w:tc>
          <w:tcPr>
            <w:tcW w:w="1354" w:type="dxa"/>
            <w:tcBorders>
              <w:top w:val="single" w:sz="4" w:space="0" w:color="003F51" w:themeColor="accent1"/>
              <w:bottom w:val="single" w:sz="4" w:space="0" w:color="003F51" w:themeColor="accent1"/>
              <w:right w:val="single" w:sz="4" w:space="0" w:color="003F51" w:themeColor="accent1"/>
            </w:tcBorders>
          </w:tcPr>
          <w:p w14:paraId="71A724AA" w14:textId="77777777" w:rsidR="004B28B5" w:rsidRPr="00B524CE" w:rsidRDefault="004B28B5" w:rsidP="00635C3E">
            <w:pPr>
              <w:rPr>
                <w:b w:val="0"/>
              </w:rPr>
            </w:pPr>
            <w:r w:rsidRPr="00B524CE">
              <w:rPr>
                <w:b w:val="0"/>
              </w:rPr>
              <w:t xml:space="preserve">Frequency of collection </w:t>
            </w:r>
          </w:p>
        </w:tc>
        <w:tc>
          <w:tcPr>
            <w:tcW w:w="1300" w:type="dxa"/>
            <w:tcBorders>
              <w:top w:val="single" w:sz="4" w:space="0" w:color="003F51" w:themeColor="accent1"/>
              <w:bottom w:val="single" w:sz="4" w:space="0" w:color="003F51" w:themeColor="accent1"/>
              <w:right w:val="single" w:sz="4" w:space="0" w:color="003F51" w:themeColor="accent1"/>
            </w:tcBorders>
          </w:tcPr>
          <w:p w14:paraId="34368D49" w14:textId="77777777" w:rsidR="004B28B5" w:rsidRPr="00B524CE" w:rsidRDefault="004B28B5" w:rsidP="00635C3E">
            <w:pPr>
              <w:rPr>
                <w:b w:val="0"/>
              </w:rPr>
            </w:pPr>
            <w:r w:rsidRPr="00B524CE">
              <w:rPr>
                <w:b w:val="0"/>
              </w:rPr>
              <w:t>History of collection</w:t>
            </w:r>
          </w:p>
        </w:tc>
      </w:tr>
      <w:tr w:rsidR="004B28B5" w:rsidRPr="00B524CE" w14:paraId="3223B92C" w14:textId="77777777" w:rsidTr="00635C3E">
        <w:tc>
          <w:tcPr>
            <w:tcW w:w="1546"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hideMark/>
          </w:tcPr>
          <w:p w14:paraId="738EA7BF" w14:textId="77777777" w:rsidR="004B28B5" w:rsidRPr="00B524CE" w:rsidRDefault="004B28B5" w:rsidP="00635C3E">
            <w:r w:rsidRPr="00B524CE">
              <w:t>Commercial catch</w:t>
            </w:r>
          </w:p>
        </w:tc>
        <w:tc>
          <w:tcPr>
            <w:tcW w:w="1568"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hideMark/>
          </w:tcPr>
          <w:p w14:paraId="42C6335D" w14:textId="77777777" w:rsidR="004B28B5" w:rsidRPr="00B524CE" w:rsidRDefault="004B28B5" w:rsidP="00635C3E">
            <w:r w:rsidRPr="00B524CE">
              <w:t>Dependent</w:t>
            </w:r>
          </w:p>
        </w:tc>
        <w:tc>
          <w:tcPr>
            <w:tcW w:w="2268"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hideMark/>
          </w:tcPr>
          <w:p w14:paraId="48AD3CB1" w14:textId="77777777" w:rsidR="004B28B5" w:rsidRPr="00B524CE" w:rsidRDefault="004B28B5" w:rsidP="00635C3E">
            <w:r w:rsidRPr="00B524CE">
              <w:t>Monitoring of commercial catch</w:t>
            </w:r>
          </w:p>
        </w:tc>
        <w:tc>
          <w:tcPr>
            <w:tcW w:w="1592"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38FE3E33" w14:textId="77777777" w:rsidR="004B28B5" w:rsidRPr="00B524CE" w:rsidRDefault="004B28B5" w:rsidP="00635C3E">
            <w:r w:rsidRPr="00B524CE">
              <w:t>State</w:t>
            </w:r>
          </w:p>
        </w:tc>
        <w:tc>
          <w:tcPr>
            <w:tcW w:w="1354"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0CA4F396" w14:textId="77777777" w:rsidR="004B28B5" w:rsidRPr="00B524CE" w:rsidRDefault="004B28B5" w:rsidP="00635C3E">
            <w:r w:rsidRPr="00B524CE">
              <w:t>Annual</w:t>
            </w:r>
          </w:p>
        </w:tc>
        <w:tc>
          <w:tcPr>
            <w:tcW w:w="1300"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2F2178CA" w14:textId="77777777" w:rsidR="004B28B5" w:rsidRPr="00B524CE" w:rsidRDefault="004B28B5" w:rsidP="00635C3E"/>
        </w:tc>
      </w:tr>
      <w:tr w:rsidR="004B28B5" w:rsidRPr="00B524CE" w14:paraId="59805C15" w14:textId="77777777" w:rsidTr="00635C3E">
        <w:tc>
          <w:tcPr>
            <w:tcW w:w="1546"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hideMark/>
          </w:tcPr>
          <w:p w14:paraId="1F839405" w14:textId="77777777" w:rsidR="004B28B5" w:rsidRPr="00B524CE" w:rsidRDefault="004B28B5" w:rsidP="00635C3E">
            <w:r w:rsidRPr="00B524CE">
              <w:t>Commercial catch and effort databases</w:t>
            </w:r>
          </w:p>
        </w:tc>
        <w:tc>
          <w:tcPr>
            <w:tcW w:w="1568"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hideMark/>
          </w:tcPr>
          <w:p w14:paraId="15D23ECA" w14:textId="77777777" w:rsidR="004B28B5" w:rsidRPr="00B524CE" w:rsidRDefault="004B28B5" w:rsidP="00635C3E">
            <w:r w:rsidRPr="00B524CE">
              <w:t>Dependent</w:t>
            </w:r>
          </w:p>
        </w:tc>
        <w:tc>
          <w:tcPr>
            <w:tcW w:w="2268"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hideMark/>
          </w:tcPr>
          <w:p w14:paraId="3DBF7CFC" w14:textId="77777777" w:rsidR="004B28B5" w:rsidRPr="00B524CE" w:rsidRDefault="004B28B5" w:rsidP="00635C3E">
            <w:r w:rsidRPr="00B524CE">
              <w:t>Monitoring of commercial catch and effort trends, calculation of catch rates and the area fished</w:t>
            </w:r>
          </w:p>
        </w:tc>
        <w:tc>
          <w:tcPr>
            <w:tcW w:w="1592"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762AB2D3" w14:textId="77777777" w:rsidR="004B28B5" w:rsidRPr="00B524CE" w:rsidRDefault="004B28B5" w:rsidP="00635C3E">
            <w:r w:rsidRPr="00B524CE">
              <w:t>60x60 NM block</w:t>
            </w:r>
          </w:p>
        </w:tc>
        <w:tc>
          <w:tcPr>
            <w:tcW w:w="1354"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5F1B3C57" w14:textId="77777777" w:rsidR="004B28B5" w:rsidRPr="00B524CE" w:rsidRDefault="004B28B5" w:rsidP="00635C3E">
            <w:r w:rsidRPr="00B524CE">
              <w:t>Monthly</w:t>
            </w:r>
          </w:p>
        </w:tc>
        <w:tc>
          <w:tcPr>
            <w:tcW w:w="1300"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32E6C0D4" w14:textId="77777777" w:rsidR="004B28B5" w:rsidRPr="00B524CE" w:rsidRDefault="004B28B5" w:rsidP="00635C3E"/>
        </w:tc>
      </w:tr>
      <w:tr w:rsidR="004B28B5" w:rsidRPr="00B524CE" w14:paraId="4D10A9E7" w14:textId="77777777" w:rsidTr="00635C3E">
        <w:trPr>
          <w:trHeight w:val="983"/>
        </w:trPr>
        <w:tc>
          <w:tcPr>
            <w:tcW w:w="1546"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hideMark/>
          </w:tcPr>
          <w:p w14:paraId="2C596E04" w14:textId="77777777" w:rsidR="004B28B5" w:rsidRPr="00B524CE" w:rsidRDefault="004B28B5" w:rsidP="00635C3E">
            <w:r w:rsidRPr="00B524CE">
              <w:t>Recreational catch and effort estimates</w:t>
            </w:r>
          </w:p>
        </w:tc>
        <w:tc>
          <w:tcPr>
            <w:tcW w:w="1568"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hideMark/>
          </w:tcPr>
          <w:p w14:paraId="7DDE67DD" w14:textId="77777777" w:rsidR="004B28B5" w:rsidRPr="00B524CE" w:rsidRDefault="004B28B5" w:rsidP="00635C3E">
            <w:r w:rsidRPr="00B524CE">
              <w:t>Dependent</w:t>
            </w:r>
          </w:p>
        </w:tc>
        <w:tc>
          <w:tcPr>
            <w:tcW w:w="2268"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hideMark/>
          </w:tcPr>
          <w:p w14:paraId="1BF1CE16" w14:textId="77777777" w:rsidR="004B28B5" w:rsidRPr="00B524CE" w:rsidRDefault="004B28B5" w:rsidP="00635C3E">
            <w:r w:rsidRPr="00B524CE">
              <w:t>Monitoring of recreational catch and effort trends</w:t>
            </w:r>
          </w:p>
        </w:tc>
        <w:tc>
          <w:tcPr>
            <w:tcW w:w="1592"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267BDFCF" w14:textId="77777777" w:rsidR="004B28B5" w:rsidRPr="00B524CE" w:rsidRDefault="004B28B5" w:rsidP="00635C3E">
            <w:r w:rsidRPr="00B524CE">
              <w:t xml:space="preserve">Metropolitan phone-recall survey  </w:t>
            </w:r>
          </w:p>
          <w:p w14:paraId="7945DC6A" w14:textId="77777777" w:rsidR="004B28B5" w:rsidRPr="00B524CE" w:rsidRDefault="004B28B5" w:rsidP="00635C3E"/>
          <w:p w14:paraId="0825D502" w14:textId="77777777" w:rsidR="004B28B5" w:rsidRPr="00B524CE" w:rsidRDefault="004B28B5" w:rsidP="00635C3E">
            <w:r w:rsidRPr="00B524CE">
              <w:t>State</w:t>
            </w:r>
          </w:p>
        </w:tc>
        <w:tc>
          <w:tcPr>
            <w:tcW w:w="1354"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2E696301" w14:textId="77777777" w:rsidR="004B28B5" w:rsidRPr="00B524CE" w:rsidRDefault="004B28B5" w:rsidP="00635C3E">
            <w:r w:rsidRPr="00B524CE">
              <w:t>Annual</w:t>
            </w:r>
          </w:p>
          <w:p w14:paraId="1C07D676" w14:textId="77777777" w:rsidR="004B28B5" w:rsidRPr="00B524CE" w:rsidRDefault="004B28B5" w:rsidP="00635C3E"/>
          <w:p w14:paraId="73BB3013" w14:textId="77777777" w:rsidR="004B28B5" w:rsidRPr="00B524CE" w:rsidRDefault="004B28B5" w:rsidP="00635C3E">
            <w:r w:rsidRPr="00B524CE">
              <w:t>Annual</w:t>
            </w:r>
          </w:p>
          <w:p w14:paraId="6F30467B" w14:textId="77777777" w:rsidR="004B28B5" w:rsidRPr="00B524CE" w:rsidRDefault="004B28B5" w:rsidP="00635C3E"/>
          <w:p w14:paraId="2A0CC702" w14:textId="77777777" w:rsidR="004B28B5" w:rsidRPr="00B524CE" w:rsidRDefault="004B28B5" w:rsidP="00635C3E"/>
        </w:tc>
        <w:tc>
          <w:tcPr>
            <w:tcW w:w="1300"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473B67FA" w14:textId="77777777" w:rsidR="004B28B5" w:rsidRPr="00B524CE" w:rsidRDefault="004B28B5" w:rsidP="00635C3E"/>
        </w:tc>
      </w:tr>
      <w:tr w:rsidR="004B28B5" w:rsidRPr="00B524CE" w14:paraId="2FC85CBD" w14:textId="77777777" w:rsidTr="00635C3E">
        <w:trPr>
          <w:trHeight w:val="983"/>
        </w:trPr>
        <w:tc>
          <w:tcPr>
            <w:tcW w:w="1546"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1352D2B8" w14:textId="77777777" w:rsidR="004B28B5" w:rsidRPr="00B524CE" w:rsidRDefault="004B28B5" w:rsidP="00635C3E">
            <w:r w:rsidRPr="00B524CE">
              <w:t>Perth Metro Roes Abalone Recreational catch and effort estimates</w:t>
            </w:r>
          </w:p>
        </w:tc>
        <w:tc>
          <w:tcPr>
            <w:tcW w:w="1568"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6B6AA17A" w14:textId="77777777" w:rsidR="004B28B5" w:rsidRPr="00B524CE" w:rsidRDefault="004B28B5" w:rsidP="00635C3E">
            <w:r w:rsidRPr="00B524CE">
              <w:t>Dependant</w:t>
            </w:r>
          </w:p>
        </w:tc>
        <w:tc>
          <w:tcPr>
            <w:tcW w:w="2268"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74C1ADD8" w14:textId="77777777" w:rsidR="004B28B5" w:rsidRPr="00B524CE" w:rsidRDefault="004B28B5" w:rsidP="00635C3E">
            <w:pPr>
              <w:rPr>
                <w:szCs w:val="24"/>
              </w:rPr>
            </w:pPr>
            <w:r w:rsidRPr="00B524CE">
              <w:rPr>
                <w:sz w:val="23"/>
                <w:szCs w:val="23"/>
              </w:rPr>
              <w:t xml:space="preserve"> </w:t>
            </w:r>
            <w:r w:rsidRPr="00B524CE">
              <w:rPr>
                <w:szCs w:val="24"/>
              </w:rPr>
              <w:t>On-site monitoring</w:t>
            </w:r>
          </w:p>
        </w:tc>
        <w:tc>
          <w:tcPr>
            <w:tcW w:w="1592"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4537204B" w14:textId="77777777" w:rsidR="004B28B5" w:rsidRPr="00B524CE" w:rsidRDefault="004B28B5" w:rsidP="00635C3E">
            <w:r w:rsidRPr="00B524CE">
              <w:t>West Coast Zone (Perth Metro)</w:t>
            </w:r>
          </w:p>
        </w:tc>
        <w:tc>
          <w:tcPr>
            <w:tcW w:w="1354"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6EDEBB94" w14:textId="77777777" w:rsidR="004B28B5" w:rsidRPr="00B524CE" w:rsidRDefault="004B28B5" w:rsidP="00635C3E">
            <w:r w:rsidRPr="00B524CE">
              <w:t>In season</w:t>
            </w:r>
          </w:p>
        </w:tc>
        <w:tc>
          <w:tcPr>
            <w:tcW w:w="1300"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71CF10E7" w14:textId="77777777" w:rsidR="004B28B5" w:rsidRPr="00B524CE" w:rsidRDefault="004B28B5" w:rsidP="00635C3E">
            <w:r w:rsidRPr="00B524CE">
              <w:t>1997-2010</w:t>
            </w:r>
          </w:p>
        </w:tc>
      </w:tr>
      <w:tr w:rsidR="004B28B5" w:rsidRPr="00B524CE" w14:paraId="1ABCD119" w14:textId="77777777" w:rsidTr="00635C3E">
        <w:tc>
          <w:tcPr>
            <w:tcW w:w="1546"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hideMark/>
          </w:tcPr>
          <w:p w14:paraId="349A8B03" w14:textId="77777777" w:rsidR="004B28B5" w:rsidRPr="00B524CE" w:rsidRDefault="004B28B5" w:rsidP="00635C3E">
            <w:r w:rsidRPr="00B524CE">
              <w:t>Biological information</w:t>
            </w:r>
          </w:p>
        </w:tc>
        <w:tc>
          <w:tcPr>
            <w:tcW w:w="1568"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hideMark/>
          </w:tcPr>
          <w:p w14:paraId="27D3CF74" w14:textId="77777777" w:rsidR="004B28B5" w:rsidRPr="00B524CE" w:rsidRDefault="004B28B5" w:rsidP="00635C3E">
            <w:r w:rsidRPr="00B524CE">
              <w:t>Dependent and Independent</w:t>
            </w:r>
          </w:p>
        </w:tc>
        <w:tc>
          <w:tcPr>
            <w:tcW w:w="2268"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hideMark/>
          </w:tcPr>
          <w:p w14:paraId="03CA550F" w14:textId="77777777" w:rsidR="004B28B5" w:rsidRPr="00B524CE" w:rsidRDefault="004B28B5" w:rsidP="00635C3E">
            <w:r w:rsidRPr="00B524CE">
              <w:t>Patterns of growth and reproduction, stock structure</w:t>
            </w:r>
          </w:p>
        </w:tc>
        <w:tc>
          <w:tcPr>
            <w:tcW w:w="1592"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042DD19B" w14:textId="77777777" w:rsidR="004B28B5" w:rsidRPr="00B524CE" w:rsidRDefault="004B28B5" w:rsidP="00635C3E">
            <w:r w:rsidRPr="00B524CE">
              <w:t>State</w:t>
            </w:r>
          </w:p>
        </w:tc>
        <w:tc>
          <w:tcPr>
            <w:tcW w:w="1354"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6CCEE0C7" w14:textId="77777777" w:rsidR="004B28B5" w:rsidRPr="00B524CE" w:rsidRDefault="004B28B5" w:rsidP="00635C3E">
            <w:r w:rsidRPr="00B524CE">
              <w:t>Intermittent</w:t>
            </w:r>
          </w:p>
        </w:tc>
        <w:tc>
          <w:tcPr>
            <w:tcW w:w="1300" w:type="dxa"/>
            <w:tcBorders>
              <w:top w:val="single" w:sz="4" w:space="0" w:color="003F51" w:themeColor="accent1"/>
              <w:left w:val="single" w:sz="4" w:space="0" w:color="003F51" w:themeColor="accent1"/>
              <w:bottom w:val="single" w:sz="4" w:space="0" w:color="003F51" w:themeColor="accent1"/>
              <w:right w:val="single" w:sz="4" w:space="0" w:color="003F51" w:themeColor="accent1"/>
            </w:tcBorders>
          </w:tcPr>
          <w:p w14:paraId="57921858" w14:textId="77777777" w:rsidR="004B28B5" w:rsidRPr="00B524CE" w:rsidRDefault="004B28B5" w:rsidP="00635C3E"/>
        </w:tc>
      </w:tr>
    </w:tbl>
    <w:p w14:paraId="5ADAC6C3" w14:textId="77777777" w:rsidR="0000216D" w:rsidRPr="0000216D" w:rsidRDefault="0000216D" w:rsidP="0000216D"/>
    <w:p w14:paraId="5419F369" w14:textId="6E5F92FD" w:rsidR="000B4D04" w:rsidRDefault="00DD037E" w:rsidP="00A329C2">
      <w:pPr>
        <w:pStyle w:val="Heading4"/>
      </w:pPr>
      <w:r>
        <w:t>Fishery-</w:t>
      </w:r>
      <w:r w:rsidR="00FC6D14">
        <w:t>d</w:t>
      </w:r>
      <w:r>
        <w:t>ependent</w:t>
      </w:r>
      <w:r w:rsidR="00FC6D14">
        <w:t xml:space="preserve"> m</w:t>
      </w:r>
      <w:r w:rsidR="00571E64">
        <w:t xml:space="preserve">onitoring </w:t>
      </w:r>
    </w:p>
    <w:p w14:paraId="47965CDB" w14:textId="4AB237C0" w:rsidR="00B524CE" w:rsidRPr="00B524CE" w:rsidRDefault="00B524CE" w:rsidP="00B524CE">
      <w:r w:rsidRPr="00B524CE">
        <w:t>The stock status of Roe’s, Greenlip and Brownlip abalone in WA is assessed using a risk-based weight</w:t>
      </w:r>
      <w:r w:rsidR="0082652B">
        <w:t xml:space="preserve"> </w:t>
      </w:r>
      <w:r w:rsidRPr="00B524CE">
        <w:t>of</w:t>
      </w:r>
      <w:r w:rsidR="0082652B">
        <w:t xml:space="preserve"> </w:t>
      </w:r>
      <w:r w:rsidRPr="00B524CE">
        <w:t>evidence approach that considers all the available (fishery-dependent and fishery-independent) information for this resource. This annual assessment of the abalone resource is primarily based on monitoring of standardised fishery-dependent catch rates of each species in their relevant management areas in the AMF.</w:t>
      </w:r>
    </w:p>
    <w:p w14:paraId="3DA197C7" w14:textId="0EFC0A97" w:rsidR="003612A5" w:rsidRPr="00D27A03" w:rsidRDefault="00B524CE" w:rsidP="000A6595">
      <w:r w:rsidRPr="00B524CE">
        <w:t xml:space="preserve">Commercial catch rates for each species in their relevant management areas are calculated from the daily catch and effort data reported by commercial fishers in the daily logbooks. The catch rates are standardised using a generalised linear modelling approach to account for the variables that influence the catching efficiency and abundance of abalone (Hart et al. 2009). The annual SCPUE is used as the PI and compared against the </w:t>
      </w:r>
      <w:r w:rsidRPr="00B524CE">
        <w:lastRenderedPageBreak/>
        <w:t>species- and area-specific reference levels to determine the annual SHLs in accordance with the HCRs.</w:t>
      </w:r>
    </w:p>
    <w:p w14:paraId="68F2FF34" w14:textId="77095F80" w:rsidR="000A6595" w:rsidRPr="00494DCD" w:rsidRDefault="00494DCD" w:rsidP="00A329C2">
      <w:pPr>
        <w:pStyle w:val="Heading4"/>
      </w:pPr>
      <w:r w:rsidRPr="00494DCD">
        <w:t>Fishery-</w:t>
      </w:r>
      <w:r w:rsidR="00FC6D14">
        <w:t>i</w:t>
      </w:r>
      <w:r w:rsidRPr="00494DCD">
        <w:t xml:space="preserve">ndependent </w:t>
      </w:r>
      <w:r w:rsidR="00FC6D14">
        <w:t>m</w:t>
      </w:r>
      <w:r w:rsidR="00571E64">
        <w:t>onitoring</w:t>
      </w:r>
    </w:p>
    <w:p w14:paraId="648297B0" w14:textId="77777777" w:rsidR="007B6A79" w:rsidRDefault="007B6A79" w:rsidP="007B6A79">
      <w:r>
        <w:t>Fishery-independent population surveys are undertaken regularly in the different areas of the resource to collect data on the size and density of abalone. These data provide information on recruitment, estimates of mortality and independent measures of abundance to compare to fishery-dependent catch rates for the different species.</w:t>
      </w:r>
    </w:p>
    <w:p w14:paraId="010238BF" w14:textId="77777777" w:rsidR="007B6A79" w:rsidRDefault="007B6A79" w:rsidP="007B6A79">
      <w:r>
        <w:t>Population surveys of Roe’s abalone are undertaken annually at 19 indicator sites in the Perth metropolitan Roe’s abalone fishery; 17 that are fished and two that are in areas where no fishing is permitted. Surveys are carried out on two habitats, the reef platform and the sub-tidal habitat, which generally correspond to the recreational and commercial fisheries, respectively.</w:t>
      </w:r>
    </w:p>
    <w:p w14:paraId="4D47A9E3" w14:textId="77777777" w:rsidR="007B6A79" w:rsidRDefault="007B6A79" w:rsidP="007B6A79">
      <w:r>
        <w:t>Surveys of Greenlip and Brownlip abalone along the southern coast are undertaken periodically at fixed sites throughout the fishery (121 sites in Area 2 and 131 sites in Area 3). Survey sites were selected based on known stock distributions, and range broadly in the level of productivity. Two main sub-areas (Arid in Area 2 and Augusta in Area 3) are surveyed annually (72 sites), while other areas are visited once every 2-3 years.</w:t>
      </w:r>
    </w:p>
    <w:p w14:paraId="514D53A3" w14:textId="77777777" w:rsidR="007B6A79" w:rsidRDefault="007B6A79" w:rsidP="007B6A79">
      <w:r>
        <w:t>A</w:t>
      </w:r>
      <w:r w:rsidRPr="009B1F4A">
        <w:t xml:space="preserve"> stock prediction model that allows setting of the </w:t>
      </w:r>
      <w:r>
        <w:t xml:space="preserve">annual </w:t>
      </w:r>
      <w:r w:rsidRPr="009B1F4A">
        <w:t>SHL as a function of stock abundance using fishery</w:t>
      </w:r>
      <w:r>
        <w:t>-</w:t>
      </w:r>
      <w:r w:rsidRPr="009B1F4A">
        <w:t>independent data has been developed for the Perth metropolitan Roe’s abalone fishery. The development of similar predictive models for other management areas and species of the resource are in the early stages of development</w:t>
      </w:r>
      <w:r>
        <w:t>.</w:t>
      </w:r>
    </w:p>
    <w:p w14:paraId="1E8E8848" w14:textId="17391AEF" w:rsidR="007B6A79" w:rsidRDefault="007B6A79" w:rsidP="007B6A79">
      <w:r>
        <w:t xml:space="preserve">In the </w:t>
      </w:r>
      <w:r w:rsidRPr="00B67077">
        <w:t>Perth metropolitan Roe’s abalone fishery,</w:t>
      </w:r>
      <w:r>
        <w:t xml:space="preserve"> a stock-recruitment-environment relationship using fishery-</w:t>
      </w:r>
      <w:r w:rsidRPr="00B67077">
        <w:t xml:space="preserve">independent data has </w:t>
      </w:r>
      <w:r>
        <w:t xml:space="preserve">recently </w:t>
      </w:r>
      <w:r w:rsidRPr="00B67077">
        <w:t xml:space="preserve">been </w:t>
      </w:r>
      <w:r>
        <w:t xml:space="preserve">established and is shown in </w:t>
      </w:r>
      <w:r w:rsidR="00D27A03">
        <w:t xml:space="preserve">Figure 4. </w:t>
      </w:r>
      <w:r>
        <w:t>It</w:t>
      </w:r>
      <w:r w:rsidRPr="007F6453">
        <w:t xml:space="preserve"> uses evidence from annual spawning biomass surveys, combined with the average summer </w:t>
      </w:r>
      <w:r>
        <w:t>SST (</w:t>
      </w:r>
      <w:r w:rsidRPr="007F6453">
        <w:t>i.e. January – March) in the year of spawning</w:t>
      </w:r>
      <w:r>
        <w:t xml:space="preserve"> </w:t>
      </w:r>
      <w:r w:rsidRPr="007F6453">
        <w:t>to predict the recruitment densities (Age 1+) two years later</w:t>
      </w:r>
      <w:r>
        <w:t>. E</w:t>
      </w:r>
      <w:r w:rsidRPr="00D84D7C">
        <w:t xml:space="preserve">vidence on future </w:t>
      </w:r>
      <w:r w:rsidRPr="007F6453">
        <w:t>recruitment densities</w:t>
      </w:r>
      <w:r>
        <w:t xml:space="preserve"> from this relationship will be </w:t>
      </w:r>
      <w:r w:rsidRPr="00D84D7C">
        <w:t xml:space="preserve">used as </w:t>
      </w:r>
      <w:r>
        <w:t>a secondary</w:t>
      </w:r>
      <w:r w:rsidRPr="00D84D7C">
        <w:t xml:space="preserve"> performance indicator</w:t>
      </w:r>
      <w:r>
        <w:t xml:space="preserve"> against spawning biomass RLs in the weight-of-evidence approach.</w:t>
      </w:r>
    </w:p>
    <w:p w14:paraId="68C57B9F" w14:textId="77777777" w:rsidR="007B6A79" w:rsidRDefault="007B6A79" w:rsidP="007B6A79">
      <w:pPr>
        <w:keepNext/>
        <w:jc w:val="center"/>
      </w:pPr>
      <w:r>
        <w:rPr>
          <w:noProof/>
          <w:lang w:eastAsia="en-AU"/>
        </w:rPr>
        <w:drawing>
          <wp:inline distT="0" distB="0" distL="0" distR="0" wp14:anchorId="175D9939" wp14:editId="5E4015F8">
            <wp:extent cx="2583776" cy="2352450"/>
            <wp:effectExtent l="0" t="0" r="7620" b="0"/>
            <wp:docPr id="18" name="Picture 18" descr="Figure 5. Stock-recruitment-environment relationship for Roe’s abalone in the Perth metropolitan fishery. Spawning biomass (kg per m2 index of ≥40 mm abalone at year n) and recruitment density (number of Age 1+ (17 – 32 mm) per m2 at year n +2) relationship with summer SST (January to March) at the time of spawning (years n). Pink symbol (e.g. 22,20) represents the predicted Age 1+ recruitment in 2022 arising from the spawning biomass and the summer SST in 2020. Biological RLs (Limit and Threshold) for spawning biomass are presented as a secondary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5. Stock-recruitment-environment relationship for Roe’s abalone in the Perth metropolitan fishery. Spawning biomass (kg per m2 index of ≥40 mm abalone at year n) and recruitment density (number of Age 1+ (17 – 32 mm) per m2 at year n +2) relationship with summer SST (January to March) at the time of spawning (years n). Pink symbol (e.g. 22,20) represents the predicted Age 1+ recruitment in 2022 arising from the spawning biomass and the summer SST in 2020. Biological RLs (Limit and Threshold) for spawning biomass are presented as a secondary PI."/>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5398" cy="2372136"/>
                    </a:xfrm>
                    <a:prstGeom prst="rect">
                      <a:avLst/>
                    </a:prstGeom>
                  </pic:spPr>
                </pic:pic>
              </a:graphicData>
            </a:graphic>
          </wp:inline>
        </w:drawing>
      </w:r>
    </w:p>
    <w:p w14:paraId="5D0EF37E" w14:textId="34627238" w:rsidR="007B6A79" w:rsidRDefault="007B6A79" w:rsidP="00D63B34">
      <w:r w:rsidRPr="007B6A79">
        <w:rPr>
          <w:b/>
          <w:bCs/>
        </w:rPr>
        <w:t xml:space="preserve">Figure </w:t>
      </w:r>
      <w:r w:rsidRPr="007B6A79">
        <w:rPr>
          <w:b/>
          <w:bCs/>
        </w:rPr>
        <w:fldChar w:fldCharType="begin"/>
      </w:r>
      <w:r w:rsidRPr="007B6A79">
        <w:rPr>
          <w:b/>
          <w:bCs/>
        </w:rPr>
        <w:instrText xml:space="preserve"> SEQ Figure \* ARABIC </w:instrText>
      </w:r>
      <w:r w:rsidRPr="007B6A79">
        <w:rPr>
          <w:b/>
          <w:bCs/>
        </w:rPr>
        <w:fldChar w:fldCharType="separate"/>
      </w:r>
      <w:r w:rsidR="00DD0274">
        <w:rPr>
          <w:b/>
          <w:bCs/>
          <w:noProof/>
        </w:rPr>
        <w:t>5</w:t>
      </w:r>
      <w:r w:rsidRPr="007B6A79">
        <w:rPr>
          <w:b/>
          <w:bCs/>
        </w:rPr>
        <w:fldChar w:fldCharType="end"/>
      </w:r>
      <w:r>
        <w:t xml:space="preserve">. </w:t>
      </w:r>
      <w:r w:rsidR="00D63B34">
        <w:t xml:space="preserve">Stock-recruitment-environment relationship for </w:t>
      </w:r>
      <w:r w:rsidR="00D63B34" w:rsidRPr="00C406D4">
        <w:t xml:space="preserve">Roe’s </w:t>
      </w:r>
      <w:r w:rsidR="00D63B34">
        <w:t>a</w:t>
      </w:r>
      <w:r w:rsidR="00D63B34" w:rsidRPr="00C406D4">
        <w:t>balone i</w:t>
      </w:r>
      <w:r w:rsidR="00D63B34">
        <w:t>n the Perth m</w:t>
      </w:r>
      <w:r w:rsidR="00D63B34" w:rsidRPr="00C406D4">
        <w:t xml:space="preserve">etropolitan </w:t>
      </w:r>
      <w:r w:rsidR="00D63B34">
        <w:t>f</w:t>
      </w:r>
      <w:r w:rsidR="00D63B34" w:rsidRPr="00C406D4">
        <w:t>ishery</w:t>
      </w:r>
      <w:r w:rsidR="00D63B34">
        <w:t>.</w:t>
      </w:r>
      <w:r w:rsidR="00D63B34" w:rsidRPr="00C406D4">
        <w:t xml:space="preserve"> </w:t>
      </w:r>
      <w:r w:rsidR="00D63B34">
        <w:t>Spawning biomass (kg per m</w:t>
      </w:r>
      <w:r w:rsidR="00D63B34" w:rsidRPr="005566E7">
        <w:rPr>
          <w:vertAlign w:val="superscript"/>
        </w:rPr>
        <w:t>2</w:t>
      </w:r>
      <w:r w:rsidR="00D63B34">
        <w:t xml:space="preserve"> index of </w:t>
      </w:r>
      <w:r w:rsidR="00D63B34">
        <w:rPr>
          <w:rFonts w:cs="Arial"/>
        </w:rPr>
        <w:t>≥</w:t>
      </w:r>
      <w:r w:rsidR="00D63B34">
        <w:t xml:space="preserve">40 mm abalone at year </w:t>
      </w:r>
      <w:r w:rsidR="00D63B34" w:rsidRPr="005566E7">
        <w:rPr>
          <w:i/>
        </w:rPr>
        <w:t>n</w:t>
      </w:r>
      <w:r w:rsidR="00D63B34">
        <w:t xml:space="preserve">) and recruitment density (number of Age 1+ </w:t>
      </w:r>
      <w:r w:rsidR="00D63B34" w:rsidRPr="009C3B8B">
        <w:t xml:space="preserve">(17 – 32 mm) </w:t>
      </w:r>
      <w:r w:rsidR="00D63B34">
        <w:t>per m</w:t>
      </w:r>
      <w:r w:rsidR="00D63B34" w:rsidRPr="005566E7">
        <w:rPr>
          <w:vertAlign w:val="superscript"/>
        </w:rPr>
        <w:t>2</w:t>
      </w:r>
      <w:r w:rsidR="00D63B34">
        <w:t xml:space="preserve"> at year </w:t>
      </w:r>
      <w:r w:rsidR="00D63B34" w:rsidRPr="005566E7">
        <w:rPr>
          <w:i/>
        </w:rPr>
        <w:t>n</w:t>
      </w:r>
      <w:r w:rsidR="00D63B34">
        <w:t xml:space="preserve"> +2) relationship with summer SST </w:t>
      </w:r>
      <w:r w:rsidR="00D63B34" w:rsidRPr="00436E8F">
        <w:t>(January to March)</w:t>
      </w:r>
      <w:r w:rsidR="00D63B34">
        <w:t xml:space="preserve"> at the time of spawning (years </w:t>
      </w:r>
      <w:r w:rsidR="00D63B34" w:rsidRPr="005566E7">
        <w:rPr>
          <w:i/>
        </w:rPr>
        <w:t>n</w:t>
      </w:r>
      <w:r w:rsidR="00D63B34">
        <w:t xml:space="preserve">). Pink symbol (e.g. 22,20) represents the predicted Age 1+ recruitment in 2022 arising from the spawning </w:t>
      </w:r>
      <w:r w:rsidR="00D63B34">
        <w:lastRenderedPageBreak/>
        <w:t>biomass and the summer SST in 2020. B</w:t>
      </w:r>
      <w:r w:rsidR="00D63B34" w:rsidRPr="00436E8F">
        <w:t xml:space="preserve">iological </w:t>
      </w:r>
      <w:r w:rsidR="00D63B34">
        <w:t>RLs</w:t>
      </w:r>
      <w:r w:rsidR="00D63B34" w:rsidRPr="00436E8F">
        <w:t xml:space="preserve"> (Limit and Threshold) for spawning biomass are presented as a secondary </w:t>
      </w:r>
      <w:r w:rsidR="00D63B34">
        <w:t>PI</w:t>
      </w:r>
      <w:r w:rsidR="00D63B34" w:rsidRPr="00436E8F">
        <w:t>.</w:t>
      </w:r>
    </w:p>
    <w:p w14:paraId="098A3D48" w14:textId="04CB116E" w:rsidR="007B6A79" w:rsidRDefault="007B6A79" w:rsidP="007B6A79">
      <w:r>
        <w:t>M</w:t>
      </w:r>
      <w:r w:rsidRPr="00EE7633">
        <w:t xml:space="preserve">odel-based assessments of </w:t>
      </w:r>
      <w:r>
        <w:t>Greenlip and Brownlip abalone</w:t>
      </w:r>
      <w:r w:rsidRPr="00EE7633">
        <w:t xml:space="preserve"> </w:t>
      </w:r>
      <w:r>
        <w:t xml:space="preserve">have recently been </w:t>
      </w:r>
      <w:r w:rsidRPr="00EE7633">
        <w:t xml:space="preserve">undertaken </w:t>
      </w:r>
      <w:r>
        <w:t xml:space="preserve">to </w:t>
      </w:r>
      <w:r w:rsidRPr="00864B96">
        <w:t>deriv</w:t>
      </w:r>
      <w:r>
        <w:t>e</w:t>
      </w:r>
      <w:r w:rsidRPr="00864B96">
        <w:t xml:space="preserve"> </w:t>
      </w:r>
      <w:r>
        <w:t>management area specific RLs for the</w:t>
      </w:r>
      <w:r w:rsidRPr="00864B96">
        <w:t xml:space="preserve"> primary </w:t>
      </w:r>
      <w:r>
        <w:t>PI</w:t>
      </w:r>
      <w:r w:rsidRPr="00864B96">
        <w:t xml:space="preserve"> (i.e. commercial </w:t>
      </w:r>
      <w:r>
        <w:t>SCPUE</w:t>
      </w:r>
      <w:r w:rsidRPr="00864B96">
        <w:t>)</w:t>
      </w:r>
      <w:r>
        <w:t xml:space="preserve">. </w:t>
      </w:r>
      <w:r w:rsidRPr="00EE7633">
        <w:t xml:space="preserve">These assessments align with the key assessment levels (tiers) used by DPIRD to determine the status of </w:t>
      </w:r>
      <w:r>
        <w:t>WA</w:t>
      </w:r>
      <w:r w:rsidRPr="00EE7633">
        <w:t xml:space="preserve"> fisheries resources and range in complexity, data requirements and in</w:t>
      </w:r>
      <w:r>
        <w:t>herent assumptions</w:t>
      </w:r>
      <w:r w:rsidRPr="00EE7633">
        <w:t>.</w:t>
      </w:r>
      <w:r>
        <w:t xml:space="preserve"> These </w:t>
      </w:r>
      <w:r w:rsidRPr="00EE7633">
        <w:t>model-based assessments</w:t>
      </w:r>
      <w:r>
        <w:t xml:space="preserve"> will be conducted every 2-3 years and provide periodic estimates of spawning biomass (relative to the unfished stock) to be used as a secondary PI</w:t>
      </w:r>
      <w:r w:rsidRPr="00C32190">
        <w:t xml:space="preserve"> </w:t>
      </w:r>
      <w:r>
        <w:t xml:space="preserve">(included in the weight-of-evidence assessment), with threshold reference levels at </w:t>
      </w:r>
      <w:r w:rsidRPr="001745DC">
        <w:rPr>
          <w:i/>
        </w:rPr>
        <w:t>B</w:t>
      </w:r>
      <w:r w:rsidRPr="001745DC">
        <w:rPr>
          <w:vertAlign w:val="subscript"/>
        </w:rPr>
        <w:t>MSY</w:t>
      </w:r>
      <w:r>
        <w:t xml:space="preserve"> and limit reference levels at 0.5</w:t>
      </w:r>
      <w:r w:rsidRPr="001745DC">
        <w:rPr>
          <w:i/>
        </w:rPr>
        <w:t>B</w:t>
      </w:r>
      <w:r w:rsidRPr="001745DC">
        <w:rPr>
          <w:vertAlign w:val="subscript"/>
        </w:rPr>
        <w:t>MSY</w:t>
      </w:r>
      <w:r>
        <w:t xml:space="preserve">. </w:t>
      </w:r>
    </w:p>
    <w:p w14:paraId="2F9A5585" w14:textId="1BA9E8A8" w:rsidR="007B2ED1" w:rsidRDefault="007B2ED1" w:rsidP="0051465C">
      <w:pPr>
        <w:pStyle w:val="Heading4"/>
      </w:pPr>
      <w:r>
        <w:t xml:space="preserve">Economic and </w:t>
      </w:r>
      <w:r w:rsidR="00FC6D14">
        <w:t>s</w:t>
      </w:r>
      <w:r>
        <w:t xml:space="preserve">ocial </w:t>
      </w:r>
      <w:r w:rsidR="00FC6D14">
        <w:t>m</w:t>
      </w:r>
      <w:r>
        <w:t xml:space="preserve">onitoring </w:t>
      </w:r>
    </w:p>
    <w:p w14:paraId="7E1B343D" w14:textId="58BF5675" w:rsidR="007B2ED1" w:rsidRPr="000A6595" w:rsidRDefault="007B2ED1" w:rsidP="000A6595">
      <w:r>
        <w:t xml:space="preserve">Processor production and value </w:t>
      </w:r>
      <w:r w:rsidR="0000353F">
        <w:t>is</w:t>
      </w:r>
      <w:r>
        <w:t xml:space="preserve"> monitored using statutory logbooks</w:t>
      </w:r>
      <w:r w:rsidR="0000353F">
        <w:t xml:space="preserve">. </w:t>
      </w:r>
      <w:r>
        <w:t xml:space="preserve">This information provides estimates of weighted average price which, when multiplied with total landings produces estimates of GVP of the </w:t>
      </w:r>
      <w:r w:rsidR="003E4B7D">
        <w:t>A</w:t>
      </w:r>
      <w:r>
        <w:t>MF.</w:t>
      </w:r>
    </w:p>
    <w:p w14:paraId="3BB6DC74" w14:textId="77777777" w:rsidR="0030708A" w:rsidRDefault="0030708A" w:rsidP="00A329C2">
      <w:pPr>
        <w:pStyle w:val="Heading2"/>
      </w:pPr>
      <w:bookmarkStart w:id="46" w:name="_Toc163559875"/>
      <w:bookmarkStart w:id="47" w:name="_Toc176435171"/>
      <w:r>
        <w:t>Ecosystem</w:t>
      </w:r>
      <w:bookmarkEnd w:id="46"/>
      <w:bookmarkEnd w:id="47"/>
    </w:p>
    <w:p w14:paraId="7134335E" w14:textId="77777777" w:rsidR="0030708A" w:rsidRDefault="0030708A" w:rsidP="00A329C2">
      <w:pPr>
        <w:pStyle w:val="Heading3"/>
      </w:pPr>
      <w:bookmarkStart w:id="48" w:name="_Toc163559876"/>
      <w:bookmarkStart w:id="49" w:name="_Toc176435172"/>
      <w:r>
        <w:t>Mitigating impacts on the wider ecosystem</w:t>
      </w:r>
      <w:bookmarkEnd w:id="48"/>
      <w:bookmarkEnd w:id="49"/>
    </w:p>
    <w:p w14:paraId="4F195770" w14:textId="084AB585" w:rsidR="00FA7584" w:rsidRDefault="00FA7584" w:rsidP="00FA7584">
      <w:pPr>
        <w:jc w:val="both"/>
      </w:pPr>
      <w:r>
        <w:t>DPIRD utilises an integrated EBFM approach for fisheries management in WA. The EBFM approach ensures that fishing impacts on the overall ecosystems are appropriately assessed and managed. In line with the principles of ESD, the EBFM approach also recognises that the economic and social benefits of fishing to all users must be considered.</w:t>
      </w:r>
    </w:p>
    <w:p w14:paraId="3C8B827A" w14:textId="321E974C" w:rsidR="00FA7584" w:rsidRPr="00FA7584" w:rsidRDefault="00FA7584" w:rsidP="00866951">
      <w:r>
        <w:t xml:space="preserve">Implementation of EBFM involves a risk-based approach to monitor and assess the cumulative impacts on WA’s aquatic resources from all fishing activities (commercial, recreational, customary), operating at a bioregional or ecosystem level. The level of risk to each resource is used as a key input to the DPIRD Risk Register, which is an integral component of the annual planning cycle for assigning activity priorities (research, management, compliance, education etc.) across each bioregion. </w:t>
      </w:r>
    </w:p>
    <w:p w14:paraId="0EF7F861" w14:textId="77777777" w:rsidR="00F316E5" w:rsidRDefault="00F316E5" w:rsidP="00A329C2">
      <w:pPr>
        <w:pStyle w:val="Heading3"/>
      </w:pPr>
      <w:bookmarkStart w:id="50" w:name="_Toc163559877"/>
      <w:bookmarkStart w:id="51" w:name="_Toc176435173"/>
      <w:r>
        <w:t>Ecological risk assessments</w:t>
      </w:r>
      <w:bookmarkEnd w:id="50"/>
      <w:bookmarkEnd w:id="51"/>
    </w:p>
    <w:p w14:paraId="0A2155AD" w14:textId="7EF3B93D" w:rsidR="005D13AC" w:rsidRPr="00B570E3" w:rsidRDefault="008E3170" w:rsidP="005D13AC">
      <w:pPr>
        <w:jc w:val="both"/>
        <w:rPr>
          <w:rStyle w:val="Hyperlink"/>
          <w:rFonts w:ascii="Arial" w:hAnsi="Arial" w:cs="Arial"/>
          <w:color w:val="auto"/>
          <w:szCs w:val="24"/>
          <w:u w:val="none"/>
        </w:rPr>
      </w:pPr>
      <w:r>
        <w:t xml:space="preserve">Where possible, </w:t>
      </w:r>
      <w:r w:rsidR="005D13AC">
        <w:t>DPIRD undertake E</w:t>
      </w:r>
      <w:r w:rsidR="0082394A">
        <w:t xml:space="preserve">cological </w:t>
      </w:r>
      <w:r w:rsidR="005D13AC">
        <w:t>R</w:t>
      </w:r>
      <w:r w:rsidR="0082394A">
        <w:t xml:space="preserve">isk </w:t>
      </w:r>
      <w:r w:rsidR="005D13AC">
        <w:t>A</w:t>
      </w:r>
      <w:r w:rsidR="0082394A">
        <w:t>ssessment</w:t>
      </w:r>
      <w:r w:rsidR="00251AFE">
        <w:t>s</w:t>
      </w:r>
      <w:r w:rsidR="000E3522">
        <w:t xml:space="preserve"> (ERA)</w:t>
      </w:r>
      <w:r w:rsidR="005D13AC" w:rsidRPr="00C20488">
        <w:rPr>
          <w:rFonts w:ascii="Arial" w:hAnsi="Arial" w:cs="Arial"/>
          <w:szCs w:val="24"/>
        </w:rPr>
        <w:t xml:space="preserve"> </w:t>
      </w:r>
      <w:r w:rsidR="00722774">
        <w:rPr>
          <w:rFonts w:ascii="Arial" w:hAnsi="Arial" w:cs="Arial"/>
          <w:szCs w:val="24"/>
        </w:rPr>
        <w:t xml:space="preserve">periodically </w:t>
      </w:r>
      <w:r w:rsidR="005D13AC" w:rsidRPr="00C20488">
        <w:rPr>
          <w:rFonts w:ascii="Arial" w:hAnsi="Arial" w:cs="Arial"/>
          <w:szCs w:val="24"/>
        </w:rPr>
        <w:t xml:space="preserve">to assess the risk of fishing activities </w:t>
      </w:r>
      <w:r w:rsidR="005D13AC">
        <w:rPr>
          <w:rFonts w:ascii="Arial" w:hAnsi="Arial" w:cs="Arial"/>
          <w:szCs w:val="24"/>
        </w:rPr>
        <w:t xml:space="preserve">on </w:t>
      </w:r>
      <w:r w:rsidR="005D13AC" w:rsidRPr="00C20488">
        <w:rPr>
          <w:rFonts w:ascii="Arial" w:hAnsi="Arial" w:cs="Arial"/>
          <w:szCs w:val="24"/>
        </w:rPr>
        <w:t xml:space="preserve">target </w:t>
      </w:r>
      <w:r w:rsidR="00221D15">
        <w:rPr>
          <w:rFonts w:ascii="Arial" w:hAnsi="Arial" w:cs="Arial"/>
          <w:szCs w:val="24"/>
        </w:rPr>
        <w:t>scalefish species</w:t>
      </w:r>
      <w:r w:rsidR="005D13AC">
        <w:rPr>
          <w:rFonts w:ascii="Arial" w:hAnsi="Arial" w:cs="Arial"/>
          <w:szCs w:val="24"/>
        </w:rPr>
        <w:t xml:space="preserve"> </w:t>
      </w:r>
      <w:r w:rsidR="005D13AC" w:rsidRPr="00C20488">
        <w:rPr>
          <w:rFonts w:ascii="Arial" w:hAnsi="Arial" w:cs="Arial"/>
          <w:szCs w:val="24"/>
        </w:rPr>
        <w:t xml:space="preserve">and bycatch species, and the broader ecosystem. </w:t>
      </w:r>
    </w:p>
    <w:p w14:paraId="188B00CA" w14:textId="47FA7AFB" w:rsidR="002C49C1" w:rsidRDefault="002C49C1" w:rsidP="006F1D42">
      <w:pPr>
        <w:rPr>
          <w:b/>
        </w:rPr>
      </w:pPr>
      <w:bookmarkStart w:id="52" w:name="_Hlk176948455"/>
      <w:bookmarkStart w:id="53" w:name="_Toc162355702"/>
      <w:r w:rsidRPr="002C49C1">
        <w:t xml:space="preserve">An ERA for the AMF was undertaken in December 2015 (Webster et al. 2017).  A further ERA was carried out in 2021, </w:t>
      </w:r>
      <w:r w:rsidR="001E7770">
        <w:t>an updated ERA will be carried out in 2026. T</w:t>
      </w:r>
      <w:r w:rsidRPr="002C49C1">
        <w:t xml:space="preserve">he </w:t>
      </w:r>
      <w:r w:rsidR="001E7770">
        <w:t xml:space="preserve">ERA </w:t>
      </w:r>
      <w:r w:rsidRPr="002C49C1">
        <w:t xml:space="preserve">findings guide internal management and decision making. The fishery has MSC certification since 2017, the MSC assessment process also considers impacts on the wider ecosystem. </w:t>
      </w:r>
    </w:p>
    <w:p w14:paraId="7B9EA05D" w14:textId="37782E0A" w:rsidR="005C1207" w:rsidRDefault="00754F3E" w:rsidP="00A329C2">
      <w:pPr>
        <w:pStyle w:val="Heading3"/>
      </w:pPr>
      <w:bookmarkStart w:id="54" w:name="_Toc176435174"/>
      <w:bookmarkEnd w:id="52"/>
      <w:r>
        <w:t>Bycatch</w:t>
      </w:r>
      <w:bookmarkEnd w:id="53"/>
      <w:r>
        <w:t xml:space="preserve"> </w:t>
      </w:r>
      <w:r w:rsidR="00DA2C04">
        <w:t xml:space="preserve">and </w:t>
      </w:r>
      <w:r w:rsidR="00785192">
        <w:t>p</w:t>
      </w:r>
      <w:r w:rsidR="00DA2C04">
        <w:t>rotected species interactions</w:t>
      </w:r>
      <w:bookmarkEnd w:id="54"/>
    </w:p>
    <w:p w14:paraId="36B69D37" w14:textId="76A36CA0" w:rsidR="008958C6" w:rsidRDefault="008958C6" w:rsidP="008958C6">
      <w:bookmarkStart w:id="55" w:name="_Hlk162268293"/>
      <w:r w:rsidRPr="00CF2A83">
        <w:t xml:space="preserve">The </w:t>
      </w:r>
      <w:r>
        <w:t xml:space="preserve">AMF </w:t>
      </w:r>
      <w:r w:rsidRPr="00CF2A83">
        <w:t xml:space="preserve">fishing method is species-specific with no bycatch being taken </w:t>
      </w:r>
      <w:bookmarkEnd w:id="55"/>
      <w:r w:rsidRPr="00CF2A83">
        <w:t>and animals are measured in situ prior to harvest.</w:t>
      </w:r>
    </w:p>
    <w:p w14:paraId="71C03AC8" w14:textId="415E2C3C" w:rsidR="00F23CCF" w:rsidRPr="004877DB" w:rsidRDefault="00F23CCF" w:rsidP="00866951">
      <w:pPr>
        <w:rPr>
          <w:lang w:eastAsia="en-AU"/>
        </w:rPr>
      </w:pPr>
      <w:r w:rsidRPr="005B04CF">
        <w:rPr>
          <w:lang w:eastAsia="en-AU"/>
        </w:rPr>
        <w:t xml:space="preserve">Fauna under the </w:t>
      </w:r>
      <w:r>
        <w:rPr>
          <w:lang w:eastAsia="en-AU"/>
        </w:rPr>
        <w:t>BCA</w:t>
      </w:r>
      <w:r w:rsidRPr="005B04CF">
        <w:rPr>
          <w:lang w:eastAsia="en-AU"/>
        </w:rPr>
        <w:t>; and other species that are listed under the EPBC</w:t>
      </w:r>
      <w:r>
        <w:rPr>
          <w:lang w:eastAsia="en-AU"/>
        </w:rPr>
        <w:t xml:space="preserve"> Act</w:t>
      </w:r>
      <w:r w:rsidRPr="005B04CF">
        <w:rPr>
          <w:lang w:eastAsia="en-AU"/>
        </w:rPr>
        <w:t>.</w:t>
      </w:r>
    </w:p>
    <w:p w14:paraId="500EE074" w14:textId="77777777" w:rsidR="007159E3" w:rsidRDefault="007159E3" w:rsidP="00A329C2">
      <w:pPr>
        <w:pStyle w:val="Heading2"/>
      </w:pPr>
      <w:bookmarkStart w:id="56" w:name="_Toc162355691"/>
      <w:bookmarkStart w:id="57" w:name="_Toc176435175"/>
      <w:r>
        <w:lastRenderedPageBreak/>
        <w:t>Enforcement of the management arrangements</w:t>
      </w:r>
      <w:bookmarkEnd w:id="56"/>
      <w:bookmarkEnd w:id="57"/>
      <w:r>
        <w:t xml:space="preserve"> </w:t>
      </w:r>
    </w:p>
    <w:p w14:paraId="318DD81E" w14:textId="0E013BCC" w:rsidR="00960B3C" w:rsidRDefault="00960B3C" w:rsidP="00866951">
      <w:r>
        <w:t xml:space="preserve">Operational compliance plans (OCP), guide the enforcement of management arrangements for the </w:t>
      </w:r>
      <w:r w:rsidR="003A5073">
        <w:t>A</w:t>
      </w:r>
      <w:r w:rsidR="00AD78CC">
        <w:t>MF</w:t>
      </w:r>
      <w:r>
        <w:t xml:space="preserve">. OCPs are informed and underpinned by a compliance risk assessment and are reviewed every 1-2 years. OCPs have the following objectives: </w:t>
      </w:r>
    </w:p>
    <w:p w14:paraId="29A8C041" w14:textId="77777777" w:rsidR="00960B3C" w:rsidRDefault="00960B3C" w:rsidP="00FA4C32">
      <w:pPr>
        <w:pStyle w:val="ListParagraph"/>
        <w:numPr>
          <w:ilvl w:val="1"/>
          <w:numId w:val="18"/>
        </w:numPr>
        <w:spacing w:before="120"/>
        <w:contextualSpacing w:val="0"/>
        <w:jc w:val="both"/>
      </w:pPr>
      <w:r>
        <w:t xml:space="preserve">to provide clear direction and guidance to officers regarding compliance activities that are required to support effective management of the fishery; </w:t>
      </w:r>
    </w:p>
    <w:p w14:paraId="49E450C9" w14:textId="77777777" w:rsidR="00960B3C" w:rsidRDefault="00960B3C" w:rsidP="00FA4C32">
      <w:pPr>
        <w:pStyle w:val="ListParagraph"/>
        <w:numPr>
          <w:ilvl w:val="1"/>
          <w:numId w:val="18"/>
        </w:numPr>
        <w:spacing w:before="120"/>
        <w:contextualSpacing w:val="0"/>
        <w:jc w:val="both"/>
      </w:pPr>
      <w:r>
        <w:t xml:space="preserve">to provide a mechanism that aids the identification of future and current priorities; </w:t>
      </w:r>
    </w:p>
    <w:p w14:paraId="56FBFA52" w14:textId="77777777" w:rsidR="00960B3C" w:rsidRDefault="00960B3C" w:rsidP="00FA4C32">
      <w:pPr>
        <w:pStyle w:val="ListParagraph"/>
        <w:numPr>
          <w:ilvl w:val="1"/>
          <w:numId w:val="18"/>
        </w:numPr>
        <w:spacing w:before="120"/>
        <w:contextualSpacing w:val="0"/>
      </w:pPr>
      <w:r>
        <w:t xml:space="preserve">to encourage voluntary compliance through education, awareness, and consultation activities; and </w:t>
      </w:r>
    </w:p>
    <w:p w14:paraId="1BBF0AAF" w14:textId="77777777" w:rsidR="00960B3C" w:rsidRDefault="00960B3C" w:rsidP="00FA4C32">
      <w:pPr>
        <w:pStyle w:val="ListParagraph"/>
        <w:numPr>
          <w:ilvl w:val="1"/>
          <w:numId w:val="18"/>
        </w:numPr>
        <w:spacing w:before="120"/>
        <w:contextualSpacing w:val="0"/>
        <w:jc w:val="both"/>
      </w:pPr>
      <w:r>
        <w:t xml:space="preserve">to review compliance strategies and their effective implementation. </w:t>
      </w:r>
    </w:p>
    <w:p w14:paraId="63AB07B9" w14:textId="77777777" w:rsidR="008B3655" w:rsidRDefault="008B3655" w:rsidP="008B3655">
      <w:pPr>
        <w:rPr>
          <w:rFonts w:cstheme="minorHAnsi"/>
          <w:szCs w:val="24"/>
        </w:rPr>
      </w:pPr>
      <w:r w:rsidRPr="00987C64">
        <w:rPr>
          <w:rFonts w:cstheme="minorHAnsi"/>
          <w:szCs w:val="24"/>
        </w:rPr>
        <w:t>The primary monitoring activity in the AMF relates to the reporting and validation of catches for quota-monitoring purposes. The AMF vessels are not required to operate a vessel monitoring system (VMS) but pre fishing nominations to advise of launching, fishing and landing areas are required. There is a monitoring, control and surveillance (MCS) system in place including:</w:t>
      </w:r>
    </w:p>
    <w:p w14:paraId="33542EAE" w14:textId="77777777" w:rsidR="008B3655" w:rsidRPr="00987C64" w:rsidRDefault="008B3655" w:rsidP="008B3655">
      <w:pPr>
        <w:pStyle w:val="ListParagraph"/>
        <w:numPr>
          <w:ilvl w:val="0"/>
          <w:numId w:val="28"/>
        </w:numPr>
        <w:rPr>
          <w:rFonts w:cstheme="minorHAnsi"/>
          <w:szCs w:val="24"/>
        </w:rPr>
      </w:pPr>
      <w:r w:rsidRPr="00987C64">
        <w:rPr>
          <w:rFonts w:cstheme="minorHAnsi"/>
          <w:szCs w:val="24"/>
        </w:rPr>
        <w:t>Departmental checking of processor reported weights and those in CDRs;</w:t>
      </w:r>
    </w:p>
    <w:p w14:paraId="3F8FA752" w14:textId="77777777" w:rsidR="008B3655" w:rsidRPr="00987C64" w:rsidRDefault="008B3655" w:rsidP="008B3655">
      <w:pPr>
        <w:pStyle w:val="ListParagraph"/>
        <w:numPr>
          <w:ilvl w:val="0"/>
          <w:numId w:val="28"/>
        </w:numPr>
        <w:rPr>
          <w:rFonts w:cstheme="minorHAnsi"/>
          <w:szCs w:val="24"/>
        </w:rPr>
      </w:pPr>
      <w:r w:rsidRPr="00987C64">
        <w:rPr>
          <w:rFonts w:cstheme="minorHAnsi"/>
          <w:szCs w:val="24"/>
        </w:rPr>
        <w:t>Attending industry meetings;</w:t>
      </w:r>
    </w:p>
    <w:p w14:paraId="0512D407" w14:textId="77777777" w:rsidR="008B3655" w:rsidRPr="00987C64" w:rsidRDefault="008B3655" w:rsidP="008B3655">
      <w:pPr>
        <w:pStyle w:val="ListParagraph"/>
        <w:numPr>
          <w:ilvl w:val="0"/>
          <w:numId w:val="28"/>
        </w:numPr>
        <w:rPr>
          <w:rFonts w:cstheme="minorHAnsi"/>
          <w:szCs w:val="24"/>
        </w:rPr>
      </w:pPr>
      <w:r w:rsidRPr="00987C64">
        <w:rPr>
          <w:rFonts w:cstheme="minorHAnsi"/>
          <w:szCs w:val="24"/>
        </w:rPr>
        <w:t>Intel-driven investigations;</w:t>
      </w:r>
    </w:p>
    <w:p w14:paraId="3E5CBED9" w14:textId="77777777" w:rsidR="008B3655" w:rsidRPr="00987C64" w:rsidRDefault="008B3655" w:rsidP="008B3655">
      <w:pPr>
        <w:pStyle w:val="ListParagraph"/>
        <w:numPr>
          <w:ilvl w:val="0"/>
          <w:numId w:val="28"/>
        </w:numPr>
        <w:rPr>
          <w:rFonts w:cstheme="minorHAnsi"/>
          <w:szCs w:val="24"/>
        </w:rPr>
      </w:pPr>
      <w:r w:rsidRPr="00987C64">
        <w:rPr>
          <w:rFonts w:cstheme="minorHAnsi"/>
          <w:szCs w:val="24"/>
        </w:rPr>
        <w:t>Land patrols, including opportunistic inspections of catch and licenses;</w:t>
      </w:r>
    </w:p>
    <w:p w14:paraId="07126E6A" w14:textId="77777777" w:rsidR="008B3655" w:rsidRPr="00987C64" w:rsidRDefault="008B3655" w:rsidP="008B3655">
      <w:pPr>
        <w:pStyle w:val="ListParagraph"/>
        <w:numPr>
          <w:ilvl w:val="0"/>
          <w:numId w:val="28"/>
        </w:numPr>
        <w:rPr>
          <w:rFonts w:cstheme="minorHAnsi"/>
          <w:szCs w:val="24"/>
        </w:rPr>
      </w:pPr>
      <w:r w:rsidRPr="00987C64">
        <w:rPr>
          <w:rFonts w:cstheme="minorHAnsi"/>
          <w:szCs w:val="24"/>
        </w:rPr>
        <w:t>Sea patrols;</w:t>
      </w:r>
    </w:p>
    <w:p w14:paraId="69229B57" w14:textId="77777777" w:rsidR="008B3655" w:rsidRPr="00987C64" w:rsidRDefault="008B3655" w:rsidP="008B3655">
      <w:pPr>
        <w:pStyle w:val="ListParagraph"/>
        <w:numPr>
          <w:ilvl w:val="0"/>
          <w:numId w:val="28"/>
        </w:numPr>
        <w:rPr>
          <w:rFonts w:cstheme="minorHAnsi"/>
          <w:szCs w:val="24"/>
        </w:rPr>
      </w:pPr>
      <w:r w:rsidRPr="00987C64">
        <w:rPr>
          <w:rFonts w:cstheme="minorHAnsi"/>
          <w:szCs w:val="24"/>
        </w:rPr>
        <w:t>Use of drones and CCTV footage</w:t>
      </w:r>
    </w:p>
    <w:p w14:paraId="6FAE59B4" w14:textId="77777777" w:rsidR="008B3655" w:rsidRPr="00987C64" w:rsidRDefault="008B3655" w:rsidP="008B3655">
      <w:pPr>
        <w:pStyle w:val="ListParagraph"/>
        <w:numPr>
          <w:ilvl w:val="0"/>
          <w:numId w:val="28"/>
        </w:numPr>
        <w:rPr>
          <w:rFonts w:cstheme="minorHAnsi"/>
          <w:szCs w:val="24"/>
        </w:rPr>
      </w:pPr>
      <w:r w:rsidRPr="00987C64">
        <w:rPr>
          <w:rFonts w:cstheme="minorHAnsi"/>
          <w:szCs w:val="24"/>
        </w:rPr>
        <w:t>Pre fishing nominations for targeted inspections;</w:t>
      </w:r>
    </w:p>
    <w:p w14:paraId="0EB44D53" w14:textId="77777777" w:rsidR="008B3655" w:rsidRPr="00987C64" w:rsidRDefault="008B3655" w:rsidP="008B3655">
      <w:pPr>
        <w:pStyle w:val="ListParagraph"/>
        <w:numPr>
          <w:ilvl w:val="0"/>
          <w:numId w:val="28"/>
        </w:numPr>
        <w:rPr>
          <w:rFonts w:cstheme="minorHAnsi"/>
          <w:szCs w:val="24"/>
        </w:rPr>
      </w:pPr>
      <w:r w:rsidRPr="00987C64">
        <w:rPr>
          <w:rFonts w:cstheme="minorHAnsi"/>
          <w:szCs w:val="24"/>
        </w:rPr>
        <w:t>Processor inspections; and</w:t>
      </w:r>
    </w:p>
    <w:p w14:paraId="3607113D" w14:textId="77777777" w:rsidR="008B3655" w:rsidRPr="00987C64" w:rsidRDefault="008B3655" w:rsidP="008B3655">
      <w:pPr>
        <w:pStyle w:val="ListParagraph"/>
        <w:numPr>
          <w:ilvl w:val="0"/>
          <w:numId w:val="28"/>
        </w:numPr>
        <w:rPr>
          <w:rFonts w:cstheme="minorHAnsi"/>
          <w:szCs w:val="24"/>
        </w:rPr>
      </w:pPr>
      <w:r w:rsidRPr="00987C64">
        <w:rPr>
          <w:rFonts w:cstheme="minorHAnsi"/>
          <w:szCs w:val="24"/>
        </w:rPr>
        <w:t>Road-side check points (in collaboration with the WA Police) for protected fish species or black market operations.</w:t>
      </w:r>
    </w:p>
    <w:p w14:paraId="7990A30B" w14:textId="77777777" w:rsidR="00003BAD" w:rsidRDefault="00003BAD" w:rsidP="00A329C2">
      <w:pPr>
        <w:pStyle w:val="Heading2"/>
      </w:pPr>
      <w:bookmarkStart w:id="58" w:name="_Toc176435176"/>
      <w:r>
        <w:t>Consultation process</w:t>
      </w:r>
      <w:bookmarkEnd w:id="58"/>
    </w:p>
    <w:p w14:paraId="1B15D475" w14:textId="2535AF71" w:rsidR="007E55B5" w:rsidRDefault="007E55B5" w:rsidP="00866951">
      <w:r>
        <w:t xml:space="preserve">Management changes for the </w:t>
      </w:r>
      <w:r w:rsidR="004C2A9A">
        <w:t>A</w:t>
      </w:r>
      <w:r w:rsidR="00FA7D26">
        <w:t>MF</w:t>
      </w:r>
      <w:r>
        <w:t xml:space="preserve"> are given effect through amendments to legislation, such as the </w:t>
      </w:r>
      <w:r w:rsidR="00901EF2">
        <w:t>A</w:t>
      </w:r>
      <w:r w:rsidR="00FA7D26">
        <w:t>MF</w:t>
      </w:r>
      <w:r>
        <w:t xml:space="preserve"> management plan, regulations, and orders. These changes require consultation with all affected parties and the approval of the Minister for Fisheries and/or DPIRD’s Director General (or appropriate delegates). In making decisions relevant to fisheries, the Minister for Fisheries may choose to receive advice from any source but has indicated that: </w:t>
      </w:r>
    </w:p>
    <w:p w14:paraId="2F84532A" w14:textId="77777777" w:rsidR="007E55B5" w:rsidRDefault="007E55B5" w:rsidP="00FA4C32">
      <w:pPr>
        <w:pStyle w:val="ListParagraph"/>
        <w:numPr>
          <w:ilvl w:val="0"/>
          <w:numId w:val="17"/>
        </w:numPr>
        <w:spacing w:before="120"/>
        <w:ind w:left="714" w:hanging="357"/>
        <w:contextualSpacing w:val="0"/>
      </w:pPr>
      <w:r>
        <w:t xml:space="preserve">DPIRD is the primary source of management advice; and </w:t>
      </w:r>
    </w:p>
    <w:p w14:paraId="027730C1" w14:textId="56C1C839" w:rsidR="007E55B5" w:rsidRDefault="008A15F1" w:rsidP="00FA4C32">
      <w:pPr>
        <w:pStyle w:val="ListParagraph"/>
        <w:numPr>
          <w:ilvl w:val="0"/>
          <w:numId w:val="17"/>
        </w:numPr>
        <w:spacing w:before="120"/>
        <w:ind w:left="714" w:hanging="357"/>
        <w:contextualSpacing w:val="0"/>
      </w:pPr>
      <w:r>
        <w:t>t</w:t>
      </w:r>
      <w:r w:rsidR="007E55B5">
        <w:t>he peak body WAFIC is the primary source of advice and representation from the commercial sector.</w:t>
      </w:r>
    </w:p>
    <w:p w14:paraId="1CDFFA86" w14:textId="77777777" w:rsidR="00E55D4D" w:rsidRPr="00E55D4D" w:rsidRDefault="00E55D4D" w:rsidP="00E55D4D">
      <w:pPr>
        <w:pStyle w:val="ListParagraph"/>
        <w:numPr>
          <w:ilvl w:val="0"/>
          <w:numId w:val="17"/>
        </w:numPr>
        <w:rPr>
          <w:rFonts w:ascii="Arial" w:hAnsi="Arial" w:cs="Arial"/>
          <w:szCs w:val="24"/>
        </w:rPr>
      </w:pPr>
      <w:r w:rsidRPr="00E55D4D">
        <w:rPr>
          <w:rFonts w:ascii="Arial" w:hAnsi="Arial" w:cs="Arial"/>
          <w:szCs w:val="24"/>
        </w:rPr>
        <w:t>DPIRD also consults directly with the Abalone Industry Association of WA (AIAWA) and the West Coast Abalone Divers Association (WCADA) on specific commercial abalone science, management and operational issues.</w:t>
      </w:r>
    </w:p>
    <w:p w14:paraId="1975249B" w14:textId="77777777" w:rsidR="00E55D4D" w:rsidRDefault="00E55D4D" w:rsidP="00E55D4D">
      <w:pPr>
        <w:pStyle w:val="ListParagraph"/>
        <w:spacing w:before="120"/>
        <w:ind w:left="714"/>
        <w:contextualSpacing w:val="0"/>
      </w:pPr>
    </w:p>
    <w:p w14:paraId="400E42FC" w14:textId="398EDFCA" w:rsidR="00A36E70" w:rsidRDefault="007E55B5" w:rsidP="00866951">
      <w:r>
        <w:t xml:space="preserve">WAFIC is funded by the WA State Government under </w:t>
      </w:r>
      <w:r w:rsidR="00A360E9">
        <w:t xml:space="preserve">a </w:t>
      </w:r>
      <w:r>
        <w:t xml:space="preserve">Service Level Agreement to undertake their representation/advisory and consultation roles. Under the </w:t>
      </w:r>
      <w:r w:rsidR="00A36E70">
        <w:t xml:space="preserve">agreement with </w:t>
      </w:r>
      <w:r w:rsidR="00A36E70">
        <w:lastRenderedPageBreak/>
        <w:t xml:space="preserve">DPIRD, WAFIC is required to undertake statutory consultation functions related to the </w:t>
      </w:r>
      <w:r w:rsidR="00E55D4D">
        <w:t>A</w:t>
      </w:r>
      <w:r w:rsidR="00020A34">
        <w:t>MF</w:t>
      </w:r>
      <w:r w:rsidR="00A36E70">
        <w:t xml:space="preserve"> management and the facilitation of management meetings. </w:t>
      </w:r>
    </w:p>
    <w:p w14:paraId="16DC180E" w14:textId="0AE5B2A1" w:rsidR="00144C15" w:rsidRPr="002C602F" w:rsidRDefault="00A36E70" w:rsidP="00866951">
      <w:pPr>
        <w:rPr>
          <w:rFonts w:ascii="Arial" w:hAnsi="Arial" w:cs="Arial"/>
          <w:szCs w:val="24"/>
        </w:rPr>
      </w:pPr>
      <w:r>
        <w:t xml:space="preserve">Management meetings between DPIRD, WAFIC and authorisation holders in the </w:t>
      </w:r>
      <w:r w:rsidR="00E55D4D">
        <w:t>A</w:t>
      </w:r>
      <w:r w:rsidR="00020A34">
        <w:t>MF</w:t>
      </w:r>
      <w:r>
        <w:t xml:space="preserve"> are held annually and are important forums to consult on the management of the </w:t>
      </w:r>
      <w:r w:rsidR="00F56C8D">
        <w:t>A</w:t>
      </w:r>
      <w:r w:rsidR="00020A34">
        <w:t>MF</w:t>
      </w:r>
      <w:r>
        <w:t>. During these meetings, DPIRD (science, management, and compliance) staff, licence holders and WAFIC discuss current and future management issues</w:t>
      </w:r>
      <w:r w:rsidRPr="00FA7324">
        <w:t xml:space="preserve">. </w:t>
      </w:r>
      <w:r>
        <w:t xml:space="preserve">DPIRD </w:t>
      </w:r>
      <w:r w:rsidRPr="00FA7324">
        <w:t>also consults directly with industry, where relevant, on specific management and operational issues</w:t>
      </w:r>
      <w:r>
        <w:t>.</w:t>
      </w:r>
      <w:r w:rsidR="002C602F">
        <w:t xml:space="preserve"> </w:t>
      </w:r>
      <w:r w:rsidR="002C602F" w:rsidRPr="00C5614A">
        <w:rPr>
          <w:rFonts w:ascii="Arial" w:hAnsi="Arial" w:cs="Arial"/>
          <w:szCs w:val="24"/>
        </w:rPr>
        <w:t>Follow-up meetings may be held as required.</w:t>
      </w:r>
    </w:p>
    <w:p w14:paraId="0BB40D8D" w14:textId="77777777" w:rsidR="00ED0FD2" w:rsidRPr="00B50B38" w:rsidRDefault="00ED0FD2" w:rsidP="00A329C2">
      <w:pPr>
        <w:pStyle w:val="Heading2"/>
      </w:pPr>
      <w:bookmarkStart w:id="59" w:name="_Toc176435177"/>
      <w:r w:rsidRPr="00B50B38">
        <w:t>Research</w:t>
      </w:r>
      <w:bookmarkEnd w:id="59"/>
    </w:p>
    <w:p w14:paraId="3E9FC645" w14:textId="4C925A94" w:rsidR="009C1791" w:rsidRDefault="009C1791" w:rsidP="009C1791">
      <w:bookmarkStart w:id="60" w:name="_Toc162355719"/>
      <w:r w:rsidRPr="003B59FC">
        <w:t xml:space="preserve">Decision-making processes can be triggered following the identification of new or potential issues as part of an ERA (generally reviewed every 5 years), results of research, management or compliance projects or investigations, monitoring or assessment outcomes (including those assessed as part of the </w:t>
      </w:r>
      <w:r>
        <w:t>HS</w:t>
      </w:r>
      <w:r w:rsidRPr="003B59FC">
        <w:t xml:space="preserve">) and/or expert workshops and peer </w:t>
      </w:r>
      <w:r w:rsidR="000303A9">
        <w:t>f</w:t>
      </w:r>
      <w:r w:rsidRPr="003B59FC">
        <w:t>review of aspects of research and management.</w:t>
      </w:r>
    </w:p>
    <w:p w14:paraId="12862A99" w14:textId="77777777" w:rsidR="009C1791" w:rsidRDefault="009C1791" w:rsidP="009C1791">
      <w:r>
        <w:t xml:space="preserve">Catch and effort information is collected monthly. Catch data has been captured since the late 1970s. Daily catch and effort is stored within the CDR. Catch is also officially weighed at licenced processor facilities and entered into the abalone catch and effort database (Hart et al 2013). </w:t>
      </w:r>
    </w:p>
    <w:p w14:paraId="401CE7C7" w14:textId="77777777" w:rsidR="009C1791" w:rsidRDefault="009C1791" w:rsidP="009C1791">
      <w:r>
        <w:t>Annual recreational catch and effort estimates are derived from an annual field survey in the West Coast Zone and by occasional phone surveys covering the entire state.</w:t>
      </w:r>
    </w:p>
    <w:p w14:paraId="2FF49FFA" w14:textId="71B43E2D" w:rsidR="009C1791" w:rsidRDefault="006055F5" w:rsidP="009C1791">
      <w:hyperlink r:id="rId31" w:history="1">
        <w:r w:rsidR="009C1791" w:rsidRPr="00E471AC">
          <w:rPr>
            <w:rStyle w:val="Hyperlink"/>
          </w:rPr>
          <w:t xml:space="preserve">Fisheries Research Report No. 333 - </w:t>
        </w:r>
        <w:r w:rsidR="009C1791" w:rsidRPr="00E471AC">
          <w:rPr>
            <w:rStyle w:val="Hyperlink"/>
            <w:i/>
            <w:iCs/>
          </w:rPr>
          <w:t xml:space="preserve">Recreational fishing for Abalone in Western Australia in 2021/22: estimates of participation, effort and catch </w:t>
        </w:r>
        <w:r w:rsidR="009C1791" w:rsidRPr="00E471AC">
          <w:rPr>
            <w:rStyle w:val="Hyperlink"/>
          </w:rPr>
          <w:t>C.B. Smallwood, K.L. Ryan, E.K.M. Lai, L.J. Rudd and L.W.S. Strain, i</w:t>
        </w:r>
      </w:hyperlink>
      <w:r w:rsidR="009C1791">
        <w:t xml:space="preserve">nformed management decisions that contributed to the closure of Area 3 Greenlip fishing. </w:t>
      </w:r>
      <w:r w:rsidR="009C1791">
        <w:rPr>
          <w:sz w:val="23"/>
          <w:szCs w:val="23"/>
        </w:rPr>
        <w:t xml:space="preserve">The statewide phone-recall survey of the RAF complements annual on-site monitoring within the Perth </w:t>
      </w:r>
      <w:r w:rsidR="005C2A0A">
        <w:rPr>
          <w:sz w:val="23"/>
          <w:szCs w:val="23"/>
        </w:rPr>
        <w:t xml:space="preserve">metropolitan </w:t>
      </w:r>
      <w:r w:rsidR="009C1791">
        <w:rPr>
          <w:sz w:val="23"/>
          <w:szCs w:val="23"/>
        </w:rPr>
        <w:t xml:space="preserve">Roe’s </w:t>
      </w:r>
      <w:r w:rsidR="005C2A0A">
        <w:rPr>
          <w:sz w:val="23"/>
          <w:szCs w:val="23"/>
        </w:rPr>
        <w:t>abalone fishery</w:t>
      </w:r>
      <w:r w:rsidR="009C1791">
        <w:rPr>
          <w:sz w:val="23"/>
          <w:szCs w:val="23"/>
        </w:rPr>
        <w:t>, as well as provide robust estimates for use in stock assessments.</w:t>
      </w:r>
    </w:p>
    <w:p w14:paraId="56A9F5C3" w14:textId="66E3F649" w:rsidR="009C1791" w:rsidRDefault="009C1791" w:rsidP="009C1791">
      <w:r>
        <w:t xml:space="preserve">The Perth </w:t>
      </w:r>
      <w:r w:rsidR="005C2A0A">
        <w:t xml:space="preserve">metropolitan </w:t>
      </w:r>
      <w:r>
        <w:t xml:space="preserve">Roe’s abalone fishery field survey estimates catch, and effort form each distinct Roe’s abalone stock within the metro area. Estimates are based on average catch, catch rates, and fisher counts conducted by fisheries volunteers and research personnel from shoreline vantage points and aerial surveys. </w:t>
      </w:r>
    </w:p>
    <w:p w14:paraId="51461FAB" w14:textId="77777777" w:rsidR="009C1791" w:rsidRDefault="009C1791" w:rsidP="00AE0BE8">
      <w:pPr>
        <w:pStyle w:val="Heading3"/>
      </w:pPr>
      <w:bookmarkStart w:id="61" w:name="_Toc176435178"/>
      <w:r w:rsidRPr="00584DBA">
        <w:t>Fishery Independent Stock Surveys</w:t>
      </w:r>
      <w:bookmarkEnd w:id="61"/>
    </w:p>
    <w:p w14:paraId="0A39B732" w14:textId="77777777" w:rsidR="009C1791" w:rsidRPr="00584DBA" w:rsidRDefault="009C1791" w:rsidP="00AE0BE8">
      <w:pPr>
        <w:pStyle w:val="Heading4"/>
      </w:pPr>
      <w:r>
        <w:t>Greenlip/Brownlip Abalone</w:t>
      </w:r>
    </w:p>
    <w:p w14:paraId="6335A4FF" w14:textId="77777777" w:rsidR="009C1791" w:rsidRDefault="009C1791" w:rsidP="009C1791">
      <w:r>
        <w:t xml:space="preserve">Research diver transect surveys are carried out for Greenlip and Brownlip for fishery independent surveys. There are 85 stock survey sites in Area 2 of the AMF and 116 in Area 3 targeting a range of sites of different productivity. The arid and Augusta sub areas are surveyed annually and other sub areas are surveyed every 2-3 years. </w:t>
      </w:r>
    </w:p>
    <w:p w14:paraId="1C07AE72" w14:textId="77777777" w:rsidR="009C1791" w:rsidRPr="00584DBA" w:rsidRDefault="009C1791" w:rsidP="009C1791">
      <w:r w:rsidRPr="00584DBA">
        <w:t>Habitat is quantified and utilised to obtain a density estimate. Suitable abalone habitat was defined as habitable surfaces (generally granite or limestone) of sufficient quality and area to allow effective attachment for abalone above 40mm shell length (I+ years)</w:t>
      </w:r>
      <w:r>
        <w:t xml:space="preserve"> (Hart et. al 2017)</w:t>
      </w:r>
      <w:r w:rsidRPr="00584DBA">
        <w:t>. Younger juveniles are cryptic, while the larvae settle preferentially on non-geniculate coralline algae, and require different habitat and sampling requirements (Daume et al., 1999; McShane, 1995).</w:t>
      </w:r>
    </w:p>
    <w:p w14:paraId="6DBBFCCA" w14:textId="77777777" w:rsidR="009C1791" w:rsidRPr="00584DBA" w:rsidRDefault="009C1791" w:rsidP="00AE0BE8">
      <w:pPr>
        <w:pStyle w:val="Heading4"/>
      </w:pPr>
      <w:r w:rsidRPr="00584DBA">
        <w:lastRenderedPageBreak/>
        <w:t>Roe’s Abalone</w:t>
      </w:r>
    </w:p>
    <w:p w14:paraId="5FDDC61F" w14:textId="6EAF3818" w:rsidR="009C1791" w:rsidRDefault="009C1791" w:rsidP="009C1791">
      <w:pPr>
        <w:rPr>
          <w:rFonts w:eastAsia="Times New Roman"/>
        </w:rPr>
      </w:pPr>
      <w:r>
        <w:rPr>
          <w:rFonts w:eastAsia="Times New Roman"/>
        </w:rPr>
        <w:t xml:space="preserve">Size and density of Roe's abalone in the Perth metropolitan fishery is measured annually at 13 indicator sites between Yanchep and Penguin Island. </w:t>
      </w:r>
      <w:r w:rsidR="00072FE7">
        <w:rPr>
          <w:rFonts w:eastAsia="Times New Roman"/>
        </w:rPr>
        <w:t xml:space="preserve">11 </w:t>
      </w:r>
      <w:r>
        <w:rPr>
          <w:rFonts w:eastAsia="Times New Roman"/>
        </w:rPr>
        <w:t xml:space="preserve">of these are fished while the other two are the Waterman's Reserve </w:t>
      </w:r>
      <w:r w:rsidR="00D63B34">
        <w:rPr>
          <w:rFonts w:eastAsia="Times New Roman"/>
        </w:rPr>
        <w:t xml:space="preserve">Marine </w:t>
      </w:r>
      <w:r>
        <w:rPr>
          <w:rFonts w:eastAsia="Times New Roman"/>
        </w:rPr>
        <w:t>P</w:t>
      </w:r>
      <w:r w:rsidR="00D63B34">
        <w:rPr>
          <w:rFonts w:eastAsia="Times New Roman"/>
        </w:rPr>
        <w:t xml:space="preserve">rotected </w:t>
      </w:r>
      <w:r>
        <w:rPr>
          <w:rFonts w:eastAsia="Times New Roman"/>
        </w:rPr>
        <w:t>A</w:t>
      </w:r>
      <w:r w:rsidR="00D63B34">
        <w:rPr>
          <w:rFonts w:eastAsia="Times New Roman"/>
        </w:rPr>
        <w:t>rea (MPA)</w:t>
      </w:r>
      <w:r>
        <w:rPr>
          <w:rFonts w:eastAsia="Times New Roman"/>
        </w:rPr>
        <w:t xml:space="preserve"> and the Cottesloe F</w:t>
      </w:r>
      <w:r w:rsidR="00D63B34">
        <w:rPr>
          <w:rFonts w:eastAsia="Times New Roman"/>
        </w:rPr>
        <w:t xml:space="preserve">ish </w:t>
      </w:r>
      <w:r>
        <w:rPr>
          <w:rFonts w:eastAsia="Times New Roman"/>
        </w:rPr>
        <w:t>H</w:t>
      </w:r>
      <w:r w:rsidR="00D63B34">
        <w:rPr>
          <w:rFonts w:eastAsia="Times New Roman"/>
        </w:rPr>
        <w:t xml:space="preserve">abitat Protection </w:t>
      </w:r>
      <w:r>
        <w:rPr>
          <w:rFonts w:eastAsia="Times New Roman"/>
        </w:rPr>
        <w:t>A</w:t>
      </w:r>
      <w:r w:rsidR="00D63B34">
        <w:rPr>
          <w:rFonts w:eastAsia="Times New Roman"/>
        </w:rPr>
        <w:t>rea (FHPA)</w:t>
      </w:r>
      <w:r>
        <w:rPr>
          <w:rFonts w:eastAsia="Times New Roman"/>
        </w:rPr>
        <w:t>. Sites initially began in 1996 at five sites, with the full complement of 13 indicator sites available from 2011 onwards.</w:t>
      </w:r>
    </w:p>
    <w:p w14:paraId="5A066D19" w14:textId="77777777" w:rsidR="009C1791" w:rsidRDefault="009C1791" w:rsidP="009C1791">
      <w:pPr>
        <w:rPr>
          <w:rFonts w:eastAsia="Times New Roman"/>
        </w:rPr>
      </w:pPr>
      <w:r>
        <w:rPr>
          <w:rFonts w:eastAsia="Times New Roman"/>
        </w:rPr>
        <w:t>Surveys are carried out on two habitats, the reef platform and the sub-tidal habitat, which generally correspond to the recreational and commercial fisheries respectively. The methodology involves surveying fixed quadrats of 0.25 and 0.5 m at each site and counting and measuring all animals within these quadrats (Hart et. al 2013).</w:t>
      </w:r>
    </w:p>
    <w:p w14:paraId="4394501E" w14:textId="77777777" w:rsidR="009C1791" w:rsidRDefault="009C1791" w:rsidP="009C1791">
      <w:pPr>
        <w:rPr>
          <w:rFonts w:eastAsia="Times New Roman"/>
        </w:rPr>
      </w:pPr>
      <w:r>
        <w:rPr>
          <w:rFonts w:eastAsia="Times New Roman"/>
        </w:rPr>
        <w:t>Size and density of Greenlip abalone are surveyed by commercial industry divers using a specifically developed video survey methodology for these species (Hart et al., 2008.). The reason for using industry divers is a cost-effective measure as many fishing sites are remote.</w:t>
      </w:r>
    </w:p>
    <w:p w14:paraId="2BD2684A" w14:textId="77777777" w:rsidR="009C1791" w:rsidRDefault="009C1791" w:rsidP="009C1791">
      <w:r w:rsidRPr="006B33B7">
        <w:t>Whilst fishing in any given sub-area</w:t>
      </w:r>
      <w:r>
        <w:t>,</w:t>
      </w:r>
      <w:r w:rsidRPr="006B33B7">
        <w:t xml:space="preserve"> the commercial diver films one site per day at the commencement of the </w:t>
      </w:r>
      <w:r>
        <w:t>second</w:t>
      </w:r>
      <w:r w:rsidRPr="006B33B7">
        <w:t xml:space="preserve"> dive, prior to harvesting the animals. This ensures a randomised site selection process. The procedure is to undertake a 10-minute (approx.) survey, filming each abalone in turn so that lengths for each animal can be later determined. The footage is sent back to the </w:t>
      </w:r>
      <w:r>
        <w:t>ASA Division</w:t>
      </w:r>
      <w:r w:rsidRPr="006B33B7">
        <w:t>, where the images are extracted and counts of abalone density and estimates of length are undertaken using digital image analysis software</w:t>
      </w:r>
      <w:r>
        <w:t xml:space="preserve"> (Hart et al. 2013).</w:t>
      </w:r>
    </w:p>
    <w:p w14:paraId="41F7AD1C" w14:textId="77777777" w:rsidR="009C1791" w:rsidRDefault="009C1791" w:rsidP="00AE0BE8">
      <w:pPr>
        <w:pStyle w:val="Heading4"/>
      </w:pPr>
      <w:r w:rsidRPr="006B33B7">
        <w:t>Fishing Mortality</w:t>
      </w:r>
    </w:p>
    <w:p w14:paraId="55B8D6EC" w14:textId="786C37E6" w:rsidR="009C1791" w:rsidRDefault="009C1791" w:rsidP="009C1791">
      <w:pPr>
        <w:rPr>
          <w:rFonts w:eastAsia="Times New Roman"/>
        </w:rPr>
      </w:pPr>
      <w:r>
        <w:rPr>
          <w:rFonts w:eastAsia="Times New Roman"/>
        </w:rPr>
        <w:t>Commercial Greenlip and Brownlip fishers provide a random sample of shells harvested from each day</w:t>
      </w:r>
      <w:r w:rsidR="004E06BD">
        <w:rPr>
          <w:rFonts w:eastAsia="Times New Roman"/>
        </w:rPr>
        <w:t>’</w:t>
      </w:r>
      <w:r>
        <w:rPr>
          <w:rFonts w:eastAsia="Times New Roman"/>
        </w:rPr>
        <w:t>s fishing and these are categorised into relevant sub-areas. Commercial divers also undertake digital video surveys on commercially fished reefs from which a random sample of abalone (~30% of the total) are selected and measured. The legal size animals from the video survey data are used to estimate fishing mortality where applicable.</w:t>
      </w:r>
      <w:r>
        <w:rPr>
          <w:rFonts w:eastAsia="Times New Roman"/>
        </w:rPr>
        <w:br/>
        <w:t>This sampling provides length-frequency data to enable estimation of total mortality and fishing mortality. These datasets are used in the development of performance indicators and TACC assessment processes and to assess the changes in targeting practices between years (Hart et. al 2013).</w:t>
      </w:r>
    </w:p>
    <w:p w14:paraId="2F1A0E14" w14:textId="2241AEE6" w:rsidR="009C1791" w:rsidRDefault="009C1791" w:rsidP="009C1791">
      <w:pPr>
        <w:rPr>
          <w:rFonts w:eastAsia="Times New Roman"/>
        </w:rPr>
      </w:pPr>
      <w:r>
        <w:rPr>
          <w:rFonts w:eastAsia="Times New Roman"/>
        </w:rPr>
        <w:t>The large variation in growth of abalone, coupled with the inability to estimate age with any degree of accuracy precludes the use of age-based estimation methodologies for ascertaining total and fishing mortality. Consequently, a length-based catch-curve analysis method is used. The main assumptions of this are that growth, recruitment and natural mortality parameters are constant from year to year. None of these assumptions are likely to hold strictly true, however they facilitate an estimate of relative fishing mortality that is comparable between years, and relatively robust to violations of the assumptions. For example, an increase in growth rates or recruitment under a constant catch is likely to shift the frequency of the median length-class upward, which would result in a reduction in fishing mortality estimates (Hart et. al 2013).</w:t>
      </w:r>
    </w:p>
    <w:p w14:paraId="159ACFCA" w14:textId="77777777" w:rsidR="009C1791" w:rsidRPr="00417AD9" w:rsidRDefault="009C1791" w:rsidP="00AE0BE8">
      <w:pPr>
        <w:pStyle w:val="Heading4"/>
        <w:rPr>
          <w:rFonts w:eastAsia="Times New Roman"/>
        </w:rPr>
      </w:pPr>
      <w:r>
        <w:t>Stock Enhancement</w:t>
      </w:r>
    </w:p>
    <w:p w14:paraId="6F222689" w14:textId="77777777" w:rsidR="009C1791" w:rsidRDefault="009C1791" w:rsidP="009C1791">
      <w:pPr>
        <w:rPr>
          <w:rFonts w:ascii="Arial" w:eastAsia="Times New Roman" w:hAnsi="Arial" w:cs="Arial"/>
        </w:rPr>
      </w:pPr>
      <w:r w:rsidRPr="00942CD5">
        <w:rPr>
          <w:rFonts w:ascii="Arial" w:eastAsia="Times New Roman" w:hAnsi="Arial" w:cs="Arial"/>
        </w:rPr>
        <w:t>DPIRD on occasion may carry out experiments on stock enhancement</w:t>
      </w:r>
      <w:r>
        <w:rPr>
          <w:rFonts w:ascii="Arial" w:eastAsia="Times New Roman" w:hAnsi="Arial" w:cs="Arial"/>
        </w:rPr>
        <w:t>. Such as</w:t>
      </w:r>
      <w:r w:rsidRPr="00942CD5">
        <w:rPr>
          <w:rFonts w:ascii="Arial" w:eastAsia="Times New Roman" w:hAnsi="Arial" w:cs="Arial"/>
        </w:rPr>
        <w:t xml:space="preserve"> </w:t>
      </w:r>
      <w:r>
        <w:rPr>
          <w:rFonts w:ascii="Arial" w:eastAsia="Times New Roman" w:hAnsi="Arial" w:cs="Arial"/>
        </w:rPr>
        <w:t>experiments with</w:t>
      </w:r>
      <w:r w:rsidRPr="00942CD5">
        <w:rPr>
          <w:rFonts w:ascii="Arial" w:eastAsia="Times New Roman" w:hAnsi="Arial" w:cs="Arial"/>
        </w:rPr>
        <w:t xml:space="preserve"> </w:t>
      </w:r>
      <w:r>
        <w:rPr>
          <w:rFonts w:ascii="Arial" w:eastAsia="Times New Roman" w:hAnsi="Arial" w:cs="Arial"/>
        </w:rPr>
        <w:t>G</w:t>
      </w:r>
      <w:r w:rsidRPr="00942CD5">
        <w:rPr>
          <w:rFonts w:ascii="Arial" w:eastAsia="Times New Roman" w:hAnsi="Arial" w:cs="Arial"/>
        </w:rPr>
        <w:t xml:space="preserve">reenlip abalone </w:t>
      </w:r>
      <w:r>
        <w:rPr>
          <w:rFonts w:ascii="Arial" w:eastAsia="Times New Roman" w:hAnsi="Arial" w:cs="Arial"/>
        </w:rPr>
        <w:t xml:space="preserve">that </w:t>
      </w:r>
      <w:r w:rsidRPr="00942CD5">
        <w:rPr>
          <w:rFonts w:ascii="Arial" w:eastAsia="Times New Roman" w:hAnsi="Arial" w:cs="Arial"/>
        </w:rPr>
        <w:t xml:space="preserve">have been carried out in collaboration with industry divers since 2004. In 2008 a further experiment was initiated at Flinders Bay, Augusta. This experiment involved the release of abalone at high density at </w:t>
      </w:r>
      <w:r>
        <w:rPr>
          <w:rFonts w:ascii="Arial" w:eastAsia="Times New Roman" w:hAnsi="Arial" w:cs="Arial"/>
        </w:rPr>
        <w:t>three</w:t>
      </w:r>
      <w:r w:rsidRPr="00942CD5">
        <w:rPr>
          <w:rFonts w:ascii="Arial" w:eastAsia="Times New Roman" w:hAnsi="Arial" w:cs="Arial"/>
        </w:rPr>
        <w:t xml:space="preserve"> sites, with 11,000 </w:t>
      </w:r>
      <w:r w:rsidRPr="00942CD5">
        <w:rPr>
          <w:rFonts w:ascii="Arial" w:eastAsia="Times New Roman" w:hAnsi="Arial" w:cs="Arial"/>
        </w:rPr>
        <w:lastRenderedPageBreak/>
        <w:t>animals of 20 - 30 mm (1+ age) released at an approximate density of 18 - 20 juveniles m-2. The animals were bred from wild broodstock obtained from Augusta in November 2006. Control sites and effects of the enhancement on the habitat and other species are also being examined at part of this research.</w:t>
      </w:r>
    </w:p>
    <w:p w14:paraId="4BE75B5E" w14:textId="42514B62" w:rsidR="009C1791" w:rsidRPr="009C1791" w:rsidRDefault="009C1791" w:rsidP="009C1791">
      <w:pPr>
        <w:rPr>
          <w:rFonts w:ascii="Arial" w:eastAsia="Times New Roman" w:hAnsi="Arial" w:cs="Arial"/>
        </w:rPr>
      </w:pPr>
      <w:r w:rsidRPr="00CB0431">
        <w:rPr>
          <w:rFonts w:asciiTheme="majorHAnsi" w:eastAsia="Times New Roman" w:hAnsiTheme="majorHAnsi" w:cstheme="majorHAnsi"/>
        </w:rPr>
        <w:t xml:space="preserve">In 2009, the Australian Seafood Cooperative Research Centre awarded an externally funded research project. The project was called "Bioeconomic evaluation of commercial scale stock enhancement in abalone", with the objectives to undertake a comprehensive evaluation of the feasibility for stock enhancement in abalone over 2009 to 2012. </w:t>
      </w:r>
    </w:p>
    <w:p w14:paraId="3C0A5000" w14:textId="77777777" w:rsidR="009C1791" w:rsidRDefault="009C1791" w:rsidP="00AE0BE8">
      <w:pPr>
        <w:pStyle w:val="Heading4"/>
      </w:pPr>
      <w:r>
        <w:t xml:space="preserve">Recovering a collapsed abalone stock through translocation </w:t>
      </w:r>
    </w:p>
    <w:p w14:paraId="6EAE2D9F" w14:textId="5307D02D" w:rsidR="002E79CD" w:rsidRDefault="009C1791" w:rsidP="009C1791">
      <w:pPr>
        <w:rPr>
          <w:rFonts w:eastAsia="Times New Roman" w:cstheme="minorHAnsi"/>
          <w:b/>
          <w:bCs/>
        </w:rPr>
      </w:pPr>
      <w:r w:rsidRPr="00942CD5">
        <w:rPr>
          <w:rFonts w:ascii="Arial" w:eastAsia="Times New Roman" w:hAnsi="Arial" w:cs="Arial"/>
        </w:rPr>
        <w:t xml:space="preserve">This project was in response to a catastrophic mortality of </w:t>
      </w:r>
      <w:r>
        <w:rPr>
          <w:rFonts w:ascii="Arial" w:eastAsia="Times New Roman" w:hAnsi="Arial" w:cs="Arial"/>
        </w:rPr>
        <w:t>the AMF</w:t>
      </w:r>
      <w:r w:rsidRPr="00942CD5">
        <w:rPr>
          <w:rFonts w:ascii="Arial" w:eastAsia="Times New Roman" w:hAnsi="Arial" w:cs="Arial"/>
        </w:rPr>
        <w:t xml:space="preserve"> due to an anomalous environmental event in the summer of 2010/11. During this event, termed a "marine heatwave", SST rose to lethal levels for </w:t>
      </w:r>
      <w:r>
        <w:rPr>
          <w:rFonts w:ascii="Arial" w:eastAsia="Times New Roman" w:hAnsi="Arial" w:cs="Arial"/>
        </w:rPr>
        <w:t>R</w:t>
      </w:r>
      <w:r w:rsidRPr="00942CD5">
        <w:rPr>
          <w:rFonts w:ascii="Arial" w:eastAsia="Times New Roman" w:hAnsi="Arial" w:cs="Arial"/>
        </w:rPr>
        <w:t xml:space="preserve">oe's abalone and coupled with deoxygenation of the water during an extended calm period, effectively wiped out an entire stock. The project arose following a closure of </w:t>
      </w:r>
      <w:r>
        <w:rPr>
          <w:rFonts w:ascii="Arial" w:eastAsia="Times New Roman" w:hAnsi="Arial" w:cs="Arial"/>
        </w:rPr>
        <w:t>this part of the AMF</w:t>
      </w:r>
      <w:r w:rsidRPr="00942CD5">
        <w:rPr>
          <w:rFonts w:ascii="Arial" w:eastAsia="Times New Roman" w:hAnsi="Arial" w:cs="Arial"/>
        </w:rPr>
        <w:t xml:space="preserve"> to protect any remaining stock and a desire by the industry to examine the possibility of assisted recovery.</w:t>
      </w:r>
      <w:r w:rsidRPr="00942CD5">
        <w:rPr>
          <w:rFonts w:ascii="Calibri" w:eastAsia="Times New Roman" w:hAnsi="Calibri" w:cs="Arial"/>
        </w:rPr>
        <w:br/>
      </w:r>
      <w:r w:rsidRPr="00942CD5">
        <w:rPr>
          <w:rFonts w:ascii="Calibri" w:eastAsia="Times New Roman" w:hAnsi="Calibri" w:cs="Arial"/>
        </w:rPr>
        <w:br/>
      </w:r>
    </w:p>
    <w:p w14:paraId="262179B7" w14:textId="77777777" w:rsidR="00A47724" w:rsidRDefault="00A47724" w:rsidP="009C1791">
      <w:pPr>
        <w:rPr>
          <w:rFonts w:eastAsia="Times New Roman" w:cstheme="minorHAnsi"/>
          <w:b/>
          <w:bCs/>
        </w:rPr>
      </w:pPr>
    </w:p>
    <w:p w14:paraId="18FBFFA6" w14:textId="77777777" w:rsidR="00A47724" w:rsidRDefault="00A47724" w:rsidP="009C1791">
      <w:pPr>
        <w:rPr>
          <w:rFonts w:eastAsia="Times New Roman" w:cstheme="minorHAnsi"/>
          <w:b/>
          <w:bCs/>
        </w:rPr>
      </w:pPr>
    </w:p>
    <w:p w14:paraId="39350834" w14:textId="77777777" w:rsidR="00A47724" w:rsidRDefault="00A47724" w:rsidP="009C1791">
      <w:pPr>
        <w:rPr>
          <w:rFonts w:eastAsia="Times New Roman" w:cstheme="minorHAnsi"/>
          <w:b/>
          <w:bCs/>
        </w:rPr>
      </w:pPr>
    </w:p>
    <w:p w14:paraId="19695BFE" w14:textId="77777777" w:rsidR="00A47724" w:rsidRDefault="00A47724" w:rsidP="009C1791">
      <w:pPr>
        <w:rPr>
          <w:rFonts w:eastAsia="Times New Roman" w:cstheme="minorHAnsi"/>
          <w:b/>
          <w:bCs/>
        </w:rPr>
      </w:pPr>
    </w:p>
    <w:p w14:paraId="03681086" w14:textId="77777777" w:rsidR="00A47724" w:rsidRDefault="00A47724" w:rsidP="009C1791">
      <w:pPr>
        <w:rPr>
          <w:rFonts w:eastAsia="Times New Roman" w:cstheme="minorHAnsi"/>
          <w:b/>
          <w:bCs/>
        </w:rPr>
      </w:pPr>
    </w:p>
    <w:p w14:paraId="73394F22" w14:textId="77777777" w:rsidR="00A47724" w:rsidRDefault="00A47724" w:rsidP="009C1791">
      <w:pPr>
        <w:rPr>
          <w:rFonts w:eastAsia="Times New Roman" w:cstheme="minorHAnsi"/>
          <w:b/>
          <w:bCs/>
        </w:rPr>
      </w:pPr>
    </w:p>
    <w:p w14:paraId="7283981E" w14:textId="77777777" w:rsidR="00A47724" w:rsidRDefault="00A47724" w:rsidP="009C1791">
      <w:pPr>
        <w:rPr>
          <w:rFonts w:eastAsia="Times New Roman" w:cstheme="minorHAnsi"/>
          <w:b/>
          <w:bCs/>
        </w:rPr>
      </w:pPr>
    </w:p>
    <w:p w14:paraId="205ED6DF" w14:textId="77777777" w:rsidR="00A47724" w:rsidRDefault="00A47724" w:rsidP="009C1791">
      <w:pPr>
        <w:rPr>
          <w:rFonts w:eastAsia="Times New Roman" w:cstheme="minorHAnsi"/>
          <w:b/>
          <w:bCs/>
        </w:rPr>
      </w:pPr>
    </w:p>
    <w:p w14:paraId="09ED23FD" w14:textId="77777777" w:rsidR="00A47724" w:rsidRDefault="00A47724" w:rsidP="009C1791">
      <w:pPr>
        <w:rPr>
          <w:rFonts w:eastAsia="Times New Roman" w:cstheme="minorHAnsi"/>
          <w:b/>
          <w:bCs/>
        </w:rPr>
      </w:pPr>
    </w:p>
    <w:p w14:paraId="462BB3A8" w14:textId="77777777" w:rsidR="00A47724" w:rsidRDefault="00A47724" w:rsidP="009C1791">
      <w:pPr>
        <w:rPr>
          <w:rFonts w:eastAsia="Times New Roman" w:cstheme="minorHAnsi"/>
          <w:b/>
          <w:bCs/>
        </w:rPr>
      </w:pPr>
    </w:p>
    <w:p w14:paraId="61C4A216" w14:textId="77777777" w:rsidR="00A47724" w:rsidRDefault="00A47724" w:rsidP="009C1791">
      <w:pPr>
        <w:rPr>
          <w:rFonts w:eastAsia="Times New Roman" w:cstheme="minorHAnsi"/>
          <w:b/>
          <w:bCs/>
        </w:rPr>
      </w:pPr>
    </w:p>
    <w:p w14:paraId="6CDEC6EE" w14:textId="77777777" w:rsidR="00A47724" w:rsidRDefault="00A47724" w:rsidP="009C1791">
      <w:pPr>
        <w:rPr>
          <w:rFonts w:eastAsia="Times New Roman" w:cstheme="minorHAnsi"/>
          <w:b/>
          <w:bCs/>
        </w:rPr>
      </w:pPr>
    </w:p>
    <w:p w14:paraId="1705F3E4" w14:textId="77777777" w:rsidR="00A47724" w:rsidRDefault="00A47724" w:rsidP="009C1791">
      <w:pPr>
        <w:rPr>
          <w:rFonts w:eastAsia="Times New Roman" w:cstheme="minorHAnsi"/>
          <w:b/>
          <w:bCs/>
        </w:rPr>
      </w:pPr>
    </w:p>
    <w:p w14:paraId="163A0257" w14:textId="77777777" w:rsidR="00A47724" w:rsidRDefault="00A47724" w:rsidP="009C1791">
      <w:pPr>
        <w:rPr>
          <w:rFonts w:eastAsia="Times New Roman" w:cstheme="minorHAnsi"/>
          <w:b/>
          <w:bCs/>
        </w:rPr>
      </w:pPr>
    </w:p>
    <w:p w14:paraId="2EC610E2" w14:textId="77777777" w:rsidR="00A47724" w:rsidRDefault="00A47724" w:rsidP="009C1791">
      <w:pPr>
        <w:rPr>
          <w:rFonts w:eastAsia="Times New Roman" w:cstheme="minorHAnsi"/>
          <w:b/>
          <w:bCs/>
        </w:rPr>
      </w:pPr>
    </w:p>
    <w:p w14:paraId="1A01FA37" w14:textId="77777777" w:rsidR="00A47724" w:rsidRDefault="00A47724" w:rsidP="009C1791">
      <w:pPr>
        <w:rPr>
          <w:rFonts w:eastAsia="Times New Roman" w:cstheme="minorHAnsi"/>
          <w:b/>
          <w:bCs/>
        </w:rPr>
      </w:pPr>
    </w:p>
    <w:p w14:paraId="55139981" w14:textId="77777777" w:rsidR="00A47724" w:rsidRDefault="00A47724" w:rsidP="009C1791">
      <w:pPr>
        <w:rPr>
          <w:rFonts w:eastAsia="Times New Roman" w:cstheme="minorHAnsi"/>
          <w:b/>
          <w:bCs/>
        </w:rPr>
      </w:pPr>
    </w:p>
    <w:p w14:paraId="11AB5389" w14:textId="77777777" w:rsidR="00A47724" w:rsidRDefault="00A47724" w:rsidP="009C1791">
      <w:pPr>
        <w:rPr>
          <w:rFonts w:eastAsia="Times New Roman" w:cstheme="minorHAnsi"/>
          <w:b/>
          <w:bCs/>
        </w:rPr>
      </w:pPr>
    </w:p>
    <w:p w14:paraId="7C4D4A41" w14:textId="77777777" w:rsidR="00A47724" w:rsidRDefault="00A47724" w:rsidP="009C1791">
      <w:pPr>
        <w:rPr>
          <w:rFonts w:eastAsia="Times New Roman" w:cstheme="minorHAnsi"/>
          <w:b/>
          <w:bCs/>
        </w:rPr>
      </w:pPr>
    </w:p>
    <w:p w14:paraId="0CF48990" w14:textId="77777777" w:rsidR="00A47724" w:rsidRDefault="00A47724" w:rsidP="009C1791">
      <w:pPr>
        <w:rPr>
          <w:rFonts w:eastAsia="Times New Roman" w:cstheme="minorHAnsi"/>
          <w:b/>
          <w:bCs/>
        </w:rPr>
      </w:pPr>
    </w:p>
    <w:p w14:paraId="0A1FA23E" w14:textId="77777777" w:rsidR="00A47724" w:rsidRPr="007F39F9" w:rsidRDefault="00A47724" w:rsidP="009C1791">
      <w:pPr>
        <w:rPr>
          <w:rFonts w:eastAsia="Times New Roman" w:cstheme="minorHAnsi"/>
          <w:b/>
          <w:bCs/>
        </w:rPr>
      </w:pPr>
    </w:p>
    <w:p w14:paraId="2C779DD1" w14:textId="7960B3B7" w:rsidR="00B50B38" w:rsidRPr="00EE40F7" w:rsidRDefault="00B50B38" w:rsidP="00EE40F7">
      <w:pPr>
        <w:pStyle w:val="Heading2"/>
      </w:pPr>
      <w:bookmarkStart w:id="62" w:name="_Toc176435179"/>
      <w:r>
        <w:lastRenderedPageBreak/>
        <w:t>References</w:t>
      </w:r>
      <w:bookmarkEnd w:id="60"/>
      <w:bookmarkEnd w:id="62"/>
    </w:p>
    <w:p w14:paraId="5D394082" w14:textId="77777777" w:rsidR="009C7F03" w:rsidRDefault="009C7F03" w:rsidP="001D2981">
      <w:pPr>
        <w:rPr>
          <w:rFonts w:eastAsiaTheme="minorEastAsia"/>
          <w:szCs w:val="24"/>
        </w:rPr>
      </w:pPr>
      <w:bookmarkStart w:id="63" w:name="_Hlk162342202"/>
      <w:r>
        <w:t xml:space="preserve">Abalone Resource of Western Australia Harvest Strategy 2021-2026 Version 2.2. (October 2023). </w:t>
      </w:r>
      <w:r w:rsidRPr="00DA72AC">
        <w:t>Fisheries Management Paper No. 283</w:t>
      </w:r>
      <w:r>
        <w:t xml:space="preserve">. </w:t>
      </w:r>
      <w:r w:rsidRPr="0022290B">
        <w:rPr>
          <w:rFonts w:eastAsiaTheme="minorEastAsia"/>
          <w:szCs w:val="24"/>
        </w:rPr>
        <w:t xml:space="preserve">Department of Primary Industries and Regional Development, Government of Western Australia.  </w:t>
      </w:r>
    </w:p>
    <w:p w14:paraId="786CAD1D" w14:textId="77777777" w:rsidR="009C7F03" w:rsidRPr="0022290B" w:rsidRDefault="009C7F03" w:rsidP="001D2981">
      <w:pPr>
        <w:rPr>
          <w:rFonts w:eastAsiaTheme="minorEastAsia"/>
          <w:szCs w:val="24"/>
        </w:rPr>
      </w:pPr>
      <w:r>
        <w:rPr>
          <w:rFonts w:eastAsiaTheme="minorEastAsia"/>
          <w:szCs w:val="24"/>
        </w:rPr>
        <w:t xml:space="preserve">Anthony M. Hart, Frank Fabris, Jamin Brown and Nick Caputi (2013). Biology, history and assessment of Western Australia abalone fisheries. Fisheries Research Report No.241, 2013. </w:t>
      </w:r>
      <w:bookmarkStart w:id="64" w:name="_Hlk162338548"/>
      <w:r>
        <w:rPr>
          <w:rFonts w:eastAsiaTheme="minorEastAsia"/>
          <w:szCs w:val="24"/>
        </w:rPr>
        <w:t xml:space="preserve">Department of Primary Industries and Regional Development, Government of Western Australia.  </w:t>
      </w:r>
      <w:bookmarkEnd w:id="64"/>
    </w:p>
    <w:bookmarkEnd w:id="63"/>
    <w:p w14:paraId="7C3A3555" w14:textId="77777777" w:rsidR="009C7F03" w:rsidRDefault="009C7F03" w:rsidP="001D2981">
      <w:pPr>
        <w:rPr>
          <w:rFonts w:eastAsiaTheme="minorEastAsia"/>
          <w:szCs w:val="24"/>
        </w:rPr>
      </w:pPr>
      <w:r w:rsidRPr="00DA72AC">
        <w:rPr>
          <w:rFonts w:eastAsiaTheme="minorEastAsia"/>
          <w:szCs w:val="24"/>
        </w:rPr>
        <w:t>C.B. Smallwood, K.L. Ryan, E.K.M. Lai, L.J. Rudd and L.W.S. Strain</w:t>
      </w:r>
      <w:r>
        <w:rPr>
          <w:rFonts w:eastAsiaTheme="minorEastAsia"/>
          <w:szCs w:val="24"/>
        </w:rPr>
        <w:t xml:space="preserve"> (2023). </w:t>
      </w:r>
      <w:r w:rsidRPr="00DA72AC">
        <w:rPr>
          <w:rFonts w:eastAsiaTheme="minorEastAsia"/>
          <w:szCs w:val="24"/>
        </w:rPr>
        <w:t>Recreational fishing for Abalone in Western Australia</w:t>
      </w:r>
      <w:r>
        <w:rPr>
          <w:rFonts w:eastAsiaTheme="minorEastAsia"/>
          <w:szCs w:val="24"/>
        </w:rPr>
        <w:t xml:space="preserve"> in 2021/22: </w:t>
      </w:r>
      <w:r w:rsidRPr="00DA72AC">
        <w:rPr>
          <w:rFonts w:eastAsiaTheme="minorEastAsia"/>
          <w:szCs w:val="24"/>
        </w:rPr>
        <w:t>estimates of participation, effort and catch</w:t>
      </w:r>
      <w:r>
        <w:rPr>
          <w:rFonts w:eastAsiaTheme="minorEastAsia"/>
          <w:szCs w:val="24"/>
        </w:rPr>
        <w:t xml:space="preserve">. </w:t>
      </w:r>
      <w:r w:rsidRPr="00DA72AC">
        <w:rPr>
          <w:rFonts w:eastAsiaTheme="minorEastAsia"/>
          <w:szCs w:val="24"/>
        </w:rPr>
        <w:t>Fisheries Research Report No. 313</w:t>
      </w:r>
      <w:r>
        <w:rPr>
          <w:rFonts w:eastAsiaTheme="minorEastAsia"/>
          <w:szCs w:val="24"/>
        </w:rPr>
        <w:t xml:space="preserve">. </w:t>
      </w:r>
      <w:r w:rsidRPr="00DA72AC">
        <w:rPr>
          <w:rFonts w:eastAsiaTheme="minorEastAsia"/>
          <w:szCs w:val="24"/>
        </w:rPr>
        <w:t xml:space="preserve">Department of Primary Industries and Regional Development, Government of Western Australia.  </w:t>
      </w:r>
    </w:p>
    <w:p w14:paraId="601CEB33" w14:textId="77777777" w:rsidR="009C7F03" w:rsidRDefault="009C7F03" w:rsidP="001D2981">
      <w:pPr>
        <w:rPr>
          <w:rFonts w:eastAsiaTheme="minorEastAsia"/>
          <w:szCs w:val="24"/>
        </w:rPr>
      </w:pPr>
      <w:r>
        <w:rPr>
          <w:rFonts w:eastAsiaTheme="minorEastAsia"/>
          <w:szCs w:val="24"/>
        </w:rPr>
        <w:t xml:space="preserve">Cook et al. (2014). </w:t>
      </w:r>
      <w:r w:rsidRPr="00227042">
        <w:rPr>
          <w:rFonts w:eastAsiaTheme="minorEastAsia"/>
          <w:szCs w:val="24"/>
        </w:rPr>
        <w:t>The Worldwide Abalone Industry</w:t>
      </w:r>
      <w:r>
        <w:rPr>
          <w:rFonts w:eastAsiaTheme="minorEastAsia"/>
          <w:szCs w:val="24"/>
        </w:rPr>
        <w:t xml:space="preserve"> </w:t>
      </w:r>
      <w:r w:rsidRPr="00242387">
        <w:rPr>
          <w:rFonts w:eastAsiaTheme="minorEastAsia"/>
          <w:szCs w:val="24"/>
        </w:rPr>
        <w:t>Modern Economy, 2014, 5, 1181-1186</w:t>
      </w:r>
      <w:r>
        <w:rPr>
          <w:rFonts w:eastAsiaTheme="minorEastAsia"/>
          <w:szCs w:val="24"/>
        </w:rPr>
        <w:t xml:space="preserve">. </w:t>
      </w:r>
    </w:p>
    <w:p w14:paraId="5077DDF7" w14:textId="77777777" w:rsidR="009C7F03" w:rsidRDefault="009C7F03" w:rsidP="001D2981">
      <w:pPr>
        <w:rPr>
          <w:rFonts w:eastAsiaTheme="minorEastAsia"/>
          <w:szCs w:val="24"/>
        </w:rPr>
      </w:pPr>
      <w:r w:rsidRPr="000B59BA">
        <w:rPr>
          <w:rFonts w:eastAsiaTheme="minorEastAsia"/>
          <w:szCs w:val="24"/>
        </w:rPr>
        <w:t>Daume, S., Brand-Gardner, S. and Woelkerling, Wm. J. (1999) Settlement of abalone larvae (Haliotis laevigata Donovan) in response to non-geniculate coralline red algae (Corallinales, Rhodophyta). Journal of Experimental Marine Biology and Ecology 234, 125 - 143.</w:t>
      </w:r>
    </w:p>
    <w:p w14:paraId="218B2FCA" w14:textId="77777777" w:rsidR="009C7F03" w:rsidRPr="00BB3BC1" w:rsidRDefault="009C7F03" w:rsidP="001D2981">
      <w:pPr>
        <w:rPr>
          <w:rFonts w:eastAsiaTheme="minorEastAsia"/>
          <w:szCs w:val="24"/>
        </w:rPr>
      </w:pPr>
      <w:r w:rsidRPr="00BB3BC1">
        <w:rPr>
          <w:rFonts w:eastAsiaTheme="minorEastAsia"/>
          <w:szCs w:val="24"/>
        </w:rPr>
        <w:t>Hart A.M., Fabris F., Murphy D., Brown J., Strain M. and Davidson M. (2013c). Stock enhancement of Greenlip abalone Part II: Population and ecological effects. Reviews in Fisheries Science 21(3-4): 310-320.</w:t>
      </w:r>
    </w:p>
    <w:p w14:paraId="73B510CD" w14:textId="77777777" w:rsidR="009C7F03" w:rsidRPr="00BB3BC1" w:rsidRDefault="009C7F03" w:rsidP="001D2981">
      <w:pPr>
        <w:rPr>
          <w:rFonts w:eastAsiaTheme="minorEastAsia"/>
          <w:szCs w:val="24"/>
        </w:rPr>
      </w:pPr>
      <w:r w:rsidRPr="00BB3BC1">
        <w:rPr>
          <w:rFonts w:eastAsiaTheme="minorEastAsia"/>
          <w:szCs w:val="24"/>
        </w:rPr>
        <w:t>Hart, A., Strain, L., Hesp, A., Fisher, E., Webster, F., Brand-Gardner, S. and Walters, S. (2017). Marine Stewardship Council Full Assessment Report Western Australian Abalone Managed Fishery. Department of Fisheries, Western Australia. 288pp</w:t>
      </w:r>
    </w:p>
    <w:p w14:paraId="04528010" w14:textId="77777777" w:rsidR="009C7F03" w:rsidRPr="00BB3BC1" w:rsidRDefault="009C7F03" w:rsidP="001D2981">
      <w:pPr>
        <w:rPr>
          <w:rFonts w:eastAsiaTheme="minorEastAsia"/>
          <w:szCs w:val="24"/>
        </w:rPr>
      </w:pPr>
      <w:r w:rsidRPr="00BB3BC1">
        <w:rPr>
          <w:rFonts w:eastAsiaTheme="minorEastAsia"/>
          <w:szCs w:val="24"/>
        </w:rPr>
        <w:t>Hart, A.M., Fabris, F.P., Brown, J., Caputi, N. (2013a). Biology, history, and assessment of Western Australian abalone fisheries. Fisheries Research Report No 241, Department of Fisheries, Western Australia, 90 pp.</w:t>
      </w:r>
    </w:p>
    <w:p w14:paraId="6C079564" w14:textId="77777777" w:rsidR="009C7F03" w:rsidRDefault="009C7F03" w:rsidP="001D2981">
      <w:pPr>
        <w:rPr>
          <w:rFonts w:eastAsiaTheme="minorEastAsia"/>
          <w:szCs w:val="24"/>
        </w:rPr>
      </w:pPr>
      <w:r w:rsidRPr="00BB3BC1">
        <w:rPr>
          <w:rFonts w:eastAsiaTheme="minorEastAsia"/>
          <w:szCs w:val="24"/>
        </w:rPr>
        <w:t>Hart, A.M., Strain, L., Fabris, F., Brown, J., and Davidson, M. (2013b). Stock enhancement of Greenlip abalone Part I: Long-term growth and mortality. Reviews in Fisheries Science 21(3-4): 299-309.</w:t>
      </w:r>
      <w:r w:rsidRPr="00812454">
        <w:rPr>
          <w:rFonts w:eastAsiaTheme="minorEastAsia"/>
          <w:szCs w:val="24"/>
        </w:rPr>
        <w:t>.</w:t>
      </w:r>
    </w:p>
    <w:p w14:paraId="79FB0447" w14:textId="77777777" w:rsidR="009C7F03" w:rsidRDefault="009C7F03" w:rsidP="001D2981">
      <w:r w:rsidRPr="004857F2">
        <w:t>Status reports of the fisheries and aquatic  resources of Western Australia 2022-23 State of the fisheries</w:t>
      </w:r>
      <w:r>
        <w:t>. DPIRD 2022</w:t>
      </w:r>
    </w:p>
    <w:p w14:paraId="2DE007D0" w14:textId="77777777" w:rsidR="009C7F03" w:rsidRDefault="009C7F03" w:rsidP="001D2981">
      <w:pPr>
        <w:rPr>
          <w:rFonts w:eastAsiaTheme="minorEastAsia"/>
          <w:szCs w:val="24"/>
        </w:rPr>
      </w:pPr>
      <w:r w:rsidRPr="004857F2">
        <w:rPr>
          <w:rFonts w:eastAsiaTheme="minorEastAsia"/>
          <w:szCs w:val="24"/>
        </w:rPr>
        <w:t>Strain, L, Hart, A., Jones, R. (2021) Western Australian Marine Stewardship Council Report Series No. 8: Western Australian Abalone Managed Fishery Addendum 4, 28pp</w:t>
      </w:r>
    </w:p>
    <w:p w14:paraId="06987F52" w14:textId="77777777" w:rsidR="009C7F03" w:rsidRDefault="009C7F03" w:rsidP="001D2981">
      <w:r w:rsidRPr="003F4202">
        <w:t>Strain, L. and Heldt, K., 2021, Roe’s Abalone, in Toby Piddocke, Crispian Ashby, Klaas Hartmann, Alex Hesp, Patrick Hone, Joanne Klemke, Stephen Mayfield, Anthony Roelofs, Thor Saunders, John Stewart, Brent Wise and James Woodhams (eds) 2021, Status of Australian fish stocks reports 2020, Fisheries Research and Development Corporation, Canberra.</w:t>
      </w:r>
    </w:p>
    <w:p w14:paraId="23592E94" w14:textId="77777777" w:rsidR="009C7F03" w:rsidRPr="0022290B" w:rsidRDefault="009C7F03" w:rsidP="001D2981">
      <w:r w:rsidRPr="00DD115E">
        <w:t xml:space="preserve">Strain, L., Brown, J. and Jones, R. (2021). West Coast Roe’s Abalone Resource Status Report. In: Status Reports of the Fisheries and Aquatic Resources of Western Australia 2020/21: The State of the Fisheries eds. Newman, S.J., Wise, B.S., Santoro, K.G. and </w:t>
      </w:r>
      <w:r w:rsidRPr="00DD115E">
        <w:lastRenderedPageBreak/>
        <w:t>Gaughan, D.J. Department of Primary Industries and Regional Development, Western Australia. pp. 34-40.</w:t>
      </w:r>
    </w:p>
    <w:p w14:paraId="2F5CA9AD" w14:textId="77777777" w:rsidR="009C7F03" w:rsidRDefault="009C7F03" w:rsidP="001D2981">
      <w:pPr>
        <w:rPr>
          <w:rFonts w:eastAsiaTheme="minorEastAsia"/>
          <w:szCs w:val="24"/>
        </w:rPr>
      </w:pPr>
      <w:r w:rsidRPr="0022290B">
        <w:rPr>
          <w:rFonts w:eastAsiaTheme="minorEastAsia"/>
          <w:szCs w:val="24"/>
        </w:rPr>
        <w:t>Webster, F.J., Wise, B.S. and hart, A. (2017) Ecos</w:t>
      </w:r>
      <w:r>
        <w:rPr>
          <w:rFonts w:eastAsiaTheme="minorEastAsia"/>
          <w:szCs w:val="24"/>
        </w:rPr>
        <w:t xml:space="preserve">ystem -Based Fisheries Management (EBFM) Risk Assessment of the Western Australian Abalone Managed Industry. </w:t>
      </w:r>
      <w:r w:rsidRPr="0022290B">
        <w:rPr>
          <w:rFonts w:eastAsiaTheme="minorEastAsia"/>
          <w:szCs w:val="24"/>
        </w:rPr>
        <w:t>Western Australian Marine Stewardship Council Report Series</w:t>
      </w:r>
      <w:r>
        <w:rPr>
          <w:rFonts w:eastAsiaTheme="minorEastAsia"/>
          <w:szCs w:val="24"/>
        </w:rPr>
        <w:t xml:space="preserve"> No. 7, 2017</w:t>
      </w:r>
    </w:p>
    <w:p w14:paraId="10E61762" w14:textId="77777777" w:rsidR="009C7F03" w:rsidRDefault="009C7F03" w:rsidP="001D2981">
      <w:pPr>
        <w:rPr>
          <w:rFonts w:eastAsiaTheme="minorEastAsia"/>
          <w:szCs w:val="24"/>
        </w:rPr>
      </w:pPr>
      <w:r w:rsidRPr="003A11EA">
        <w:rPr>
          <w:rFonts w:eastAsiaTheme="minorEastAsia"/>
          <w:szCs w:val="24"/>
        </w:rPr>
        <w:t>Wells, F.E, Keesing, J.K. (1989).Reproduction and feeding of the abalone Haliotis roei Gray. Australian Journal of Marine and Freshwater Research 40:187-197.</w:t>
      </w:r>
    </w:p>
    <w:p w14:paraId="32A8D3E9" w14:textId="77777777" w:rsidR="0020272A" w:rsidRDefault="0020272A" w:rsidP="001D2981"/>
    <w:p w14:paraId="152C2FAB" w14:textId="77777777" w:rsidR="006F5EC8" w:rsidRDefault="006F5EC8" w:rsidP="0020272A">
      <w:pPr>
        <w:rPr>
          <w:rFonts w:asciiTheme="majorHAnsi" w:hAnsiTheme="majorHAnsi" w:cstheme="majorHAnsi"/>
          <w:bCs/>
          <w:szCs w:val="24"/>
        </w:rPr>
      </w:pPr>
    </w:p>
    <w:p w14:paraId="0C265179" w14:textId="77777777" w:rsidR="00A47724" w:rsidRDefault="00A47724" w:rsidP="0020272A">
      <w:pPr>
        <w:rPr>
          <w:rFonts w:asciiTheme="majorHAnsi" w:hAnsiTheme="majorHAnsi" w:cstheme="majorHAnsi"/>
          <w:bCs/>
          <w:szCs w:val="24"/>
        </w:rPr>
      </w:pPr>
    </w:p>
    <w:p w14:paraId="4EC84BDA" w14:textId="77777777" w:rsidR="00A47724" w:rsidRDefault="00A47724" w:rsidP="0020272A">
      <w:pPr>
        <w:rPr>
          <w:rFonts w:asciiTheme="majorHAnsi" w:hAnsiTheme="majorHAnsi" w:cstheme="majorHAnsi"/>
          <w:bCs/>
          <w:szCs w:val="24"/>
        </w:rPr>
      </w:pPr>
    </w:p>
    <w:p w14:paraId="7577BDBB" w14:textId="77777777" w:rsidR="00A47724" w:rsidRDefault="00A47724" w:rsidP="0020272A">
      <w:pPr>
        <w:rPr>
          <w:rFonts w:asciiTheme="majorHAnsi" w:hAnsiTheme="majorHAnsi" w:cstheme="majorHAnsi"/>
          <w:bCs/>
          <w:szCs w:val="24"/>
        </w:rPr>
      </w:pPr>
    </w:p>
    <w:p w14:paraId="16EA5540" w14:textId="77777777" w:rsidR="00A47724" w:rsidRDefault="00A47724" w:rsidP="0020272A">
      <w:pPr>
        <w:rPr>
          <w:rFonts w:asciiTheme="majorHAnsi" w:hAnsiTheme="majorHAnsi" w:cstheme="majorHAnsi"/>
          <w:bCs/>
          <w:szCs w:val="24"/>
        </w:rPr>
      </w:pPr>
    </w:p>
    <w:p w14:paraId="3734A705" w14:textId="77777777" w:rsidR="00A47724" w:rsidRDefault="00A47724" w:rsidP="0020272A">
      <w:pPr>
        <w:rPr>
          <w:rFonts w:asciiTheme="majorHAnsi" w:hAnsiTheme="majorHAnsi" w:cstheme="majorHAnsi"/>
          <w:bCs/>
          <w:szCs w:val="24"/>
        </w:rPr>
      </w:pPr>
    </w:p>
    <w:p w14:paraId="0FB237DF" w14:textId="77777777" w:rsidR="00A47724" w:rsidRDefault="00A47724" w:rsidP="0020272A">
      <w:pPr>
        <w:rPr>
          <w:rFonts w:asciiTheme="majorHAnsi" w:hAnsiTheme="majorHAnsi" w:cstheme="majorHAnsi"/>
          <w:bCs/>
          <w:szCs w:val="24"/>
        </w:rPr>
      </w:pPr>
    </w:p>
    <w:p w14:paraId="247A4D52" w14:textId="77777777" w:rsidR="00A47724" w:rsidRPr="003B547C" w:rsidRDefault="00A47724" w:rsidP="0020272A">
      <w:pPr>
        <w:rPr>
          <w:rFonts w:asciiTheme="majorHAnsi" w:hAnsiTheme="majorHAnsi" w:cstheme="majorHAnsi"/>
          <w:bCs/>
          <w:szCs w:val="24"/>
        </w:rPr>
      </w:pPr>
    </w:p>
    <w:p w14:paraId="4490D713" w14:textId="2C2336A6" w:rsidR="00012D1B" w:rsidRDefault="00012D1B" w:rsidP="00B50B38">
      <w:pPr>
        <w:pStyle w:val="Heading2"/>
      </w:pPr>
      <w:bookmarkStart w:id="65" w:name="_Toc176435180"/>
      <w:r>
        <w:t>Important Disclaimer</w:t>
      </w:r>
      <w:bookmarkEnd w:id="65"/>
      <w:r>
        <w:t xml:space="preserve"> </w:t>
      </w:r>
    </w:p>
    <w:p w14:paraId="0397C774" w14:textId="77777777" w:rsidR="00012D1B" w:rsidRDefault="00012D1B" w:rsidP="00B50B38">
      <w:pPr>
        <w:jc w:val="both"/>
      </w:pPr>
      <w:r>
        <w:t xml:space="preserve">The Chief Executive Officer of the Department of Primary Industries and Regional Development and the State of Western Australia accept no liability whatsoever by reason of negligence or otherwise arising from the use or release of this information or any part of it. </w:t>
      </w:r>
    </w:p>
    <w:p w14:paraId="70CB4E8E" w14:textId="014D3AD0" w:rsidR="00012D1B" w:rsidRDefault="00012D1B" w:rsidP="00B50B38">
      <w:pPr>
        <w:jc w:val="both"/>
      </w:pPr>
      <w:r>
        <w:t xml:space="preserve">Copyright © </w:t>
      </w:r>
      <w:r w:rsidR="00092413">
        <w:t xml:space="preserve">State of Western Australia (Department of Primary Industries and Regional Development), </w:t>
      </w:r>
      <w:r w:rsidR="00B50B38">
        <w:t>2024</w:t>
      </w:r>
      <w:r>
        <w:t>.</w:t>
      </w:r>
      <w:bookmarkEnd w:id="0"/>
      <w:bookmarkEnd w:id="1"/>
    </w:p>
    <w:sdt>
      <w:sdtPr>
        <w:id w:val="-678041783"/>
        <w:lock w:val="contentLocked"/>
        <w:placeholder>
          <w:docPart w:val="F971B52AC6AA447596FE259B45CC0199"/>
        </w:placeholder>
        <w:group/>
      </w:sdtPr>
      <w:sdtEndPr/>
      <w:sdtContent>
        <w:p w14:paraId="42919E3D" w14:textId="77777777" w:rsidR="00B153EB" w:rsidRPr="00B153EB" w:rsidRDefault="00EE28B0" w:rsidP="00E34FDB">
          <w:r>
            <w:rPr>
              <w:noProof/>
            </w:rPr>
            <w:drawing>
              <wp:anchor distT="0" distB="0" distL="114300" distR="114300" simplePos="0" relativeHeight="251669504" behindDoc="1" locked="1" layoutInCell="1" allowOverlap="1" wp14:anchorId="3ADBAFB3" wp14:editId="18F02904">
                <wp:simplePos x="0" y="0"/>
                <wp:positionH relativeFrom="page">
                  <wp:align>right</wp:align>
                </wp:positionH>
                <wp:positionV relativeFrom="page">
                  <wp:posOffset>9070975</wp:posOffset>
                </wp:positionV>
                <wp:extent cx="5413375" cy="1619885"/>
                <wp:effectExtent l="0" t="0" r="0" b="0"/>
                <wp:wrapNone/>
                <wp:docPr id="12" name="End page graphic" descr="Graphical element as part of footer desig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d page graphic" descr="Graphical element as part of footer design.">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rcRect l="212" r="212"/>
                        <a:stretch>
                          <a:fillRect/>
                        </a:stretch>
                      </pic:blipFill>
                      <pic:spPr bwMode="auto">
                        <a:xfrm>
                          <a:off x="0" y="0"/>
                          <a:ext cx="5413375"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sectPr w:rsidR="00B153EB" w:rsidRPr="00B153EB" w:rsidSect="00227B33">
      <w:headerReference w:type="even" r:id="rId33"/>
      <w:headerReference w:type="default" r:id="rId34"/>
      <w:footerReference w:type="even" r:id="rId35"/>
      <w:footerReference w:type="default" r:id="rId36"/>
      <w:headerReference w:type="first" r:id="rId37"/>
      <w:footerReference w:type="first" r:id="rId38"/>
      <w:pgSz w:w="11906" w:h="16838" w:code="9"/>
      <w:pgMar w:top="1418" w:right="1134" w:bottom="1134" w:left="1134" w:header="164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B4446" w14:textId="77777777" w:rsidR="00F5244C" w:rsidRDefault="00F5244C" w:rsidP="00E34FDB">
      <w:r>
        <w:separator/>
      </w:r>
    </w:p>
  </w:endnote>
  <w:endnote w:type="continuationSeparator" w:id="0">
    <w:p w14:paraId="254743CA" w14:textId="77777777" w:rsidR="00F5244C" w:rsidRDefault="00F5244C" w:rsidP="00E34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84BF6" w14:textId="1F83856E" w:rsidR="005D76DE" w:rsidRDefault="005D76DE">
    <w:pPr>
      <w:pStyle w:val="Footer"/>
    </w:pPr>
    <w:r>
      <w:rPr>
        <w:noProof/>
      </w:rPr>
      <mc:AlternateContent>
        <mc:Choice Requires="wps">
          <w:drawing>
            <wp:anchor distT="0" distB="0" distL="0" distR="0" simplePos="0" relativeHeight="251662336" behindDoc="0" locked="0" layoutInCell="1" allowOverlap="1" wp14:anchorId="13A2999E" wp14:editId="649D4916">
              <wp:simplePos x="635" y="635"/>
              <wp:positionH relativeFrom="page">
                <wp:align>center</wp:align>
              </wp:positionH>
              <wp:positionV relativeFrom="page">
                <wp:align>bottom</wp:align>
              </wp:positionV>
              <wp:extent cx="551815" cy="376555"/>
              <wp:effectExtent l="0" t="0" r="635" b="0"/>
              <wp:wrapNone/>
              <wp:docPr id="98343656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D2A81EB" w14:textId="02C6E61F" w:rsidR="005D76DE" w:rsidRPr="005D76DE" w:rsidRDefault="005D76DE" w:rsidP="005D76DE">
                          <w:pPr>
                            <w:spacing w:after="0"/>
                            <w:rPr>
                              <w:rFonts w:ascii="Calibri" w:eastAsia="Calibri" w:hAnsi="Calibri" w:cs="Calibri"/>
                              <w:noProof/>
                              <w:color w:val="FF0000"/>
                              <w:szCs w:val="24"/>
                            </w:rPr>
                          </w:pPr>
                          <w:r w:rsidRPr="005D76DE">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A2999E"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1D2A81EB" w14:textId="02C6E61F" w:rsidR="005D76DE" w:rsidRPr="005D76DE" w:rsidRDefault="005D76DE" w:rsidP="005D76DE">
                    <w:pPr>
                      <w:spacing w:after="0"/>
                      <w:rPr>
                        <w:rFonts w:ascii="Calibri" w:eastAsia="Calibri" w:hAnsi="Calibri" w:cs="Calibri"/>
                        <w:noProof/>
                        <w:color w:val="FF0000"/>
                        <w:szCs w:val="24"/>
                      </w:rPr>
                    </w:pPr>
                    <w:r w:rsidRPr="005D76DE">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10364" w14:textId="6C5B6E7F" w:rsidR="000D7EE8" w:rsidRPr="00AF133B" w:rsidRDefault="005D76DE" w:rsidP="00AF133B">
    <w:pPr>
      <w:pStyle w:val="Footer"/>
    </w:pPr>
    <w:r>
      <w:rPr>
        <w:noProof/>
      </w:rPr>
      <mc:AlternateContent>
        <mc:Choice Requires="wps">
          <w:drawing>
            <wp:anchor distT="0" distB="0" distL="0" distR="0" simplePos="0" relativeHeight="251663360" behindDoc="0" locked="0" layoutInCell="1" allowOverlap="1" wp14:anchorId="0AAAE11F" wp14:editId="3D16772C">
              <wp:simplePos x="720725" y="10172065"/>
              <wp:positionH relativeFrom="page">
                <wp:align>center</wp:align>
              </wp:positionH>
              <wp:positionV relativeFrom="page">
                <wp:align>bottom</wp:align>
              </wp:positionV>
              <wp:extent cx="551815" cy="376555"/>
              <wp:effectExtent l="0" t="0" r="635" b="0"/>
              <wp:wrapNone/>
              <wp:docPr id="49391924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64D1947" w14:textId="26CF6A53" w:rsidR="005D76DE" w:rsidRPr="005D76DE" w:rsidRDefault="005D76DE" w:rsidP="005D76DE">
                          <w:pPr>
                            <w:spacing w:after="0"/>
                            <w:rPr>
                              <w:rFonts w:ascii="Calibri" w:eastAsia="Calibri" w:hAnsi="Calibri" w:cs="Calibri"/>
                              <w:noProof/>
                              <w:color w:val="FF0000"/>
                              <w:szCs w:val="24"/>
                            </w:rPr>
                          </w:pPr>
                          <w:r w:rsidRPr="005D76DE">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AAE11F" id="_x0000_t202" coordsize="21600,21600" o:spt="202" path="m,l,21600r21600,l21600,xe">
              <v:stroke joinstyle="miter"/>
              <v:path gradientshapeok="t" o:connecttype="rect"/>
            </v:shapetype>
            <v:shape id="Text Box 6" o:spid="_x0000_s1029"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164D1947" w14:textId="26CF6A53" w:rsidR="005D76DE" w:rsidRPr="005D76DE" w:rsidRDefault="005D76DE" w:rsidP="005D76DE">
                    <w:pPr>
                      <w:spacing w:after="0"/>
                      <w:rPr>
                        <w:rFonts w:ascii="Calibri" w:eastAsia="Calibri" w:hAnsi="Calibri" w:cs="Calibri"/>
                        <w:noProof/>
                        <w:color w:val="FF0000"/>
                        <w:szCs w:val="24"/>
                      </w:rPr>
                    </w:pPr>
                    <w:r w:rsidRPr="005D76DE">
                      <w:rPr>
                        <w:rFonts w:ascii="Calibri" w:eastAsia="Calibri" w:hAnsi="Calibri" w:cs="Calibri"/>
                        <w:noProof/>
                        <w:color w:val="FF0000"/>
                        <w:szCs w:val="24"/>
                      </w:rPr>
                      <w:t>OFFICIAL</w:t>
                    </w:r>
                  </w:p>
                </w:txbxContent>
              </v:textbox>
              <w10:wrap anchorx="page" anchory="page"/>
            </v:shape>
          </w:pict>
        </mc:Fallback>
      </mc:AlternateContent>
    </w:r>
    <w:sdt>
      <w:sdtPr>
        <w:id w:val="560295469"/>
        <w:docPartObj>
          <w:docPartGallery w:val="Page Numbers (Bottom of Page)"/>
          <w:docPartUnique/>
        </w:docPartObj>
      </w:sdtPr>
      <w:sdtEndPr/>
      <w:sdtContent>
        <w:sdt>
          <w:sdtPr>
            <w:id w:val="-1705238520"/>
            <w:docPartObj>
              <w:docPartGallery w:val="Page Numbers (Top of Page)"/>
              <w:docPartUnique/>
            </w:docPartObj>
          </w:sdtPr>
          <w:sdtEndPr/>
          <w:sdtContent>
            <w:r w:rsidR="00AF133B">
              <w:rPr>
                <w:lang w:val="en-GB"/>
              </w:rPr>
              <w:t xml:space="preserve">Page </w:t>
            </w:r>
            <w:r w:rsidR="00AF133B">
              <w:rPr>
                <w:b w:val="0"/>
                <w:bCs/>
                <w:sz w:val="24"/>
                <w:szCs w:val="24"/>
              </w:rPr>
              <w:fldChar w:fldCharType="begin"/>
            </w:r>
            <w:r w:rsidR="00AF133B">
              <w:rPr>
                <w:bCs/>
              </w:rPr>
              <w:instrText>PAGE</w:instrText>
            </w:r>
            <w:r w:rsidR="00AF133B">
              <w:rPr>
                <w:b w:val="0"/>
                <w:bCs/>
                <w:sz w:val="24"/>
                <w:szCs w:val="24"/>
              </w:rPr>
              <w:fldChar w:fldCharType="separate"/>
            </w:r>
            <w:r w:rsidR="00AF133B">
              <w:rPr>
                <w:bCs/>
                <w:lang w:val="en-GB"/>
              </w:rPr>
              <w:t>2</w:t>
            </w:r>
            <w:r w:rsidR="00AF133B">
              <w:rPr>
                <w:b w:val="0"/>
                <w:bCs/>
                <w:sz w:val="24"/>
                <w:szCs w:val="24"/>
              </w:rPr>
              <w:fldChar w:fldCharType="end"/>
            </w:r>
            <w:r w:rsidR="00AF133B">
              <w:rPr>
                <w:lang w:val="en-GB"/>
              </w:rPr>
              <w:t xml:space="preserve"> of </w:t>
            </w:r>
            <w:r w:rsidR="00AF133B">
              <w:rPr>
                <w:b w:val="0"/>
                <w:bCs/>
                <w:sz w:val="24"/>
                <w:szCs w:val="24"/>
              </w:rPr>
              <w:fldChar w:fldCharType="begin"/>
            </w:r>
            <w:r w:rsidR="00AF133B">
              <w:rPr>
                <w:bCs/>
              </w:rPr>
              <w:instrText>NUMPAGES</w:instrText>
            </w:r>
            <w:r w:rsidR="00AF133B">
              <w:rPr>
                <w:b w:val="0"/>
                <w:bCs/>
                <w:sz w:val="24"/>
                <w:szCs w:val="24"/>
              </w:rPr>
              <w:fldChar w:fldCharType="separate"/>
            </w:r>
            <w:r w:rsidR="00AF133B">
              <w:rPr>
                <w:bCs/>
                <w:lang w:val="en-GB"/>
              </w:rPr>
              <w:t>2</w:t>
            </w:r>
            <w:r w:rsidR="00AF133B">
              <w:rPr>
                <w:b w:val="0"/>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65005" w14:textId="57E9B325" w:rsidR="005D76DE" w:rsidRDefault="005D76DE">
    <w:pPr>
      <w:pStyle w:val="Footer"/>
    </w:pPr>
    <w:r>
      <w:rPr>
        <w:noProof/>
      </w:rPr>
      <mc:AlternateContent>
        <mc:Choice Requires="wps">
          <w:drawing>
            <wp:anchor distT="0" distB="0" distL="0" distR="0" simplePos="0" relativeHeight="251661312" behindDoc="0" locked="0" layoutInCell="1" allowOverlap="1" wp14:anchorId="3B8A6AC8" wp14:editId="4117C86B">
              <wp:simplePos x="723900" y="10172700"/>
              <wp:positionH relativeFrom="page">
                <wp:align>center</wp:align>
              </wp:positionH>
              <wp:positionV relativeFrom="page">
                <wp:align>bottom</wp:align>
              </wp:positionV>
              <wp:extent cx="551815" cy="376555"/>
              <wp:effectExtent l="0" t="0" r="635" b="0"/>
              <wp:wrapNone/>
              <wp:docPr id="132610472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DB54F5" w14:textId="5656DA19" w:rsidR="005D76DE" w:rsidRPr="005D76DE" w:rsidRDefault="005D76DE" w:rsidP="005D76DE">
                          <w:pPr>
                            <w:spacing w:after="0"/>
                            <w:rPr>
                              <w:rFonts w:ascii="Calibri" w:eastAsia="Calibri" w:hAnsi="Calibri" w:cs="Calibri"/>
                              <w:noProof/>
                              <w:color w:val="FF0000"/>
                              <w:szCs w:val="24"/>
                            </w:rPr>
                          </w:pPr>
                          <w:r w:rsidRPr="005D76DE">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8A6AC8"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01DB54F5" w14:textId="5656DA19" w:rsidR="005D76DE" w:rsidRPr="005D76DE" w:rsidRDefault="005D76DE" w:rsidP="005D76DE">
                    <w:pPr>
                      <w:spacing w:after="0"/>
                      <w:rPr>
                        <w:rFonts w:ascii="Calibri" w:eastAsia="Calibri" w:hAnsi="Calibri" w:cs="Calibri"/>
                        <w:noProof/>
                        <w:color w:val="FF0000"/>
                        <w:szCs w:val="24"/>
                      </w:rPr>
                    </w:pPr>
                    <w:r w:rsidRPr="005D76DE">
                      <w:rPr>
                        <w:rFonts w:ascii="Calibri" w:eastAsia="Calibri" w:hAnsi="Calibri" w:cs="Calibri"/>
                        <w:noProof/>
                        <w:color w:val="FF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B4E922" w14:textId="77777777" w:rsidR="00F5244C" w:rsidRDefault="00F5244C" w:rsidP="00E34FDB">
      <w:r>
        <w:separator/>
      </w:r>
    </w:p>
  </w:footnote>
  <w:footnote w:type="continuationSeparator" w:id="0">
    <w:p w14:paraId="504CFC32" w14:textId="77777777" w:rsidR="00F5244C" w:rsidRDefault="00F5244C" w:rsidP="00E34F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AF50C" w14:textId="13F9942C" w:rsidR="005D76DE" w:rsidRDefault="005D76DE">
    <w:pPr>
      <w:pStyle w:val="Header"/>
    </w:pPr>
    <w:r>
      <w:rPr>
        <w:noProof/>
      </w:rPr>
      <mc:AlternateContent>
        <mc:Choice Requires="wps">
          <w:drawing>
            <wp:anchor distT="0" distB="0" distL="0" distR="0" simplePos="0" relativeHeight="251659264" behindDoc="0" locked="0" layoutInCell="1" allowOverlap="1" wp14:anchorId="68B60A5D" wp14:editId="45822E78">
              <wp:simplePos x="635" y="635"/>
              <wp:positionH relativeFrom="page">
                <wp:align>center</wp:align>
              </wp:positionH>
              <wp:positionV relativeFrom="page">
                <wp:align>top</wp:align>
              </wp:positionV>
              <wp:extent cx="551815" cy="376555"/>
              <wp:effectExtent l="0" t="0" r="635" b="4445"/>
              <wp:wrapNone/>
              <wp:docPr id="96608718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3CC6B1F" w14:textId="543632F2" w:rsidR="005D76DE" w:rsidRPr="005D76DE" w:rsidRDefault="005D76DE" w:rsidP="005D76DE">
                          <w:pPr>
                            <w:spacing w:after="0"/>
                            <w:rPr>
                              <w:rFonts w:ascii="Calibri" w:eastAsia="Calibri" w:hAnsi="Calibri" w:cs="Calibri"/>
                              <w:noProof/>
                              <w:color w:val="FF0000"/>
                              <w:szCs w:val="24"/>
                            </w:rPr>
                          </w:pPr>
                          <w:r w:rsidRPr="005D76DE">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B60A5D"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03CC6B1F" w14:textId="543632F2" w:rsidR="005D76DE" w:rsidRPr="005D76DE" w:rsidRDefault="005D76DE" w:rsidP="005D76DE">
                    <w:pPr>
                      <w:spacing w:after="0"/>
                      <w:rPr>
                        <w:rFonts w:ascii="Calibri" w:eastAsia="Calibri" w:hAnsi="Calibri" w:cs="Calibri"/>
                        <w:noProof/>
                        <w:color w:val="FF0000"/>
                        <w:szCs w:val="24"/>
                      </w:rPr>
                    </w:pPr>
                    <w:r w:rsidRPr="005D76DE">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64068" w14:textId="0B21F734" w:rsidR="005D76DE" w:rsidRDefault="005D76DE">
    <w:pPr>
      <w:pStyle w:val="Header"/>
    </w:pPr>
    <w:r>
      <w:rPr>
        <w:noProof/>
      </w:rPr>
      <mc:AlternateContent>
        <mc:Choice Requires="wps">
          <w:drawing>
            <wp:anchor distT="0" distB="0" distL="0" distR="0" simplePos="0" relativeHeight="251660288" behindDoc="0" locked="0" layoutInCell="1" allowOverlap="1" wp14:anchorId="311542F5" wp14:editId="70DB4745">
              <wp:simplePos x="720725" y="1044575"/>
              <wp:positionH relativeFrom="page">
                <wp:align>center</wp:align>
              </wp:positionH>
              <wp:positionV relativeFrom="page">
                <wp:align>top</wp:align>
              </wp:positionV>
              <wp:extent cx="551815" cy="376555"/>
              <wp:effectExtent l="0" t="0" r="635" b="4445"/>
              <wp:wrapNone/>
              <wp:docPr id="149538320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70AE464" w14:textId="37E8A5AC" w:rsidR="005D76DE" w:rsidRPr="005D76DE" w:rsidRDefault="005D76DE" w:rsidP="005D76DE">
                          <w:pPr>
                            <w:spacing w:after="0"/>
                            <w:rPr>
                              <w:rFonts w:ascii="Calibri" w:eastAsia="Calibri" w:hAnsi="Calibri" w:cs="Calibri"/>
                              <w:noProof/>
                              <w:color w:val="FF0000"/>
                              <w:szCs w:val="24"/>
                            </w:rPr>
                          </w:pPr>
                          <w:r w:rsidRPr="005D76DE">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1542F5"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370AE464" w14:textId="37E8A5AC" w:rsidR="005D76DE" w:rsidRPr="005D76DE" w:rsidRDefault="005D76DE" w:rsidP="005D76DE">
                    <w:pPr>
                      <w:spacing w:after="0"/>
                      <w:rPr>
                        <w:rFonts w:ascii="Calibri" w:eastAsia="Calibri" w:hAnsi="Calibri" w:cs="Calibri"/>
                        <w:noProof/>
                        <w:color w:val="FF0000"/>
                        <w:szCs w:val="24"/>
                      </w:rPr>
                    </w:pPr>
                    <w:r w:rsidRPr="005D76DE">
                      <w:rPr>
                        <w:rFonts w:ascii="Calibri" w:eastAsia="Calibri" w:hAnsi="Calibri" w:cs="Calibri"/>
                        <w:noProof/>
                        <w:color w:val="FF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85AD7" w14:textId="0C2ED034" w:rsidR="005D76DE" w:rsidRDefault="005D76DE">
    <w:pPr>
      <w:pStyle w:val="Header"/>
    </w:pPr>
    <w:r>
      <w:rPr>
        <w:noProof/>
      </w:rPr>
      <mc:AlternateContent>
        <mc:Choice Requires="wps">
          <w:drawing>
            <wp:anchor distT="0" distB="0" distL="0" distR="0" simplePos="0" relativeHeight="251658240" behindDoc="0" locked="0" layoutInCell="1" allowOverlap="1" wp14:anchorId="7AF62358" wp14:editId="25E58EB5">
              <wp:simplePos x="723900" y="1047750"/>
              <wp:positionH relativeFrom="page">
                <wp:align>center</wp:align>
              </wp:positionH>
              <wp:positionV relativeFrom="page">
                <wp:align>top</wp:align>
              </wp:positionV>
              <wp:extent cx="551815" cy="376555"/>
              <wp:effectExtent l="0" t="0" r="635" b="4445"/>
              <wp:wrapNone/>
              <wp:docPr id="146167354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32C6BF4" w14:textId="6A363E8A" w:rsidR="005D76DE" w:rsidRPr="005D76DE" w:rsidRDefault="005D76DE" w:rsidP="005D76DE">
                          <w:pPr>
                            <w:spacing w:after="0"/>
                            <w:rPr>
                              <w:rFonts w:ascii="Calibri" w:eastAsia="Calibri" w:hAnsi="Calibri" w:cs="Calibri"/>
                              <w:noProof/>
                              <w:color w:val="FF0000"/>
                              <w:szCs w:val="24"/>
                            </w:rPr>
                          </w:pPr>
                          <w:r w:rsidRPr="005D76DE">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F62358"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532C6BF4" w14:textId="6A363E8A" w:rsidR="005D76DE" w:rsidRPr="005D76DE" w:rsidRDefault="005D76DE" w:rsidP="005D76DE">
                    <w:pPr>
                      <w:spacing w:after="0"/>
                      <w:rPr>
                        <w:rFonts w:ascii="Calibri" w:eastAsia="Calibri" w:hAnsi="Calibri" w:cs="Calibri"/>
                        <w:noProof/>
                        <w:color w:val="FF0000"/>
                        <w:szCs w:val="24"/>
                      </w:rPr>
                    </w:pPr>
                    <w:r w:rsidRPr="005D76DE">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66598"/>
    <w:multiLevelType w:val="hybridMultilevel"/>
    <w:tmpl w:val="EE0CF4C2"/>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1F02D3"/>
    <w:multiLevelType w:val="hybridMultilevel"/>
    <w:tmpl w:val="F70E9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4475B6"/>
    <w:multiLevelType w:val="hybridMultilevel"/>
    <w:tmpl w:val="15943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196231"/>
    <w:multiLevelType w:val="hybridMultilevel"/>
    <w:tmpl w:val="988A851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B8E6A07"/>
    <w:multiLevelType w:val="hybridMultilevel"/>
    <w:tmpl w:val="D6EA58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816718"/>
    <w:multiLevelType w:val="multilevel"/>
    <w:tmpl w:val="93083648"/>
    <w:numStyleLink w:val="Numbering"/>
  </w:abstractNum>
  <w:abstractNum w:abstractNumId="7" w15:restartNumberingAfterBreak="0">
    <w:nsid w:val="0E47705B"/>
    <w:multiLevelType w:val="hybridMultilevel"/>
    <w:tmpl w:val="3CAC1F8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0F3758E6"/>
    <w:multiLevelType w:val="hybridMultilevel"/>
    <w:tmpl w:val="B544A4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6F37EA"/>
    <w:multiLevelType w:val="multilevel"/>
    <w:tmpl w:val="93083648"/>
    <w:styleLink w:val="Numbering"/>
    <w:lvl w:ilvl="0">
      <w:start w:val="1"/>
      <w:numFmt w:val="decimal"/>
      <w:pStyle w:val="ListNumber"/>
      <w:lvlText w:val="%1."/>
      <w:lvlJc w:val="left"/>
      <w:pPr>
        <w:tabs>
          <w:tab w:val="num" w:pos="284"/>
        </w:tabs>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tabs>
          <w:tab w:val="num" w:pos="1134"/>
        </w:tabs>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44B23D6"/>
    <w:multiLevelType w:val="hybridMultilevel"/>
    <w:tmpl w:val="FB463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CC7E79"/>
    <w:multiLevelType w:val="hybridMultilevel"/>
    <w:tmpl w:val="93D61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77F1870"/>
    <w:multiLevelType w:val="hybridMultilevel"/>
    <w:tmpl w:val="651C5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8F3762"/>
    <w:multiLevelType w:val="hybridMultilevel"/>
    <w:tmpl w:val="ACE8C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1C1B8D"/>
    <w:multiLevelType w:val="hybridMultilevel"/>
    <w:tmpl w:val="48B485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072653B"/>
    <w:multiLevelType w:val="hybridMultilevel"/>
    <w:tmpl w:val="7B62F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7D5AC3"/>
    <w:multiLevelType w:val="hybridMultilevel"/>
    <w:tmpl w:val="7CD68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1A5A1A"/>
    <w:multiLevelType w:val="hybridMultilevel"/>
    <w:tmpl w:val="68946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84284C"/>
    <w:multiLevelType w:val="hybridMultilevel"/>
    <w:tmpl w:val="69321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A34496"/>
    <w:multiLevelType w:val="hybridMultilevel"/>
    <w:tmpl w:val="4F722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561751"/>
    <w:multiLevelType w:val="hybridMultilevel"/>
    <w:tmpl w:val="E0164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644"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D6511F"/>
    <w:multiLevelType w:val="hybridMultilevel"/>
    <w:tmpl w:val="AD18F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3206D9"/>
    <w:multiLevelType w:val="hybridMultilevel"/>
    <w:tmpl w:val="DEEA6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CB294F"/>
    <w:multiLevelType w:val="hybridMultilevel"/>
    <w:tmpl w:val="EF565F3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9D72D24"/>
    <w:multiLevelType w:val="hybridMultilevel"/>
    <w:tmpl w:val="F43C6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9161F9"/>
    <w:multiLevelType w:val="hybridMultilevel"/>
    <w:tmpl w:val="CDF4A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50724F"/>
    <w:multiLevelType w:val="hybridMultilevel"/>
    <w:tmpl w:val="D4F07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2B1AB0"/>
    <w:multiLevelType w:val="hybridMultilevel"/>
    <w:tmpl w:val="98DCC86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0D55E90"/>
    <w:multiLevelType w:val="hybridMultilevel"/>
    <w:tmpl w:val="08A85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0FF4959"/>
    <w:multiLevelType w:val="hybridMultilevel"/>
    <w:tmpl w:val="9170E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E06660"/>
    <w:multiLevelType w:val="hybridMultilevel"/>
    <w:tmpl w:val="B8AE797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76B0DBA"/>
    <w:multiLevelType w:val="hybridMultilevel"/>
    <w:tmpl w:val="B4220D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19F0388"/>
    <w:multiLevelType w:val="hybridMultilevel"/>
    <w:tmpl w:val="64407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5E1815"/>
    <w:multiLevelType w:val="multilevel"/>
    <w:tmpl w:val="E500EDE0"/>
    <w:numStyleLink w:val="Bullets"/>
  </w:abstractNum>
  <w:abstractNum w:abstractNumId="35" w15:restartNumberingAfterBreak="0">
    <w:nsid w:val="58B73D84"/>
    <w:multiLevelType w:val="multilevel"/>
    <w:tmpl w:val="50041352"/>
    <w:numStyleLink w:val="ListHeadings"/>
  </w:abstractNum>
  <w:abstractNum w:abstractNumId="36" w15:restartNumberingAfterBreak="0">
    <w:nsid w:val="60316FE2"/>
    <w:multiLevelType w:val="hybridMultilevel"/>
    <w:tmpl w:val="E8140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E1502C"/>
    <w:multiLevelType w:val="multilevel"/>
    <w:tmpl w:val="E500EDE0"/>
    <w:styleLink w:val="Bullets"/>
    <w:lvl w:ilvl="0">
      <w:start w:val="1"/>
      <w:numFmt w:val="bullet"/>
      <w:pStyle w:val="ListBullet"/>
      <w:lvlText w:val="•"/>
      <w:lvlJc w:val="left"/>
      <w:pPr>
        <w:ind w:left="340" w:hanging="340"/>
      </w:pPr>
      <w:rPr>
        <w:rFonts w:ascii="Arial" w:hAnsi="Arial" w:hint="default"/>
        <w:color w:val="auto"/>
      </w:rPr>
    </w:lvl>
    <w:lvl w:ilvl="1">
      <w:start w:val="1"/>
      <w:numFmt w:val="bullet"/>
      <w:pStyle w:val="ListBullet2"/>
      <w:lvlText w:val="–"/>
      <w:lvlJc w:val="left"/>
      <w:pPr>
        <w:ind w:left="680" w:hanging="340"/>
      </w:pPr>
      <w:rPr>
        <w:rFonts w:ascii="Calibri" w:hAnsi="Calibri" w:hint="default"/>
        <w:color w:val="auto"/>
      </w:rPr>
    </w:lvl>
    <w:lvl w:ilvl="2">
      <w:start w:val="1"/>
      <w:numFmt w:val="bullet"/>
      <w:pStyle w:val="ListBullet3"/>
      <w:lvlText w:val="–"/>
      <w:lvlJc w:val="left"/>
      <w:pPr>
        <w:ind w:left="1021" w:hanging="341"/>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8" w15:restartNumberingAfterBreak="0">
    <w:nsid w:val="63F91541"/>
    <w:multiLevelType w:val="hybridMultilevel"/>
    <w:tmpl w:val="A8CAB74E"/>
    <w:lvl w:ilvl="0" w:tplc="FFFFFFFF">
      <w:start w:val="1"/>
      <w:numFmt w:val="bullet"/>
      <w:lvlText w:val=""/>
      <w:lvlJc w:val="left"/>
      <w:pPr>
        <w:ind w:left="720" w:hanging="360"/>
      </w:pPr>
      <w:rPr>
        <w:rFonts w:ascii="Symbol" w:hAnsi="Symbol" w:hint="default"/>
      </w:rPr>
    </w:lvl>
    <w:lvl w:ilvl="1" w:tplc="0C090011">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5E666D1"/>
    <w:multiLevelType w:val="hybridMultilevel"/>
    <w:tmpl w:val="6584F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7A315E"/>
    <w:multiLevelType w:val="hybridMultilevel"/>
    <w:tmpl w:val="24261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E656BE"/>
    <w:multiLevelType w:val="hybridMultilevel"/>
    <w:tmpl w:val="FF445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6003B5"/>
    <w:multiLevelType w:val="hybridMultilevel"/>
    <w:tmpl w:val="8F72A98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7780B25"/>
    <w:multiLevelType w:val="hybridMultilevel"/>
    <w:tmpl w:val="92A09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8A7561"/>
    <w:multiLevelType w:val="hybridMultilevel"/>
    <w:tmpl w:val="0A86FEF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B5A023D"/>
    <w:multiLevelType w:val="hybridMultilevel"/>
    <w:tmpl w:val="0FBCE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3418277">
    <w:abstractNumId w:val="37"/>
  </w:num>
  <w:num w:numId="2" w16cid:durableId="846598071">
    <w:abstractNumId w:val="9"/>
  </w:num>
  <w:num w:numId="3" w16cid:durableId="659580476">
    <w:abstractNumId w:val="4"/>
  </w:num>
  <w:num w:numId="4" w16cid:durableId="974717717">
    <w:abstractNumId w:val="35"/>
  </w:num>
  <w:num w:numId="5" w16cid:durableId="444039133">
    <w:abstractNumId w:val="12"/>
  </w:num>
  <w:num w:numId="6" w16cid:durableId="616912923">
    <w:abstractNumId w:val="34"/>
  </w:num>
  <w:num w:numId="7" w16cid:durableId="1744983779">
    <w:abstractNumId w:val="6"/>
  </w:num>
  <w:num w:numId="8" w16cid:durableId="940644928">
    <w:abstractNumId w:val="21"/>
  </w:num>
  <w:num w:numId="9" w16cid:durableId="851795564">
    <w:abstractNumId w:val="10"/>
  </w:num>
  <w:num w:numId="10" w16cid:durableId="1246913431">
    <w:abstractNumId w:val="42"/>
  </w:num>
  <w:num w:numId="11" w16cid:durableId="547568830">
    <w:abstractNumId w:val="2"/>
  </w:num>
  <w:num w:numId="12" w16cid:durableId="1197156690">
    <w:abstractNumId w:val="39"/>
  </w:num>
  <w:num w:numId="13" w16cid:durableId="695038511">
    <w:abstractNumId w:val="26"/>
  </w:num>
  <w:num w:numId="14" w16cid:durableId="1341737385">
    <w:abstractNumId w:val="20"/>
  </w:num>
  <w:num w:numId="15" w16cid:durableId="1418210683">
    <w:abstractNumId w:val="44"/>
  </w:num>
  <w:num w:numId="16" w16cid:durableId="1708413319">
    <w:abstractNumId w:val="24"/>
  </w:num>
  <w:num w:numId="17" w16cid:durableId="428628082">
    <w:abstractNumId w:val="28"/>
  </w:num>
  <w:num w:numId="18" w16cid:durableId="185599635">
    <w:abstractNumId w:val="38"/>
  </w:num>
  <w:num w:numId="19" w16cid:durableId="1020472865">
    <w:abstractNumId w:val="31"/>
  </w:num>
  <w:num w:numId="20" w16cid:durableId="727194951">
    <w:abstractNumId w:val="8"/>
  </w:num>
  <w:num w:numId="21" w16cid:durableId="160506021">
    <w:abstractNumId w:val="7"/>
  </w:num>
  <w:num w:numId="22" w16cid:durableId="645932137">
    <w:abstractNumId w:val="3"/>
  </w:num>
  <w:num w:numId="23" w16cid:durableId="451216405">
    <w:abstractNumId w:val="32"/>
  </w:num>
  <w:num w:numId="24" w16cid:durableId="409697048">
    <w:abstractNumId w:val="15"/>
  </w:num>
  <w:num w:numId="25" w16cid:durableId="1388264926">
    <w:abstractNumId w:val="29"/>
  </w:num>
  <w:num w:numId="26" w16cid:durableId="1312439207">
    <w:abstractNumId w:val="18"/>
  </w:num>
  <w:num w:numId="27" w16cid:durableId="21783329">
    <w:abstractNumId w:val="25"/>
  </w:num>
  <w:num w:numId="28" w16cid:durableId="188568088">
    <w:abstractNumId w:val="23"/>
  </w:num>
  <w:num w:numId="29" w16cid:durableId="958998432">
    <w:abstractNumId w:val="41"/>
  </w:num>
  <w:num w:numId="30" w16cid:durableId="1126701815">
    <w:abstractNumId w:val="22"/>
  </w:num>
  <w:num w:numId="31" w16cid:durableId="9915720">
    <w:abstractNumId w:val="43"/>
  </w:num>
  <w:num w:numId="32" w16cid:durableId="1639340562">
    <w:abstractNumId w:val="19"/>
  </w:num>
  <w:num w:numId="33" w16cid:durableId="516888077">
    <w:abstractNumId w:val="13"/>
  </w:num>
  <w:num w:numId="34" w16cid:durableId="311838484">
    <w:abstractNumId w:val="5"/>
  </w:num>
  <w:num w:numId="35" w16cid:durableId="1973171900">
    <w:abstractNumId w:val="11"/>
  </w:num>
  <w:num w:numId="36" w16cid:durableId="550652804">
    <w:abstractNumId w:val="33"/>
  </w:num>
  <w:num w:numId="37" w16cid:durableId="1629509296">
    <w:abstractNumId w:val="40"/>
  </w:num>
  <w:num w:numId="38" w16cid:durableId="576206841">
    <w:abstractNumId w:val="14"/>
  </w:num>
  <w:num w:numId="39" w16cid:durableId="788552427">
    <w:abstractNumId w:val="17"/>
  </w:num>
  <w:num w:numId="40" w16cid:durableId="1664505109">
    <w:abstractNumId w:val="27"/>
  </w:num>
  <w:num w:numId="41" w16cid:durableId="1055081556">
    <w:abstractNumId w:val="1"/>
  </w:num>
  <w:num w:numId="42" w16cid:durableId="469395973">
    <w:abstractNumId w:val="16"/>
  </w:num>
  <w:num w:numId="43" w16cid:durableId="869563915">
    <w:abstractNumId w:val="30"/>
  </w:num>
  <w:num w:numId="44" w16cid:durableId="703560291">
    <w:abstractNumId w:val="45"/>
  </w:num>
  <w:num w:numId="45" w16cid:durableId="1219702245">
    <w:abstractNumId w:val="36"/>
  </w:num>
  <w:num w:numId="46" w16cid:durableId="1065375419">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FF"/>
    <w:rsid w:val="000011D3"/>
    <w:rsid w:val="0000216D"/>
    <w:rsid w:val="000024F8"/>
    <w:rsid w:val="0000353F"/>
    <w:rsid w:val="00003BAD"/>
    <w:rsid w:val="000078CF"/>
    <w:rsid w:val="000101E2"/>
    <w:rsid w:val="00011BF7"/>
    <w:rsid w:val="00012D1B"/>
    <w:rsid w:val="0001308E"/>
    <w:rsid w:val="00014239"/>
    <w:rsid w:val="00016213"/>
    <w:rsid w:val="00020A34"/>
    <w:rsid w:val="000250EF"/>
    <w:rsid w:val="000279EE"/>
    <w:rsid w:val="000300AF"/>
    <w:rsid w:val="000303A9"/>
    <w:rsid w:val="00030504"/>
    <w:rsid w:val="000320D5"/>
    <w:rsid w:val="00032717"/>
    <w:rsid w:val="00033229"/>
    <w:rsid w:val="00040388"/>
    <w:rsid w:val="00043097"/>
    <w:rsid w:val="00043839"/>
    <w:rsid w:val="00045090"/>
    <w:rsid w:val="00045BA5"/>
    <w:rsid w:val="0004771C"/>
    <w:rsid w:val="00050C29"/>
    <w:rsid w:val="000523E4"/>
    <w:rsid w:val="000523E6"/>
    <w:rsid w:val="0005241A"/>
    <w:rsid w:val="00053552"/>
    <w:rsid w:val="000535BB"/>
    <w:rsid w:val="0006670A"/>
    <w:rsid w:val="00066B65"/>
    <w:rsid w:val="00067F3B"/>
    <w:rsid w:val="000724AE"/>
    <w:rsid w:val="00072FE7"/>
    <w:rsid w:val="00074921"/>
    <w:rsid w:val="0008037D"/>
    <w:rsid w:val="0008203F"/>
    <w:rsid w:val="00086EB7"/>
    <w:rsid w:val="00092413"/>
    <w:rsid w:val="00092FE3"/>
    <w:rsid w:val="00093E49"/>
    <w:rsid w:val="000952E0"/>
    <w:rsid w:val="00096A48"/>
    <w:rsid w:val="000A267D"/>
    <w:rsid w:val="000A2988"/>
    <w:rsid w:val="000A39AD"/>
    <w:rsid w:val="000A3C23"/>
    <w:rsid w:val="000A6595"/>
    <w:rsid w:val="000B07D0"/>
    <w:rsid w:val="000B1183"/>
    <w:rsid w:val="000B18B6"/>
    <w:rsid w:val="000B497F"/>
    <w:rsid w:val="000B4D04"/>
    <w:rsid w:val="000B67C6"/>
    <w:rsid w:val="000C525A"/>
    <w:rsid w:val="000C5693"/>
    <w:rsid w:val="000C5723"/>
    <w:rsid w:val="000C6158"/>
    <w:rsid w:val="000C704B"/>
    <w:rsid w:val="000C7881"/>
    <w:rsid w:val="000D0263"/>
    <w:rsid w:val="000D12E3"/>
    <w:rsid w:val="000D174E"/>
    <w:rsid w:val="000D34F1"/>
    <w:rsid w:val="000D41C5"/>
    <w:rsid w:val="000D533A"/>
    <w:rsid w:val="000D7EE8"/>
    <w:rsid w:val="000E34A8"/>
    <w:rsid w:val="000E3522"/>
    <w:rsid w:val="000E7454"/>
    <w:rsid w:val="000E7B0C"/>
    <w:rsid w:val="000F1A33"/>
    <w:rsid w:val="000F1FFC"/>
    <w:rsid w:val="000F2554"/>
    <w:rsid w:val="000F2E51"/>
    <w:rsid w:val="000F3866"/>
    <w:rsid w:val="000F566F"/>
    <w:rsid w:val="000F7CE2"/>
    <w:rsid w:val="000F7F68"/>
    <w:rsid w:val="00101B2A"/>
    <w:rsid w:val="00102172"/>
    <w:rsid w:val="00102253"/>
    <w:rsid w:val="0010251F"/>
    <w:rsid w:val="001069EE"/>
    <w:rsid w:val="00110698"/>
    <w:rsid w:val="00110CBE"/>
    <w:rsid w:val="00111497"/>
    <w:rsid w:val="001118FB"/>
    <w:rsid w:val="001120EC"/>
    <w:rsid w:val="00112E8F"/>
    <w:rsid w:val="00113110"/>
    <w:rsid w:val="00113514"/>
    <w:rsid w:val="00114162"/>
    <w:rsid w:val="001148A7"/>
    <w:rsid w:val="00121366"/>
    <w:rsid w:val="00121573"/>
    <w:rsid w:val="00122EC2"/>
    <w:rsid w:val="00123601"/>
    <w:rsid w:val="00124AE4"/>
    <w:rsid w:val="001268BC"/>
    <w:rsid w:val="00127A14"/>
    <w:rsid w:val="00131E90"/>
    <w:rsid w:val="001329C8"/>
    <w:rsid w:val="0013476E"/>
    <w:rsid w:val="00143580"/>
    <w:rsid w:val="00144C15"/>
    <w:rsid w:val="001467DF"/>
    <w:rsid w:val="0015387E"/>
    <w:rsid w:val="0015540A"/>
    <w:rsid w:val="00156094"/>
    <w:rsid w:val="0015651C"/>
    <w:rsid w:val="0015679A"/>
    <w:rsid w:val="001576B0"/>
    <w:rsid w:val="00157FA3"/>
    <w:rsid w:val="001605B3"/>
    <w:rsid w:val="00160CBE"/>
    <w:rsid w:val="00161524"/>
    <w:rsid w:val="00161A8D"/>
    <w:rsid w:val="0016285E"/>
    <w:rsid w:val="00162988"/>
    <w:rsid w:val="00162F0C"/>
    <w:rsid w:val="00165ED4"/>
    <w:rsid w:val="001665F6"/>
    <w:rsid w:val="00166FDB"/>
    <w:rsid w:val="001726ED"/>
    <w:rsid w:val="00173677"/>
    <w:rsid w:val="00173C16"/>
    <w:rsid w:val="00173D61"/>
    <w:rsid w:val="00175E3A"/>
    <w:rsid w:val="00177726"/>
    <w:rsid w:val="00180CEB"/>
    <w:rsid w:val="001917D2"/>
    <w:rsid w:val="00192966"/>
    <w:rsid w:val="00192B19"/>
    <w:rsid w:val="00197C36"/>
    <w:rsid w:val="001A0966"/>
    <w:rsid w:val="001A0D77"/>
    <w:rsid w:val="001A209D"/>
    <w:rsid w:val="001A58FD"/>
    <w:rsid w:val="001A593B"/>
    <w:rsid w:val="001A76DB"/>
    <w:rsid w:val="001A7DD3"/>
    <w:rsid w:val="001C07EE"/>
    <w:rsid w:val="001C111F"/>
    <w:rsid w:val="001C486A"/>
    <w:rsid w:val="001C4DFE"/>
    <w:rsid w:val="001C5452"/>
    <w:rsid w:val="001C7835"/>
    <w:rsid w:val="001D1443"/>
    <w:rsid w:val="001D14EE"/>
    <w:rsid w:val="001D23CF"/>
    <w:rsid w:val="001D3345"/>
    <w:rsid w:val="001D35A4"/>
    <w:rsid w:val="001D3F5A"/>
    <w:rsid w:val="001D4BF5"/>
    <w:rsid w:val="001D67A4"/>
    <w:rsid w:val="001E0BF9"/>
    <w:rsid w:val="001E1558"/>
    <w:rsid w:val="001E207F"/>
    <w:rsid w:val="001E4C19"/>
    <w:rsid w:val="001E7770"/>
    <w:rsid w:val="001F0B3A"/>
    <w:rsid w:val="001F1302"/>
    <w:rsid w:val="001F13C1"/>
    <w:rsid w:val="001F23A2"/>
    <w:rsid w:val="001F3E70"/>
    <w:rsid w:val="001F446D"/>
    <w:rsid w:val="001F6314"/>
    <w:rsid w:val="001F6808"/>
    <w:rsid w:val="0020272A"/>
    <w:rsid w:val="002028DB"/>
    <w:rsid w:val="00202FFF"/>
    <w:rsid w:val="002054E0"/>
    <w:rsid w:val="00205DED"/>
    <w:rsid w:val="002068C7"/>
    <w:rsid w:val="002068CA"/>
    <w:rsid w:val="00213605"/>
    <w:rsid w:val="00216395"/>
    <w:rsid w:val="002163EC"/>
    <w:rsid w:val="002174C3"/>
    <w:rsid w:val="00220231"/>
    <w:rsid w:val="002206A9"/>
    <w:rsid w:val="00220B22"/>
    <w:rsid w:val="0022196A"/>
    <w:rsid w:val="00221AB7"/>
    <w:rsid w:val="00221D15"/>
    <w:rsid w:val="00223703"/>
    <w:rsid w:val="0022388E"/>
    <w:rsid w:val="00224348"/>
    <w:rsid w:val="0022560A"/>
    <w:rsid w:val="00227042"/>
    <w:rsid w:val="00227B33"/>
    <w:rsid w:val="00232272"/>
    <w:rsid w:val="00232489"/>
    <w:rsid w:val="00235A6B"/>
    <w:rsid w:val="00236CC6"/>
    <w:rsid w:val="002379E7"/>
    <w:rsid w:val="00242387"/>
    <w:rsid w:val="0024465D"/>
    <w:rsid w:val="00246435"/>
    <w:rsid w:val="00246BCF"/>
    <w:rsid w:val="00250722"/>
    <w:rsid w:val="00250874"/>
    <w:rsid w:val="00250AC5"/>
    <w:rsid w:val="00251AFE"/>
    <w:rsid w:val="00251B5E"/>
    <w:rsid w:val="00254E73"/>
    <w:rsid w:val="002560CB"/>
    <w:rsid w:val="00260E4B"/>
    <w:rsid w:val="00261A4C"/>
    <w:rsid w:val="002642BE"/>
    <w:rsid w:val="0026583A"/>
    <w:rsid w:val="00265D96"/>
    <w:rsid w:val="00270834"/>
    <w:rsid w:val="00272F7F"/>
    <w:rsid w:val="00277D15"/>
    <w:rsid w:val="002804DE"/>
    <w:rsid w:val="002814E6"/>
    <w:rsid w:val="002825B6"/>
    <w:rsid w:val="00286A3A"/>
    <w:rsid w:val="00286AB5"/>
    <w:rsid w:val="00286B2F"/>
    <w:rsid w:val="00287FFD"/>
    <w:rsid w:val="002904F1"/>
    <w:rsid w:val="00292233"/>
    <w:rsid w:val="00292AF3"/>
    <w:rsid w:val="00292C75"/>
    <w:rsid w:val="00293B4F"/>
    <w:rsid w:val="002944CD"/>
    <w:rsid w:val="00295E32"/>
    <w:rsid w:val="002A1C6B"/>
    <w:rsid w:val="002A3AF3"/>
    <w:rsid w:val="002A549B"/>
    <w:rsid w:val="002A6A4F"/>
    <w:rsid w:val="002A701E"/>
    <w:rsid w:val="002A796C"/>
    <w:rsid w:val="002A7990"/>
    <w:rsid w:val="002B0DBB"/>
    <w:rsid w:val="002B330F"/>
    <w:rsid w:val="002B69C6"/>
    <w:rsid w:val="002B6B54"/>
    <w:rsid w:val="002C07DC"/>
    <w:rsid w:val="002C2E1A"/>
    <w:rsid w:val="002C49C1"/>
    <w:rsid w:val="002C4B9E"/>
    <w:rsid w:val="002C602F"/>
    <w:rsid w:val="002C69DE"/>
    <w:rsid w:val="002C77E9"/>
    <w:rsid w:val="002D09A3"/>
    <w:rsid w:val="002D3E9D"/>
    <w:rsid w:val="002D5CEF"/>
    <w:rsid w:val="002E0EDA"/>
    <w:rsid w:val="002E32C8"/>
    <w:rsid w:val="002E3F55"/>
    <w:rsid w:val="002E5868"/>
    <w:rsid w:val="002E79CD"/>
    <w:rsid w:val="002F193A"/>
    <w:rsid w:val="002F5D91"/>
    <w:rsid w:val="002F653A"/>
    <w:rsid w:val="0030165B"/>
    <w:rsid w:val="003037B6"/>
    <w:rsid w:val="00304589"/>
    <w:rsid w:val="00305171"/>
    <w:rsid w:val="00305F80"/>
    <w:rsid w:val="003066BE"/>
    <w:rsid w:val="00306C62"/>
    <w:rsid w:val="0030708A"/>
    <w:rsid w:val="00307886"/>
    <w:rsid w:val="0031129D"/>
    <w:rsid w:val="00312173"/>
    <w:rsid w:val="00312C24"/>
    <w:rsid w:val="0031460F"/>
    <w:rsid w:val="00314AE9"/>
    <w:rsid w:val="00315A67"/>
    <w:rsid w:val="00317099"/>
    <w:rsid w:val="003211B2"/>
    <w:rsid w:val="00322CD5"/>
    <w:rsid w:val="003248E7"/>
    <w:rsid w:val="00326EC1"/>
    <w:rsid w:val="003307B2"/>
    <w:rsid w:val="00331F8C"/>
    <w:rsid w:val="00333491"/>
    <w:rsid w:val="003335BD"/>
    <w:rsid w:val="00333670"/>
    <w:rsid w:val="003404B0"/>
    <w:rsid w:val="0034680A"/>
    <w:rsid w:val="0035207E"/>
    <w:rsid w:val="003535A4"/>
    <w:rsid w:val="0035544B"/>
    <w:rsid w:val="00355ED4"/>
    <w:rsid w:val="0035746E"/>
    <w:rsid w:val="003577EB"/>
    <w:rsid w:val="00360B23"/>
    <w:rsid w:val="003612A5"/>
    <w:rsid w:val="00361777"/>
    <w:rsid w:val="0036231E"/>
    <w:rsid w:val="00363FF8"/>
    <w:rsid w:val="00365775"/>
    <w:rsid w:val="003667ED"/>
    <w:rsid w:val="00372928"/>
    <w:rsid w:val="00372A73"/>
    <w:rsid w:val="00376E9E"/>
    <w:rsid w:val="0037721D"/>
    <w:rsid w:val="0038102A"/>
    <w:rsid w:val="00387C4A"/>
    <w:rsid w:val="00395A30"/>
    <w:rsid w:val="003977B2"/>
    <w:rsid w:val="003A167B"/>
    <w:rsid w:val="003A1E37"/>
    <w:rsid w:val="003A2FE5"/>
    <w:rsid w:val="003A3C73"/>
    <w:rsid w:val="003A5073"/>
    <w:rsid w:val="003A5342"/>
    <w:rsid w:val="003B23CD"/>
    <w:rsid w:val="003B547C"/>
    <w:rsid w:val="003B5518"/>
    <w:rsid w:val="003B75D4"/>
    <w:rsid w:val="003B7F05"/>
    <w:rsid w:val="003C608B"/>
    <w:rsid w:val="003D0DE4"/>
    <w:rsid w:val="003D23A3"/>
    <w:rsid w:val="003D289A"/>
    <w:rsid w:val="003D3729"/>
    <w:rsid w:val="003D5540"/>
    <w:rsid w:val="003D5856"/>
    <w:rsid w:val="003D7DF5"/>
    <w:rsid w:val="003E0CC6"/>
    <w:rsid w:val="003E2762"/>
    <w:rsid w:val="003E4640"/>
    <w:rsid w:val="003E4A75"/>
    <w:rsid w:val="003E4B7D"/>
    <w:rsid w:val="003E5DEE"/>
    <w:rsid w:val="003E6CE3"/>
    <w:rsid w:val="003F3DC4"/>
    <w:rsid w:val="004027C5"/>
    <w:rsid w:val="00404E4F"/>
    <w:rsid w:val="00406645"/>
    <w:rsid w:val="00406CC3"/>
    <w:rsid w:val="00407CB7"/>
    <w:rsid w:val="00412A70"/>
    <w:rsid w:val="00413251"/>
    <w:rsid w:val="0041382B"/>
    <w:rsid w:val="0041523F"/>
    <w:rsid w:val="004158C5"/>
    <w:rsid w:val="004165DC"/>
    <w:rsid w:val="0041673A"/>
    <w:rsid w:val="00416A25"/>
    <w:rsid w:val="00421D0E"/>
    <w:rsid w:val="00422A4D"/>
    <w:rsid w:val="00422AF0"/>
    <w:rsid w:val="0042339A"/>
    <w:rsid w:val="0042508F"/>
    <w:rsid w:val="004304CB"/>
    <w:rsid w:val="00430795"/>
    <w:rsid w:val="00431747"/>
    <w:rsid w:val="00434642"/>
    <w:rsid w:val="00434C89"/>
    <w:rsid w:val="00434D89"/>
    <w:rsid w:val="00441C2B"/>
    <w:rsid w:val="0044634A"/>
    <w:rsid w:val="00446EC0"/>
    <w:rsid w:val="0044711A"/>
    <w:rsid w:val="0045123B"/>
    <w:rsid w:val="00454085"/>
    <w:rsid w:val="00455177"/>
    <w:rsid w:val="00457BF5"/>
    <w:rsid w:val="0046031B"/>
    <w:rsid w:val="00460B3F"/>
    <w:rsid w:val="00460D7E"/>
    <w:rsid w:val="004619FD"/>
    <w:rsid w:val="00461BBF"/>
    <w:rsid w:val="004635FD"/>
    <w:rsid w:val="004670E9"/>
    <w:rsid w:val="004677D9"/>
    <w:rsid w:val="0047067C"/>
    <w:rsid w:val="00471C01"/>
    <w:rsid w:val="004728A6"/>
    <w:rsid w:val="004728A9"/>
    <w:rsid w:val="0047394F"/>
    <w:rsid w:val="00473C8F"/>
    <w:rsid w:val="00480C6F"/>
    <w:rsid w:val="00481CD3"/>
    <w:rsid w:val="00485BF1"/>
    <w:rsid w:val="004877DB"/>
    <w:rsid w:val="00490885"/>
    <w:rsid w:val="00492121"/>
    <w:rsid w:val="004937A9"/>
    <w:rsid w:val="00494DCD"/>
    <w:rsid w:val="004A0CE1"/>
    <w:rsid w:val="004A17D9"/>
    <w:rsid w:val="004A1D35"/>
    <w:rsid w:val="004A3D8A"/>
    <w:rsid w:val="004A4E2A"/>
    <w:rsid w:val="004A5E27"/>
    <w:rsid w:val="004B0A48"/>
    <w:rsid w:val="004B0D07"/>
    <w:rsid w:val="004B1ED5"/>
    <w:rsid w:val="004B28B5"/>
    <w:rsid w:val="004B28E0"/>
    <w:rsid w:val="004B609E"/>
    <w:rsid w:val="004B747D"/>
    <w:rsid w:val="004C2A9A"/>
    <w:rsid w:val="004C3FD1"/>
    <w:rsid w:val="004C5EA1"/>
    <w:rsid w:val="004D44E3"/>
    <w:rsid w:val="004E06BD"/>
    <w:rsid w:val="004E0833"/>
    <w:rsid w:val="004E1711"/>
    <w:rsid w:val="004E28C6"/>
    <w:rsid w:val="004E5EC3"/>
    <w:rsid w:val="004F138F"/>
    <w:rsid w:val="004F24FA"/>
    <w:rsid w:val="004F7EA1"/>
    <w:rsid w:val="00500C61"/>
    <w:rsid w:val="005014DC"/>
    <w:rsid w:val="00502144"/>
    <w:rsid w:val="0050326C"/>
    <w:rsid w:val="00503DAB"/>
    <w:rsid w:val="00504B4A"/>
    <w:rsid w:val="0050670B"/>
    <w:rsid w:val="005068B7"/>
    <w:rsid w:val="005110B1"/>
    <w:rsid w:val="00511603"/>
    <w:rsid w:val="00513919"/>
    <w:rsid w:val="005141E8"/>
    <w:rsid w:val="0051465C"/>
    <w:rsid w:val="005156B1"/>
    <w:rsid w:val="00520041"/>
    <w:rsid w:val="00520DA5"/>
    <w:rsid w:val="005216CF"/>
    <w:rsid w:val="00521936"/>
    <w:rsid w:val="00521C49"/>
    <w:rsid w:val="00521E08"/>
    <w:rsid w:val="00522490"/>
    <w:rsid w:val="0052400A"/>
    <w:rsid w:val="00525F86"/>
    <w:rsid w:val="00527A2C"/>
    <w:rsid w:val="00531503"/>
    <w:rsid w:val="00532782"/>
    <w:rsid w:val="00532B56"/>
    <w:rsid w:val="005335CF"/>
    <w:rsid w:val="00533EA7"/>
    <w:rsid w:val="005356F5"/>
    <w:rsid w:val="005358FD"/>
    <w:rsid w:val="005364E1"/>
    <w:rsid w:val="005366C6"/>
    <w:rsid w:val="00537327"/>
    <w:rsid w:val="00537B89"/>
    <w:rsid w:val="00540ECF"/>
    <w:rsid w:val="0054415B"/>
    <w:rsid w:val="0054752E"/>
    <w:rsid w:val="00547734"/>
    <w:rsid w:val="00550C99"/>
    <w:rsid w:val="00551EBF"/>
    <w:rsid w:val="00553413"/>
    <w:rsid w:val="00554888"/>
    <w:rsid w:val="00557C46"/>
    <w:rsid w:val="00560901"/>
    <w:rsid w:val="00563118"/>
    <w:rsid w:val="005636F1"/>
    <w:rsid w:val="00563DC3"/>
    <w:rsid w:val="00563E4D"/>
    <w:rsid w:val="005646D3"/>
    <w:rsid w:val="0056590E"/>
    <w:rsid w:val="00566A55"/>
    <w:rsid w:val="00570F9B"/>
    <w:rsid w:val="00571821"/>
    <w:rsid w:val="00571E64"/>
    <w:rsid w:val="0057257C"/>
    <w:rsid w:val="00572CCC"/>
    <w:rsid w:val="00573060"/>
    <w:rsid w:val="005732C5"/>
    <w:rsid w:val="0057390C"/>
    <w:rsid w:val="00577E2E"/>
    <w:rsid w:val="005819AB"/>
    <w:rsid w:val="00581AB4"/>
    <w:rsid w:val="0058369E"/>
    <w:rsid w:val="005862C5"/>
    <w:rsid w:val="00587FA4"/>
    <w:rsid w:val="005903E1"/>
    <w:rsid w:val="005918EF"/>
    <w:rsid w:val="00592D85"/>
    <w:rsid w:val="00593314"/>
    <w:rsid w:val="00594198"/>
    <w:rsid w:val="00594496"/>
    <w:rsid w:val="00595A86"/>
    <w:rsid w:val="00596304"/>
    <w:rsid w:val="005A112A"/>
    <w:rsid w:val="005A1C09"/>
    <w:rsid w:val="005A2FA8"/>
    <w:rsid w:val="005A4D2A"/>
    <w:rsid w:val="005A5D41"/>
    <w:rsid w:val="005A7D6F"/>
    <w:rsid w:val="005B1659"/>
    <w:rsid w:val="005B3596"/>
    <w:rsid w:val="005B540F"/>
    <w:rsid w:val="005B6B22"/>
    <w:rsid w:val="005C1207"/>
    <w:rsid w:val="005C1D0B"/>
    <w:rsid w:val="005C2A0A"/>
    <w:rsid w:val="005C3928"/>
    <w:rsid w:val="005C3F72"/>
    <w:rsid w:val="005C6618"/>
    <w:rsid w:val="005C79C8"/>
    <w:rsid w:val="005D13AC"/>
    <w:rsid w:val="005D320B"/>
    <w:rsid w:val="005D3447"/>
    <w:rsid w:val="005D6E71"/>
    <w:rsid w:val="005D76DE"/>
    <w:rsid w:val="005E1D08"/>
    <w:rsid w:val="005E4582"/>
    <w:rsid w:val="005E62FC"/>
    <w:rsid w:val="005F69A8"/>
    <w:rsid w:val="006022E5"/>
    <w:rsid w:val="00602C13"/>
    <w:rsid w:val="00603FD5"/>
    <w:rsid w:val="006055F5"/>
    <w:rsid w:val="00606117"/>
    <w:rsid w:val="006109CE"/>
    <w:rsid w:val="00611193"/>
    <w:rsid w:val="00611A32"/>
    <w:rsid w:val="00611B2D"/>
    <w:rsid w:val="00613CA3"/>
    <w:rsid w:val="00616DC8"/>
    <w:rsid w:val="00621208"/>
    <w:rsid w:val="00621E48"/>
    <w:rsid w:val="00622ED2"/>
    <w:rsid w:val="00623861"/>
    <w:rsid w:val="00623DC8"/>
    <w:rsid w:val="006240CB"/>
    <w:rsid w:val="00627580"/>
    <w:rsid w:val="00627CF6"/>
    <w:rsid w:val="00630481"/>
    <w:rsid w:val="00630AA2"/>
    <w:rsid w:val="006313E0"/>
    <w:rsid w:val="00631B8A"/>
    <w:rsid w:val="00635DFF"/>
    <w:rsid w:val="00636595"/>
    <w:rsid w:val="006411F3"/>
    <w:rsid w:val="00646BE2"/>
    <w:rsid w:val="00647237"/>
    <w:rsid w:val="006475C9"/>
    <w:rsid w:val="00647953"/>
    <w:rsid w:val="00650D69"/>
    <w:rsid w:val="00654349"/>
    <w:rsid w:val="00654F5D"/>
    <w:rsid w:val="00663902"/>
    <w:rsid w:val="00665CF2"/>
    <w:rsid w:val="00666D4E"/>
    <w:rsid w:val="00667606"/>
    <w:rsid w:val="0067014A"/>
    <w:rsid w:val="006737A3"/>
    <w:rsid w:val="0067734C"/>
    <w:rsid w:val="00677978"/>
    <w:rsid w:val="0068022A"/>
    <w:rsid w:val="00684621"/>
    <w:rsid w:val="006848A2"/>
    <w:rsid w:val="00685EA0"/>
    <w:rsid w:val="00686B98"/>
    <w:rsid w:val="0068724F"/>
    <w:rsid w:val="00690637"/>
    <w:rsid w:val="006908D8"/>
    <w:rsid w:val="00690E48"/>
    <w:rsid w:val="00692AB8"/>
    <w:rsid w:val="00693358"/>
    <w:rsid w:val="00693735"/>
    <w:rsid w:val="0069613C"/>
    <w:rsid w:val="0069683C"/>
    <w:rsid w:val="00697B16"/>
    <w:rsid w:val="006A1DEF"/>
    <w:rsid w:val="006A21D3"/>
    <w:rsid w:val="006A29D0"/>
    <w:rsid w:val="006A3121"/>
    <w:rsid w:val="006A681E"/>
    <w:rsid w:val="006A7F23"/>
    <w:rsid w:val="006B0569"/>
    <w:rsid w:val="006B09C4"/>
    <w:rsid w:val="006B2D2F"/>
    <w:rsid w:val="006B4491"/>
    <w:rsid w:val="006B4930"/>
    <w:rsid w:val="006B52E1"/>
    <w:rsid w:val="006B68C5"/>
    <w:rsid w:val="006C1B35"/>
    <w:rsid w:val="006C215C"/>
    <w:rsid w:val="006C3603"/>
    <w:rsid w:val="006C433C"/>
    <w:rsid w:val="006C479C"/>
    <w:rsid w:val="006C4AF4"/>
    <w:rsid w:val="006C55C8"/>
    <w:rsid w:val="006D3F2F"/>
    <w:rsid w:val="006D4890"/>
    <w:rsid w:val="006E04EF"/>
    <w:rsid w:val="006E26FD"/>
    <w:rsid w:val="006E3536"/>
    <w:rsid w:val="006F1D42"/>
    <w:rsid w:val="006F24B3"/>
    <w:rsid w:val="006F3F37"/>
    <w:rsid w:val="006F4FC1"/>
    <w:rsid w:val="006F5EC8"/>
    <w:rsid w:val="006F7172"/>
    <w:rsid w:val="006F717D"/>
    <w:rsid w:val="006F7A33"/>
    <w:rsid w:val="006F7E52"/>
    <w:rsid w:val="00701939"/>
    <w:rsid w:val="0070244B"/>
    <w:rsid w:val="00702B5E"/>
    <w:rsid w:val="0070323F"/>
    <w:rsid w:val="0070342B"/>
    <w:rsid w:val="0070428E"/>
    <w:rsid w:val="00706EDC"/>
    <w:rsid w:val="00710645"/>
    <w:rsid w:val="007116FE"/>
    <w:rsid w:val="0071417B"/>
    <w:rsid w:val="00714488"/>
    <w:rsid w:val="007159E3"/>
    <w:rsid w:val="00715BCB"/>
    <w:rsid w:val="007167ED"/>
    <w:rsid w:val="00717F7F"/>
    <w:rsid w:val="00722774"/>
    <w:rsid w:val="00723AEC"/>
    <w:rsid w:val="00724358"/>
    <w:rsid w:val="007254A7"/>
    <w:rsid w:val="00725AF0"/>
    <w:rsid w:val="007278F0"/>
    <w:rsid w:val="007324BC"/>
    <w:rsid w:val="00742161"/>
    <w:rsid w:val="00746D20"/>
    <w:rsid w:val="00752635"/>
    <w:rsid w:val="007535B0"/>
    <w:rsid w:val="00754F3E"/>
    <w:rsid w:val="007567B4"/>
    <w:rsid w:val="0076123E"/>
    <w:rsid w:val="00761FFC"/>
    <w:rsid w:val="00763D8C"/>
    <w:rsid w:val="00766DCD"/>
    <w:rsid w:val="00770A96"/>
    <w:rsid w:val="007729A6"/>
    <w:rsid w:val="007748B9"/>
    <w:rsid w:val="00775553"/>
    <w:rsid w:val="0077556E"/>
    <w:rsid w:val="00775909"/>
    <w:rsid w:val="0078096B"/>
    <w:rsid w:val="00781340"/>
    <w:rsid w:val="00785192"/>
    <w:rsid w:val="0079016C"/>
    <w:rsid w:val="00792321"/>
    <w:rsid w:val="0079268F"/>
    <w:rsid w:val="007945CE"/>
    <w:rsid w:val="0079629C"/>
    <w:rsid w:val="007972A7"/>
    <w:rsid w:val="00797EE2"/>
    <w:rsid w:val="007A0363"/>
    <w:rsid w:val="007A0F64"/>
    <w:rsid w:val="007A304F"/>
    <w:rsid w:val="007A336E"/>
    <w:rsid w:val="007A3D1D"/>
    <w:rsid w:val="007A4F39"/>
    <w:rsid w:val="007A657B"/>
    <w:rsid w:val="007A6D1C"/>
    <w:rsid w:val="007B0813"/>
    <w:rsid w:val="007B2ED1"/>
    <w:rsid w:val="007B30E0"/>
    <w:rsid w:val="007B502B"/>
    <w:rsid w:val="007B520E"/>
    <w:rsid w:val="007B6A79"/>
    <w:rsid w:val="007C090F"/>
    <w:rsid w:val="007C6356"/>
    <w:rsid w:val="007C6F72"/>
    <w:rsid w:val="007D0739"/>
    <w:rsid w:val="007D0BF7"/>
    <w:rsid w:val="007D1005"/>
    <w:rsid w:val="007D50AE"/>
    <w:rsid w:val="007E558C"/>
    <w:rsid w:val="007E55B5"/>
    <w:rsid w:val="007E6B91"/>
    <w:rsid w:val="007E7FDB"/>
    <w:rsid w:val="007F4FA5"/>
    <w:rsid w:val="007F64BD"/>
    <w:rsid w:val="007F70C0"/>
    <w:rsid w:val="00801808"/>
    <w:rsid w:val="0080193D"/>
    <w:rsid w:val="00802381"/>
    <w:rsid w:val="00802F8C"/>
    <w:rsid w:val="008037B6"/>
    <w:rsid w:val="00805293"/>
    <w:rsid w:val="0080568D"/>
    <w:rsid w:val="00810738"/>
    <w:rsid w:val="00811B75"/>
    <w:rsid w:val="00812361"/>
    <w:rsid w:val="008143F5"/>
    <w:rsid w:val="0081533C"/>
    <w:rsid w:val="00815F2A"/>
    <w:rsid w:val="00817FED"/>
    <w:rsid w:val="0082061A"/>
    <w:rsid w:val="00821569"/>
    <w:rsid w:val="0082167B"/>
    <w:rsid w:val="00821D26"/>
    <w:rsid w:val="008229BD"/>
    <w:rsid w:val="0082394A"/>
    <w:rsid w:val="0082417D"/>
    <w:rsid w:val="00824279"/>
    <w:rsid w:val="00825E9D"/>
    <w:rsid w:val="0082652B"/>
    <w:rsid w:val="00827A7C"/>
    <w:rsid w:val="008320E7"/>
    <w:rsid w:val="00832D70"/>
    <w:rsid w:val="008340FA"/>
    <w:rsid w:val="00835D4A"/>
    <w:rsid w:val="008370FF"/>
    <w:rsid w:val="0083713F"/>
    <w:rsid w:val="00837DD1"/>
    <w:rsid w:val="00841ABE"/>
    <w:rsid w:val="00841E6F"/>
    <w:rsid w:val="00843F9B"/>
    <w:rsid w:val="00846482"/>
    <w:rsid w:val="00847893"/>
    <w:rsid w:val="00850BC0"/>
    <w:rsid w:val="00851F18"/>
    <w:rsid w:val="008520F9"/>
    <w:rsid w:val="00853413"/>
    <w:rsid w:val="008539C6"/>
    <w:rsid w:val="0085439B"/>
    <w:rsid w:val="008552F9"/>
    <w:rsid w:val="00866951"/>
    <w:rsid w:val="00871215"/>
    <w:rsid w:val="008714F1"/>
    <w:rsid w:val="008728BF"/>
    <w:rsid w:val="00880C20"/>
    <w:rsid w:val="0088151A"/>
    <w:rsid w:val="00882CE3"/>
    <w:rsid w:val="00884099"/>
    <w:rsid w:val="00884E9F"/>
    <w:rsid w:val="0088514A"/>
    <w:rsid w:val="00886C4D"/>
    <w:rsid w:val="008879A4"/>
    <w:rsid w:val="0089026B"/>
    <w:rsid w:val="00892060"/>
    <w:rsid w:val="00892B42"/>
    <w:rsid w:val="00893C5B"/>
    <w:rsid w:val="00893EEC"/>
    <w:rsid w:val="00895456"/>
    <w:rsid w:val="008958C6"/>
    <w:rsid w:val="00895CC8"/>
    <w:rsid w:val="008965C6"/>
    <w:rsid w:val="0089763C"/>
    <w:rsid w:val="00897E9E"/>
    <w:rsid w:val="008A15F1"/>
    <w:rsid w:val="008A3131"/>
    <w:rsid w:val="008A3584"/>
    <w:rsid w:val="008A4D01"/>
    <w:rsid w:val="008A5448"/>
    <w:rsid w:val="008A6136"/>
    <w:rsid w:val="008A6FC9"/>
    <w:rsid w:val="008B05C3"/>
    <w:rsid w:val="008B1858"/>
    <w:rsid w:val="008B2178"/>
    <w:rsid w:val="008B3655"/>
    <w:rsid w:val="008B3C33"/>
    <w:rsid w:val="008B4300"/>
    <w:rsid w:val="008B4965"/>
    <w:rsid w:val="008B51E7"/>
    <w:rsid w:val="008B7316"/>
    <w:rsid w:val="008C2DE2"/>
    <w:rsid w:val="008C3057"/>
    <w:rsid w:val="008C4268"/>
    <w:rsid w:val="008C449B"/>
    <w:rsid w:val="008C6D95"/>
    <w:rsid w:val="008C6E29"/>
    <w:rsid w:val="008D1ABD"/>
    <w:rsid w:val="008D361E"/>
    <w:rsid w:val="008D3F84"/>
    <w:rsid w:val="008D5565"/>
    <w:rsid w:val="008D6E66"/>
    <w:rsid w:val="008E1EC3"/>
    <w:rsid w:val="008E268C"/>
    <w:rsid w:val="008E3170"/>
    <w:rsid w:val="008E3804"/>
    <w:rsid w:val="008E3857"/>
    <w:rsid w:val="008E60D7"/>
    <w:rsid w:val="008F05A8"/>
    <w:rsid w:val="008F092A"/>
    <w:rsid w:val="008F2C71"/>
    <w:rsid w:val="008F68C6"/>
    <w:rsid w:val="008F6BC0"/>
    <w:rsid w:val="008F70D1"/>
    <w:rsid w:val="00900957"/>
    <w:rsid w:val="00900EAF"/>
    <w:rsid w:val="0090137A"/>
    <w:rsid w:val="0090175C"/>
    <w:rsid w:val="00901EF2"/>
    <w:rsid w:val="00902571"/>
    <w:rsid w:val="009036A5"/>
    <w:rsid w:val="009043FE"/>
    <w:rsid w:val="0090601A"/>
    <w:rsid w:val="00911471"/>
    <w:rsid w:val="00913BDA"/>
    <w:rsid w:val="0091423D"/>
    <w:rsid w:val="009148B8"/>
    <w:rsid w:val="00914EEE"/>
    <w:rsid w:val="009154B4"/>
    <w:rsid w:val="00916193"/>
    <w:rsid w:val="00917EE5"/>
    <w:rsid w:val="0092392B"/>
    <w:rsid w:val="009267CB"/>
    <w:rsid w:val="00930098"/>
    <w:rsid w:val="00933E06"/>
    <w:rsid w:val="009345CB"/>
    <w:rsid w:val="00936068"/>
    <w:rsid w:val="00940CF7"/>
    <w:rsid w:val="00946BC3"/>
    <w:rsid w:val="00946D01"/>
    <w:rsid w:val="00950866"/>
    <w:rsid w:val="009517CC"/>
    <w:rsid w:val="009537D9"/>
    <w:rsid w:val="00953D44"/>
    <w:rsid w:val="00953D6D"/>
    <w:rsid w:val="0095748B"/>
    <w:rsid w:val="00957A66"/>
    <w:rsid w:val="00957DD8"/>
    <w:rsid w:val="00957F9A"/>
    <w:rsid w:val="00960B3C"/>
    <w:rsid w:val="0096153F"/>
    <w:rsid w:val="009615D4"/>
    <w:rsid w:val="009626EC"/>
    <w:rsid w:val="00964A28"/>
    <w:rsid w:val="00971B96"/>
    <w:rsid w:val="00971D29"/>
    <w:rsid w:val="009723BF"/>
    <w:rsid w:val="00974677"/>
    <w:rsid w:val="00975349"/>
    <w:rsid w:val="009767CD"/>
    <w:rsid w:val="009809F3"/>
    <w:rsid w:val="0098159C"/>
    <w:rsid w:val="009835B5"/>
    <w:rsid w:val="009838D2"/>
    <w:rsid w:val="00984F18"/>
    <w:rsid w:val="009855C6"/>
    <w:rsid w:val="00985CD2"/>
    <w:rsid w:val="00985E2D"/>
    <w:rsid w:val="0098622C"/>
    <w:rsid w:val="0098648D"/>
    <w:rsid w:val="00987276"/>
    <w:rsid w:val="009901A2"/>
    <w:rsid w:val="00991ADD"/>
    <w:rsid w:val="009935D9"/>
    <w:rsid w:val="00994F5C"/>
    <w:rsid w:val="009977E1"/>
    <w:rsid w:val="009978D5"/>
    <w:rsid w:val="009A0178"/>
    <w:rsid w:val="009A0D72"/>
    <w:rsid w:val="009A1894"/>
    <w:rsid w:val="009A1FC3"/>
    <w:rsid w:val="009A2F17"/>
    <w:rsid w:val="009A39FD"/>
    <w:rsid w:val="009A3BF8"/>
    <w:rsid w:val="009A50F6"/>
    <w:rsid w:val="009A631B"/>
    <w:rsid w:val="009A6A60"/>
    <w:rsid w:val="009A76FA"/>
    <w:rsid w:val="009B065D"/>
    <w:rsid w:val="009B4B2E"/>
    <w:rsid w:val="009B7DA0"/>
    <w:rsid w:val="009B7E3C"/>
    <w:rsid w:val="009C1791"/>
    <w:rsid w:val="009C25E5"/>
    <w:rsid w:val="009C323B"/>
    <w:rsid w:val="009C5432"/>
    <w:rsid w:val="009C5962"/>
    <w:rsid w:val="009C7F03"/>
    <w:rsid w:val="009D1701"/>
    <w:rsid w:val="009D182C"/>
    <w:rsid w:val="009D24F5"/>
    <w:rsid w:val="009D43CB"/>
    <w:rsid w:val="009D6B6E"/>
    <w:rsid w:val="009D7D17"/>
    <w:rsid w:val="009E3555"/>
    <w:rsid w:val="009E3663"/>
    <w:rsid w:val="009E6914"/>
    <w:rsid w:val="009E7BA2"/>
    <w:rsid w:val="009F08BD"/>
    <w:rsid w:val="009F0C60"/>
    <w:rsid w:val="009F0CB3"/>
    <w:rsid w:val="009F1742"/>
    <w:rsid w:val="009F5229"/>
    <w:rsid w:val="009F6400"/>
    <w:rsid w:val="00A01BB5"/>
    <w:rsid w:val="00A024A5"/>
    <w:rsid w:val="00A02526"/>
    <w:rsid w:val="00A06319"/>
    <w:rsid w:val="00A07612"/>
    <w:rsid w:val="00A101A8"/>
    <w:rsid w:val="00A10222"/>
    <w:rsid w:val="00A10AB3"/>
    <w:rsid w:val="00A13664"/>
    <w:rsid w:val="00A155D1"/>
    <w:rsid w:val="00A15FFB"/>
    <w:rsid w:val="00A2164B"/>
    <w:rsid w:val="00A24EF4"/>
    <w:rsid w:val="00A27E44"/>
    <w:rsid w:val="00A329C2"/>
    <w:rsid w:val="00A334C1"/>
    <w:rsid w:val="00A33747"/>
    <w:rsid w:val="00A35F65"/>
    <w:rsid w:val="00A360E9"/>
    <w:rsid w:val="00A36E70"/>
    <w:rsid w:val="00A36F65"/>
    <w:rsid w:val="00A41187"/>
    <w:rsid w:val="00A421C0"/>
    <w:rsid w:val="00A430E2"/>
    <w:rsid w:val="00A47724"/>
    <w:rsid w:val="00A53058"/>
    <w:rsid w:val="00A53601"/>
    <w:rsid w:val="00A53EED"/>
    <w:rsid w:val="00A543EA"/>
    <w:rsid w:val="00A554DD"/>
    <w:rsid w:val="00A55E18"/>
    <w:rsid w:val="00A60C3B"/>
    <w:rsid w:val="00A60D54"/>
    <w:rsid w:val="00A61CA7"/>
    <w:rsid w:val="00A630A4"/>
    <w:rsid w:val="00A67F5C"/>
    <w:rsid w:val="00A70102"/>
    <w:rsid w:val="00A7066E"/>
    <w:rsid w:val="00A723E8"/>
    <w:rsid w:val="00A72603"/>
    <w:rsid w:val="00A74FB7"/>
    <w:rsid w:val="00A75189"/>
    <w:rsid w:val="00A8076D"/>
    <w:rsid w:val="00A80D0F"/>
    <w:rsid w:val="00A812D2"/>
    <w:rsid w:val="00A826DD"/>
    <w:rsid w:val="00A87389"/>
    <w:rsid w:val="00A87AD1"/>
    <w:rsid w:val="00A90151"/>
    <w:rsid w:val="00A916BA"/>
    <w:rsid w:val="00A923FB"/>
    <w:rsid w:val="00A9359B"/>
    <w:rsid w:val="00A949F1"/>
    <w:rsid w:val="00A9559E"/>
    <w:rsid w:val="00A9566D"/>
    <w:rsid w:val="00A95742"/>
    <w:rsid w:val="00A96B24"/>
    <w:rsid w:val="00AA053E"/>
    <w:rsid w:val="00AA163B"/>
    <w:rsid w:val="00AA3BBF"/>
    <w:rsid w:val="00AA59A4"/>
    <w:rsid w:val="00AA73B8"/>
    <w:rsid w:val="00AB16CA"/>
    <w:rsid w:val="00AB23B7"/>
    <w:rsid w:val="00AB40E1"/>
    <w:rsid w:val="00AB5F12"/>
    <w:rsid w:val="00AB7A50"/>
    <w:rsid w:val="00AC0558"/>
    <w:rsid w:val="00AC2BB6"/>
    <w:rsid w:val="00AC41ED"/>
    <w:rsid w:val="00AC60E2"/>
    <w:rsid w:val="00AC721F"/>
    <w:rsid w:val="00AD0A1C"/>
    <w:rsid w:val="00AD29FF"/>
    <w:rsid w:val="00AD5ED9"/>
    <w:rsid w:val="00AD78CC"/>
    <w:rsid w:val="00AE003B"/>
    <w:rsid w:val="00AE027F"/>
    <w:rsid w:val="00AE0282"/>
    <w:rsid w:val="00AE0BE8"/>
    <w:rsid w:val="00AE26D1"/>
    <w:rsid w:val="00AE3FC4"/>
    <w:rsid w:val="00AE49E2"/>
    <w:rsid w:val="00AF133B"/>
    <w:rsid w:val="00AF5D81"/>
    <w:rsid w:val="00AF62C8"/>
    <w:rsid w:val="00AF70C5"/>
    <w:rsid w:val="00AF72B6"/>
    <w:rsid w:val="00B03D86"/>
    <w:rsid w:val="00B04C3C"/>
    <w:rsid w:val="00B0541F"/>
    <w:rsid w:val="00B055E5"/>
    <w:rsid w:val="00B06E65"/>
    <w:rsid w:val="00B131CF"/>
    <w:rsid w:val="00B143DA"/>
    <w:rsid w:val="00B15184"/>
    <w:rsid w:val="00B153EB"/>
    <w:rsid w:val="00B158DA"/>
    <w:rsid w:val="00B16029"/>
    <w:rsid w:val="00B20244"/>
    <w:rsid w:val="00B22CF2"/>
    <w:rsid w:val="00B23603"/>
    <w:rsid w:val="00B255CB"/>
    <w:rsid w:val="00B27451"/>
    <w:rsid w:val="00B30B82"/>
    <w:rsid w:val="00B32D6C"/>
    <w:rsid w:val="00B32DB0"/>
    <w:rsid w:val="00B36642"/>
    <w:rsid w:val="00B3749D"/>
    <w:rsid w:val="00B415E1"/>
    <w:rsid w:val="00B41B57"/>
    <w:rsid w:val="00B43884"/>
    <w:rsid w:val="00B44855"/>
    <w:rsid w:val="00B4799B"/>
    <w:rsid w:val="00B50B38"/>
    <w:rsid w:val="00B524CE"/>
    <w:rsid w:val="00B53407"/>
    <w:rsid w:val="00B54989"/>
    <w:rsid w:val="00B567DC"/>
    <w:rsid w:val="00B568D9"/>
    <w:rsid w:val="00B60471"/>
    <w:rsid w:val="00B6227A"/>
    <w:rsid w:val="00B63120"/>
    <w:rsid w:val="00B63B3B"/>
    <w:rsid w:val="00B63D81"/>
    <w:rsid w:val="00B65C98"/>
    <w:rsid w:val="00B65DAA"/>
    <w:rsid w:val="00B6672F"/>
    <w:rsid w:val="00B669F3"/>
    <w:rsid w:val="00B66B2F"/>
    <w:rsid w:val="00B709B6"/>
    <w:rsid w:val="00B732D2"/>
    <w:rsid w:val="00B73A76"/>
    <w:rsid w:val="00B74F7F"/>
    <w:rsid w:val="00B75934"/>
    <w:rsid w:val="00B75B08"/>
    <w:rsid w:val="00B761B0"/>
    <w:rsid w:val="00B764D2"/>
    <w:rsid w:val="00B80769"/>
    <w:rsid w:val="00B81D59"/>
    <w:rsid w:val="00B87859"/>
    <w:rsid w:val="00B90260"/>
    <w:rsid w:val="00B91D47"/>
    <w:rsid w:val="00B92067"/>
    <w:rsid w:val="00B9234C"/>
    <w:rsid w:val="00B92686"/>
    <w:rsid w:val="00B96720"/>
    <w:rsid w:val="00BA01DD"/>
    <w:rsid w:val="00BA18B6"/>
    <w:rsid w:val="00BA354F"/>
    <w:rsid w:val="00BA3CB8"/>
    <w:rsid w:val="00BA3E0C"/>
    <w:rsid w:val="00BA7623"/>
    <w:rsid w:val="00BA7900"/>
    <w:rsid w:val="00BA7D94"/>
    <w:rsid w:val="00BB04F7"/>
    <w:rsid w:val="00BB13C7"/>
    <w:rsid w:val="00BB2AD4"/>
    <w:rsid w:val="00BB2FC2"/>
    <w:rsid w:val="00BB3F73"/>
    <w:rsid w:val="00BB4E8D"/>
    <w:rsid w:val="00BB6C53"/>
    <w:rsid w:val="00BB7721"/>
    <w:rsid w:val="00BC1059"/>
    <w:rsid w:val="00BC1CB4"/>
    <w:rsid w:val="00BC2AB7"/>
    <w:rsid w:val="00BC639A"/>
    <w:rsid w:val="00BC6CAC"/>
    <w:rsid w:val="00BC7F41"/>
    <w:rsid w:val="00BD295F"/>
    <w:rsid w:val="00BD360D"/>
    <w:rsid w:val="00BD5C07"/>
    <w:rsid w:val="00BD67DE"/>
    <w:rsid w:val="00BE17DE"/>
    <w:rsid w:val="00BE1FC3"/>
    <w:rsid w:val="00BE5348"/>
    <w:rsid w:val="00BE778F"/>
    <w:rsid w:val="00BF1E68"/>
    <w:rsid w:val="00BF1EB8"/>
    <w:rsid w:val="00BF29B5"/>
    <w:rsid w:val="00BF37C3"/>
    <w:rsid w:val="00BF57D7"/>
    <w:rsid w:val="00BF660D"/>
    <w:rsid w:val="00BF68C8"/>
    <w:rsid w:val="00C00C1A"/>
    <w:rsid w:val="00C010FF"/>
    <w:rsid w:val="00C01E68"/>
    <w:rsid w:val="00C02941"/>
    <w:rsid w:val="00C02E67"/>
    <w:rsid w:val="00C0739C"/>
    <w:rsid w:val="00C10341"/>
    <w:rsid w:val="00C11924"/>
    <w:rsid w:val="00C147AF"/>
    <w:rsid w:val="00C14C10"/>
    <w:rsid w:val="00C1555D"/>
    <w:rsid w:val="00C1729E"/>
    <w:rsid w:val="00C20D28"/>
    <w:rsid w:val="00C23715"/>
    <w:rsid w:val="00C326F9"/>
    <w:rsid w:val="00C32EA6"/>
    <w:rsid w:val="00C33E09"/>
    <w:rsid w:val="00C34C00"/>
    <w:rsid w:val="00C35C05"/>
    <w:rsid w:val="00C35CA4"/>
    <w:rsid w:val="00C37A29"/>
    <w:rsid w:val="00C41DED"/>
    <w:rsid w:val="00C4364A"/>
    <w:rsid w:val="00C44945"/>
    <w:rsid w:val="00C473E1"/>
    <w:rsid w:val="00C505FB"/>
    <w:rsid w:val="00C519BB"/>
    <w:rsid w:val="00C54711"/>
    <w:rsid w:val="00C547A7"/>
    <w:rsid w:val="00C54C64"/>
    <w:rsid w:val="00C6196C"/>
    <w:rsid w:val="00C6275C"/>
    <w:rsid w:val="00C64228"/>
    <w:rsid w:val="00C643E8"/>
    <w:rsid w:val="00C669DD"/>
    <w:rsid w:val="00C7022A"/>
    <w:rsid w:val="00C70EFC"/>
    <w:rsid w:val="00C71E4D"/>
    <w:rsid w:val="00C721B7"/>
    <w:rsid w:val="00C75F7C"/>
    <w:rsid w:val="00C80880"/>
    <w:rsid w:val="00C82A95"/>
    <w:rsid w:val="00C835AC"/>
    <w:rsid w:val="00C844DC"/>
    <w:rsid w:val="00C85107"/>
    <w:rsid w:val="00C932F3"/>
    <w:rsid w:val="00C9665A"/>
    <w:rsid w:val="00C9775B"/>
    <w:rsid w:val="00CA1F4E"/>
    <w:rsid w:val="00CB0362"/>
    <w:rsid w:val="00CB16A5"/>
    <w:rsid w:val="00CB1AB7"/>
    <w:rsid w:val="00CB300E"/>
    <w:rsid w:val="00CC1E4F"/>
    <w:rsid w:val="00CC2809"/>
    <w:rsid w:val="00CC28EA"/>
    <w:rsid w:val="00CC3F9E"/>
    <w:rsid w:val="00CC7F0E"/>
    <w:rsid w:val="00CD2CEE"/>
    <w:rsid w:val="00CD4623"/>
    <w:rsid w:val="00CD61EB"/>
    <w:rsid w:val="00CD67F8"/>
    <w:rsid w:val="00CE13B6"/>
    <w:rsid w:val="00CE18DB"/>
    <w:rsid w:val="00CE1A71"/>
    <w:rsid w:val="00CE29B7"/>
    <w:rsid w:val="00CE31CA"/>
    <w:rsid w:val="00CE4F09"/>
    <w:rsid w:val="00CE5BE7"/>
    <w:rsid w:val="00CE7110"/>
    <w:rsid w:val="00CE774E"/>
    <w:rsid w:val="00CF02F0"/>
    <w:rsid w:val="00CF0A32"/>
    <w:rsid w:val="00CF2C51"/>
    <w:rsid w:val="00CF3CE4"/>
    <w:rsid w:val="00CF66C8"/>
    <w:rsid w:val="00CF6BF5"/>
    <w:rsid w:val="00D02612"/>
    <w:rsid w:val="00D02F4B"/>
    <w:rsid w:val="00D0354B"/>
    <w:rsid w:val="00D03567"/>
    <w:rsid w:val="00D1207B"/>
    <w:rsid w:val="00D140C0"/>
    <w:rsid w:val="00D151CF"/>
    <w:rsid w:val="00D16981"/>
    <w:rsid w:val="00D16B67"/>
    <w:rsid w:val="00D16B9B"/>
    <w:rsid w:val="00D16DF5"/>
    <w:rsid w:val="00D16F74"/>
    <w:rsid w:val="00D173B7"/>
    <w:rsid w:val="00D20647"/>
    <w:rsid w:val="00D209C5"/>
    <w:rsid w:val="00D23951"/>
    <w:rsid w:val="00D279A7"/>
    <w:rsid w:val="00D27A03"/>
    <w:rsid w:val="00D366A4"/>
    <w:rsid w:val="00D375C3"/>
    <w:rsid w:val="00D40051"/>
    <w:rsid w:val="00D402F7"/>
    <w:rsid w:val="00D408A1"/>
    <w:rsid w:val="00D40DF7"/>
    <w:rsid w:val="00D43589"/>
    <w:rsid w:val="00D436E4"/>
    <w:rsid w:val="00D44146"/>
    <w:rsid w:val="00D4502F"/>
    <w:rsid w:val="00D45B9F"/>
    <w:rsid w:val="00D60649"/>
    <w:rsid w:val="00D61E88"/>
    <w:rsid w:val="00D636F8"/>
    <w:rsid w:val="00D63B34"/>
    <w:rsid w:val="00D64185"/>
    <w:rsid w:val="00D70FB5"/>
    <w:rsid w:val="00D72808"/>
    <w:rsid w:val="00D75252"/>
    <w:rsid w:val="00D763C5"/>
    <w:rsid w:val="00D82889"/>
    <w:rsid w:val="00D83923"/>
    <w:rsid w:val="00D86E0B"/>
    <w:rsid w:val="00D92D1D"/>
    <w:rsid w:val="00D9419D"/>
    <w:rsid w:val="00D94694"/>
    <w:rsid w:val="00D96321"/>
    <w:rsid w:val="00D96591"/>
    <w:rsid w:val="00D97029"/>
    <w:rsid w:val="00D97B01"/>
    <w:rsid w:val="00D97D7A"/>
    <w:rsid w:val="00DA0724"/>
    <w:rsid w:val="00DA0C47"/>
    <w:rsid w:val="00DA2C04"/>
    <w:rsid w:val="00DA3425"/>
    <w:rsid w:val="00DA3B31"/>
    <w:rsid w:val="00DA3CEE"/>
    <w:rsid w:val="00DA55BC"/>
    <w:rsid w:val="00DA5F2F"/>
    <w:rsid w:val="00DA6836"/>
    <w:rsid w:val="00DA6DF1"/>
    <w:rsid w:val="00DA6E2B"/>
    <w:rsid w:val="00DA7D41"/>
    <w:rsid w:val="00DB051E"/>
    <w:rsid w:val="00DB5828"/>
    <w:rsid w:val="00DB58C4"/>
    <w:rsid w:val="00DC0166"/>
    <w:rsid w:val="00DC2033"/>
    <w:rsid w:val="00DC208E"/>
    <w:rsid w:val="00DC4AC0"/>
    <w:rsid w:val="00DC56FD"/>
    <w:rsid w:val="00DC7D47"/>
    <w:rsid w:val="00DD0274"/>
    <w:rsid w:val="00DD037E"/>
    <w:rsid w:val="00DD22B2"/>
    <w:rsid w:val="00DD2BF2"/>
    <w:rsid w:val="00DD7275"/>
    <w:rsid w:val="00DE05BF"/>
    <w:rsid w:val="00DE28D9"/>
    <w:rsid w:val="00DE3722"/>
    <w:rsid w:val="00DE62A7"/>
    <w:rsid w:val="00DE649A"/>
    <w:rsid w:val="00DE6AF6"/>
    <w:rsid w:val="00DF3438"/>
    <w:rsid w:val="00DF4E3E"/>
    <w:rsid w:val="00DF6568"/>
    <w:rsid w:val="00DF7B9C"/>
    <w:rsid w:val="00E0290F"/>
    <w:rsid w:val="00E0453D"/>
    <w:rsid w:val="00E05FA6"/>
    <w:rsid w:val="00E0638A"/>
    <w:rsid w:val="00E07E85"/>
    <w:rsid w:val="00E11328"/>
    <w:rsid w:val="00E1183E"/>
    <w:rsid w:val="00E131EB"/>
    <w:rsid w:val="00E149A7"/>
    <w:rsid w:val="00E171C8"/>
    <w:rsid w:val="00E23338"/>
    <w:rsid w:val="00E245C6"/>
    <w:rsid w:val="00E24696"/>
    <w:rsid w:val="00E24D83"/>
    <w:rsid w:val="00E25474"/>
    <w:rsid w:val="00E2704A"/>
    <w:rsid w:val="00E27A5F"/>
    <w:rsid w:val="00E30DC4"/>
    <w:rsid w:val="00E3165F"/>
    <w:rsid w:val="00E3199B"/>
    <w:rsid w:val="00E31B40"/>
    <w:rsid w:val="00E323DD"/>
    <w:rsid w:val="00E32F93"/>
    <w:rsid w:val="00E3351E"/>
    <w:rsid w:val="00E3425C"/>
    <w:rsid w:val="00E34FDB"/>
    <w:rsid w:val="00E35884"/>
    <w:rsid w:val="00E404C0"/>
    <w:rsid w:val="00E41DB8"/>
    <w:rsid w:val="00E42C4A"/>
    <w:rsid w:val="00E42E3C"/>
    <w:rsid w:val="00E42FA2"/>
    <w:rsid w:val="00E471AC"/>
    <w:rsid w:val="00E47A4A"/>
    <w:rsid w:val="00E505B5"/>
    <w:rsid w:val="00E50D7B"/>
    <w:rsid w:val="00E54662"/>
    <w:rsid w:val="00E5498D"/>
    <w:rsid w:val="00E54B2B"/>
    <w:rsid w:val="00E5537B"/>
    <w:rsid w:val="00E55D4D"/>
    <w:rsid w:val="00E60638"/>
    <w:rsid w:val="00E6157C"/>
    <w:rsid w:val="00E616BD"/>
    <w:rsid w:val="00E62640"/>
    <w:rsid w:val="00E65245"/>
    <w:rsid w:val="00E714C6"/>
    <w:rsid w:val="00E72691"/>
    <w:rsid w:val="00E7334A"/>
    <w:rsid w:val="00E760D1"/>
    <w:rsid w:val="00E761B1"/>
    <w:rsid w:val="00E77F23"/>
    <w:rsid w:val="00E81DA0"/>
    <w:rsid w:val="00E82606"/>
    <w:rsid w:val="00E86CD1"/>
    <w:rsid w:val="00E900BF"/>
    <w:rsid w:val="00E97109"/>
    <w:rsid w:val="00EA07B1"/>
    <w:rsid w:val="00EA1943"/>
    <w:rsid w:val="00EA34EE"/>
    <w:rsid w:val="00EA41D8"/>
    <w:rsid w:val="00EA5A74"/>
    <w:rsid w:val="00EB1068"/>
    <w:rsid w:val="00EB1310"/>
    <w:rsid w:val="00EB5D33"/>
    <w:rsid w:val="00EC43C0"/>
    <w:rsid w:val="00EC7F4E"/>
    <w:rsid w:val="00ED0FD2"/>
    <w:rsid w:val="00ED3DBC"/>
    <w:rsid w:val="00ED53E7"/>
    <w:rsid w:val="00ED5E76"/>
    <w:rsid w:val="00EE1AA8"/>
    <w:rsid w:val="00EE28B0"/>
    <w:rsid w:val="00EE40F7"/>
    <w:rsid w:val="00EE6F14"/>
    <w:rsid w:val="00EE73A4"/>
    <w:rsid w:val="00EE7DAF"/>
    <w:rsid w:val="00EF06EB"/>
    <w:rsid w:val="00EF09A7"/>
    <w:rsid w:val="00EF1F4A"/>
    <w:rsid w:val="00EF3F23"/>
    <w:rsid w:val="00EF41E2"/>
    <w:rsid w:val="00EF4731"/>
    <w:rsid w:val="00EF5942"/>
    <w:rsid w:val="00EF6BEE"/>
    <w:rsid w:val="00F020B8"/>
    <w:rsid w:val="00F02721"/>
    <w:rsid w:val="00F05B15"/>
    <w:rsid w:val="00F05ED2"/>
    <w:rsid w:val="00F0685A"/>
    <w:rsid w:val="00F1079A"/>
    <w:rsid w:val="00F131EC"/>
    <w:rsid w:val="00F14804"/>
    <w:rsid w:val="00F162D4"/>
    <w:rsid w:val="00F23186"/>
    <w:rsid w:val="00F23219"/>
    <w:rsid w:val="00F23CCF"/>
    <w:rsid w:val="00F253EE"/>
    <w:rsid w:val="00F25B1F"/>
    <w:rsid w:val="00F26B4C"/>
    <w:rsid w:val="00F26EFE"/>
    <w:rsid w:val="00F2746A"/>
    <w:rsid w:val="00F27734"/>
    <w:rsid w:val="00F316E5"/>
    <w:rsid w:val="00F320CC"/>
    <w:rsid w:val="00F3212D"/>
    <w:rsid w:val="00F32159"/>
    <w:rsid w:val="00F3338D"/>
    <w:rsid w:val="00F34490"/>
    <w:rsid w:val="00F356DB"/>
    <w:rsid w:val="00F3755B"/>
    <w:rsid w:val="00F37B1F"/>
    <w:rsid w:val="00F4010B"/>
    <w:rsid w:val="00F4301C"/>
    <w:rsid w:val="00F4543F"/>
    <w:rsid w:val="00F46AE8"/>
    <w:rsid w:val="00F46CDB"/>
    <w:rsid w:val="00F4702C"/>
    <w:rsid w:val="00F505B8"/>
    <w:rsid w:val="00F50C90"/>
    <w:rsid w:val="00F51539"/>
    <w:rsid w:val="00F51871"/>
    <w:rsid w:val="00F51B74"/>
    <w:rsid w:val="00F5244C"/>
    <w:rsid w:val="00F5338E"/>
    <w:rsid w:val="00F53397"/>
    <w:rsid w:val="00F56C8D"/>
    <w:rsid w:val="00F60108"/>
    <w:rsid w:val="00F62737"/>
    <w:rsid w:val="00F62F08"/>
    <w:rsid w:val="00F634F6"/>
    <w:rsid w:val="00F6367B"/>
    <w:rsid w:val="00F63898"/>
    <w:rsid w:val="00F64B0D"/>
    <w:rsid w:val="00F655D7"/>
    <w:rsid w:val="00F73386"/>
    <w:rsid w:val="00F73816"/>
    <w:rsid w:val="00F746D4"/>
    <w:rsid w:val="00F77CC9"/>
    <w:rsid w:val="00F82B04"/>
    <w:rsid w:val="00F86F03"/>
    <w:rsid w:val="00F87B07"/>
    <w:rsid w:val="00F9020E"/>
    <w:rsid w:val="00F90BBA"/>
    <w:rsid w:val="00F92D84"/>
    <w:rsid w:val="00F9364A"/>
    <w:rsid w:val="00F939A0"/>
    <w:rsid w:val="00F93B2B"/>
    <w:rsid w:val="00F944B4"/>
    <w:rsid w:val="00F94880"/>
    <w:rsid w:val="00F94F45"/>
    <w:rsid w:val="00F957F7"/>
    <w:rsid w:val="00FA03B7"/>
    <w:rsid w:val="00FA0BE5"/>
    <w:rsid w:val="00FA363C"/>
    <w:rsid w:val="00FA3B61"/>
    <w:rsid w:val="00FA4B0E"/>
    <w:rsid w:val="00FA4C32"/>
    <w:rsid w:val="00FA579A"/>
    <w:rsid w:val="00FA5A1D"/>
    <w:rsid w:val="00FA7584"/>
    <w:rsid w:val="00FA7D26"/>
    <w:rsid w:val="00FB0D65"/>
    <w:rsid w:val="00FB2BE7"/>
    <w:rsid w:val="00FB35EA"/>
    <w:rsid w:val="00FB3B30"/>
    <w:rsid w:val="00FB4A9F"/>
    <w:rsid w:val="00FB4AC1"/>
    <w:rsid w:val="00FB553B"/>
    <w:rsid w:val="00FB5A84"/>
    <w:rsid w:val="00FC2D8B"/>
    <w:rsid w:val="00FC3609"/>
    <w:rsid w:val="00FC42F0"/>
    <w:rsid w:val="00FC6D14"/>
    <w:rsid w:val="00FC78B8"/>
    <w:rsid w:val="00FC7A9B"/>
    <w:rsid w:val="00FD0B57"/>
    <w:rsid w:val="00FD0FD2"/>
    <w:rsid w:val="00FD3306"/>
    <w:rsid w:val="00FD50F2"/>
    <w:rsid w:val="00FD596B"/>
    <w:rsid w:val="00FD6806"/>
    <w:rsid w:val="00FE0ABE"/>
    <w:rsid w:val="00FE0B6E"/>
    <w:rsid w:val="00FE19C5"/>
    <w:rsid w:val="00FE57D8"/>
    <w:rsid w:val="00FE6493"/>
    <w:rsid w:val="00FE6933"/>
    <w:rsid w:val="00FF4D3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8500"/>
  <w15:chartTrackingRefBased/>
  <w15:docId w15:val="{31DBF762-787B-437C-A3B9-AA851A9AB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87E"/>
    <w:pPr>
      <w:spacing w:after="120" w:line="240" w:lineRule="auto"/>
    </w:pPr>
    <w:rPr>
      <w:sz w:val="24"/>
    </w:rPr>
  </w:style>
  <w:style w:type="paragraph" w:styleId="Heading1">
    <w:name w:val="heading 1"/>
    <w:basedOn w:val="Normal"/>
    <w:next w:val="Normal"/>
    <w:link w:val="Heading1Char"/>
    <w:uiPriority w:val="9"/>
    <w:qFormat/>
    <w:rsid w:val="00A67F5C"/>
    <w:pPr>
      <w:keepNext/>
      <w:keepLines/>
      <w:pageBreakBefore/>
      <w:spacing w:before="360"/>
      <w:outlineLvl w:val="0"/>
    </w:pPr>
    <w:rPr>
      <w:rFonts w:asciiTheme="majorHAnsi" w:eastAsiaTheme="majorEastAsia" w:hAnsiTheme="majorHAnsi" w:cstheme="majorBidi"/>
      <w:b/>
      <w:color w:val="6B211B"/>
      <w:sz w:val="40"/>
      <w:szCs w:val="32"/>
    </w:rPr>
  </w:style>
  <w:style w:type="paragraph" w:styleId="Heading2">
    <w:name w:val="heading 2"/>
    <w:basedOn w:val="Normal"/>
    <w:next w:val="Normal"/>
    <w:link w:val="Heading2Char"/>
    <w:uiPriority w:val="9"/>
    <w:unhideWhenUsed/>
    <w:qFormat/>
    <w:rsid w:val="005216CF"/>
    <w:pPr>
      <w:keepNext/>
      <w:keepLines/>
      <w:spacing w:before="240"/>
      <w:outlineLvl w:val="1"/>
    </w:pPr>
    <w:rPr>
      <w:rFonts w:asciiTheme="majorHAnsi" w:eastAsiaTheme="majorEastAsia" w:hAnsiTheme="majorHAnsi" w:cstheme="majorBidi"/>
      <w:b/>
      <w:color w:val="943220"/>
      <w:sz w:val="32"/>
      <w:szCs w:val="26"/>
    </w:rPr>
  </w:style>
  <w:style w:type="paragraph" w:styleId="Heading3">
    <w:name w:val="heading 3"/>
    <w:basedOn w:val="Normal"/>
    <w:next w:val="Normal"/>
    <w:link w:val="Heading3Char"/>
    <w:uiPriority w:val="9"/>
    <w:unhideWhenUsed/>
    <w:qFormat/>
    <w:rsid w:val="005216CF"/>
    <w:pPr>
      <w:keepNext/>
      <w:keepLines/>
      <w:spacing w:before="240"/>
      <w:outlineLvl w:val="2"/>
    </w:pPr>
    <w:rPr>
      <w:rFonts w:asciiTheme="majorHAnsi" w:eastAsiaTheme="majorEastAsia" w:hAnsiTheme="majorHAnsi" w:cstheme="majorBidi"/>
      <w:b/>
      <w:color w:val="6B211B"/>
      <w:sz w:val="28"/>
      <w:szCs w:val="24"/>
    </w:rPr>
  </w:style>
  <w:style w:type="paragraph" w:styleId="Heading4">
    <w:name w:val="heading 4"/>
    <w:basedOn w:val="Normal"/>
    <w:next w:val="Normal"/>
    <w:link w:val="Heading4Char"/>
    <w:uiPriority w:val="9"/>
    <w:unhideWhenUsed/>
    <w:qFormat/>
    <w:rsid w:val="00F51539"/>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rsid w:val="00A9559E"/>
    <w:pPr>
      <w:keepNext/>
      <w:keepLines/>
      <w:spacing w:before="40" w:after="0"/>
      <w:ind w:left="1152" w:hanging="1152"/>
      <w:outlineLvl w:val="5"/>
    </w:pPr>
    <w:rPr>
      <w:rFonts w:asciiTheme="majorHAnsi" w:eastAsiaTheme="majorEastAsia" w:hAnsiTheme="majorHAnsi" w:cstheme="majorBidi"/>
      <w:color w:val="001F28" w:themeColor="accent1" w:themeShade="7F"/>
    </w:rPr>
  </w:style>
  <w:style w:type="paragraph" w:styleId="Heading7">
    <w:name w:val="heading 7"/>
    <w:basedOn w:val="Normal"/>
    <w:next w:val="Normal"/>
    <w:link w:val="Heading7Char"/>
    <w:uiPriority w:val="9"/>
    <w:semiHidden/>
    <w:qFormat/>
    <w:rsid w:val="00A9559E"/>
    <w:pPr>
      <w:keepNext/>
      <w:keepLines/>
      <w:spacing w:before="40" w:after="0"/>
      <w:ind w:left="1296" w:hanging="1296"/>
      <w:outlineLvl w:val="6"/>
    </w:pPr>
    <w:rPr>
      <w:rFonts w:asciiTheme="majorHAnsi" w:eastAsiaTheme="majorEastAsia" w:hAnsiTheme="majorHAnsi" w:cstheme="majorBidi"/>
      <w:i/>
      <w:iCs/>
      <w:color w:val="001F28" w:themeColor="accent1" w:themeShade="7F"/>
    </w:rPr>
  </w:style>
  <w:style w:type="paragraph" w:styleId="Heading8">
    <w:name w:val="heading 8"/>
    <w:basedOn w:val="Normal"/>
    <w:next w:val="Normal"/>
    <w:link w:val="Heading8Char"/>
    <w:uiPriority w:val="9"/>
    <w:semiHidden/>
    <w:qFormat/>
    <w:rsid w:val="00A9559E"/>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A9559E"/>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B63120"/>
    <w:pPr>
      <w:spacing w:after="0" w:line="252" w:lineRule="auto"/>
    </w:pPr>
    <w:rPr>
      <w:sz w:val="24"/>
    </w:rPr>
  </w:style>
  <w:style w:type="paragraph" w:styleId="ListBullet">
    <w:name w:val="List Bullet"/>
    <w:basedOn w:val="Normal"/>
    <w:uiPriority w:val="99"/>
    <w:unhideWhenUsed/>
    <w:qFormat/>
    <w:rsid w:val="00A923FB"/>
    <w:pPr>
      <w:numPr>
        <w:numId w:val="6"/>
      </w:numPr>
      <w:contextualSpacing/>
    </w:pPr>
  </w:style>
  <w:style w:type="paragraph" w:styleId="ListBullet2">
    <w:name w:val="List Bullet 2"/>
    <w:basedOn w:val="Normal"/>
    <w:uiPriority w:val="99"/>
    <w:unhideWhenUsed/>
    <w:qFormat/>
    <w:rsid w:val="00F77CC9"/>
    <w:pPr>
      <w:numPr>
        <w:ilvl w:val="1"/>
        <w:numId w:val="6"/>
      </w:numPr>
      <w:contextualSpacing/>
    </w:pPr>
  </w:style>
  <w:style w:type="paragraph" w:styleId="ListNumber">
    <w:name w:val="List Number"/>
    <w:basedOn w:val="Normal"/>
    <w:uiPriority w:val="99"/>
    <w:unhideWhenUsed/>
    <w:qFormat/>
    <w:rsid w:val="00F77CC9"/>
    <w:pPr>
      <w:numPr>
        <w:numId w:val="7"/>
      </w:numPr>
      <w:contextualSpacing/>
    </w:pPr>
  </w:style>
  <w:style w:type="numbering" w:customStyle="1" w:styleId="Bullets">
    <w:name w:val="Bullets"/>
    <w:uiPriority w:val="99"/>
    <w:rsid w:val="00F77CC9"/>
    <w:pPr>
      <w:numPr>
        <w:numId w:val="1"/>
      </w:numPr>
    </w:pPr>
  </w:style>
  <w:style w:type="character" w:customStyle="1" w:styleId="Heading1Char">
    <w:name w:val="Heading 1 Char"/>
    <w:basedOn w:val="DefaultParagraphFont"/>
    <w:link w:val="Heading1"/>
    <w:uiPriority w:val="9"/>
    <w:rsid w:val="00A67F5C"/>
    <w:rPr>
      <w:rFonts w:asciiTheme="majorHAnsi" w:eastAsiaTheme="majorEastAsia" w:hAnsiTheme="majorHAnsi" w:cstheme="majorBidi"/>
      <w:b/>
      <w:color w:val="6B211B"/>
      <w:sz w:val="40"/>
      <w:szCs w:val="32"/>
    </w:rPr>
  </w:style>
  <w:style w:type="paragraph" w:styleId="ListNumber2">
    <w:name w:val="List Number 2"/>
    <w:basedOn w:val="Normal"/>
    <w:uiPriority w:val="99"/>
    <w:unhideWhenUsed/>
    <w:qFormat/>
    <w:rsid w:val="00F77CC9"/>
    <w:pPr>
      <w:numPr>
        <w:ilvl w:val="1"/>
        <w:numId w:val="7"/>
      </w:numPr>
      <w:contextualSpacing/>
    </w:pPr>
  </w:style>
  <w:style w:type="character" w:customStyle="1" w:styleId="Heading2Char">
    <w:name w:val="Heading 2 Char"/>
    <w:basedOn w:val="DefaultParagraphFont"/>
    <w:link w:val="Heading2"/>
    <w:uiPriority w:val="9"/>
    <w:rsid w:val="005216CF"/>
    <w:rPr>
      <w:rFonts w:asciiTheme="majorHAnsi" w:eastAsiaTheme="majorEastAsia" w:hAnsiTheme="majorHAnsi" w:cstheme="majorBidi"/>
      <w:b/>
      <w:color w:val="943220"/>
      <w:sz w:val="32"/>
      <w:szCs w:val="26"/>
    </w:rPr>
  </w:style>
  <w:style w:type="paragraph" w:styleId="ListParagraph">
    <w:name w:val="List Paragraph"/>
    <w:aliases w:val="Body copy bullets"/>
    <w:basedOn w:val="Normal"/>
    <w:link w:val="ListParagraphChar"/>
    <w:uiPriority w:val="34"/>
    <w:qFormat/>
    <w:rsid w:val="00594496"/>
    <w:pPr>
      <w:ind w:left="284"/>
      <w:contextualSpacing/>
    </w:pPr>
  </w:style>
  <w:style w:type="paragraph" w:styleId="Header">
    <w:name w:val="header"/>
    <w:basedOn w:val="Normal"/>
    <w:link w:val="HeaderChar"/>
    <w:uiPriority w:val="99"/>
    <w:unhideWhenUsed/>
    <w:rsid w:val="00E34FDB"/>
    <w:pPr>
      <w:tabs>
        <w:tab w:val="center" w:pos="4513"/>
        <w:tab w:val="right" w:pos="9026"/>
      </w:tabs>
      <w:spacing w:after="0"/>
    </w:pPr>
  </w:style>
  <w:style w:type="character" w:customStyle="1" w:styleId="HeaderChar">
    <w:name w:val="Header Char"/>
    <w:basedOn w:val="DefaultParagraphFont"/>
    <w:link w:val="Header"/>
    <w:uiPriority w:val="99"/>
    <w:rsid w:val="00E34FDB"/>
    <w:rPr>
      <w:sz w:val="24"/>
    </w:rPr>
  </w:style>
  <w:style w:type="paragraph" w:styleId="Footer">
    <w:name w:val="footer"/>
    <w:basedOn w:val="Normal"/>
    <w:link w:val="FooterChar"/>
    <w:uiPriority w:val="99"/>
    <w:unhideWhenUsed/>
    <w:rsid w:val="00AF133B"/>
    <w:pPr>
      <w:tabs>
        <w:tab w:val="center" w:pos="4513"/>
        <w:tab w:val="right" w:pos="9026"/>
      </w:tabs>
      <w:spacing w:after="0"/>
    </w:pPr>
    <w:rPr>
      <w:b/>
      <w:sz w:val="22"/>
    </w:rPr>
  </w:style>
  <w:style w:type="character" w:customStyle="1" w:styleId="FooterChar">
    <w:name w:val="Footer Char"/>
    <w:basedOn w:val="DefaultParagraphFont"/>
    <w:link w:val="Footer"/>
    <w:uiPriority w:val="99"/>
    <w:rsid w:val="00AF133B"/>
    <w:rPr>
      <w:b/>
    </w:rPr>
  </w:style>
  <w:style w:type="numbering" w:customStyle="1" w:styleId="Numbering">
    <w:name w:val="Numbering"/>
    <w:uiPriority w:val="99"/>
    <w:rsid w:val="00F77CC9"/>
    <w:pPr>
      <w:numPr>
        <w:numId w:val="2"/>
      </w:numPr>
    </w:pPr>
  </w:style>
  <w:style w:type="paragraph" w:styleId="ListBullet3">
    <w:name w:val="List Bullet 3"/>
    <w:basedOn w:val="Normal"/>
    <w:uiPriority w:val="99"/>
    <w:unhideWhenUsed/>
    <w:rsid w:val="00F77CC9"/>
    <w:pPr>
      <w:numPr>
        <w:ilvl w:val="2"/>
        <w:numId w:val="6"/>
      </w:numPr>
      <w:contextualSpacing/>
    </w:pPr>
  </w:style>
  <w:style w:type="paragraph" w:styleId="ListContinue2">
    <w:name w:val="List Continue 2"/>
    <w:basedOn w:val="Normal"/>
    <w:uiPriority w:val="99"/>
    <w:unhideWhenUsed/>
    <w:qFormat/>
    <w:rsid w:val="00F77CC9"/>
    <w:pPr>
      <w:ind w:left="680"/>
      <w:contextualSpacing/>
    </w:pPr>
  </w:style>
  <w:style w:type="paragraph" w:styleId="ListNumber3">
    <w:name w:val="List Number 3"/>
    <w:basedOn w:val="Normal"/>
    <w:uiPriority w:val="99"/>
    <w:unhideWhenUsed/>
    <w:qFormat/>
    <w:rsid w:val="00F77CC9"/>
    <w:pPr>
      <w:numPr>
        <w:ilvl w:val="2"/>
        <w:numId w:val="7"/>
      </w:numPr>
      <w:contextualSpacing/>
    </w:pPr>
  </w:style>
  <w:style w:type="paragraph" w:styleId="ListNumber4">
    <w:name w:val="List Number 4"/>
    <w:basedOn w:val="Normal"/>
    <w:uiPriority w:val="99"/>
    <w:unhideWhenUsed/>
    <w:qFormat/>
    <w:rsid w:val="00F77CC9"/>
    <w:pPr>
      <w:numPr>
        <w:ilvl w:val="3"/>
        <w:numId w:val="7"/>
      </w:numPr>
      <w:contextualSpacing/>
    </w:pPr>
  </w:style>
  <w:style w:type="paragraph" w:styleId="ListNumber5">
    <w:name w:val="List Number 5"/>
    <w:basedOn w:val="Normal"/>
    <w:uiPriority w:val="99"/>
    <w:unhideWhenUsed/>
    <w:rsid w:val="00F77CC9"/>
    <w:pPr>
      <w:numPr>
        <w:ilvl w:val="4"/>
        <w:numId w:val="7"/>
      </w:numPr>
      <w:contextualSpacing/>
    </w:pPr>
  </w:style>
  <w:style w:type="paragraph" w:styleId="ListContinue">
    <w:name w:val="List Continue"/>
    <w:basedOn w:val="Normal"/>
    <w:uiPriority w:val="99"/>
    <w:unhideWhenUsed/>
    <w:qFormat/>
    <w:rsid w:val="00F77CC9"/>
    <w:pPr>
      <w:ind w:left="340"/>
      <w:contextualSpacing/>
    </w:pPr>
  </w:style>
  <w:style w:type="paragraph" w:styleId="ListContinue3">
    <w:name w:val="List Continue 3"/>
    <w:basedOn w:val="Normal"/>
    <w:uiPriority w:val="99"/>
    <w:unhideWhenUsed/>
    <w:qFormat/>
    <w:rsid w:val="00F77CC9"/>
    <w:pPr>
      <w:ind w:left="1021"/>
      <w:contextualSpacing/>
    </w:pPr>
  </w:style>
  <w:style w:type="paragraph" w:styleId="ListContinue4">
    <w:name w:val="List Continue 4"/>
    <w:basedOn w:val="Normal"/>
    <w:uiPriority w:val="99"/>
    <w:unhideWhenUsed/>
    <w:qFormat/>
    <w:rsid w:val="00F77CC9"/>
    <w:pPr>
      <w:ind w:left="1361"/>
      <w:contextualSpacing/>
    </w:pPr>
  </w:style>
  <w:style w:type="character" w:customStyle="1" w:styleId="Heading3Char">
    <w:name w:val="Heading 3 Char"/>
    <w:basedOn w:val="DefaultParagraphFont"/>
    <w:link w:val="Heading3"/>
    <w:uiPriority w:val="9"/>
    <w:rsid w:val="005216CF"/>
    <w:rPr>
      <w:rFonts w:asciiTheme="majorHAnsi" w:eastAsiaTheme="majorEastAsia" w:hAnsiTheme="majorHAnsi" w:cstheme="majorBidi"/>
      <w:b/>
      <w:color w:val="6B211B"/>
      <w:sz w:val="28"/>
      <w:szCs w:val="24"/>
    </w:rPr>
  </w:style>
  <w:style w:type="character" w:customStyle="1" w:styleId="Heading4Char">
    <w:name w:val="Heading 4 Char"/>
    <w:basedOn w:val="DefaultParagraphFont"/>
    <w:link w:val="Heading4"/>
    <w:uiPriority w:val="9"/>
    <w:rsid w:val="00F51539"/>
    <w:rPr>
      <w:rFonts w:asciiTheme="majorHAnsi" w:eastAsiaTheme="majorEastAsia" w:hAnsiTheme="majorHAnsi" w:cstheme="majorBidi"/>
      <w:b/>
      <w:iCs/>
      <w:sz w:val="24"/>
    </w:rPr>
  </w:style>
  <w:style w:type="character" w:customStyle="1" w:styleId="Heading5Char">
    <w:name w:val="Heading 5 Char"/>
    <w:basedOn w:val="DefaultParagraphFont"/>
    <w:link w:val="Heading5"/>
    <w:uiPriority w:val="9"/>
    <w:semiHidden/>
    <w:rsid w:val="00CE13B6"/>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173D61"/>
    <w:pPr>
      <w:framePr w:w="8505" w:h="5670" w:hRule="exact" w:hSpace="6804" w:wrap="around" w:vAnchor="page" w:hAnchor="margin" w:y="2836" w:anchorLock="1"/>
      <w:spacing w:before="360" w:after="0" w:line="228" w:lineRule="auto"/>
      <w:contextualSpacing/>
    </w:pPr>
    <w:rPr>
      <w:rFonts w:asciiTheme="majorHAnsi" w:eastAsiaTheme="majorEastAsia" w:hAnsiTheme="majorHAnsi" w:cstheme="majorBidi"/>
      <w:b/>
      <w:color w:val="69241B"/>
      <w:spacing w:val="-10"/>
      <w:kern w:val="28"/>
      <w:sz w:val="92"/>
      <w:szCs w:val="56"/>
    </w:rPr>
  </w:style>
  <w:style w:type="character" w:customStyle="1" w:styleId="TitleChar">
    <w:name w:val="Title Char"/>
    <w:basedOn w:val="DefaultParagraphFont"/>
    <w:link w:val="Title"/>
    <w:uiPriority w:val="10"/>
    <w:rsid w:val="00173D61"/>
    <w:rPr>
      <w:rFonts w:asciiTheme="majorHAnsi" w:eastAsiaTheme="majorEastAsia" w:hAnsiTheme="majorHAnsi" w:cstheme="majorBidi"/>
      <w:b/>
      <w:color w:val="69241B"/>
      <w:spacing w:val="-10"/>
      <w:kern w:val="28"/>
      <w:sz w:val="92"/>
      <w:szCs w:val="56"/>
    </w:rPr>
  </w:style>
  <w:style w:type="paragraph" w:customStyle="1" w:styleId="Pull-outQuote">
    <w:name w:val="Pull-out Quote"/>
    <w:basedOn w:val="Normal"/>
    <w:link w:val="Pull-outQuoteChar"/>
    <w:semiHidden/>
    <w:rsid w:val="009D24F5"/>
    <w:pPr>
      <w:pBdr>
        <w:top w:val="single" w:sz="4" w:space="4" w:color="003F51" w:themeColor="text2"/>
        <w:left w:val="single" w:sz="4" w:space="4" w:color="003F51" w:themeColor="text2"/>
        <w:bottom w:val="single" w:sz="4" w:space="4" w:color="003F51" w:themeColor="text2"/>
        <w:right w:val="single" w:sz="4" w:space="4" w:color="003F51" w:themeColor="text2"/>
      </w:pBdr>
      <w:shd w:val="clear" w:color="auto" w:fill="003F5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3F5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3F51" w:themeFill="text2"/>
    </w:rPr>
  </w:style>
  <w:style w:type="paragraph" w:customStyle="1" w:styleId="Heading1-numbered">
    <w:name w:val="Heading 1-numbered"/>
    <w:basedOn w:val="Heading1"/>
    <w:next w:val="Normal"/>
    <w:link w:val="Heading1-numberedChar"/>
    <w:uiPriority w:val="9"/>
    <w:semiHidden/>
    <w:rsid w:val="00D16F74"/>
    <w:pPr>
      <w:numPr>
        <w:numId w:val="4"/>
      </w:numPr>
    </w:pPr>
  </w:style>
  <w:style w:type="paragraph" w:customStyle="1" w:styleId="Heading2-numbered">
    <w:name w:val="Heading 2-numbered"/>
    <w:basedOn w:val="Heading2"/>
    <w:next w:val="Normal"/>
    <w:link w:val="Heading2-numberedChar"/>
    <w:uiPriority w:val="9"/>
    <w:semiHidden/>
    <w:rsid w:val="00D16F74"/>
    <w:pPr>
      <w:numPr>
        <w:ilvl w:val="1"/>
        <w:numId w:val="4"/>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6B211B"/>
      <w:sz w:val="40"/>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color w:val="943220"/>
      <w:sz w:val="32"/>
      <w:szCs w:val="26"/>
    </w:rPr>
  </w:style>
  <w:style w:type="paragraph" w:styleId="ListContinue5">
    <w:name w:val="List Continue 5"/>
    <w:basedOn w:val="Normal"/>
    <w:uiPriority w:val="99"/>
    <w:unhideWhenUsed/>
    <w:qFormat/>
    <w:rsid w:val="00F77CC9"/>
    <w:pPr>
      <w:ind w:left="1701"/>
      <w:contextualSpacing/>
    </w:pPr>
  </w:style>
  <w:style w:type="table" w:styleId="TableGrid">
    <w:name w:val="Table Grid"/>
    <w:basedOn w:val="TableNormal"/>
    <w:uiPriority w:val="39"/>
    <w:rsid w:val="00173D61"/>
    <w:pPr>
      <w:spacing w:after="0" w:line="240" w:lineRule="auto"/>
    </w:pPr>
    <w:tblPr>
      <w:tblBorders>
        <w:top w:val="single" w:sz="8" w:space="0" w:color="69241B"/>
        <w:left w:val="single" w:sz="8" w:space="0" w:color="69241B"/>
        <w:bottom w:val="single" w:sz="8" w:space="0" w:color="69241B"/>
        <w:right w:val="single" w:sz="8" w:space="0" w:color="69241B"/>
        <w:insideH w:val="single" w:sz="8" w:space="0" w:color="69241B"/>
        <w:insideV w:val="single" w:sz="8" w:space="0" w:color="69241B"/>
      </w:tblBorders>
      <w:tblCellMar>
        <w:top w:w="57" w:type="dxa"/>
        <w:left w:w="57" w:type="dxa"/>
        <w:bottom w:w="57" w:type="dxa"/>
        <w:right w:w="57" w:type="dxa"/>
      </w:tblCellMar>
    </w:tblPr>
    <w:tblStylePr w:type="firstRow">
      <w:rPr>
        <w:b/>
        <w:color w:val="FFFFFF" w:themeColor="background1"/>
      </w:rPr>
      <w:tblPr/>
      <w:tcPr>
        <w:tcBorders>
          <w:top w:val="nil"/>
          <w:left w:val="single" w:sz="8" w:space="0" w:color="auto"/>
          <w:bottom w:val="nil"/>
          <w:right w:val="single" w:sz="8" w:space="0" w:color="auto"/>
          <w:insideH w:val="nil"/>
          <w:insideV w:val="single" w:sz="8" w:space="0" w:color="FFFFFF" w:themeColor="background1"/>
          <w:tl2br w:val="nil"/>
          <w:tr2bl w:val="nil"/>
        </w:tcBorders>
        <w:shd w:val="clear" w:color="auto" w:fill="69241B"/>
      </w:tcPr>
    </w:tblStylePr>
  </w:style>
  <w:style w:type="paragraph" w:styleId="Caption">
    <w:name w:val="caption"/>
    <w:basedOn w:val="Normal"/>
    <w:next w:val="Normal"/>
    <w:link w:val="CaptionChar"/>
    <w:unhideWhenUsed/>
    <w:qFormat/>
    <w:rsid w:val="009C323B"/>
    <w:pPr>
      <w:spacing w:after="240"/>
    </w:pPr>
    <w:rPr>
      <w:i/>
      <w:iCs/>
      <w:color w:val="000000" w:themeColor="text1"/>
      <w:szCs w:val="18"/>
    </w:rPr>
  </w:style>
  <w:style w:type="paragraph" w:styleId="List">
    <w:name w:val="List"/>
    <w:basedOn w:val="Normal"/>
    <w:uiPriority w:val="99"/>
    <w:unhideWhenUsed/>
    <w:qFormat/>
    <w:rsid w:val="00E25474"/>
    <w:pPr>
      <w:numPr>
        <w:numId w:val="5"/>
      </w:numPr>
      <w:contextualSpacing/>
    </w:pPr>
  </w:style>
  <w:style w:type="paragraph" w:styleId="List2">
    <w:name w:val="List 2"/>
    <w:basedOn w:val="Normal"/>
    <w:uiPriority w:val="99"/>
    <w:unhideWhenUsed/>
    <w:qFormat/>
    <w:rsid w:val="00E25474"/>
    <w:pPr>
      <w:numPr>
        <w:ilvl w:val="1"/>
        <w:numId w:val="5"/>
      </w:numPr>
      <w:contextualSpacing/>
    </w:pPr>
  </w:style>
  <w:style w:type="numbering" w:customStyle="1" w:styleId="LetteredList">
    <w:name w:val="Lettered List"/>
    <w:uiPriority w:val="99"/>
    <w:rsid w:val="00E25474"/>
    <w:pPr>
      <w:numPr>
        <w:numId w:val="5"/>
      </w:numPr>
    </w:pPr>
  </w:style>
  <w:style w:type="paragraph" w:styleId="Subtitle">
    <w:name w:val="Subtitle"/>
    <w:basedOn w:val="Normal"/>
    <w:next w:val="Normal"/>
    <w:link w:val="SubtitleChar"/>
    <w:uiPriority w:val="11"/>
    <w:rsid w:val="00173D61"/>
    <w:pPr>
      <w:numPr>
        <w:ilvl w:val="1"/>
      </w:numPr>
      <w:spacing w:before="200" w:after="160"/>
    </w:pPr>
    <w:rPr>
      <w:rFonts w:eastAsiaTheme="minorEastAsia"/>
      <w:b/>
      <w:color w:val="8B2B15"/>
      <w:sz w:val="40"/>
    </w:rPr>
  </w:style>
  <w:style w:type="character" w:customStyle="1" w:styleId="SubtitleChar">
    <w:name w:val="Subtitle Char"/>
    <w:basedOn w:val="DefaultParagraphFont"/>
    <w:link w:val="Subtitle"/>
    <w:uiPriority w:val="11"/>
    <w:rsid w:val="00173D61"/>
    <w:rPr>
      <w:rFonts w:eastAsiaTheme="minorEastAsia"/>
      <w:b/>
      <w:color w:val="8B2B15"/>
      <w:sz w:val="40"/>
    </w:rPr>
  </w:style>
  <w:style w:type="paragraph" w:styleId="TOCHeading">
    <w:name w:val="TOC Heading"/>
    <w:basedOn w:val="Heading1"/>
    <w:next w:val="Normal"/>
    <w:uiPriority w:val="39"/>
    <w:unhideWhenUsed/>
    <w:qFormat/>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8F092A"/>
    <w:pPr>
      <w:tabs>
        <w:tab w:val="right" w:leader="dot" w:pos="9628"/>
      </w:tabs>
      <w:spacing w:before="240" w:after="100"/>
    </w:pPr>
    <w:rPr>
      <w:b/>
    </w:rPr>
  </w:style>
  <w:style w:type="paragraph" w:styleId="TOC2">
    <w:name w:val="toc 2"/>
    <w:basedOn w:val="Normal"/>
    <w:next w:val="Normal"/>
    <w:autoRedefine/>
    <w:uiPriority w:val="39"/>
    <w:unhideWhenUsed/>
    <w:rsid w:val="00BA7900"/>
    <w:pPr>
      <w:tabs>
        <w:tab w:val="right" w:leader="dot" w:pos="9628"/>
      </w:tabs>
      <w:spacing w:after="100"/>
    </w:pPr>
  </w:style>
  <w:style w:type="paragraph" w:styleId="TOC3">
    <w:name w:val="toc 3"/>
    <w:basedOn w:val="Normal"/>
    <w:next w:val="Normal"/>
    <w:autoRedefine/>
    <w:uiPriority w:val="39"/>
    <w:unhideWhenUsed/>
    <w:rsid w:val="00DE649A"/>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styleId="BodyText">
    <w:name w:val="Body Text"/>
    <w:basedOn w:val="Normal"/>
    <w:link w:val="BodyTextChar"/>
    <w:uiPriority w:val="99"/>
    <w:unhideWhenUsed/>
    <w:rsid w:val="00F51539"/>
  </w:style>
  <w:style w:type="paragraph" w:customStyle="1" w:styleId="FooterLeft">
    <w:name w:val="Footer Left"/>
    <w:basedOn w:val="Footer"/>
    <w:semiHidden/>
    <w:qFormat/>
    <w:rsid w:val="00A33747"/>
    <w:pPr>
      <w:framePr w:w="8505" w:wrap="around" w:hAnchor="margin" w:yAlign="bottom" w:anchorLock="1"/>
      <w:pBdr>
        <w:top w:val="single" w:sz="4" w:space="1" w:color="auto"/>
      </w:pBdr>
    </w:pPr>
  </w:style>
  <w:style w:type="paragraph" w:customStyle="1" w:styleId="FooterRight">
    <w:name w:val="Footer Right"/>
    <w:basedOn w:val="FooterLeft"/>
    <w:semiHidden/>
    <w:qFormat/>
    <w:rsid w:val="000D7EE8"/>
    <w:pPr>
      <w:framePr w:wrap="around" w:xAlign="right"/>
      <w:jc w:val="right"/>
    </w:pPr>
  </w:style>
  <w:style w:type="table" w:customStyle="1" w:styleId="DepartmentofPrimaryIndustry-default">
    <w:name w:val="Department of Primary Industry-default"/>
    <w:basedOn w:val="TableNormal"/>
    <w:uiPriority w:val="99"/>
    <w:rsid w:val="000250EF"/>
    <w:pPr>
      <w:spacing w:after="0" w:line="240" w:lineRule="auto"/>
    </w:pPr>
    <w:tblPr>
      <w:tblBorders>
        <w:top w:val="single" w:sz="4" w:space="0" w:color="69241B"/>
        <w:left w:val="single" w:sz="4" w:space="0" w:color="69241B"/>
        <w:bottom w:val="single" w:sz="4" w:space="0" w:color="69241B"/>
        <w:right w:val="single" w:sz="4" w:space="0" w:color="69241B"/>
        <w:insideH w:val="single" w:sz="4" w:space="0" w:color="69241B"/>
        <w:insideV w:val="single" w:sz="4" w:space="0" w:color="69241B"/>
      </w:tblBorders>
      <w:tblCellMar>
        <w:top w:w="57" w:type="dxa"/>
        <w:left w:w="57" w:type="dxa"/>
        <w:bottom w:w="57" w:type="dxa"/>
        <w:right w:w="57" w:type="dxa"/>
      </w:tblCellMar>
    </w:tblPr>
    <w:tblStylePr w:type="firstRow">
      <w:rPr>
        <w:b/>
        <w:color w:val="FFFFFF" w:themeColor="background1"/>
      </w:rPr>
      <w:tblPr/>
      <w:tcPr>
        <w:tcBorders>
          <w:top w:val="nil"/>
          <w:left w:val="single" w:sz="8" w:space="0" w:color="69241B"/>
          <w:bottom w:val="nil"/>
          <w:right w:val="single" w:sz="8" w:space="0" w:color="69241B"/>
          <w:insideH w:val="nil"/>
          <w:insideV w:val="single" w:sz="8" w:space="0" w:color="FFFFFF" w:themeColor="background1"/>
          <w:tl2br w:val="nil"/>
          <w:tr2bl w:val="nil"/>
        </w:tcBorders>
        <w:shd w:val="clear" w:color="auto" w:fill="69241B"/>
      </w:tcPr>
    </w:tblStylePr>
  </w:style>
  <w:style w:type="paragraph" w:customStyle="1" w:styleId="DisclaimerText">
    <w:name w:val="Disclaimer Text"/>
    <w:basedOn w:val="Normal"/>
    <w:rsid w:val="009C323B"/>
    <w:rPr>
      <w:sz w:val="22"/>
    </w:rPr>
  </w:style>
  <w:style w:type="paragraph" w:customStyle="1" w:styleId="DisclaimerHeading">
    <w:name w:val="Disclaimer Heading"/>
    <w:basedOn w:val="DisclaimerText"/>
    <w:rsid w:val="009C323B"/>
    <w:pPr>
      <w:spacing w:before="480" w:after="40"/>
    </w:pPr>
    <w:rPr>
      <w:b/>
    </w:rPr>
  </w:style>
  <w:style w:type="character" w:customStyle="1" w:styleId="BodyTextChar">
    <w:name w:val="Body Text Char"/>
    <w:basedOn w:val="DefaultParagraphFont"/>
    <w:link w:val="BodyText"/>
    <w:uiPriority w:val="99"/>
    <w:rsid w:val="00F51539"/>
    <w:rPr>
      <w:sz w:val="24"/>
    </w:rPr>
  </w:style>
  <w:style w:type="paragraph" w:styleId="Quote">
    <w:name w:val="Quote"/>
    <w:basedOn w:val="Normal"/>
    <w:next w:val="Normal"/>
    <w:link w:val="QuoteChar"/>
    <w:uiPriority w:val="29"/>
    <w:rsid w:val="00173D61"/>
    <w:rPr>
      <w:b/>
      <w:iCs/>
      <w:color w:val="8B2B15"/>
      <w:sz w:val="40"/>
    </w:rPr>
  </w:style>
  <w:style w:type="character" w:customStyle="1" w:styleId="QuoteChar">
    <w:name w:val="Quote Char"/>
    <w:basedOn w:val="DefaultParagraphFont"/>
    <w:link w:val="Quote"/>
    <w:uiPriority w:val="29"/>
    <w:rsid w:val="00173D61"/>
    <w:rPr>
      <w:b/>
      <w:iCs/>
      <w:color w:val="8B2B15"/>
      <w:sz w:val="40"/>
    </w:rPr>
  </w:style>
  <w:style w:type="paragraph" w:customStyle="1" w:styleId="Cover-logo">
    <w:name w:val="Cover-logo"/>
    <w:basedOn w:val="Normal"/>
    <w:rsid w:val="00395A30"/>
    <w:pPr>
      <w:framePr w:w="4536" w:hSpace="6804" w:wrap="around" w:vAnchor="page" w:hAnchor="margin" w:y="852" w:anchorLock="1"/>
    </w:pPr>
    <w:rPr>
      <w:noProof/>
    </w:rPr>
  </w:style>
  <w:style w:type="paragraph" w:customStyle="1" w:styleId="Cover-tagline">
    <w:name w:val="Cover-tagline"/>
    <w:basedOn w:val="Cover-logo"/>
    <w:rsid w:val="00395A30"/>
    <w:pPr>
      <w:framePr w:wrap="around" w:xAlign="right" w:y="937"/>
      <w:jc w:val="right"/>
    </w:pPr>
  </w:style>
  <w:style w:type="table" w:styleId="TableGridLight">
    <w:name w:val="Grid Table Light"/>
    <w:basedOn w:val="TableNormal"/>
    <w:uiPriority w:val="40"/>
    <w:rsid w:val="00F733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5F69A8"/>
  </w:style>
  <w:style w:type="character" w:styleId="UnresolvedMention">
    <w:name w:val="Unresolved Mention"/>
    <w:basedOn w:val="DefaultParagraphFont"/>
    <w:uiPriority w:val="99"/>
    <w:semiHidden/>
    <w:unhideWhenUsed/>
    <w:rsid w:val="003B23CD"/>
    <w:rPr>
      <w:color w:val="605E5C"/>
      <w:shd w:val="clear" w:color="auto" w:fill="E1DFDD"/>
    </w:rPr>
  </w:style>
  <w:style w:type="character" w:styleId="FollowedHyperlink">
    <w:name w:val="FollowedHyperlink"/>
    <w:basedOn w:val="DefaultParagraphFont"/>
    <w:uiPriority w:val="99"/>
    <w:semiHidden/>
    <w:unhideWhenUsed/>
    <w:rsid w:val="00A27E44"/>
    <w:rPr>
      <w:color w:val="000000" w:themeColor="followedHyperlink"/>
      <w:u w:val="single"/>
    </w:rPr>
  </w:style>
  <w:style w:type="paragraph" w:styleId="NormalWeb">
    <w:name w:val="Normal (Web)"/>
    <w:basedOn w:val="Normal"/>
    <w:uiPriority w:val="99"/>
    <w:unhideWhenUsed/>
    <w:rsid w:val="0016285E"/>
    <w:pPr>
      <w:spacing w:before="100" w:beforeAutospacing="1" w:after="100" w:afterAutospacing="1"/>
    </w:pPr>
    <w:rPr>
      <w:rFonts w:ascii="Times New Roman" w:eastAsia="Times New Roman" w:hAnsi="Times New Roman" w:cs="Times New Roman"/>
      <w:szCs w:val="24"/>
      <w:lang w:eastAsia="en-GB"/>
    </w:rPr>
  </w:style>
  <w:style w:type="table" w:customStyle="1" w:styleId="DepartmentofPrimaryIndustries-default">
    <w:name w:val="Department of Primary Industries-default"/>
    <w:basedOn w:val="TableNormal"/>
    <w:uiPriority w:val="99"/>
    <w:rsid w:val="00012D1B"/>
    <w:pPr>
      <w:spacing w:after="0" w:line="240" w:lineRule="auto"/>
    </w:pPr>
    <w:tblPr>
      <w:tblBorders>
        <w:top w:val="single" w:sz="4" w:space="0" w:color="69241B"/>
        <w:left w:val="single" w:sz="4" w:space="0" w:color="69241B"/>
        <w:bottom w:val="single" w:sz="4" w:space="0" w:color="69241B"/>
        <w:right w:val="single" w:sz="4" w:space="0" w:color="69241B"/>
        <w:insideH w:val="single" w:sz="4" w:space="0" w:color="69241B"/>
        <w:insideV w:val="single" w:sz="4" w:space="0" w:color="69241B"/>
      </w:tblBorders>
      <w:tblCellMar>
        <w:top w:w="57" w:type="dxa"/>
        <w:left w:w="57" w:type="dxa"/>
        <w:bottom w:w="57" w:type="dxa"/>
        <w:right w:w="57" w:type="dxa"/>
      </w:tblCellMar>
    </w:tblPr>
    <w:tblStylePr w:type="firstRow">
      <w:rPr>
        <w:b/>
        <w:color w:val="FFFFFF" w:themeColor="background1"/>
      </w:rPr>
      <w:tblPr/>
      <w:tcPr>
        <w:tcBorders>
          <w:top w:val="nil"/>
          <w:left w:val="single" w:sz="8" w:space="0" w:color="69241B"/>
          <w:bottom w:val="nil"/>
          <w:right w:val="single" w:sz="8" w:space="0" w:color="69241B"/>
          <w:insideH w:val="nil"/>
          <w:insideV w:val="single" w:sz="8" w:space="0" w:color="FFFFFF" w:themeColor="background1"/>
          <w:tl2br w:val="nil"/>
          <w:tr2bl w:val="nil"/>
        </w:tcBorders>
        <w:shd w:val="clear" w:color="auto" w:fill="69241B"/>
      </w:tcPr>
    </w:tblStylePr>
  </w:style>
  <w:style w:type="paragraph" w:styleId="Revision">
    <w:name w:val="Revision"/>
    <w:hidden/>
    <w:uiPriority w:val="99"/>
    <w:semiHidden/>
    <w:rsid w:val="008E268C"/>
    <w:pPr>
      <w:spacing w:after="0" w:line="240" w:lineRule="auto"/>
    </w:pPr>
    <w:rPr>
      <w:sz w:val="24"/>
    </w:rPr>
  </w:style>
  <w:style w:type="character" w:customStyle="1" w:styleId="ListParagraphChar">
    <w:name w:val="List Paragraph Char"/>
    <w:aliases w:val="Body copy bullets Char"/>
    <w:link w:val="ListParagraph"/>
    <w:uiPriority w:val="99"/>
    <w:rsid w:val="00595A86"/>
    <w:rPr>
      <w:sz w:val="24"/>
    </w:rPr>
  </w:style>
  <w:style w:type="paragraph" w:customStyle="1" w:styleId="Default">
    <w:name w:val="Default"/>
    <w:rsid w:val="007A6D1C"/>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nhideWhenUsed/>
    <w:rsid w:val="00FB553B"/>
    <w:rPr>
      <w:sz w:val="16"/>
      <w:szCs w:val="16"/>
    </w:rPr>
  </w:style>
  <w:style w:type="paragraph" w:styleId="CommentText">
    <w:name w:val="annotation text"/>
    <w:aliases w:val="Char Char"/>
    <w:basedOn w:val="Normal"/>
    <w:link w:val="CommentTextChar"/>
    <w:uiPriority w:val="99"/>
    <w:unhideWhenUsed/>
    <w:rsid w:val="00FB553B"/>
    <w:rPr>
      <w:sz w:val="20"/>
      <w:szCs w:val="20"/>
    </w:rPr>
  </w:style>
  <w:style w:type="character" w:customStyle="1" w:styleId="CommentTextChar">
    <w:name w:val="Comment Text Char"/>
    <w:aliases w:val="Char Char Char"/>
    <w:basedOn w:val="DefaultParagraphFont"/>
    <w:link w:val="CommentText"/>
    <w:uiPriority w:val="99"/>
    <w:rsid w:val="00FB553B"/>
    <w:rPr>
      <w:sz w:val="20"/>
      <w:szCs w:val="20"/>
    </w:rPr>
  </w:style>
  <w:style w:type="paragraph" w:styleId="CommentSubject">
    <w:name w:val="annotation subject"/>
    <w:basedOn w:val="CommentText"/>
    <w:next w:val="CommentText"/>
    <w:link w:val="CommentSubjectChar"/>
    <w:uiPriority w:val="99"/>
    <w:semiHidden/>
    <w:unhideWhenUsed/>
    <w:rsid w:val="00FB553B"/>
    <w:rPr>
      <w:b/>
      <w:bCs/>
    </w:rPr>
  </w:style>
  <w:style w:type="character" w:customStyle="1" w:styleId="CommentSubjectChar">
    <w:name w:val="Comment Subject Char"/>
    <w:basedOn w:val="CommentTextChar"/>
    <w:link w:val="CommentSubject"/>
    <w:uiPriority w:val="99"/>
    <w:semiHidden/>
    <w:rsid w:val="00FB553B"/>
    <w:rPr>
      <w:b/>
      <w:bCs/>
      <w:sz w:val="20"/>
      <w:szCs w:val="20"/>
    </w:rPr>
  </w:style>
  <w:style w:type="character" w:customStyle="1" w:styleId="normaltextrun">
    <w:name w:val="normaltextrun"/>
    <w:basedOn w:val="DefaultParagraphFont"/>
    <w:rsid w:val="005646D3"/>
  </w:style>
  <w:style w:type="character" w:customStyle="1" w:styleId="CaptionChar">
    <w:name w:val="Caption Char"/>
    <w:link w:val="Caption"/>
    <w:locked/>
    <w:rsid w:val="00913BDA"/>
    <w:rPr>
      <w:i/>
      <w:iCs/>
      <w:color w:val="000000" w:themeColor="text1"/>
      <w:sz w:val="24"/>
      <w:szCs w:val="18"/>
    </w:rPr>
  </w:style>
  <w:style w:type="character" w:customStyle="1" w:styleId="Heading11">
    <w:name w:val="Heading 11"/>
    <w:rsid w:val="00521936"/>
    <w:rPr>
      <w:rFonts w:ascii="Times New" w:hAnsi="Times New"/>
      <w:sz w:val="24"/>
    </w:rPr>
  </w:style>
  <w:style w:type="paragraph" w:customStyle="1" w:styleId="ReportSubtitle">
    <w:name w:val="ReportSubtitle"/>
    <w:basedOn w:val="Normal"/>
    <w:rsid w:val="00521936"/>
    <w:pPr>
      <w:suppressAutoHyphens/>
      <w:spacing w:before="240" w:after="220"/>
      <w:jc w:val="center"/>
    </w:pPr>
    <w:rPr>
      <w:rFonts w:ascii="Arial" w:eastAsia="Times New Roman" w:hAnsi="Arial" w:cs="Times New Roman"/>
      <w:b/>
      <w:color w:val="000000"/>
      <w:sz w:val="32"/>
      <w:szCs w:val="20"/>
    </w:rPr>
  </w:style>
  <w:style w:type="character" w:styleId="Emphasis">
    <w:name w:val="Emphasis"/>
    <w:basedOn w:val="DefaultParagraphFont"/>
    <w:uiPriority w:val="20"/>
    <w:qFormat/>
    <w:rsid w:val="00CC3F9E"/>
    <w:rPr>
      <w:i/>
      <w:iCs/>
    </w:rPr>
  </w:style>
  <w:style w:type="character" w:customStyle="1" w:styleId="Heading6Char">
    <w:name w:val="Heading 6 Char"/>
    <w:basedOn w:val="DefaultParagraphFont"/>
    <w:link w:val="Heading6"/>
    <w:uiPriority w:val="9"/>
    <w:semiHidden/>
    <w:rsid w:val="00A9559E"/>
    <w:rPr>
      <w:rFonts w:asciiTheme="majorHAnsi" w:eastAsiaTheme="majorEastAsia" w:hAnsiTheme="majorHAnsi" w:cstheme="majorBidi"/>
      <w:color w:val="001F28" w:themeColor="accent1" w:themeShade="7F"/>
      <w:sz w:val="24"/>
    </w:rPr>
  </w:style>
  <w:style w:type="character" w:customStyle="1" w:styleId="Heading7Char">
    <w:name w:val="Heading 7 Char"/>
    <w:basedOn w:val="DefaultParagraphFont"/>
    <w:link w:val="Heading7"/>
    <w:uiPriority w:val="9"/>
    <w:semiHidden/>
    <w:rsid w:val="00A9559E"/>
    <w:rPr>
      <w:rFonts w:asciiTheme="majorHAnsi" w:eastAsiaTheme="majorEastAsia" w:hAnsiTheme="majorHAnsi" w:cstheme="majorBidi"/>
      <w:i/>
      <w:iCs/>
      <w:color w:val="001F28" w:themeColor="accent1" w:themeShade="7F"/>
      <w:sz w:val="24"/>
    </w:rPr>
  </w:style>
  <w:style w:type="character" w:customStyle="1" w:styleId="Heading8Char">
    <w:name w:val="Heading 8 Char"/>
    <w:basedOn w:val="DefaultParagraphFont"/>
    <w:link w:val="Heading8"/>
    <w:uiPriority w:val="9"/>
    <w:semiHidden/>
    <w:rsid w:val="00A9559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559E"/>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59"/>
    <w:rsid w:val="00CA1F4E"/>
    <w:pPr>
      <w:spacing w:after="0" w:line="240" w:lineRule="auto"/>
    </w:pPr>
    <w:tblPr>
      <w:tblBorders>
        <w:top w:val="single" w:sz="4" w:space="0" w:color="003F51" w:themeColor="accent1"/>
        <w:left w:val="single" w:sz="4" w:space="0" w:color="003F51" w:themeColor="accent1"/>
        <w:bottom w:val="single" w:sz="4" w:space="0" w:color="003F51" w:themeColor="accent1"/>
        <w:right w:val="single" w:sz="4" w:space="0" w:color="003F51" w:themeColor="accent1"/>
        <w:insideH w:val="single" w:sz="4" w:space="0" w:color="003F51" w:themeColor="accent1"/>
        <w:insideV w:val="single" w:sz="4" w:space="0" w:color="003F51" w:themeColor="accent1"/>
      </w:tblBorders>
      <w:tblCellMar>
        <w:top w:w="57" w:type="dxa"/>
        <w:left w:w="57" w:type="dxa"/>
        <w:bottom w:w="57" w:type="dxa"/>
        <w:right w:w="57" w:type="dxa"/>
      </w:tblCellMar>
    </w:tblPr>
    <w:tblStylePr w:type="firstRow">
      <w:rPr>
        <w:b/>
        <w:color w:val="FFFFFF" w:themeColor="background1"/>
      </w:rPr>
      <w:tblPr/>
      <w:tcPr>
        <w:tcBorders>
          <w:insideV w:val="single" w:sz="4" w:space="0" w:color="FFFFFF" w:themeColor="background1"/>
        </w:tcBorders>
        <w:shd w:val="clear" w:color="auto" w:fill="003F51" w:themeFill="accent1"/>
      </w:tcPr>
    </w:tblStylePr>
  </w:style>
  <w:style w:type="table" w:customStyle="1" w:styleId="TableGrid2">
    <w:name w:val="Table Grid2"/>
    <w:basedOn w:val="TableNormal"/>
    <w:next w:val="TableGrid"/>
    <w:uiPriority w:val="59"/>
    <w:rsid w:val="00B524CE"/>
    <w:pPr>
      <w:spacing w:after="0" w:line="240" w:lineRule="auto"/>
    </w:pPr>
    <w:tblPr>
      <w:tblBorders>
        <w:top w:val="single" w:sz="4" w:space="0" w:color="003F51" w:themeColor="accent1"/>
        <w:left w:val="single" w:sz="4" w:space="0" w:color="003F51" w:themeColor="accent1"/>
        <w:bottom w:val="single" w:sz="4" w:space="0" w:color="003F51" w:themeColor="accent1"/>
        <w:right w:val="single" w:sz="4" w:space="0" w:color="003F51" w:themeColor="accent1"/>
        <w:insideH w:val="single" w:sz="4" w:space="0" w:color="003F51" w:themeColor="accent1"/>
        <w:insideV w:val="single" w:sz="4" w:space="0" w:color="003F51" w:themeColor="accent1"/>
      </w:tblBorders>
      <w:tblCellMar>
        <w:top w:w="57" w:type="dxa"/>
        <w:left w:w="57" w:type="dxa"/>
        <w:bottom w:w="57" w:type="dxa"/>
        <w:right w:w="57" w:type="dxa"/>
      </w:tblCellMar>
    </w:tblPr>
    <w:tblStylePr w:type="firstRow">
      <w:rPr>
        <w:b/>
        <w:color w:val="FFFFFF" w:themeColor="background1"/>
      </w:rPr>
      <w:tblPr/>
      <w:tcPr>
        <w:tcBorders>
          <w:insideV w:val="single" w:sz="4" w:space="0" w:color="FFFFFF" w:themeColor="background1"/>
        </w:tcBorders>
        <w:shd w:val="clear" w:color="auto" w:fill="003F51" w:themeFill="accent1"/>
      </w:tcPr>
    </w:tblStylePr>
  </w:style>
  <w:style w:type="table" w:customStyle="1" w:styleId="TableGrid3">
    <w:name w:val="Table Grid3"/>
    <w:basedOn w:val="TableNormal"/>
    <w:next w:val="TableGrid"/>
    <w:uiPriority w:val="59"/>
    <w:rsid w:val="00BE778F"/>
    <w:pPr>
      <w:spacing w:after="0" w:line="240" w:lineRule="auto"/>
    </w:pPr>
    <w:tblPr>
      <w:tblBorders>
        <w:top w:val="single" w:sz="4" w:space="0" w:color="003F51" w:themeColor="accent1"/>
        <w:left w:val="single" w:sz="4" w:space="0" w:color="003F51" w:themeColor="accent1"/>
        <w:bottom w:val="single" w:sz="4" w:space="0" w:color="003F51" w:themeColor="accent1"/>
        <w:right w:val="single" w:sz="4" w:space="0" w:color="003F51" w:themeColor="accent1"/>
        <w:insideH w:val="single" w:sz="4" w:space="0" w:color="003F51" w:themeColor="accent1"/>
        <w:insideV w:val="single" w:sz="4" w:space="0" w:color="003F51" w:themeColor="accent1"/>
      </w:tblBorders>
      <w:tblCellMar>
        <w:top w:w="57" w:type="dxa"/>
        <w:left w:w="57" w:type="dxa"/>
        <w:bottom w:w="57" w:type="dxa"/>
        <w:right w:w="57" w:type="dxa"/>
      </w:tblCellMar>
    </w:tblPr>
    <w:tblStylePr w:type="firstRow">
      <w:rPr>
        <w:b/>
        <w:color w:val="FFFFFF" w:themeColor="background1"/>
      </w:rPr>
      <w:tblPr/>
      <w:tcPr>
        <w:tcBorders>
          <w:insideV w:val="single" w:sz="4" w:space="0" w:color="FFFFFF" w:themeColor="background1"/>
        </w:tcBorders>
        <w:shd w:val="clear" w:color="auto" w:fill="003F51" w:themeFill="accent1"/>
      </w:tcPr>
    </w:tblStylePr>
  </w:style>
  <w:style w:type="table" w:customStyle="1" w:styleId="TableGrid4">
    <w:name w:val="Table Grid4"/>
    <w:basedOn w:val="TableNormal"/>
    <w:next w:val="TableGrid"/>
    <w:uiPriority w:val="59"/>
    <w:rsid w:val="001D23CF"/>
    <w:pPr>
      <w:spacing w:after="0" w:line="240" w:lineRule="auto"/>
    </w:pPr>
    <w:tblPr>
      <w:tblBorders>
        <w:top w:val="single" w:sz="4" w:space="0" w:color="003F51" w:themeColor="accent1"/>
        <w:left w:val="single" w:sz="4" w:space="0" w:color="003F51" w:themeColor="accent1"/>
        <w:bottom w:val="single" w:sz="4" w:space="0" w:color="003F51" w:themeColor="accent1"/>
        <w:right w:val="single" w:sz="4" w:space="0" w:color="003F51" w:themeColor="accent1"/>
        <w:insideH w:val="single" w:sz="4" w:space="0" w:color="003F51" w:themeColor="accent1"/>
        <w:insideV w:val="single" w:sz="4" w:space="0" w:color="003F51" w:themeColor="accent1"/>
      </w:tblBorders>
      <w:tblCellMar>
        <w:top w:w="57" w:type="dxa"/>
        <w:left w:w="57" w:type="dxa"/>
        <w:bottom w:w="57" w:type="dxa"/>
        <w:right w:w="57" w:type="dxa"/>
      </w:tblCellMar>
    </w:tblPr>
    <w:tblStylePr w:type="firstRow">
      <w:rPr>
        <w:b/>
        <w:color w:val="FFFFFF" w:themeColor="background1"/>
      </w:rPr>
      <w:tblPr/>
      <w:tcPr>
        <w:tcBorders>
          <w:insideV w:val="single" w:sz="4" w:space="0" w:color="FFFFFF" w:themeColor="background1"/>
        </w:tcBorders>
        <w:shd w:val="clear" w:color="auto" w:fill="003F51"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619219">
      <w:bodyDiv w:val="1"/>
      <w:marLeft w:val="0"/>
      <w:marRight w:val="0"/>
      <w:marTop w:val="0"/>
      <w:marBottom w:val="0"/>
      <w:divBdr>
        <w:top w:val="none" w:sz="0" w:space="0" w:color="auto"/>
        <w:left w:val="none" w:sz="0" w:space="0" w:color="auto"/>
        <w:bottom w:val="none" w:sz="0" w:space="0" w:color="auto"/>
        <w:right w:val="none" w:sz="0" w:space="0" w:color="auto"/>
      </w:divBdr>
    </w:div>
    <w:div w:id="139155699">
      <w:bodyDiv w:val="1"/>
      <w:marLeft w:val="0"/>
      <w:marRight w:val="0"/>
      <w:marTop w:val="0"/>
      <w:marBottom w:val="0"/>
      <w:divBdr>
        <w:top w:val="none" w:sz="0" w:space="0" w:color="auto"/>
        <w:left w:val="none" w:sz="0" w:space="0" w:color="auto"/>
        <w:bottom w:val="none" w:sz="0" w:space="0" w:color="auto"/>
        <w:right w:val="none" w:sz="0" w:space="0" w:color="auto"/>
      </w:divBdr>
    </w:div>
    <w:div w:id="498539429">
      <w:bodyDiv w:val="1"/>
      <w:marLeft w:val="0"/>
      <w:marRight w:val="0"/>
      <w:marTop w:val="0"/>
      <w:marBottom w:val="0"/>
      <w:divBdr>
        <w:top w:val="none" w:sz="0" w:space="0" w:color="auto"/>
        <w:left w:val="none" w:sz="0" w:space="0" w:color="auto"/>
        <w:bottom w:val="none" w:sz="0" w:space="0" w:color="auto"/>
        <w:right w:val="none" w:sz="0" w:space="0" w:color="auto"/>
      </w:divBdr>
    </w:div>
    <w:div w:id="724986947">
      <w:bodyDiv w:val="1"/>
      <w:marLeft w:val="0"/>
      <w:marRight w:val="0"/>
      <w:marTop w:val="0"/>
      <w:marBottom w:val="0"/>
      <w:divBdr>
        <w:top w:val="none" w:sz="0" w:space="0" w:color="auto"/>
        <w:left w:val="none" w:sz="0" w:space="0" w:color="auto"/>
        <w:bottom w:val="none" w:sz="0" w:space="0" w:color="auto"/>
        <w:right w:val="none" w:sz="0" w:space="0" w:color="auto"/>
      </w:divBdr>
    </w:div>
    <w:div w:id="1188103546">
      <w:bodyDiv w:val="1"/>
      <w:marLeft w:val="0"/>
      <w:marRight w:val="0"/>
      <w:marTop w:val="0"/>
      <w:marBottom w:val="0"/>
      <w:divBdr>
        <w:top w:val="none" w:sz="0" w:space="0" w:color="auto"/>
        <w:left w:val="none" w:sz="0" w:space="0" w:color="auto"/>
        <w:bottom w:val="none" w:sz="0" w:space="0" w:color="auto"/>
        <w:right w:val="none" w:sz="0" w:space="0" w:color="auto"/>
      </w:divBdr>
    </w:div>
    <w:div w:id="210059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fish.wa.gov.au/Documents/management_papers/fmp283.pdf" TargetMode="External"/><Relationship Id="rId26" Type="http://schemas.openxmlformats.org/officeDocument/2006/relationships/hyperlink" Target="https://www.fish.wa.gov.au/Documents/management_papers/fmp283.pdf" TargetMode="External"/><Relationship Id="rId39" Type="http://schemas.openxmlformats.org/officeDocument/2006/relationships/fontTable" Target="fontTable.xml"/><Relationship Id="rId21" Type="http://schemas.openxmlformats.org/officeDocument/2006/relationships/hyperlink" Target="https://www.legislation.wa.gov.au/legislation/statutes.nsf/law_s4447.html" TargetMode="External"/><Relationship Id="rId34"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7.png"/><Relationship Id="rId29" Type="http://schemas.openxmlformats.org/officeDocument/2006/relationships/hyperlink" Target="https://www.fish.wa.gov.au/Documents/sofar/status_reports_of_the_fisheries_and_aquatic_resources_2022-23.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wa.gov.au/legislation/statutes.nsf/law_s4447.html" TargetMode="External"/><Relationship Id="rId32" Type="http://schemas.openxmlformats.org/officeDocument/2006/relationships/image" Target="media/image11.png"/><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legislation.wa.gov.au/legislation/statutes.nsf/law_s4447.html" TargetMode="External"/><Relationship Id="rId28" Type="http://schemas.openxmlformats.org/officeDocument/2006/relationships/image" Target="media/image9.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fish.wa.gov.au/About-Us/Publications/Pages/State-of-the-Fisheries-report.aspx" TargetMode="External"/><Relationship Id="rId31" Type="http://schemas.openxmlformats.org/officeDocument/2006/relationships/hyperlink" Target="https://www.fish.wa.gov.au/Sustainability-and-Environment/Fisheries-Science/Documents/frr333.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legislation.wa.gov.au/legislation/statutes.nsf/law_s4447.html" TargetMode="External"/><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legislation.wa.gov.au/legislation/statutes.nsf/law_s4447.html" TargetMode="External"/><Relationship Id="rId33" Type="http://schemas.openxmlformats.org/officeDocument/2006/relationships/header" Target="header1.xml"/><Relationship Id="rId3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ynvi\Downloads\Word%20with%20cover%20template%20-%20Red%20v2%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8F9CDCBDDF74ACAB8B286B38036A34A"/>
        <w:category>
          <w:name w:val="General"/>
          <w:gallery w:val="placeholder"/>
        </w:category>
        <w:types>
          <w:type w:val="bbPlcHdr"/>
        </w:types>
        <w:behaviors>
          <w:behavior w:val="content"/>
        </w:behaviors>
        <w:guid w:val="{BB923D20-0A54-4ED8-9FF7-6C781A4664DD}"/>
      </w:docPartPr>
      <w:docPartBody>
        <w:p w:rsidR="00FE02DC" w:rsidRDefault="00FE02DC">
          <w:pPr>
            <w:pStyle w:val="D8F9CDCBDDF74ACAB8B286B38036A34A"/>
          </w:pPr>
          <w:r w:rsidRPr="003E6CE3">
            <w:t>[Document Title]</w:t>
          </w:r>
        </w:p>
      </w:docPartBody>
    </w:docPart>
    <w:docPart>
      <w:docPartPr>
        <w:name w:val="F971B52AC6AA447596FE259B45CC0199"/>
        <w:category>
          <w:name w:val="General"/>
          <w:gallery w:val="placeholder"/>
        </w:category>
        <w:types>
          <w:type w:val="bbPlcHdr"/>
        </w:types>
        <w:behaviors>
          <w:behavior w:val="content"/>
        </w:behaviors>
        <w:guid w:val="{BFD6772C-373D-4613-ABAD-C10327A2BEBE}"/>
      </w:docPartPr>
      <w:docPartBody>
        <w:p w:rsidR="00FE02DC" w:rsidRDefault="00FE02DC">
          <w:pPr>
            <w:pStyle w:val="F971B52AC6AA447596FE259B45CC0199"/>
          </w:pPr>
          <w:r w:rsidRPr="00026E2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2DC"/>
    <w:rsid w:val="00051DCC"/>
    <w:rsid w:val="0006673F"/>
    <w:rsid w:val="00074474"/>
    <w:rsid w:val="00092FE3"/>
    <w:rsid w:val="00124AE4"/>
    <w:rsid w:val="001726ED"/>
    <w:rsid w:val="00192B19"/>
    <w:rsid w:val="00223703"/>
    <w:rsid w:val="002825B6"/>
    <w:rsid w:val="002925B7"/>
    <w:rsid w:val="002D5CEF"/>
    <w:rsid w:val="0035207E"/>
    <w:rsid w:val="00360848"/>
    <w:rsid w:val="003F336B"/>
    <w:rsid w:val="00414C1D"/>
    <w:rsid w:val="00460B3F"/>
    <w:rsid w:val="00470FC7"/>
    <w:rsid w:val="004728A6"/>
    <w:rsid w:val="004728A9"/>
    <w:rsid w:val="00481D2D"/>
    <w:rsid w:val="004B7DD8"/>
    <w:rsid w:val="00540ECF"/>
    <w:rsid w:val="00570D6E"/>
    <w:rsid w:val="00590C3A"/>
    <w:rsid w:val="00595EEA"/>
    <w:rsid w:val="005A0076"/>
    <w:rsid w:val="005B1659"/>
    <w:rsid w:val="005C0EBA"/>
    <w:rsid w:val="006005A0"/>
    <w:rsid w:val="0063265D"/>
    <w:rsid w:val="006C3F9C"/>
    <w:rsid w:val="006F2DAB"/>
    <w:rsid w:val="00705EA9"/>
    <w:rsid w:val="00726A17"/>
    <w:rsid w:val="00741A84"/>
    <w:rsid w:val="00770A37"/>
    <w:rsid w:val="0077316A"/>
    <w:rsid w:val="007B520E"/>
    <w:rsid w:val="007F4CAF"/>
    <w:rsid w:val="00821569"/>
    <w:rsid w:val="008340FA"/>
    <w:rsid w:val="0083758C"/>
    <w:rsid w:val="008C31FE"/>
    <w:rsid w:val="009C5962"/>
    <w:rsid w:val="009E7559"/>
    <w:rsid w:val="00A43EAB"/>
    <w:rsid w:val="00A630A4"/>
    <w:rsid w:val="00A723E8"/>
    <w:rsid w:val="00AA59A4"/>
    <w:rsid w:val="00BD3DE6"/>
    <w:rsid w:val="00BF40D1"/>
    <w:rsid w:val="00C34C00"/>
    <w:rsid w:val="00C42CFE"/>
    <w:rsid w:val="00C505FB"/>
    <w:rsid w:val="00C72BFA"/>
    <w:rsid w:val="00CB3EF0"/>
    <w:rsid w:val="00CC7F0E"/>
    <w:rsid w:val="00D23E42"/>
    <w:rsid w:val="00D27764"/>
    <w:rsid w:val="00D5445F"/>
    <w:rsid w:val="00DF0AC4"/>
    <w:rsid w:val="00E50404"/>
    <w:rsid w:val="00E50D7B"/>
    <w:rsid w:val="00E87248"/>
    <w:rsid w:val="00F309C4"/>
    <w:rsid w:val="00F62651"/>
    <w:rsid w:val="00F62737"/>
    <w:rsid w:val="00FA4B0E"/>
    <w:rsid w:val="00FE02DC"/>
    <w:rsid w:val="00FE69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F9CDCBDDF74ACAB8B286B38036A34A">
    <w:name w:val="D8F9CDCBDDF74ACAB8B286B38036A34A"/>
  </w:style>
  <w:style w:type="character" w:styleId="PlaceholderText">
    <w:name w:val="Placeholder Text"/>
    <w:basedOn w:val="DefaultParagraphFont"/>
    <w:uiPriority w:val="99"/>
    <w:semiHidden/>
    <w:rsid w:val="0063265D"/>
    <w:rPr>
      <w:color w:val="808080"/>
    </w:rPr>
  </w:style>
  <w:style w:type="paragraph" w:customStyle="1" w:styleId="F971B52AC6AA447596FE259B45CC0199">
    <w:name w:val="F971B52AC6AA447596FE259B45CC01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P">
      <a:dk1>
        <a:sysClr val="windowText" lastClr="000000"/>
      </a:dk1>
      <a:lt1>
        <a:sysClr val="window" lastClr="FFFFFF"/>
      </a:lt1>
      <a:dk2>
        <a:srgbClr val="003F51"/>
      </a:dk2>
      <a:lt2>
        <a:srgbClr val="FFFFFF"/>
      </a:lt2>
      <a:accent1>
        <a:srgbClr val="003F51"/>
      </a:accent1>
      <a:accent2>
        <a:srgbClr val="BFD7DF"/>
      </a:accent2>
      <a:accent3>
        <a:srgbClr val="21574C"/>
      </a:accent3>
      <a:accent4>
        <a:srgbClr val="C0CEA2"/>
      </a:accent4>
      <a:accent5>
        <a:srgbClr val="6B211B"/>
      </a:accent5>
      <a:accent6>
        <a:srgbClr val="E39064"/>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B11C4AC340A7423FA2930B16A78B07CE" version="1.0.0">
  <systemFields>
    <field name="Objective-Id">
      <value order="0">A13040365</value>
    </field>
    <field name="Objective-Title">
      <value order="0">WA-Abalone-Managed -Fishery-WTO-application (A12983810) -V1.0 -2024.09.30</value>
    </field>
    <field name="Objective-Description">
      <value order="0"/>
    </field>
    <field name="Objective-CreationStamp">
      <value order="0">2024-09-19T09:07:36Z</value>
    </field>
    <field name="Objective-IsApproved">
      <value order="0">false</value>
    </field>
    <field name="Objective-IsPublished">
      <value order="0">true</value>
    </field>
    <field name="Objective-DatePublished">
      <value order="0">2024-09-30T03:00:46Z</value>
    </field>
    <field name="Objective-ModificationStamp">
      <value order="0">2024-09-30T03:00:46Z</value>
    </field>
    <field name="Objective-Owner">
      <value order="0">Druime Nolan</value>
    </field>
    <field name="Objective-Path">
      <value order="0">DPIRD Global Folder:00 Sustainability and Biosecurity:03.2 Aquatic Resource Management:Aquatic Resource Management:Management - Statewide Abalone:Abalone Fishery - 2024:Commercial:WTO Application 2024</value>
    </field>
    <field name="Objective-Parent">
      <value order="0">WTO Application 2024</value>
    </field>
    <field name="Objective-State">
      <value order="0">Published</value>
    </field>
    <field name="Objective-VersionId">
      <value order="0">vA15599390</value>
    </field>
    <field name="Objective-Version">
      <value order="0">2.0</value>
    </field>
    <field name="Objective-VersionNumber">
      <value order="0">2</value>
    </field>
    <field name="Objective-VersionComment">
      <value order="0">Accepting all changes</value>
    </field>
    <field name="Objective-FileNumber">
      <value order="0">DPIRD 24-00953</value>
    </field>
    <field name="Objective-Classification">
      <value order="0">OFFICIAL</value>
    </field>
    <field name="Objective-Caveats">
      <value order="0"/>
    </field>
  </systemFields>
  <catalogues>
    <catalogue name="Corporate Document Type Catalogue" type="type" ori="id:cA51">
      <field name="Objective-Notes">
        <value order="0"/>
      </field>
      <field name="Objective-Connect Creator">
        <value order="0"/>
      </field>
      <field name="Objective-Migrated Provenance">
        <value order="0"/>
      </field>
      <field name="Objective-Migrated Original ID">
        <value order="0"/>
      </field>
      <field name="Objective-Migrated Object Type">
        <value order="0"/>
      </field>
      <field name="Objective-Migrated Metadata Field">
        <value order="0"/>
      </field>
      <field name="Objective-Number of Pages">
        <value order="0"/>
      </field>
      <field name="Objective-Office Lodged">
        <value order="0"/>
      </field>
      <field name="Objective-Allow Intranet Search">
        <value order="0"/>
      </field>
    </catalogue>
  </catalogues>
</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Props1.xml><?xml version="1.0" encoding="utf-8"?>
<ds:datastoreItem xmlns:ds="http://schemas.openxmlformats.org/officeDocument/2006/customXml" ds:itemID="{66B9E0B7-C966-4007-A496-3977DFA15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8728ac-f998-415c-abee-6b046fb1441e"/>
    <ds:schemaRef ds:uri="d869c146-c82e-4435-92e4-da91542262fd"/>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D9E872-E363-4563-BE16-97B79560E935}">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B11C4AC340A7423FA2930B16A78B07CE"/>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D9F2A053-0084-4B60-9147-23D61A0FC198}">
  <ds:schemaRefs>
    <ds:schemaRef ds:uri="http://schemas.microsoft.com/office/2006/metadata/properties"/>
    <ds:schemaRef ds:uri="http://schemas.microsoft.com/office/infopath/2007/PartnerControls"/>
    <ds:schemaRef ds:uri="http://schemas.microsoft.com/sharepoint/v3"/>
    <ds:schemaRef ds:uri="d81c2681-db7b-4a56-9abd-a3238a78f6b2"/>
    <ds:schemaRef ds:uri="a95247a4-6a6b-40fb-87b6-0fb2f012c536"/>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Word with cover template - Red v2 (3)</Template>
  <TotalTime>4</TotalTime>
  <Pages>30</Pages>
  <Words>8654</Words>
  <Characters>49332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Western Australia’s Abalone Managed Fishery</vt:lpstr>
    </vt:vector>
  </TitlesOfParts>
  <Manager/>
  <Company>DPIRD</Company>
  <LinksUpToDate>false</LinksUpToDate>
  <CharactersWithSpaces>57871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Australia’s Abalone Managed Fishery</dc:title>
  <dc:subject/>
  <dc:creator>Liv Rynvis</dc:creator>
  <cp:keywords/>
  <dc:description>B000-22-04-12</dc:description>
  <cp:lastModifiedBy>Stephen CHILCOTT</cp:lastModifiedBy>
  <cp:revision>3</cp:revision>
  <cp:lastPrinted>2024-08-09T06:21:00Z</cp:lastPrinted>
  <dcterms:created xsi:type="dcterms:W3CDTF">2024-10-07T23:48:00Z</dcterms:created>
  <dcterms:modified xsi:type="dcterms:W3CDTF">2024-10-08T04:48:00Z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0x01010034B62450C4E5264CAE35267E81B4CE08</vt:lpwstr>
  </property>
  <property fmtid="{D5CDD505-2E9C-101B-9397-08002B2CF9AE}" pid="3" name="ClassificationContentMarkingHeaderShapeIds">
    <vt:lpwstr>571f5e45,39955214,5921bca5</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4f0ac095,3a9e0d11,1d709c0a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ediaServiceImageTags">
    <vt:lpwstr/>
  </property>
  <property fmtid="{D5CDD505-2E9C-101B-9397-08002B2CF9AE}" pid="10" name="Objective-Id">
    <vt:lpwstr>A13040365</vt:lpwstr>
  </property>
  <property fmtid="{D5CDD505-2E9C-101B-9397-08002B2CF9AE}" pid="11" name="Objective-Title">
    <vt:lpwstr>WA-Abalone-Managed -Fishery-WTO-application (A12983810) -V1.0 -2024.09.30</vt:lpwstr>
  </property>
  <property fmtid="{D5CDD505-2E9C-101B-9397-08002B2CF9AE}" pid="12" name="Objective-Description">
    <vt:lpwstr/>
  </property>
  <property fmtid="{D5CDD505-2E9C-101B-9397-08002B2CF9AE}" pid="13" name="Objective-CreationStamp">
    <vt:filetime>2024-09-19T09:07:36Z</vt:filetime>
  </property>
  <property fmtid="{D5CDD505-2E9C-101B-9397-08002B2CF9AE}" pid="14" name="Objective-IsApproved">
    <vt:bool>false</vt:bool>
  </property>
  <property fmtid="{D5CDD505-2E9C-101B-9397-08002B2CF9AE}" pid="15" name="Objective-IsPublished">
    <vt:bool>true</vt:bool>
  </property>
  <property fmtid="{D5CDD505-2E9C-101B-9397-08002B2CF9AE}" pid="16" name="Objective-DatePublished">
    <vt:filetime>2024-09-30T03:00:46Z</vt:filetime>
  </property>
  <property fmtid="{D5CDD505-2E9C-101B-9397-08002B2CF9AE}" pid="17" name="Objective-ModificationStamp">
    <vt:filetime>2024-09-30T03:00:46Z</vt:filetime>
  </property>
  <property fmtid="{D5CDD505-2E9C-101B-9397-08002B2CF9AE}" pid="18" name="Objective-Owner">
    <vt:lpwstr>Druime Nolan</vt:lpwstr>
  </property>
  <property fmtid="{D5CDD505-2E9C-101B-9397-08002B2CF9AE}" pid="19" name="Objective-Path">
    <vt:lpwstr>DPIRD Global Folder:00 Sustainability and Biosecurity:03.2 Aquatic Resource Management:Aquatic Resource Management:Management - Statewide Abalone:Abalone Fishery - 2024:Commercial:WTO Application 2024</vt:lpwstr>
  </property>
  <property fmtid="{D5CDD505-2E9C-101B-9397-08002B2CF9AE}" pid="20" name="Objective-Parent">
    <vt:lpwstr>WTO Application 2024</vt:lpwstr>
  </property>
  <property fmtid="{D5CDD505-2E9C-101B-9397-08002B2CF9AE}" pid="21" name="Objective-State">
    <vt:lpwstr>Published</vt:lpwstr>
  </property>
  <property fmtid="{D5CDD505-2E9C-101B-9397-08002B2CF9AE}" pid="22" name="Objective-VersionId">
    <vt:lpwstr>vA15599390</vt:lpwstr>
  </property>
  <property fmtid="{D5CDD505-2E9C-101B-9397-08002B2CF9AE}" pid="23" name="Objective-Version">
    <vt:lpwstr>2.0</vt:lpwstr>
  </property>
  <property fmtid="{D5CDD505-2E9C-101B-9397-08002B2CF9AE}" pid="24" name="Objective-VersionNumber">
    <vt:r8>2</vt:r8>
  </property>
  <property fmtid="{D5CDD505-2E9C-101B-9397-08002B2CF9AE}" pid="25" name="Objective-VersionComment">
    <vt:lpwstr>Accepting all changes</vt:lpwstr>
  </property>
  <property fmtid="{D5CDD505-2E9C-101B-9397-08002B2CF9AE}" pid="26" name="Objective-FileNumber">
    <vt:lpwstr>DPIRD 24-00953</vt:lpwstr>
  </property>
  <property fmtid="{D5CDD505-2E9C-101B-9397-08002B2CF9AE}" pid="27" name="Objective-Classification">
    <vt:lpwstr>OFFICIAL</vt:lpwstr>
  </property>
  <property fmtid="{D5CDD505-2E9C-101B-9397-08002B2CF9AE}" pid="28" name="Objective-Caveats">
    <vt:lpwstr/>
  </property>
  <property fmtid="{D5CDD505-2E9C-101B-9397-08002B2CF9AE}" pid="29" name="Objective-Notes">
    <vt:lpwstr/>
  </property>
  <property fmtid="{D5CDD505-2E9C-101B-9397-08002B2CF9AE}" pid="30" name="Objective-Connect Creator">
    <vt:lpwstr/>
  </property>
  <property fmtid="{D5CDD505-2E9C-101B-9397-08002B2CF9AE}" pid="31" name="Objective-Migrated Provenance">
    <vt:lpwstr/>
  </property>
  <property fmtid="{D5CDD505-2E9C-101B-9397-08002B2CF9AE}" pid="32" name="Objective-Migrated Original ID">
    <vt:lpwstr/>
  </property>
  <property fmtid="{D5CDD505-2E9C-101B-9397-08002B2CF9AE}" pid="33" name="Objective-Migrated Object Type">
    <vt:lpwstr/>
  </property>
  <property fmtid="{D5CDD505-2E9C-101B-9397-08002B2CF9AE}" pid="34" name="Objective-Migrated Metadata Field">
    <vt:lpwstr/>
  </property>
  <property fmtid="{D5CDD505-2E9C-101B-9397-08002B2CF9AE}" pid="35" name="Objective-Number of Pages">
    <vt:lpwstr/>
  </property>
  <property fmtid="{D5CDD505-2E9C-101B-9397-08002B2CF9AE}" pid="36" name="Objective-Office Lodged">
    <vt:lpwstr/>
  </property>
  <property fmtid="{D5CDD505-2E9C-101B-9397-08002B2CF9AE}" pid="37" name="Objective-Allow Intranet Search">
    <vt:lpwstr/>
  </property>
</Properties>
</file>