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DD0C" w14:textId="71750F74" w:rsidR="00D719F8" w:rsidRDefault="003D56ED" w:rsidP="003D56ED">
      <w:pPr>
        <w:pStyle w:val="Heading1"/>
      </w:pPr>
      <w:r w:rsidRPr="003D56ED">
        <w:t>Legislative review of the effectiveness of the Prohibited Energy Market Misconduct Act</w:t>
      </w:r>
      <w:r>
        <w:t>: Submissions Template</w:t>
      </w:r>
    </w:p>
    <w:p w14:paraId="25477535" w14:textId="77777777" w:rsidR="003D56ED" w:rsidRDefault="003D56ED"/>
    <w:p w14:paraId="12C20D15" w14:textId="77777777" w:rsidR="003D56ED" w:rsidRDefault="003D56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3D56ED" w14:paraId="4E254B52" w14:textId="77777777" w:rsidTr="1F6B9A7A">
        <w:tc>
          <w:tcPr>
            <w:tcW w:w="9016" w:type="dxa"/>
            <w:gridSpan w:val="2"/>
          </w:tcPr>
          <w:p w14:paraId="5F0140F1" w14:textId="5167FEFD" w:rsidR="003D56ED" w:rsidRDefault="003D56ED" w:rsidP="00A913F9">
            <w:pPr>
              <w:pStyle w:val="Heading2"/>
            </w:pPr>
            <w:r>
              <w:t>Assessment Framework and General Questions</w:t>
            </w:r>
          </w:p>
        </w:tc>
      </w:tr>
      <w:tr w:rsidR="003D56ED" w14:paraId="07B7E54F" w14:textId="77777777" w:rsidTr="1F6B9A7A">
        <w:tc>
          <w:tcPr>
            <w:tcW w:w="1413" w:type="dxa"/>
          </w:tcPr>
          <w:p w14:paraId="6D2FC623" w14:textId="79E82F7B" w:rsidR="003D56ED" w:rsidRPr="003D56ED" w:rsidRDefault="003D56ED" w:rsidP="003D56ED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07C7669A" w14:textId="11CA369C" w:rsidR="003D56ED" w:rsidRDefault="003D56ED" w:rsidP="003D56ED">
            <w:r>
              <w:t>Do you agree with the framework for assessing the effectiveness of the PEMM Act? </w:t>
            </w:r>
          </w:p>
        </w:tc>
      </w:tr>
      <w:tr w:rsidR="003D56ED" w14:paraId="479F8B7E" w14:textId="77777777" w:rsidTr="1F6B9A7A">
        <w:trPr>
          <w:trHeight w:val="2290"/>
        </w:trPr>
        <w:tc>
          <w:tcPr>
            <w:tcW w:w="9016" w:type="dxa"/>
            <w:gridSpan w:val="2"/>
          </w:tcPr>
          <w:p w14:paraId="34E4C67D" w14:textId="77A04A11" w:rsidR="003D56ED" w:rsidRDefault="003D56ED" w:rsidP="003D56ED">
            <w:pPr>
              <w:ind w:left="1080"/>
            </w:pPr>
          </w:p>
        </w:tc>
      </w:tr>
      <w:tr w:rsidR="003D56ED" w14:paraId="64FA5A18" w14:textId="77777777" w:rsidTr="1F6B9A7A">
        <w:tc>
          <w:tcPr>
            <w:tcW w:w="1413" w:type="dxa"/>
          </w:tcPr>
          <w:p w14:paraId="02B97DAE" w14:textId="66E6ED6F" w:rsidR="003D56ED" w:rsidRDefault="003D56ED" w:rsidP="003D56ED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2AD82B3D" w14:textId="2B1827BA" w:rsidR="6785C7DD" w:rsidRDefault="6785C7DD">
            <w:r>
              <w:t xml:space="preserve">How can the review assess the impact of the PEMM Act against the market performance criteria, including:  </w:t>
            </w:r>
          </w:p>
          <w:p w14:paraId="051EAF75" w14:textId="77777777" w:rsidR="003D56ED" w:rsidRPr="003D56ED" w:rsidRDefault="003D56ED" w:rsidP="003D56ED">
            <w:pPr>
              <w:numPr>
                <w:ilvl w:val="0"/>
                <w:numId w:val="15"/>
              </w:numPr>
              <w:ind w:left="360"/>
            </w:pPr>
            <w:r w:rsidRPr="003D56ED">
              <w:t xml:space="preserve">market </w:t>
            </w:r>
            <w:proofErr w:type="gramStart"/>
            <w:r w:rsidRPr="003D56ED">
              <w:t>efficiency;</w:t>
            </w:r>
            <w:proofErr w:type="gramEnd"/>
            <w:r w:rsidRPr="003D56ED">
              <w:t> </w:t>
            </w:r>
          </w:p>
          <w:p w14:paraId="053DCAA3" w14:textId="77777777" w:rsidR="003D56ED" w:rsidRPr="003D56ED" w:rsidRDefault="003D56ED" w:rsidP="003D56ED">
            <w:pPr>
              <w:numPr>
                <w:ilvl w:val="0"/>
                <w:numId w:val="16"/>
              </w:numPr>
              <w:ind w:left="360"/>
            </w:pPr>
            <w:proofErr w:type="gramStart"/>
            <w:r w:rsidRPr="003D56ED">
              <w:t>equity;</w:t>
            </w:r>
            <w:proofErr w:type="gramEnd"/>
            <w:r w:rsidRPr="003D56ED">
              <w:t> </w:t>
            </w:r>
          </w:p>
          <w:p w14:paraId="2E938C5C" w14:textId="77777777" w:rsidR="003D56ED" w:rsidRPr="003D56ED" w:rsidRDefault="003D56ED" w:rsidP="003D56ED">
            <w:pPr>
              <w:numPr>
                <w:ilvl w:val="0"/>
                <w:numId w:val="17"/>
              </w:numPr>
              <w:ind w:left="360"/>
            </w:pPr>
            <w:proofErr w:type="gramStart"/>
            <w:r w:rsidRPr="003D56ED">
              <w:t>reliability;</w:t>
            </w:r>
            <w:proofErr w:type="gramEnd"/>
            <w:r w:rsidRPr="003D56ED">
              <w:t> </w:t>
            </w:r>
          </w:p>
          <w:p w14:paraId="6D7C614A" w14:textId="77777777" w:rsidR="003D56ED" w:rsidRPr="003D56ED" w:rsidRDefault="003D56ED" w:rsidP="003D56ED">
            <w:pPr>
              <w:numPr>
                <w:ilvl w:val="0"/>
                <w:numId w:val="18"/>
              </w:numPr>
              <w:ind w:left="360"/>
            </w:pPr>
            <w:proofErr w:type="gramStart"/>
            <w:r w:rsidRPr="003D56ED">
              <w:t>affordability;</w:t>
            </w:r>
            <w:proofErr w:type="gramEnd"/>
            <w:r w:rsidRPr="003D56ED">
              <w:t> </w:t>
            </w:r>
          </w:p>
          <w:p w14:paraId="57AD32BE" w14:textId="77777777" w:rsidR="003D56ED" w:rsidRPr="003D56ED" w:rsidRDefault="003D56ED" w:rsidP="003D56ED">
            <w:pPr>
              <w:numPr>
                <w:ilvl w:val="0"/>
                <w:numId w:val="19"/>
              </w:numPr>
              <w:ind w:left="360"/>
            </w:pPr>
            <w:r w:rsidRPr="003D56ED">
              <w:t>emissions reduction; and </w:t>
            </w:r>
          </w:p>
          <w:p w14:paraId="2A807B5E" w14:textId="77777777" w:rsidR="003D56ED" w:rsidRPr="003D56ED" w:rsidRDefault="003D56ED" w:rsidP="003D56ED">
            <w:pPr>
              <w:numPr>
                <w:ilvl w:val="0"/>
                <w:numId w:val="20"/>
              </w:numPr>
              <w:ind w:left="360"/>
            </w:pPr>
            <w:r w:rsidRPr="003D56ED">
              <w:t>investment outcomes. </w:t>
            </w:r>
          </w:p>
          <w:p w14:paraId="4EB731B2" w14:textId="62055C79" w:rsidR="003D56ED" w:rsidRDefault="003D56ED"/>
        </w:tc>
      </w:tr>
      <w:tr w:rsidR="003D56ED" w14:paraId="65D6E5B7" w14:textId="77777777" w:rsidTr="1F6B9A7A">
        <w:trPr>
          <w:trHeight w:val="2527"/>
        </w:trPr>
        <w:tc>
          <w:tcPr>
            <w:tcW w:w="1413" w:type="dxa"/>
          </w:tcPr>
          <w:p w14:paraId="0F6555BE" w14:textId="77777777" w:rsidR="003D56ED" w:rsidRDefault="003D56ED"/>
        </w:tc>
        <w:tc>
          <w:tcPr>
            <w:tcW w:w="7603" w:type="dxa"/>
          </w:tcPr>
          <w:p w14:paraId="3D97063B" w14:textId="77777777" w:rsidR="003D56ED" w:rsidRPr="003D56ED" w:rsidRDefault="003D56ED" w:rsidP="003D56ED">
            <w:pPr>
              <w:ind w:left="720"/>
            </w:pPr>
          </w:p>
        </w:tc>
      </w:tr>
      <w:tr w:rsidR="003D56ED" w14:paraId="2879C08A" w14:textId="77777777" w:rsidTr="1F6B9A7A">
        <w:tc>
          <w:tcPr>
            <w:tcW w:w="1413" w:type="dxa"/>
          </w:tcPr>
          <w:p w14:paraId="108D7020" w14:textId="3C3BA07B" w:rsidR="003D56ED" w:rsidRDefault="003D56ED" w:rsidP="003D56ED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735F4227" w14:textId="12AE833B" w:rsidR="003D56ED" w:rsidRDefault="003D56ED" w:rsidP="003D56ED">
            <w:r>
              <w:t xml:space="preserve">Are there any other </w:t>
            </w:r>
            <w:r w:rsidR="2EEDE921">
              <w:t>criteria</w:t>
            </w:r>
            <w:r>
              <w:t xml:space="preserve"> in addition to those above the review should consider? If so, </w:t>
            </w:r>
            <w:r w:rsidR="5255BAF6">
              <w:t xml:space="preserve">what are they, and </w:t>
            </w:r>
            <w:r>
              <w:t>how can they be assessed?  </w:t>
            </w:r>
          </w:p>
        </w:tc>
      </w:tr>
      <w:tr w:rsidR="003D56ED" w14:paraId="58384A5B" w14:textId="77777777" w:rsidTr="1F6B9A7A">
        <w:trPr>
          <w:trHeight w:val="1706"/>
        </w:trPr>
        <w:tc>
          <w:tcPr>
            <w:tcW w:w="9016" w:type="dxa"/>
            <w:gridSpan w:val="2"/>
          </w:tcPr>
          <w:p w14:paraId="61DC3709" w14:textId="1687606E" w:rsidR="003D56ED" w:rsidRDefault="003D56ED"/>
        </w:tc>
      </w:tr>
      <w:tr w:rsidR="003D56ED" w14:paraId="6C915DA3" w14:textId="77777777" w:rsidTr="1F6B9A7A">
        <w:trPr>
          <w:trHeight w:val="70"/>
        </w:trPr>
        <w:tc>
          <w:tcPr>
            <w:tcW w:w="1413" w:type="dxa"/>
          </w:tcPr>
          <w:p w14:paraId="696F4684" w14:textId="126AAEAD" w:rsidR="003D56ED" w:rsidRDefault="003D56ED" w:rsidP="003D56ED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02896918" w14:textId="7BB0B8B9" w:rsidR="003D56ED" w:rsidRDefault="003D56ED" w:rsidP="003D56ED">
            <w:r>
              <w:t>Have regulatory changes in the market since the introduction of the PEMM Act influenced its effectiveness? </w:t>
            </w:r>
          </w:p>
        </w:tc>
      </w:tr>
      <w:tr w:rsidR="003D56ED" w14:paraId="751C78AB" w14:textId="77777777" w:rsidTr="1F6B9A7A">
        <w:trPr>
          <w:trHeight w:val="1692"/>
        </w:trPr>
        <w:tc>
          <w:tcPr>
            <w:tcW w:w="9016" w:type="dxa"/>
            <w:gridSpan w:val="2"/>
          </w:tcPr>
          <w:p w14:paraId="1FC21E98" w14:textId="136FF353" w:rsidR="003D56ED" w:rsidRDefault="003D56ED"/>
        </w:tc>
      </w:tr>
      <w:tr w:rsidR="003D56ED" w14:paraId="001167E3" w14:textId="77777777" w:rsidTr="1F6B9A7A">
        <w:tc>
          <w:tcPr>
            <w:tcW w:w="1413" w:type="dxa"/>
          </w:tcPr>
          <w:p w14:paraId="5EDC9C55" w14:textId="77777777" w:rsidR="003D56ED" w:rsidRDefault="003D56ED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50664FD4" w14:textId="06429D7A" w:rsidR="003D56ED" w:rsidRDefault="000A4581">
            <w:r w:rsidRPr="000A4581">
              <w:t xml:space="preserve">Are there particular data sources or other forms of evidence the review should consider in making its assessment? </w:t>
            </w:r>
            <w:r w:rsidR="00BF17D6">
              <w:t>If so, what are these and why should the review consider them in making its assessment?</w:t>
            </w:r>
          </w:p>
        </w:tc>
      </w:tr>
      <w:tr w:rsidR="000A4581" w14:paraId="639C1620" w14:textId="77777777" w:rsidTr="1F6B9A7A">
        <w:trPr>
          <w:trHeight w:val="1567"/>
        </w:trPr>
        <w:tc>
          <w:tcPr>
            <w:tcW w:w="9016" w:type="dxa"/>
            <w:gridSpan w:val="2"/>
          </w:tcPr>
          <w:p w14:paraId="2B1F1CAE" w14:textId="77777777" w:rsidR="000A4581" w:rsidRDefault="000A4581"/>
        </w:tc>
      </w:tr>
      <w:tr w:rsidR="003D56ED" w14:paraId="7CE2A918" w14:textId="77777777" w:rsidTr="1F6B9A7A">
        <w:tc>
          <w:tcPr>
            <w:tcW w:w="1413" w:type="dxa"/>
          </w:tcPr>
          <w:p w14:paraId="7609BE6F" w14:textId="77777777" w:rsidR="003D56ED" w:rsidRDefault="003D56ED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6EDBAF58" w14:textId="55BD1B26" w:rsidR="003D56ED" w:rsidRDefault="00A913F9">
            <w:r w:rsidRPr="00A913F9">
              <w:t>How have broader market conditions, such as the COVID-19 pandemic and the energy crisis, affected the PEMM Act’s operation in the market? </w:t>
            </w:r>
          </w:p>
        </w:tc>
      </w:tr>
      <w:tr w:rsidR="000A4581" w14:paraId="4EE5AEA8" w14:textId="77777777" w:rsidTr="1F6B9A7A">
        <w:trPr>
          <w:trHeight w:val="1852"/>
        </w:trPr>
        <w:tc>
          <w:tcPr>
            <w:tcW w:w="9016" w:type="dxa"/>
            <w:gridSpan w:val="2"/>
          </w:tcPr>
          <w:p w14:paraId="6016346A" w14:textId="77777777" w:rsidR="000A4581" w:rsidRDefault="000A4581"/>
        </w:tc>
      </w:tr>
      <w:tr w:rsidR="00A913F9" w14:paraId="6A7286B9" w14:textId="77777777" w:rsidTr="1F6B9A7A">
        <w:tc>
          <w:tcPr>
            <w:tcW w:w="9016" w:type="dxa"/>
            <w:gridSpan w:val="2"/>
          </w:tcPr>
          <w:p w14:paraId="0A75F632" w14:textId="01090095" w:rsidR="00A913F9" w:rsidRDefault="00A913F9" w:rsidP="00A913F9">
            <w:pPr>
              <w:pStyle w:val="Heading2"/>
            </w:pPr>
            <w:r>
              <w:t>Retail Market Prohibition Questions</w:t>
            </w:r>
          </w:p>
        </w:tc>
      </w:tr>
      <w:tr w:rsidR="004418FA" w14:paraId="5B0867EA" w14:textId="77777777" w:rsidTr="1F6B9A7A">
        <w:tc>
          <w:tcPr>
            <w:tcW w:w="9016" w:type="dxa"/>
            <w:gridSpan w:val="2"/>
          </w:tcPr>
          <w:p w14:paraId="20967DBE" w14:textId="58A875D1" w:rsidR="004418FA" w:rsidRDefault="004418FA" w:rsidP="004418FA">
            <w:r>
              <w:t>When providing feedback on the questions in this section above you may wish to comment on:</w:t>
            </w:r>
          </w:p>
          <w:p w14:paraId="432F726D" w14:textId="77777777" w:rsidR="004418FA" w:rsidRDefault="004418FA" w:rsidP="004418FA">
            <w:pPr>
              <w:pStyle w:val="ListParagraph"/>
              <w:numPr>
                <w:ilvl w:val="0"/>
                <w:numId w:val="34"/>
              </w:numPr>
            </w:pPr>
            <w:r>
              <w:t xml:space="preserve">Broader market conditions which have affected the behaviour and pricing strategies of electricity retailers. </w:t>
            </w:r>
          </w:p>
          <w:p w14:paraId="3B05D216" w14:textId="77777777" w:rsidR="004418FA" w:rsidRDefault="004418FA" w:rsidP="004418FA">
            <w:pPr>
              <w:pStyle w:val="ListParagraph"/>
              <w:numPr>
                <w:ilvl w:val="0"/>
                <w:numId w:val="34"/>
              </w:numPr>
            </w:pPr>
            <w:r>
              <w:t xml:space="preserve">Whether the requirements of the PEMM Act have created barriers to entry into the electricity retail market. </w:t>
            </w:r>
          </w:p>
          <w:p w14:paraId="65F4E42E" w14:textId="263632A3" w:rsidR="004418FA" w:rsidRDefault="1CBA8638" w:rsidP="004418FA">
            <w:pPr>
              <w:pStyle w:val="ListParagraph"/>
              <w:numPr>
                <w:ilvl w:val="0"/>
                <w:numId w:val="34"/>
              </w:numPr>
            </w:pPr>
            <w:r>
              <w:t xml:space="preserve">How market conduct affects </w:t>
            </w:r>
            <w:r w:rsidR="03CDD4F8">
              <w:t>vulnerable and</w:t>
            </w:r>
            <w:r>
              <w:t xml:space="preserve"> disengaged customers</w:t>
            </w:r>
            <w:r w:rsidR="03CDD4F8">
              <w:t>,</w:t>
            </w:r>
            <w:r>
              <w:t xml:space="preserve"> and customers on legacy contracts. </w:t>
            </w:r>
          </w:p>
          <w:p w14:paraId="72845D9E" w14:textId="39ED76D7" w:rsidR="004418FA" w:rsidRDefault="004418FA" w:rsidP="004418FA">
            <w:pPr>
              <w:pStyle w:val="ListParagraph"/>
              <w:numPr>
                <w:ilvl w:val="0"/>
                <w:numId w:val="34"/>
              </w:numPr>
            </w:pPr>
            <w:r>
              <w:t>Whether the PEMM Act fails to regulate</w:t>
            </w:r>
            <w:r w:rsidRPr="004418FA">
              <w:rPr>
                <w:rFonts w:ascii="Arial" w:hAnsi="Arial" w:cs="Arial"/>
              </w:rPr>
              <w:t> </w:t>
            </w:r>
            <w:r>
              <w:t>conduct that should otherwise be regulated</w:t>
            </w:r>
          </w:p>
        </w:tc>
      </w:tr>
      <w:tr w:rsidR="003D56ED" w14:paraId="237F8E67" w14:textId="77777777" w:rsidTr="1F6B9A7A">
        <w:tc>
          <w:tcPr>
            <w:tcW w:w="1413" w:type="dxa"/>
          </w:tcPr>
          <w:p w14:paraId="1139BC12" w14:textId="77777777" w:rsidR="003D56ED" w:rsidRDefault="003D56ED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6EF0B5E9" w14:textId="5054371B" w:rsidR="003D56ED" w:rsidRDefault="00494ABD">
            <w:r w:rsidRPr="00494ABD">
              <w:t>Has the retail prohibition in the PEMM Act affected electricity market performance? If so, how?</w:t>
            </w:r>
          </w:p>
        </w:tc>
      </w:tr>
      <w:tr w:rsidR="000A4581" w14:paraId="622DD315" w14:textId="77777777" w:rsidTr="1F6B9A7A">
        <w:trPr>
          <w:trHeight w:val="1499"/>
        </w:trPr>
        <w:tc>
          <w:tcPr>
            <w:tcW w:w="9016" w:type="dxa"/>
            <w:gridSpan w:val="2"/>
          </w:tcPr>
          <w:p w14:paraId="20C5DFF7" w14:textId="77777777" w:rsidR="000A4581" w:rsidRDefault="000A4581"/>
        </w:tc>
      </w:tr>
      <w:tr w:rsidR="003D56ED" w14:paraId="373249F4" w14:textId="77777777" w:rsidTr="1F6B9A7A">
        <w:tc>
          <w:tcPr>
            <w:tcW w:w="1413" w:type="dxa"/>
          </w:tcPr>
          <w:p w14:paraId="1307A9FE" w14:textId="77777777" w:rsidR="003D56ED" w:rsidRDefault="003D56ED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28113530" w14:textId="5783FE68" w:rsidR="003D56ED" w:rsidRDefault="008E168C">
            <w:r w:rsidRPr="008E168C">
              <w:t>Has the retail prohibition resulted in consumer prices better reflecting the underlying costs of procuring electricity? If so, how? </w:t>
            </w:r>
          </w:p>
        </w:tc>
      </w:tr>
      <w:tr w:rsidR="000A4581" w14:paraId="02077AB5" w14:textId="77777777" w:rsidTr="1F6B9A7A">
        <w:trPr>
          <w:trHeight w:val="1854"/>
        </w:trPr>
        <w:tc>
          <w:tcPr>
            <w:tcW w:w="9016" w:type="dxa"/>
            <w:gridSpan w:val="2"/>
          </w:tcPr>
          <w:p w14:paraId="40150902" w14:textId="77777777" w:rsidR="000A4581" w:rsidRDefault="000A4581"/>
        </w:tc>
      </w:tr>
      <w:tr w:rsidR="003D56ED" w14:paraId="7DE8E4C7" w14:textId="77777777" w:rsidTr="1F6B9A7A">
        <w:tc>
          <w:tcPr>
            <w:tcW w:w="1413" w:type="dxa"/>
          </w:tcPr>
          <w:p w14:paraId="3B15FD65" w14:textId="77777777" w:rsidR="003D56ED" w:rsidRDefault="003D56ED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55A6DFEA" w14:textId="73B6EDD9" w:rsidR="003D56ED" w:rsidRDefault="008E168C">
            <w:r w:rsidRPr="008E168C">
              <w:t>Has the retail prohibition influenced retailer pricing strategies in the market, observed or otherwise? </w:t>
            </w:r>
          </w:p>
        </w:tc>
      </w:tr>
      <w:tr w:rsidR="000A4581" w14:paraId="6C57602C" w14:textId="77777777" w:rsidTr="1F6B9A7A">
        <w:trPr>
          <w:trHeight w:val="1846"/>
        </w:trPr>
        <w:tc>
          <w:tcPr>
            <w:tcW w:w="9016" w:type="dxa"/>
            <w:gridSpan w:val="2"/>
          </w:tcPr>
          <w:p w14:paraId="3BEF748F" w14:textId="7CA8D15E" w:rsidR="000A4581" w:rsidRDefault="00C92568">
            <w:r>
              <w:t xml:space="preserve">                       </w:t>
            </w:r>
          </w:p>
        </w:tc>
      </w:tr>
      <w:tr w:rsidR="003D56ED" w14:paraId="10647711" w14:textId="77777777" w:rsidTr="1F6B9A7A">
        <w:tc>
          <w:tcPr>
            <w:tcW w:w="1413" w:type="dxa"/>
          </w:tcPr>
          <w:p w14:paraId="6F116A19" w14:textId="77777777" w:rsidR="003D56ED" w:rsidRDefault="003D56ED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0A203380" w14:textId="6D71275F" w:rsidR="003D56ED" w:rsidRDefault="00821E10">
            <w:r w:rsidRPr="00821E10">
              <w:t xml:space="preserve">Are the remedies that are available in relation to the retail prohibition under the </w:t>
            </w:r>
            <w:r w:rsidRPr="004418FA">
              <w:rPr>
                <w:i/>
                <w:iCs/>
              </w:rPr>
              <w:t>Competition and Consumer Act 2010</w:t>
            </w:r>
            <w:r w:rsidRPr="00821E10">
              <w:t xml:space="preserve"> (CCA) appropriate and effective?</w:t>
            </w:r>
          </w:p>
        </w:tc>
      </w:tr>
      <w:tr w:rsidR="000A4581" w14:paraId="443F7EAE" w14:textId="77777777" w:rsidTr="1F6B9A7A">
        <w:trPr>
          <w:trHeight w:val="1713"/>
        </w:trPr>
        <w:tc>
          <w:tcPr>
            <w:tcW w:w="9016" w:type="dxa"/>
            <w:gridSpan w:val="2"/>
          </w:tcPr>
          <w:p w14:paraId="06674E9D" w14:textId="77777777" w:rsidR="000A4581" w:rsidRDefault="000A4581"/>
        </w:tc>
      </w:tr>
      <w:tr w:rsidR="003D56ED" w14:paraId="0357D5E8" w14:textId="77777777" w:rsidTr="1F6B9A7A">
        <w:tc>
          <w:tcPr>
            <w:tcW w:w="1413" w:type="dxa"/>
          </w:tcPr>
          <w:p w14:paraId="52EBA20A" w14:textId="77777777" w:rsidR="003D56ED" w:rsidRDefault="003D56ED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34B448C1" w14:textId="290AE7CF" w:rsidR="003D56ED" w:rsidRDefault="17383329">
            <w:r>
              <w:t xml:space="preserve">How has retailer behaviour changed </w:t>
            </w:r>
            <w:proofErr w:type="gramStart"/>
            <w:r>
              <w:t>as a result of</w:t>
            </w:r>
            <w:proofErr w:type="gramEnd"/>
            <w:r>
              <w:t xml:space="preserve"> the prohibitions set out in s</w:t>
            </w:r>
            <w:r w:rsidR="3CF51C3B">
              <w:t>.</w:t>
            </w:r>
            <w:r>
              <w:t>153E having regard to the way in which misconduct is defined?  </w:t>
            </w:r>
          </w:p>
        </w:tc>
      </w:tr>
      <w:tr w:rsidR="000A4581" w14:paraId="0636F048" w14:textId="77777777" w:rsidTr="1F6B9A7A">
        <w:trPr>
          <w:trHeight w:val="2270"/>
        </w:trPr>
        <w:tc>
          <w:tcPr>
            <w:tcW w:w="9016" w:type="dxa"/>
            <w:gridSpan w:val="2"/>
          </w:tcPr>
          <w:p w14:paraId="674CBE8C" w14:textId="77777777" w:rsidR="000A4581" w:rsidRDefault="000A4581"/>
        </w:tc>
      </w:tr>
      <w:tr w:rsidR="00C92568" w14:paraId="3C82B56B" w14:textId="77777777" w:rsidTr="1F6B9A7A">
        <w:tc>
          <w:tcPr>
            <w:tcW w:w="9016" w:type="dxa"/>
            <w:gridSpan w:val="2"/>
          </w:tcPr>
          <w:p w14:paraId="395CE9D0" w14:textId="202ADE85" w:rsidR="00C92568" w:rsidRDefault="00C92568" w:rsidP="00C92568">
            <w:pPr>
              <w:pStyle w:val="Heading2"/>
            </w:pPr>
            <w:r>
              <w:t>Contract Market Prohibition Questions</w:t>
            </w:r>
          </w:p>
        </w:tc>
      </w:tr>
      <w:tr w:rsidR="004418FA" w14:paraId="08BBF167" w14:textId="77777777" w:rsidTr="1F6B9A7A">
        <w:trPr>
          <w:trHeight w:val="2457"/>
        </w:trPr>
        <w:tc>
          <w:tcPr>
            <w:tcW w:w="9016" w:type="dxa"/>
            <w:gridSpan w:val="2"/>
          </w:tcPr>
          <w:p w14:paraId="5BCF693A" w14:textId="71A7E7A4" w:rsidR="004418FA" w:rsidRDefault="004418FA" w:rsidP="004418FA">
            <w:r w:rsidRPr="00A1113E">
              <w:t xml:space="preserve">When providing feedback on the questions </w:t>
            </w:r>
            <w:r>
              <w:t>in this section</w:t>
            </w:r>
            <w:r w:rsidRPr="00A1113E">
              <w:t xml:space="preserve"> you may wish to comment on: </w:t>
            </w:r>
          </w:p>
          <w:p w14:paraId="3F04B83A" w14:textId="77777777" w:rsidR="004418FA" w:rsidRPr="001C0779" w:rsidRDefault="004418FA" w:rsidP="004418FA">
            <w:pPr>
              <w:numPr>
                <w:ilvl w:val="0"/>
                <w:numId w:val="26"/>
              </w:numPr>
            </w:pPr>
            <w:r w:rsidRPr="001C0779">
              <w:t>Broader market conditions which have affected the behaviour of electricity generators offering financial contracts. </w:t>
            </w:r>
          </w:p>
          <w:p w14:paraId="331C60F6" w14:textId="77777777" w:rsidR="004418FA" w:rsidRPr="001C0779" w:rsidRDefault="004418FA" w:rsidP="004418FA">
            <w:pPr>
              <w:numPr>
                <w:ilvl w:val="0"/>
                <w:numId w:val="27"/>
              </w:numPr>
            </w:pPr>
            <w:r w:rsidRPr="001C0779">
              <w:t>If the requirements of the contract prohibition have created barriers to entry for new potential suppliers of generation. </w:t>
            </w:r>
          </w:p>
          <w:p w14:paraId="62C099AD" w14:textId="77777777" w:rsidR="004418FA" w:rsidRPr="001C0779" w:rsidRDefault="004418FA" w:rsidP="004418FA">
            <w:pPr>
              <w:numPr>
                <w:ilvl w:val="0"/>
                <w:numId w:val="28"/>
              </w:numPr>
            </w:pPr>
            <w:r w:rsidRPr="001C0779">
              <w:t>How the requirements of the contract prohibition may have affected the way new and existing generators design their generation infrastructure. </w:t>
            </w:r>
          </w:p>
          <w:p w14:paraId="11D479A9" w14:textId="77777777" w:rsidR="004418FA" w:rsidRPr="001C0779" w:rsidRDefault="004418FA" w:rsidP="004418FA">
            <w:pPr>
              <w:numPr>
                <w:ilvl w:val="0"/>
                <w:numId w:val="29"/>
              </w:numPr>
            </w:pPr>
            <w:r w:rsidRPr="001C0779">
              <w:t>Whether the PEMM Act fails to regulate</w:t>
            </w:r>
            <w:r w:rsidRPr="001C0779">
              <w:rPr>
                <w:rFonts w:ascii="Arial" w:hAnsi="Arial" w:cs="Arial"/>
              </w:rPr>
              <w:t> </w:t>
            </w:r>
            <w:r w:rsidRPr="001C0779">
              <w:t>conduct that should otherwise be regulated. </w:t>
            </w:r>
          </w:p>
          <w:p w14:paraId="1266B1B4" w14:textId="2B7E8B4F" w:rsidR="004418FA" w:rsidRDefault="004418FA" w:rsidP="004418FA"/>
        </w:tc>
      </w:tr>
      <w:tr w:rsidR="003D56ED" w14:paraId="2B7E937F" w14:textId="77777777" w:rsidTr="1F6B9A7A">
        <w:tc>
          <w:tcPr>
            <w:tcW w:w="1413" w:type="dxa"/>
          </w:tcPr>
          <w:p w14:paraId="04ACB175" w14:textId="77777777" w:rsidR="003D56ED" w:rsidRDefault="003D56ED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70208AED" w14:textId="791F9732" w:rsidR="003D56ED" w:rsidRDefault="004E5F4E">
            <w:r w:rsidRPr="004E5F4E">
              <w:t>Has the electricity financial contract liquidity prohibition in the PEMM Act impacted electricity market performance? If so, how?</w:t>
            </w:r>
          </w:p>
        </w:tc>
      </w:tr>
      <w:tr w:rsidR="000A4581" w14:paraId="13370036" w14:textId="77777777" w:rsidTr="1F6B9A7A">
        <w:trPr>
          <w:trHeight w:val="2038"/>
        </w:trPr>
        <w:tc>
          <w:tcPr>
            <w:tcW w:w="9016" w:type="dxa"/>
            <w:gridSpan w:val="2"/>
          </w:tcPr>
          <w:p w14:paraId="727525C6" w14:textId="77777777" w:rsidR="000A4581" w:rsidRDefault="000A4581"/>
        </w:tc>
      </w:tr>
      <w:tr w:rsidR="000A4581" w14:paraId="1BE90F18" w14:textId="77777777" w:rsidTr="1F6B9A7A">
        <w:tc>
          <w:tcPr>
            <w:tcW w:w="1413" w:type="dxa"/>
          </w:tcPr>
          <w:p w14:paraId="10435F12" w14:textId="77777777" w:rsidR="000A4581" w:rsidRDefault="000A4581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03A2E99E" w14:textId="17A91851" w:rsidR="000A4581" w:rsidRDefault="004052ED">
            <w:r w:rsidRPr="004052ED">
              <w:t>Have retailers, particularly small standalone retailers, observed improved access to financial contracts? If not, why? </w:t>
            </w:r>
          </w:p>
        </w:tc>
      </w:tr>
      <w:tr w:rsidR="000A4581" w14:paraId="67530D30" w14:textId="77777777" w:rsidTr="1F6B9A7A">
        <w:trPr>
          <w:trHeight w:val="1990"/>
        </w:trPr>
        <w:tc>
          <w:tcPr>
            <w:tcW w:w="9016" w:type="dxa"/>
            <w:gridSpan w:val="2"/>
          </w:tcPr>
          <w:p w14:paraId="16A23189" w14:textId="77777777" w:rsidR="000A4581" w:rsidRDefault="000A4581"/>
        </w:tc>
      </w:tr>
      <w:tr w:rsidR="000A4581" w14:paraId="52D74A4A" w14:textId="77777777" w:rsidTr="1F6B9A7A">
        <w:tc>
          <w:tcPr>
            <w:tcW w:w="1413" w:type="dxa"/>
          </w:tcPr>
          <w:p w14:paraId="782DE205" w14:textId="77777777" w:rsidR="000A4581" w:rsidRDefault="000A4581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1344D620" w14:textId="294F3BBD" w:rsidR="000A4581" w:rsidRDefault="0C8247F3">
            <w:r>
              <w:t xml:space="preserve">How important is it for retailers to access </w:t>
            </w:r>
            <w:r w:rsidR="722345EB">
              <w:t>Australian Stock Exchange (</w:t>
            </w:r>
            <w:r>
              <w:t>ASX</w:t>
            </w:r>
            <w:r w:rsidR="722345EB">
              <w:t>)</w:t>
            </w:r>
            <w:r>
              <w:t xml:space="preserve"> traded contracts, or other types of financial contracts for risk management, and how does this impact the underlying costs of procuring electricity?   </w:t>
            </w:r>
          </w:p>
        </w:tc>
      </w:tr>
      <w:tr w:rsidR="000A4581" w14:paraId="07789DB0" w14:textId="77777777" w:rsidTr="1F6B9A7A">
        <w:trPr>
          <w:trHeight w:val="1975"/>
        </w:trPr>
        <w:tc>
          <w:tcPr>
            <w:tcW w:w="9016" w:type="dxa"/>
            <w:gridSpan w:val="2"/>
          </w:tcPr>
          <w:p w14:paraId="024574FD" w14:textId="77777777" w:rsidR="000A4581" w:rsidRDefault="000A4581"/>
          <w:p w14:paraId="0A76B7DF" w14:textId="77777777" w:rsidR="004052ED" w:rsidRDefault="004052ED"/>
        </w:tc>
      </w:tr>
      <w:tr w:rsidR="000A4581" w14:paraId="4A2A6E65" w14:textId="77777777" w:rsidTr="1F6B9A7A">
        <w:tc>
          <w:tcPr>
            <w:tcW w:w="1413" w:type="dxa"/>
          </w:tcPr>
          <w:p w14:paraId="39461AD7" w14:textId="77777777" w:rsidR="000A4581" w:rsidRDefault="000A4581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518082E5" w14:textId="39F643B8" w:rsidR="000A4581" w:rsidRDefault="00EC380F">
            <w:r w:rsidRPr="00EC380F">
              <w:t xml:space="preserve">Have the remedies available under the </w:t>
            </w:r>
            <w:r w:rsidR="00AC2C79">
              <w:t xml:space="preserve">electricity financial contract liquidity prohibition </w:t>
            </w:r>
            <w:r w:rsidRPr="00EC380F">
              <w:t>impacted investment decisions by generators? If so, how? </w:t>
            </w:r>
          </w:p>
        </w:tc>
      </w:tr>
      <w:tr w:rsidR="000A4581" w14:paraId="362C08B8" w14:textId="77777777" w:rsidTr="1F6B9A7A">
        <w:trPr>
          <w:trHeight w:val="1996"/>
        </w:trPr>
        <w:tc>
          <w:tcPr>
            <w:tcW w:w="9016" w:type="dxa"/>
            <w:gridSpan w:val="2"/>
          </w:tcPr>
          <w:p w14:paraId="5D202B5A" w14:textId="77777777" w:rsidR="000A4581" w:rsidRDefault="000A4581"/>
        </w:tc>
      </w:tr>
      <w:tr w:rsidR="000A4581" w14:paraId="5517432F" w14:textId="77777777" w:rsidTr="1F6B9A7A">
        <w:tc>
          <w:tcPr>
            <w:tcW w:w="1413" w:type="dxa"/>
          </w:tcPr>
          <w:p w14:paraId="52573955" w14:textId="77777777" w:rsidR="000A4581" w:rsidRDefault="000A4581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773F5E72" w14:textId="1FE66C79" w:rsidR="000A4581" w:rsidRDefault="4D389862" w:rsidP="0245063F">
            <w:r>
              <w:t>Are the remedies available in</w:t>
            </w:r>
            <w:r w:rsidR="15D3BF75">
              <w:t xml:space="preserve"> the </w:t>
            </w:r>
            <w:r w:rsidR="15D3BF75" w:rsidRPr="1F6B9A7A">
              <w:rPr>
                <w:i/>
                <w:iCs/>
              </w:rPr>
              <w:t>Competition and Consumer Act 2010</w:t>
            </w:r>
            <w:r w:rsidR="15D3BF75">
              <w:t xml:space="preserve"> (CCA)</w:t>
            </w:r>
            <w:r>
              <w:t xml:space="preserve"> – including contracting orders under the PEMM Act – appropriate and effective in addressing</w:t>
            </w:r>
            <w:r w:rsidR="72521666">
              <w:t xml:space="preserve"> electricity financial contract liquidity</w:t>
            </w:r>
            <w:r>
              <w:t xml:space="preserve"> misconduct?  </w:t>
            </w:r>
          </w:p>
        </w:tc>
      </w:tr>
      <w:tr w:rsidR="000A4581" w14:paraId="7E8A7A50" w14:textId="77777777" w:rsidTr="1F6B9A7A">
        <w:trPr>
          <w:trHeight w:val="1565"/>
        </w:trPr>
        <w:tc>
          <w:tcPr>
            <w:tcW w:w="9016" w:type="dxa"/>
            <w:gridSpan w:val="2"/>
          </w:tcPr>
          <w:p w14:paraId="5EBFC8E2" w14:textId="77777777" w:rsidR="000A4581" w:rsidRDefault="000A4581"/>
        </w:tc>
      </w:tr>
      <w:tr w:rsidR="000A4581" w14:paraId="526C6A6C" w14:textId="77777777" w:rsidTr="1F6B9A7A">
        <w:tc>
          <w:tcPr>
            <w:tcW w:w="1413" w:type="dxa"/>
          </w:tcPr>
          <w:p w14:paraId="218344B4" w14:textId="77777777" w:rsidR="000A4581" w:rsidRDefault="000A4581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43EF67C3" w14:textId="37A4BD55" w:rsidR="000A4581" w:rsidRDefault="4D389862">
            <w:r>
              <w:t xml:space="preserve">How has generator behaviour changed </w:t>
            </w:r>
            <w:proofErr w:type="gramStart"/>
            <w:r>
              <w:t>as a result of</w:t>
            </w:r>
            <w:proofErr w:type="gramEnd"/>
            <w:r>
              <w:t xml:space="preserve"> the prohibition set out in s</w:t>
            </w:r>
            <w:r w:rsidR="72521666">
              <w:t>.</w:t>
            </w:r>
            <w:r>
              <w:t>153F having regard to the way in which misconduct is defined?  </w:t>
            </w:r>
          </w:p>
        </w:tc>
      </w:tr>
      <w:tr w:rsidR="001C0779" w14:paraId="0BD65251" w14:textId="77777777" w:rsidTr="1F6B9A7A">
        <w:trPr>
          <w:trHeight w:val="1865"/>
        </w:trPr>
        <w:tc>
          <w:tcPr>
            <w:tcW w:w="9016" w:type="dxa"/>
            <w:gridSpan w:val="2"/>
          </w:tcPr>
          <w:p w14:paraId="537A09C9" w14:textId="77777777" w:rsidR="001C0779" w:rsidRDefault="001C0779"/>
        </w:tc>
      </w:tr>
      <w:tr w:rsidR="00575BD7" w14:paraId="1F052D1A" w14:textId="77777777" w:rsidTr="1F6B9A7A">
        <w:trPr>
          <w:trHeight w:val="70"/>
        </w:trPr>
        <w:tc>
          <w:tcPr>
            <w:tcW w:w="9016" w:type="dxa"/>
            <w:gridSpan w:val="2"/>
          </w:tcPr>
          <w:p w14:paraId="574F79EC" w14:textId="4DC0E7C4" w:rsidR="00575BD7" w:rsidRPr="001C0779" w:rsidRDefault="00575BD7" w:rsidP="00575BD7">
            <w:pPr>
              <w:pStyle w:val="Heading2"/>
            </w:pPr>
            <w:r>
              <w:t>Spot Market Prohibition Questions</w:t>
            </w:r>
          </w:p>
        </w:tc>
      </w:tr>
      <w:tr w:rsidR="004418FA" w14:paraId="4EBD0C79" w14:textId="77777777" w:rsidTr="1F6B9A7A">
        <w:trPr>
          <w:trHeight w:val="70"/>
        </w:trPr>
        <w:tc>
          <w:tcPr>
            <w:tcW w:w="9016" w:type="dxa"/>
            <w:gridSpan w:val="2"/>
          </w:tcPr>
          <w:p w14:paraId="71ECE0BD" w14:textId="571A8BE7" w:rsidR="004418FA" w:rsidRPr="00CE50B2" w:rsidRDefault="004418FA" w:rsidP="004418FA">
            <w:r w:rsidRPr="00CE50B2">
              <w:t xml:space="preserve">When providing feedback </w:t>
            </w:r>
            <w:r>
              <w:t xml:space="preserve">on the questions in this section </w:t>
            </w:r>
            <w:r w:rsidRPr="00CE50B2">
              <w:t>you may wish to comment on: </w:t>
            </w:r>
          </w:p>
          <w:p w14:paraId="2776B76F" w14:textId="77777777" w:rsidR="004418FA" w:rsidRPr="00CE50B2" w:rsidRDefault="004418FA" w:rsidP="004418FA">
            <w:pPr>
              <w:numPr>
                <w:ilvl w:val="0"/>
                <w:numId w:val="30"/>
              </w:numPr>
            </w:pPr>
            <w:r w:rsidRPr="00CE50B2">
              <w:t>Broader market conditions which have affected the behaviour of electricity generators, for example, the global energy crisis, supply chain constraints, and coal plant outages.  </w:t>
            </w:r>
          </w:p>
          <w:p w14:paraId="2E5C97BE" w14:textId="77777777" w:rsidR="004418FA" w:rsidRDefault="004418FA" w:rsidP="004418FA">
            <w:pPr>
              <w:numPr>
                <w:ilvl w:val="0"/>
                <w:numId w:val="31"/>
              </w:numPr>
            </w:pPr>
            <w:r w:rsidRPr="00CE50B2">
              <w:t>If the prohibitions of the PEMM Act have interfered with behaviour which is genuine commercial behaviour as intended by the design of the electricity spot market.</w:t>
            </w:r>
          </w:p>
          <w:p w14:paraId="7EBE60B8" w14:textId="4950731A" w:rsidR="004418FA" w:rsidRPr="00CE50B2" w:rsidRDefault="004418FA" w:rsidP="004418FA">
            <w:pPr>
              <w:numPr>
                <w:ilvl w:val="1"/>
                <w:numId w:val="31"/>
              </w:numPr>
            </w:pPr>
            <w:r w:rsidRPr="00CE50B2">
              <w:t>This includes strategies undertaken by generators to optimise their operation and economic rationing of capacity. </w:t>
            </w:r>
          </w:p>
          <w:p w14:paraId="358F1FA0" w14:textId="4DB5D667" w:rsidR="004418FA" w:rsidRDefault="004418FA" w:rsidP="1F6B9A7A">
            <w:pPr>
              <w:numPr>
                <w:ilvl w:val="0"/>
                <w:numId w:val="33"/>
              </w:numPr>
            </w:pPr>
            <w:r>
              <w:t>Whether the PEMM Act fails to regulate</w:t>
            </w:r>
            <w:r w:rsidRPr="1F6B9A7A">
              <w:rPr>
                <w:rFonts w:ascii="Arial" w:hAnsi="Arial" w:cs="Arial"/>
              </w:rPr>
              <w:t> </w:t>
            </w:r>
            <w:r>
              <w:t>conduct that should otherwise be regulated.</w:t>
            </w:r>
          </w:p>
        </w:tc>
      </w:tr>
      <w:tr w:rsidR="000A4581" w14:paraId="4219C68B" w14:textId="77777777" w:rsidTr="1F6B9A7A">
        <w:trPr>
          <w:trHeight w:val="417"/>
        </w:trPr>
        <w:tc>
          <w:tcPr>
            <w:tcW w:w="1413" w:type="dxa"/>
          </w:tcPr>
          <w:p w14:paraId="46BFB5EC" w14:textId="77777777" w:rsidR="000A4581" w:rsidRDefault="000A4581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43B2EC23" w14:textId="0423782A" w:rsidR="000A4581" w:rsidRDefault="008203D0">
            <w:r w:rsidRPr="008203D0">
              <w:t>Have the electricity spot market prohibitions in the PEMM Act impacted electricity market performance? If so, how?  </w:t>
            </w:r>
          </w:p>
        </w:tc>
      </w:tr>
      <w:tr w:rsidR="000A4581" w14:paraId="07BBF8BF" w14:textId="77777777" w:rsidTr="1F6B9A7A">
        <w:trPr>
          <w:trHeight w:val="1900"/>
        </w:trPr>
        <w:tc>
          <w:tcPr>
            <w:tcW w:w="9016" w:type="dxa"/>
            <w:gridSpan w:val="2"/>
          </w:tcPr>
          <w:p w14:paraId="4D38665E" w14:textId="77777777" w:rsidR="000A4581" w:rsidRDefault="000A4581"/>
        </w:tc>
      </w:tr>
      <w:tr w:rsidR="000A4581" w14:paraId="27EFEB5A" w14:textId="77777777" w:rsidTr="1F6B9A7A">
        <w:tc>
          <w:tcPr>
            <w:tcW w:w="1413" w:type="dxa"/>
          </w:tcPr>
          <w:p w14:paraId="51426DA2" w14:textId="77777777" w:rsidR="000A4581" w:rsidRDefault="000A4581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7C74CD2B" w14:textId="2AE06C4A" w:rsidR="000A4581" w:rsidRDefault="30EB9D07" w:rsidP="050FA50D">
            <w:r>
              <w:t>Do electricity spot market bidding provisions in the PEMM Act and</w:t>
            </w:r>
            <w:r w:rsidR="3B10173B">
              <w:t xml:space="preserve"> </w:t>
            </w:r>
            <w:r w:rsidR="3B10173B" w:rsidRPr="050FA50D">
              <w:rPr>
                <w:rFonts w:ascii="Calibri" w:eastAsia="Calibri" w:hAnsi="Calibri" w:cs="Calibri"/>
              </w:rPr>
              <w:t>bidding and rebidding provisions in</w:t>
            </w:r>
            <w:r>
              <w:t xml:space="preserve"> s 3.8.22A of </w:t>
            </w:r>
            <w:r w:rsidR="24F772D8">
              <w:t>the National Electricity Rules (NER)</w:t>
            </w:r>
            <w:r>
              <w:t xml:space="preserve"> overlap or address different generator behaviours? If so, how?  </w:t>
            </w:r>
          </w:p>
        </w:tc>
      </w:tr>
      <w:tr w:rsidR="000A4581" w14:paraId="70DDAEEB" w14:textId="77777777" w:rsidTr="1F6B9A7A">
        <w:trPr>
          <w:trHeight w:val="1924"/>
        </w:trPr>
        <w:tc>
          <w:tcPr>
            <w:tcW w:w="9016" w:type="dxa"/>
            <w:gridSpan w:val="2"/>
          </w:tcPr>
          <w:p w14:paraId="27F15885" w14:textId="77777777" w:rsidR="000A4581" w:rsidRDefault="000A4581"/>
        </w:tc>
      </w:tr>
      <w:tr w:rsidR="000A4581" w14:paraId="13092DC0" w14:textId="77777777" w:rsidTr="1F6B9A7A">
        <w:tc>
          <w:tcPr>
            <w:tcW w:w="1413" w:type="dxa"/>
          </w:tcPr>
          <w:p w14:paraId="038C6DF4" w14:textId="77777777" w:rsidR="000A4581" w:rsidRDefault="000A4581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3D62D16E" w14:textId="27EE4332" w:rsidR="000A4581" w:rsidRDefault="008203D0">
            <w:r w:rsidRPr="008203D0">
              <w:t xml:space="preserve">Has generator bidding behaviour changed </w:t>
            </w:r>
            <w:proofErr w:type="gramStart"/>
            <w:r w:rsidRPr="008203D0">
              <w:t>as a result of</w:t>
            </w:r>
            <w:proofErr w:type="gramEnd"/>
            <w:r w:rsidRPr="008203D0">
              <w:t xml:space="preserve"> the electricity spot market prohibitions? If so, how?  </w:t>
            </w:r>
          </w:p>
        </w:tc>
      </w:tr>
      <w:tr w:rsidR="000A4581" w14:paraId="7DBEA8A0" w14:textId="77777777" w:rsidTr="1F6B9A7A">
        <w:trPr>
          <w:trHeight w:val="1861"/>
        </w:trPr>
        <w:tc>
          <w:tcPr>
            <w:tcW w:w="9016" w:type="dxa"/>
            <w:gridSpan w:val="2"/>
          </w:tcPr>
          <w:p w14:paraId="6B141D8D" w14:textId="77777777" w:rsidR="000A4581" w:rsidRDefault="000A4581"/>
        </w:tc>
      </w:tr>
      <w:tr w:rsidR="000A4581" w14:paraId="73047C9F" w14:textId="77777777" w:rsidTr="1F6B9A7A">
        <w:tc>
          <w:tcPr>
            <w:tcW w:w="1413" w:type="dxa"/>
          </w:tcPr>
          <w:p w14:paraId="1657EC73" w14:textId="77777777" w:rsidR="000A4581" w:rsidRDefault="000A4581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4616C807" w14:textId="1590311D" w:rsidR="000A4581" w:rsidRDefault="00CA0BE5">
            <w:r w:rsidRPr="00CA0BE5">
              <w:t>Have the remedies for the electricity spot market prohibitions affected investment decisions by generators? If so, how? </w:t>
            </w:r>
          </w:p>
        </w:tc>
      </w:tr>
      <w:tr w:rsidR="000A4581" w14:paraId="09A33355" w14:textId="77777777" w:rsidTr="1F6B9A7A">
        <w:trPr>
          <w:trHeight w:val="2561"/>
        </w:trPr>
        <w:tc>
          <w:tcPr>
            <w:tcW w:w="9016" w:type="dxa"/>
            <w:gridSpan w:val="2"/>
          </w:tcPr>
          <w:p w14:paraId="0F74A9CF" w14:textId="77777777" w:rsidR="000A4581" w:rsidRDefault="000A4581"/>
        </w:tc>
      </w:tr>
      <w:tr w:rsidR="000A4581" w14:paraId="40498294" w14:textId="77777777" w:rsidTr="1F6B9A7A">
        <w:tc>
          <w:tcPr>
            <w:tcW w:w="1413" w:type="dxa"/>
          </w:tcPr>
          <w:p w14:paraId="54F50225" w14:textId="77777777" w:rsidR="000A4581" w:rsidRDefault="000A4581" w:rsidP="000A4581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56601D1B" w14:textId="7DE416F3" w:rsidR="000A4581" w:rsidRDefault="2BB1D49D" w:rsidP="48A87DD1">
            <w:r>
              <w:t xml:space="preserve">Are the remedies in </w:t>
            </w:r>
            <w:r w:rsidR="12F7737C">
              <w:t xml:space="preserve">the </w:t>
            </w:r>
            <w:r w:rsidR="12F7737C" w:rsidRPr="48A87DD1">
              <w:rPr>
                <w:i/>
                <w:iCs/>
              </w:rPr>
              <w:t>Competition and Consumer Act 2010</w:t>
            </w:r>
            <w:r w:rsidR="12F7737C">
              <w:t xml:space="preserve"> (CCA) </w:t>
            </w:r>
            <w:r>
              <w:t xml:space="preserve">and the PEMM Act appropriate and proportionate to address </w:t>
            </w:r>
            <w:r w:rsidR="591452EB">
              <w:t xml:space="preserve">electricity spot market </w:t>
            </w:r>
            <w:r>
              <w:t>misconduct?    </w:t>
            </w:r>
          </w:p>
        </w:tc>
      </w:tr>
      <w:tr w:rsidR="00CA0BE5" w14:paraId="5E2B6AC7" w14:textId="77777777" w:rsidTr="1F6B9A7A">
        <w:trPr>
          <w:trHeight w:val="1287"/>
        </w:trPr>
        <w:tc>
          <w:tcPr>
            <w:tcW w:w="9016" w:type="dxa"/>
            <w:gridSpan w:val="2"/>
          </w:tcPr>
          <w:p w14:paraId="67310220" w14:textId="77777777" w:rsidR="00CA0BE5" w:rsidRDefault="00CA0BE5"/>
        </w:tc>
      </w:tr>
      <w:tr w:rsidR="000A4581" w14:paraId="44B35F8B" w14:textId="77777777" w:rsidTr="1F6B9A7A">
        <w:tc>
          <w:tcPr>
            <w:tcW w:w="1413" w:type="dxa"/>
          </w:tcPr>
          <w:p w14:paraId="42AC3660" w14:textId="77777777" w:rsidR="000A4581" w:rsidRDefault="000A4581" w:rsidP="00CA0BE5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63AED1CC" w14:textId="455DF20E" w:rsidR="000A4581" w:rsidRDefault="763E8890">
            <w:r>
              <w:t xml:space="preserve">How has generator behaviour changed </w:t>
            </w:r>
            <w:proofErr w:type="gramStart"/>
            <w:r>
              <w:t>as a result of</w:t>
            </w:r>
            <w:proofErr w:type="gramEnd"/>
            <w:r>
              <w:t xml:space="preserve"> the prohibition set out in ss. 153G and 153H having regard to the way in which misconduct is defined? </w:t>
            </w:r>
          </w:p>
        </w:tc>
      </w:tr>
      <w:tr w:rsidR="008315F8" w14:paraId="21B06231" w14:textId="77777777" w:rsidTr="1F6B9A7A">
        <w:trPr>
          <w:trHeight w:val="1569"/>
        </w:trPr>
        <w:tc>
          <w:tcPr>
            <w:tcW w:w="9016" w:type="dxa"/>
            <w:gridSpan w:val="2"/>
          </w:tcPr>
          <w:p w14:paraId="33D2310C" w14:textId="77777777" w:rsidR="008315F8" w:rsidRDefault="008315F8"/>
        </w:tc>
      </w:tr>
      <w:tr w:rsidR="00CE50B2" w14:paraId="4E1C9462" w14:textId="77777777" w:rsidTr="1F6B9A7A">
        <w:trPr>
          <w:trHeight w:val="70"/>
        </w:trPr>
        <w:tc>
          <w:tcPr>
            <w:tcW w:w="9016" w:type="dxa"/>
            <w:gridSpan w:val="2"/>
          </w:tcPr>
          <w:p w14:paraId="2B253986" w14:textId="47FC883F" w:rsidR="00CE50B2" w:rsidRDefault="001C1FE4" w:rsidP="00CE50B2">
            <w:pPr>
              <w:pStyle w:val="Heading2"/>
            </w:pPr>
            <w:r>
              <w:t>ACCC NEM</w:t>
            </w:r>
            <w:r w:rsidR="00CE50B2">
              <w:t xml:space="preserve"> Inquiry Function Questions</w:t>
            </w:r>
          </w:p>
        </w:tc>
      </w:tr>
      <w:tr w:rsidR="008315F8" w14:paraId="388D3290" w14:textId="77777777" w:rsidTr="1F6B9A7A">
        <w:trPr>
          <w:trHeight w:val="70"/>
        </w:trPr>
        <w:tc>
          <w:tcPr>
            <w:tcW w:w="1413" w:type="dxa"/>
          </w:tcPr>
          <w:p w14:paraId="0564C018" w14:textId="77777777" w:rsidR="008315F8" w:rsidRDefault="008315F8" w:rsidP="00130FA9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052A084D" w14:textId="798E4FF8" w:rsidR="008315F8" w:rsidRDefault="00130FA9">
            <w:r>
              <w:t xml:space="preserve">Does the </w:t>
            </w:r>
            <w:r w:rsidR="001C1FE4">
              <w:t>NEM I</w:t>
            </w:r>
            <w:r>
              <w:t>nquiry support improved outcomes for customers? </w:t>
            </w:r>
          </w:p>
        </w:tc>
      </w:tr>
      <w:tr w:rsidR="00130FA9" w14:paraId="3924A255" w14:textId="77777777" w:rsidTr="1F6B9A7A">
        <w:trPr>
          <w:trHeight w:val="1916"/>
        </w:trPr>
        <w:tc>
          <w:tcPr>
            <w:tcW w:w="9016" w:type="dxa"/>
            <w:gridSpan w:val="2"/>
          </w:tcPr>
          <w:p w14:paraId="033C3E09" w14:textId="77777777" w:rsidR="00130FA9" w:rsidRDefault="00130FA9"/>
        </w:tc>
      </w:tr>
      <w:tr w:rsidR="008315F8" w14:paraId="24689E9F" w14:textId="77777777" w:rsidTr="1F6B9A7A">
        <w:trPr>
          <w:trHeight w:val="70"/>
        </w:trPr>
        <w:tc>
          <w:tcPr>
            <w:tcW w:w="1413" w:type="dxa"/>
          </w:tcPr>
          <w:p w14:paraId="1F69F3CE" w14:textId="77777777" w:rsidR="008315F8" w:rsidRDefault="008315F8" w:rsidP="00130FA9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3EBAEED1" w14:textId="2071F68A" w:rsidR="008315F8" w:rsidRDefault="00130FA9">
            <w:r>
              <w:t xml:space="preserve">Does the </w:t>
            </w:r>
            <w:r w:rsidR="00B80257">
              <w:t>NEM I</w:t>
            </w:r>
            <w:r>
              <w:t>nquiry provide value beyond supporting monitoring and compliance with the PEMM Act provisions? If so, how? </w:t>
            </w:r>
          </w:p>
        </w:tc>
      </w:tr>
      <w:tr w:rsidR="00130FA9" w14:paraId="44A05BEA" w14:textId="77777777" w:rsidTr="1F6B9A7A">
        <w:trPr>
          <w:trHeight w:val="2277"/>
        </w:trPr>
        <w:tc>
          <w:tcPr>
            <w:tcW w:w="9016" w:type="dxa"/>
            <w:gridSpan w:val="2"/>
          </w:tcPr>
          <w:p w14:paraId="1917E45C" w14:textId="77777777" w:rsidR="00130FA9" w:rsidRDefault="00130FA9"/>
        </w:tc>
      </w:tr>
      <w:tr w:rsidR="008315F8" w14:paraId="46E68DE6" w14:textId="77777777" w:rsidTr="1F6B9A7A">
        <w:trPr>
          <w:trHeight w:val="70"/>
        </w:trPr>
        <w:tc>
          <w:tcPr>
            <w:tcW w:w="1413" w:type="dxa"/>
          </w:tcPr>
          <w:p w14:paraId="56F2E637" w14:textId="77777777" w:rsidR="008315F8" w:rsidRDefault="008315F8" w:rsidP="00D7063A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7603" w:type="dxa"/>
          </w:tcPr>
          <w:p w14:paraId="3F76AD63" w14:textId="226F9F09" w:rsidR="008315F8" w:rsidRDefault="00D7063A">
            <w:r>
              <w:t xml:space="preserve">Is the scope and the types of information gathered through the current </w:t>
            </w:r>
            <w:r w:rsidR="00B80257">
              <w:t xml:space="preserve">NEM Inquiry </w:t>
            </w:r>
            <w:r>
              <w:t>appropriate? If not, how? </w:t>
            </w:r>
          </w:p>
        </w:tc>
      </w:tr>
      <w:tr w:rsidR="00D7063A" w14:paraId="6695100B" w14:textId="77777777" w:rsidTr="1F6B9A7A">
        <w:trPr>
          <w:trHeight w:val="2133"/>
        </w:trPr>
        <w:tc>
          <w:tcPr>
            <w:tcW w:w="9016" w:type="dxa"/>
            <w:gridSpan w:val="2"/>
          </w:tcPr>
          <w:p w14:paraId="44BB7570" w14:textId="77777777" w:rsidR="00D7063A" w:rsidRPr="00D7063A" w:rsidRDefault="00D7063A"/>
        </w:tc>
      </w:tr>
      <w:tr w:rsidR="00D7063A" w14:paraId="6A2DAD51" w14:textId="77777777" w:rsidTr="1F6B9A7A">
        <w:trPr>
          <w:trHeight w:val="70"/>
        </w:trPr>
        <w:tc>
          <w:tcPr>
            <w:tcW w:w="9016" w:type="dxa"/>
            <w:gridSpan w:val="2"/>
          </w:tcPr>
          <w:p w14:paraId="5C4BFCCA" w14:textId="4EE6B10F" w:rsidR="00D7063A" w:rsidRPr="00D7063A" w:rsidRDefault="00D7063A">
            <w:r>
              <w:t xml:space="preserve">Are there any other comments you would like to make? </w:t>
            </w:r>
          </w:p>
        </w:tc>
      </w:tr>
      <w:tr w:rsidR="00D7063A" w14:paraId="1D9E256A" w14:textId="77777777" w:rsidTr="1F6B9A7A">
        <w:trPr>
          <w:trHeight w:val="1984"/>
        </w:trPr>
        <w:tc>
          <w:tcPr>
            <w:tcW w:w="9016" w:type="dxa"/>
            <w:gridSpan w:val="2"/>
          </w:tcPr>
          <w:p w14:paraId="163C2D2F" w14:textId="77777777" w:rsidR="00D7063A" w:rsidRDefault="00D7063A"/>
        </w:tc>
      </w:tr>
    </w:tbl>
    <w:p w14:paraId="592DA709" w14:textId="77777777" w:rsidR="003D56ED" w:rsidRDefault="003D56ED"/>
    <w:sectPr w:rsidR="003D56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97AD9" w14:textId="77777777" w:rsidR="000A18FC" w:rsidRDefault="000A18FC" w:rsidP="003D56ED">
      <w:pPr>
        <w:spacing w:after="0" w:line="240" w:lineRule="auto"/>
      </w:pPr>
      <w:r>
        <w:separator/>
      </w:r>
    </w:p>
  </w:endnote>
  <w:endnote w:type="continuationSeparator" w:id="0">
    <w:p w14:paraId="2C3F8D46" w14:textId="77777777" w:rsidR="000A18FC" w:rsidRDefault="000A18FC" w:rsidP="003D56ED">
      <w:pPr>
        <w:spacing w:after="0" w:line="240" w:lineRule="auto"/>
      </w:pPr>
      <w:r>
        <w:continuationSeparator/>
      </w:r>
    </w:p>
  </w:endnote>
  <w:endnote w:type="continuationNotice" w:id="1">
    <w:p w14:paraId="446F24C4" w14:textId="77777777" w:rsidR="000A18FC" w:rsidRDefault="000A1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4FFA3" w14:textId="1C6EE668" w:rsidR="003D56ED" w:rsidRDefault="003D56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589EEB5" wp14:editId="5A9767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16058909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E0F82" w14:textId="4F65ABD1" w:rsidR="003D56ED" w:rsidRPr="003D56ED" w:rsidRDefault="003D56ED" w:rsidP="003D56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D56E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589EEB5">
              <v:stroke joinstyle="miter"/>
              <v:path gradientshapeok="t" o:connecttype="rect"/>
            </v:shapetype>
            <v:shape id="Text Box 5" style="position:absolute;margin-left:0;margin-top:0;width:43.45pt;height:30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>
              <v:textbox style="mso-fit-shape-to-text:t" inset="0,0,0,15pt">
                <w:txbxContent>
                  <w:p w:rsidRPr="003D56ED" w:rsidR="003D56ED" w:rsidP="003D56ED" w:rsidRDefault="003D56ED" w14:paraId="0DBE0F82" w14:textId="4F65ABD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D56ED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504F" w14:textId="79F68555" w:rsidR="003D56ED" w:rsidRDefault="003D56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165FDE7" wp14:editId="1B3EEC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99873692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DB391" w14:textId="06BEA58F" w:rsidR="003D56ED" w:rsidRPr="003D56ED" w:rsidRDefault="003D56ED" w:rsidP="003D56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D56E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165FDE7">
              <v:stroke joinstyle="miter"/>
              <v:path gradientshapeok="t" o:connecttype="rect"/>
            </v:shapetype>
            <v:shape id="Text Box 6" style="position:absolute;margin-left:0;margin-top:0;width:43.45pt;height:30.8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>
              <v:textbox style="mso-fit-shape-to-text:t" inset="0,0,0,15pt">
                <w:txbxContent>
                  <w:p w:rsidRPr="003D56ED" w:rsidR="003D56ED" w:rsidP="003D56ED" w:rsidRDefault="003D56ED" w14:paraId="555DB391" w14:textId="06BEA58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D56ED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3A5D" w14:textId="581C6A39" w:rsidR="003D56ED" w:rsidRDefault="003D56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523EF16" wp14:editId="483160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9071874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DD374" w14:textId="3F85C310" w:rsidR="003D56ED" w:rsidRPr="003D56ED" w:rsidRDefault="003D56ED" w:rsidP="003D56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D56E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523EF16">
              <v:stroke joinstyle="miter"/>
              <v:path gradientshapeok="t" o:connecttype="rect"/>
            </v:shapetype>
            <v:shape id="Text Box 4" style="position:absolute;margin-left:0;margin-top:0;width:43.45pt;height:30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>
              <v:textbox style="mso-fit-shape-to-text:t" inset="0,0,0,15pt">
                <w:txbxContent>
                  <w:p w:rsidRPr="003D56ED" w:rsidR="003D56ED" w:rsidP="003D56ED" w:rsidRDefault="003D56ED" w14:paraId="195DD374" w14:textId="3F85C31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D56ED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E2789" w14:textId="77777777" w:rsidR="000A18FC" w:rsidRDefault="000A18FC" w:rsidP="003D56ED">
      <w:pPr>
        <w:spacing w:after="0" w:line="240" w:lineRule="auto"/>
      </w:pPr>
      <w:r>
        <w:separator/>
      </w:r>
    </w:p>
  </w:footnote>
  <w:footnote w:type="continuationSeparator" w:id="0">
    <w:p w14:paraId="6F43D018" w14:textId="77777777" w:rsidR="000A18FC" w:rsidRDefault="000A18FC" w:rsidP="003D56ED">
      <w:pPr>
        <w:spacing w:after="0" w:line="240" w:lineRule="auto"/>
      </w:pPr>
      <w:r>
        <w:continuationSeparator/>
      </w:r>
    </w:p>
  </w:footnote>
  <w:footnote w:type="continuationNotice" w:id="1">
    <w:p w14:paraId="03BB15BB" w14:textId="77777777" w:rsidR="000A18FC" w:rsidRDefault="000A1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D5BF" w14:textId="35950B5A" w:rsidR="003D56ED" w:rsidRDefault="003D56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1E145E0" wp14:editId="6DACC0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1904095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474E7" w14:textId="67056E6C" w:rsidR="003D56ED" w:rsidRPr="003D56ED" w:rsidRDefault="003D56ED" w:rsidP="003D56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D56E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1E145E0">
              <v:stroke joinstyle="miter"/>
              <v:path gradientshapeok="t" o:connecttype="rect"/>
            </v:shapetype>
            <v:shape id="Text Box 2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>
              <v:textbox style="mso-fit-shape-to-text:t" inset="0,15pt,0,0">
                <w:txbxContent>
                  <w:p w:rsidRPr="003D56ED" w:rsidR="003D56ED" w:rsidP="003D56ED" w:rsidRDefault="003D56ED" w14:paraId="150474E7" w14:textId="67056E6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D56ED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09A4" w14:textId="04E455D3" w:rsidR="003D56ED" w:rsidRDefault="003D56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6BD36A6" wp14:editId="1CCAED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9714086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6BCC6" w14:textId="4484DDFB" w:rsidR="003D56ED" w:rsidRPr="003D56ED" w:rsidRDefault="003D56ED" w:rsidP="003D56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D56E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6BD36A6">
              <v:stroke joinstyle="miter"/>
              <v:path gradientshapeok="t" o:connecttype="rect"/>
            </v:shapetype>
            <v:shape id="Text Box 3" style="position:absolute;margin-left:0;margin-top:0;width:43.45pt;height:30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>
              <v:textbox style="mso-fit-shape-to-text:t" inset="0,15pt,0,0">
                <w:txbxContent>
                  <w:p w:rsidRPr="003D56ED" w:rsidR="003D56ED" w:rsidP="003D56ED" w:rsidRDefault="003D56ED" w14:paraId="5306BCC6" w14:textId="4484DDF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D56ED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AA16" w14:textId="6D6EB821" w:rsidR="003D56ED" w:rsidRDefault="003D56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9AB01D" wp14:editId="79A486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4111908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5D9E3" w14:textId="1854A37F" w:rsidR="003D56ED" w:rsidRPr="003D56ED" w:rsidRDefault="003D56ED" w:rsidP="003D56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D56E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B9AB01D">
              <v:stroke joinstyle="miter"/>
              <v:path gradientshapeok="t" o:connecttype="rect"/>
            </v:shapetype>
            <v:shape id="Text Box 1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>
              <v:textbox style="mso-fit-shape-to-text:t" inset="0,15pt,0,0">
                <w:txbxContent>
                  <w:p w:rsidRPr="003D56ED" w:rsidR="003D56ED" w:rsidP="003D56ED" w:rsidRDefault="003D56ED" w14:paraId="2315D9E3" w14:textId="1854A37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D56ED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2B6F"/>
    <w:multiLevelType w:val="multilevel"/>
    <w:tmpl w:val="09E6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31C30"/>
    <w:multiLevelType w:val="multilevel"/>
    <w:tmpl w:val="403A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A0AB1"/>
    <w:multiLevelType w:val="multilevel"/>
    <w:tmpl w:val="C3A4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A07C3A"/>
    <w:multiLevelType w:val="multilevel"/>
    <w:tmpl w:val="3D58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A2166"/>
    <w:multiLevelType w:val="multilevel"/>
    <w:tmpl w:val="125CC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8353D"/>
    <w:multiLevelType w:val="multilevel"/>
    <w:tmpl w:val="54B2BD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535A5"/>
    <w:multiLevelType w:val="multilevel"/>
    <w:tmpl w:val="9234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D82D76"/>
    <w:multiLevelType w:val="multilevel"/>
    <w:tmpl w:val="A406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D745D5"/>
    <w:multiLevelType w:val="multilevel"/>
    <w:tmpl w:val="A46EB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D3CE8"/>
    <w:multiLevelType w:val="multilevel"/>
    <w:tmpl w:val="898EA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038DD"/>
    <w:multiLevelType w:val="multilevel"/>
    <w:tmpl w:val="513033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81F27"/>
    <w:multiLevelType w:val="multilevel"/>
    <w:tmpl w:val="A948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170430"/>
    <w:multiLevelType w:val="multilevel"/>
    <w:tmpl w:val="A23C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3A43EE"/>
    <w:multiLevelType w:val="multilevel"/>
    <w:tmpl w:val="72E6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686C80"/>
    <w:multiLevelType w:val="multilevel"/>
    <w:tmpl w:val="679A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8529CF"/>
    <w:multiLevelType w:val="hybridMultilevel"/>
    <w:tmpl w:val="3B22CF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E675C"/>
    <w:multiLevelType w:val="multilevel"/>
    <w:tmpl w:val="1136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B21B25"/>
    <w:multiLevelType w:val="hybridMultilevel"/>
    <w:tmpl w:val="2B3636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F5FAA"/>
    <w:multiLevelType w:val="multilevel"/>
    <w:tmpl w:val="A2FA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20797C"/>
    <w:multiLevelType w:val="multilevel"/>
    <w:tmpl w:val="A84A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FD2C57"/>
    <w:multiLevelType w:val="multilevel"/>
    <w:tmpl w:val="6F6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7E7AF6"/>
    <w:multiLevelType w:val="multilevel"/>
    <w:tmpl w:val="E398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D567BB"/>
    <w:multiLevelType w:val="multilevel"/>
    <w:tmpl w:val="7A42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B60BCE"/>
    <w:multiLevelType w:val="hybridMultilevel"/>
    <w:tmpl w:val="0442A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737A2"/>
    <w:multiLevelType w:val="multilevel"/>
    <w:tmpl w:val="E9E8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7A7687"/>
    <w:multiLevelType w:val="multilevel"/>
    <w:tmpl w:val="E55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C24C9A"/>
    <w:multiLevelType w:val="multilevel"/>
    <w:tmpl w:val="D2F2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724231"/>
    <w:multiLevelType w:val="multilevel"/>
    <w:tmpl w:val="4618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9D5F1D"/>
    <w:multiLevelType w:val="multilevel"/>
    <w:tmpl w:val="33F82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B457593"/>
    <w:multiLevelType w:val="multilevel"/>
    <w:tmpl w:val="CAC2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0808EA"/>
    <w:multiLevelType w:val="multilevel"/>
    <w:tmpl w:val="79367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3369BE"/>
    <w:multiLevelType w:val="multilevel"/>
    <w:tmpl w:val="C3C0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AE46D3"/>
    <w:multiLevelType w:val="multilevel"/>
    <w:tmpl w:val="8D90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397804"/>
    <w:multiLevelType w:val="multilevel"/>
    <w:tmpl w:val="0B02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7815266">
    <w:abstractNumId w:val="1"/>
  </w:num>
  <w:num w:numId="2" w16cid:durableId="1522353688">
    <w:abstractNumId w:val="4"/>
  </w:num>
  <w:num w:numId="3" w16cid:durableId="1425609242">
    <w:abstractNumId w:val="14"/>
  </w:num>
  <w:num w:numId="4" w16cid:durableId="1555115130">
    <w:abstractNumId w:val="11"/>
  </w:num>
  <w:num w:numId="5" w16cid:durableId="169836080">
    <w:abstractNumId w:val="3"/>
  </w:num>
  <w:num w:numId="6" w16cid:durableId="194537954">
    <w:abstractNumId w:val="22"/>
  </w:num>
  <w:num w:numId="7" w16cid:durableId="702368402">
    <w:abstractNumId w:val="0"/>
  </w:num>
  <w:num w:numId="8" w16cid:durableId="1366753704">
    <w:abstractNumId w:val="33"/>
  </w:num>
  <w:num w:numId="9" w16cid:durableId="365906121">
    <w:abstractNumId w:val="9"/>
  </w:num>
  <w:num w:numId="10" w16cid:durableId="1359813866">
    <w:abstractNumId w:val="8"/>
  </w:num>
  <w:num w:numId="11" w16cid:durableId="1809207230">
    <w:abstractNumId w:val="5"/>
  </w:num>
  <w:num w:numId="12" w16cid:durableId="1137141186">
    <w:abstractNumId w:val="10"/>
  </w:num>
  <w:num w:numId="13" w16cid:durableId="1143431312">
    <w:abstractNumId w:val="15"/>
  </w:num>
  <w:num w:numId="14" w16cid:durableId="802385539">
    <w:abstractNumId w:val="30"/>
  </w:num>
  <w:num w:numId="15" w16cid:durableId="1040202748">
    <w:abstractNumId w:val="29"/>
  </w:num>
  <w:num w:numId="16" w16cid:durableId="236985086">
    <w:abstractNumId w:val="32"/>
  </w:num>
  <w:num w:numId="17" w16cid:durableId="590043664">
    <w:abstractNumId w:val="19"/>
  </w:num>
  <w:num w:numId="18" w16cid:durableId="1459453008">
    <w:abstractNumId w:val="20"/>
  </w:num>
  <w:num w:numId="19" w16cid:durableId="1993825417">
    <w:abstractNumId w:val="25"/>
  </w:num>
  <w:num w:numId="20" w16cid:durableId="962417584">
    <w:abstractNumId w:val="16"/>
  </w:num>
  <w:num w:numId="21" w16cid:durableId="98912949">
    <w:abstractNumId w:val="17"/>
  </w:num>
  <w:num w:numId="22" w16cid:durableId="84107672">
    <w:abstractNumId w:val="12"/>
  </w:num>
  <w:num w:numId="23" w16cid:durableId="1019086664">
    <w:abstractNumId w:val="13"/>
  </w:num>
  <w:num w:numId="24" w16cid:durableId="1947614727">
    <w:abstractNumId w:val="31"/>
  </w:num>
  <w:num w:numId="25" w16cid:durableId="1406997136">
    <w:abstractNumId w:val="21"/>
  </w:num>
  <w:num w:numId="26" w16cid:durableId="1052509824">
    <w:abstractNumId w:val="24"/>
  </w:num>
  <w:num w:numId="27" w16cid:durableId="1296791332">
    <w:abstractNumId w:val="26"/>
  </w:num>
  <w:num w:numId="28" w16cid:durableId="309208966">
    <w:abstractNumId w:val="6"/>
  </w:num>
  <w:num w:numId="29" w16cid:durableId="13195954">
    <w:abstractNumId w:val="7"/>
  </w:num>
  <w:num w:numId="30" w16cid:durableId="44255829">
    <w:abstractNumId w:val="2"/>
  </w:num>
  <w:num w:numId="31" w16cid:durableId="259458057">
    <w:abstractNumId w:val="27"/>
  </w:num>
  <w:num w:numId="32" w16cid:durableId="1631672150">
    <w:abstractNumId w:val="28"/>
  </w:num>
  <w:num w:numId="33" w16cid:durableId="1746796861">
    <w:abstractNumId w:val="18"/>
  </w:num>
  <w:num w:numId="34" w16cid:durableId="2213291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ED"/>
    <w:rsid w:val="00065BC1"/>
    <w:rsid w:val="000A18FC"/>
    <w:rsid w:val="000A4581"/>
    <w:rsid w:val="00130FA9"/>
    <w:rsid w:val="001C0779"/>
    <w:rsid w:val="001C1FE4"/>
    <w:rsid w:val="00220F2A"/>
    <w:rsid w:val="002232A3"/>
    <w:rsid w:val="002468F5"/>
    <w:rsid w:val="002E00BC"/>
    <w:rsid w:val="003A661B"/>
    <w:rsid w:val="003B6E7F"/>
    <w:rsid w:val="003D3353"/>
    <w:rsid w:val="003D56ED"/>
    <w:rsid w:val="004052ED"/>
    <w:rsid w:val="004418FA"/>
    <w:rsid w:val="00494ABD"/>
    <w:rsid w:val="004E5F4E"/>
    <w:rsid w:val="00563E43"/>
    <w:rsid w:val="00575BD7"/>
    <w:rsid w:val="007A3196"/>
    <w:rsid w:val="008203D0"/>
    <w:rsid w:val="00820614"/>
    <w:rsid w:val="00821E10"/>
    <w:rsid w:val="008315F8"/>
    <w:rsid w:val="008570A7"/>
    <w:rsid w:val="00872F79"/>
    <w:rsid w:val="00873B2F"/>
    <w:rsid w:val="008841A2"/>
    <w:rsid w:val="00891FD5"/>
    <w:rsid w:val="008E168C"/>
    <w:rsid w:val="0095128A"/>
    <w:rsid w:val="0097422E"/>
    <w:rsid w:val="0099299B"/>
    <w:rsid w:val="00A41407"/>
    <w:rsid w:val="00A913F9"/>
    <w:rsid w:val="00AC2C79"/>
    <w:rsid w:val="00B42763"/>
    <w:rsid w:val="00B80257"/>
    <w:rsid w:val="00BA07C7"/>
    <w:rsid w:val="00BD3273"/>
    <w:rsid w:val="00BF17D6"/>
    <w:rsid w:val="00C3502F"/>
    <w:rsid w:val="00C6728C"/>
    <w:rsid w:val="00C77547"/>
    <w:rsid w:val="00C92568"/>
    <w:rsid w:val="00CA0BE5"/>
    <w:rsid w:val="00CE407D"/>
    <w:rsid w:val="00CE50B2"/>
    <w:rsid w:val="00D7063A"/>
    <w:rsid w:val="00D719F8"/>
    <w:rsid w:val="00E34EAA"/>
    <w:rsid w:val="00EC380F"/>
    <w:rsid w:val="00F00DA5"/>
    <w:rsid w:val="00F36E28"/>
    <w:rsid w:val="0245063F"/>
    <w:rsid w:val="03CDD4F8"/>
    <w:rsid w:val="050FA50D"/>
    <w:rsid w:val="0ACC61AE"/>
    <w:rsid w:val="0C8247F3"/>
    <w:rsid w:val="10ECB655"/>
    <w:rsid w:val="12F7737C"/>
    <w:rsid w:val="15D3BF75"/>
    <w:rsid w:val="17383329"/>
    <w:rsid w:val="1CBA8638"/>
    <w:rsid w:val="1F6B9A7A"/>
    <w:rsid w:val="24F772D8"/>
    <w:rsid w:val="268297AA"/>
    <w:rsid w:val="2BB1D49D"/>
    <w:rsid w:val="2EEDE921"/>
    <w:rsid w:val="30EB9D07"/>
    <w:rsid w:val="32C912FD"/>
    <w:rsid w:val="3B10173B"/>
    <w:rsid w:val="3CF51C3B"/>
    <w:rsid w:val="455E4EFC"/>
    <w:rsid w:val="48A87DD1"/>
    <w:rsid w:val="4D389862"/>
    <w:rsid w:val="5255BAF6"/>
    <w:rsid w:val="53DA5911"/>
    <w:rsid w:val="591452EB"/>
    <w:rsid w:val="6785C7DD"/>
    <w:rsid w:val="6AC15ADE"/>
    <w:rsid w:val="722345EB"/>
    <w:rsid w:val="72521666"/>
    <w:rsid w:val="73EF53C1"/>
    <w:rsid w:val="763E8890"/>
    <w:rsid w:val="79B6A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3197"/>
  <w15:chartTrackingRefBased/>
  <w15:docId w15:val="{EBFDBD1B-10B9-4EF1-B774-EB7D958D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5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6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6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6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6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6ED"/>
  </w:style>
  <w:style w:type="paragraph" w:styleId="Footer">
    <w:name w:val="footer"/>
    <w:basedOn w:val="Normal"/>
    <w:link w:val="FooterChar"/>
    <w:uiPriority w:val="99"/>
    <w:unhideWhenUsed/>
    <w:rsid w:val="003D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6ED"/>
  </w:style>
  <w:style w:type="paragraph" w:styleId="Revision">
    <w:name w:val="Revision"/>
    <w:hidden/>
    <w:uiPriority w:val="99"/>
    <w:semiHidden/>
    <w:rsid w:val="008570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1F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1D5690BA7024780B33CCA7365ABD6" ma:contentTypeVersion="4" ma:contentTypeDescription="Create a new document." ma:contentTypeScope="" ma:versionID="31516f4e096594ef8abdb4d7ee31dda7">
  <xsd:schema xmlns:xsd="http://www.w3.org/2001/XMLSchema" xmlns:xs="http://www.w3.org/2001/XMLSchema" xmlns:p="http://schemas.microsoft.com/office/2006/metadata/properties" xmlns:ns1="http://schemas.microsoft.com/sharepoint/v3" xmlns:ns2="fc5523b2-99db-4646-bddc-5b4a05398a21" xmlns:ns3="3afbbff6-b286-4e00-81b3-42c24a94b07e" targetNamespace="http://schemas.microsoft.com/office/2006/metadata/properties" ma:root="true" ma:fieldsID="c4ed88367b7e33780b1b8516bddc6120" ns1:_="" ns2:_="" ns3:_="">
    <xsd:import namespace="http://schemas.microsoft.com/sharepoint/v3"/>
    <xsd:import namespace="fc5523b2-99db-4646-bddc-5b4a05398a21"/>
    <xsd:import namespace="3afbbff6-b286-4e00-81b3-42c24a94b0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23b2-99db-4646-bddc-5b4a0539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bbff6-b286-4e00-81b3-42c24a94b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3DC73B-765F-4EC0-8D10-2EBD85DCB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6A705-56AF-47C5-A27E-FF2458900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5523b2-99db-4646-bddc-5b4a05398a21"/>
    <ds:schemaRef ds:uri="3afbbff6-b286-4e00-81b3-42c24a94b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0B36C-1F8D-4A20-94C4-A41E076EF1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GOUT</dc:creator>
  <cp:keywords/>
  <dc:description/>
  <cp:lastModifiedBy>Gillian GOUT</cp:lastModifiedBy>
  <cp:revision>2</cp:revision>
  <dcterms:created xsi:type="dcterms:W3CDTF">2024-11-21T01:57:00Z</dcterms:created>
  <dcterms:modified xsi:type="dcterms:W3CDTF">2024-11-21T01:57:00Z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1a4af16d,d0e4cbf,7709f383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52e4af1b,452d2f25,3b87841c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0x01010074E1D5690BA7024780B33CCA7365ABD6</vt:lpwstr>
  </property>
</Properties>
</file>