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474E207" w14:textId="491CE9CE" w:rsidR="00BF1EB8" w:rsidRDefault="007C090F" w:rsidP="00395A30">
      <w:pPr>
        <w:pStyle w:val="Cover-tagline"/>
        <w:framePr w:wrap="around"/>
      </w:pPr>
      <w:r w:rsidRPr="005156B1">
        <w:drawing>
          <wp:inline distT="0" distB="0" distL="0" distR="0" wp14:anchorId="147D6606" wp14:editId="29BFB2E5">
            <wp:extent cx="709200" cy="428400"/>
            <wp:effectExtent l="0" t="0" r="0" b="0"/>
            <wp:docPr id="7" name="Protect Grow Innovate" descr="Protect, Grow, Innovate - tagline">
              <a:extLst xmlns:a="http://schemas.openxmlformats.org/drawingml/2006/main">
                <a:ext uri="{FF2B5EF4-FFF2-40B4-BE49-F238E27FC236}">
                  <a16:creationId xmlns:a16="http://schemas.microsoft.com/office/drawing/2014/main" id="{564514B1-1223-865B-CFD9-F026A85581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rotect Grow Innovate" descr="Protect, Grow, Innovate - tagline">
                      <a:extLst>
                        <a:ext uri="{FF2B5EF4-FFF2-40B4-BE49-F238E27FC236}">
                          <a16:creationId xmlns:a16="http://schemas.microsoft.com/office/drawing/2014/main" id="{564514B1-1223-865B-CFD9-F026A85581D0}"/>
                        </a:ext>
                      </a:extLst>
                    </pic:cNvPr>
                    <pic:cNvPicPr>
                      <a:picLocks noChangeAspect="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709200" cy="428400"/>
                    </a:xfrm>
                    <a:prstGeom prst="rect">
                      <a:avLst/>
                    </a:prstGeom>
                  </pic:spPr>
                </pic:pic>
              </a:graphicData>
            </a:graphic>
          </wp:inline>
        </w:drawing>
      </w:r>
    </w:p>
    <w:p w14:paraId="330FE808" w14:textId="77777777" w:rsidR="00361777" w:rsidRDefault="00361777" w:rsidP="00395A30">
      <w:pPr>
        <w:rPr>
          <w:noProof/>
        </w:rPr>
      </w:pPr>
      <w:r w:rsidRPr="00361777">
        <w:rPr>
          <w:noProof/>
        </w:rPr>
        <w:drawing>
          <wp:anchor distT="0" distB="0" distL="114300" distR="114300" simplePos="0" relativeHeight="251658240" behindDoc="1" locked="1" layoutInCell="1" allowOverlap="1" wp14:anchorId="3A3ED64E" wp14:editId="01EC6486">
            <wp:simplePos x="0" y="0"/>
            <wp:positionH relativeFrom="page">
              <wp:posOffset>-38100</wp:posOffset>
            </wp:positionH>
            <wp:positionV relativeFrom="page">
              <wp:posOffset>695325</wp:posOffset>
            </wp:positionV>
            <wp:extent cx="7559675" cy="10684510"/>
            <wp:effectExtent l="0" t="0" r="0" b="0"/>
            <wp:wrapNone/>
            <wp:docPr id="11" name="Cover graphic">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ver graphic">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7559675" cy="10684510"/>
                    </a:xfrm>
                    <a:prstGeom prst="rect">
                      <a:avLst/>
                    </a:prstGeom>
                  </pic:spPr>
                </pic:pic>
              </a:graphicData>
            </a:graphic>
            <wp14:sizeRelH relativeFrom="margin">
              <wp14:pctWidth>0</wp14:pctWidth>
            </wp14:sizeRelH>
            <wp14:sizeRelV relativeFrom="margin">
              <wp14:pctHeight>0</wp14:pctHeight>
            </wp14:sizeRelV>
          </wp:anchor>
        </w:drawing>
      </w:r>
    </w:p>
    <w:p w14:paraId="04454B4F" w14:textId="77777777" w:rsidR="005156B1" w:rsidRDefault="00395A30" w:rsidP="00361777">
      <w:pPr>
        <w:pStyle w:val="Cover-logo"/>
        <w:framePr w:wrap="around"/>
      </w:pPr>
      <w:r w:rsidRPr="005156B1">
        <w:drawing>
          <wp:inline distT="0" distB="0" distL="0" distR="0" wp14:anchorId="6015C04B" wp14:editId="3D7EF834">
            <wp:extent cx="1645200" cy="540000"/>
            <wp:effectExtent l="0" t="0" r="0" b="0"/>
            <wp:docPr id="5" name="Department of Primary Industries and Regional Development - logo" descr="Department of Primary Industries and Regional Development - logo ">
              <a:extLst xmlns:a="http://schemas.openxmlformats.org/drawingml/2006/main">
                <a:ext uri="{FF2B5EF4-FFF2-40B4-BE49-F238E27FC236}">
                  <a16:creationId xmlns:a16="http://schemas.microsoft.com/office/drawing/2014/main" id="{7378AA8B-413E-168E-8618-F39AEC9908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partment of Primary Industries and Regional Development - logo" descr="Department of Primary Industries and Regional Development - logo ">
                      <a:extLst>
                        <a:ext uri="{FF2B5EF4-FFF2-40B4-BE49-F238E27FC236}">
                          <a16:creationId xmlns:a16="http://schemas.microsoft.com/office/drawing/2014/main" id="{7378AA8B-413E-168E-8618-F39AEC99084B}"/>
                        </a:ext>
                      </a:extLst>
                    </pic:cNvPr>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1645200" cy="540000"/>
                    </a:xfrm>
                    <a:prstGeom prst="rect">
                      <a:avLst/>
                    </a:prstGeom>
                  </pic:spPr>
                </pic:pic>
              </a:graphicData>
            </a:graphic>
          </wp:inline>
        </w:drawing>
      </w:r>
    </w:p>
    <w:p w14:paraId="7166C55A" w14:textId="77777777" w:rsidR="005156B1" w:rsidRPr="005156B1" w:rsidRDefault="005156B1" w:rsidP="005156B1"/>
    <w:tbl>
      <w:tblPr>
        <w:tblStyle w:val="Blank"/>
        <w:tblW w:w="8529" w:type="dxa"/>
        <w:tblLook w:val="04A0" w:firstRow="1" w:lastRow="0" w:firstColumn="1" w:lastColumn="0" w:noHBand="0" w:noVBand="1"/>
      </w:tblPr>
      <w:tblGrid>
        <w:gridCol w:w="8529"/>
      </w:tblGrid>
      <w:tr w:rsidR="00E77F23" w:rsidRPr="00AE01C6" w14:paraId="1E403703" w14:textId="77777777" w:rsidTr="00256F96">
        <w:trPr>
          <w:cantSplit/>
          <w:trHeight w:hRule="exact" w:val="8555"/>
        </w:trPr>
        <w:tc>
          <w:tcPr>
            <w:tcW w:w="8529" w:type="dxa"/>
            <w:vAlign w:val="center"/>
          </w:tcPr>
          <w:p w14:paraId="0EADFB9E" w14:textId="7B23E405" w:rsidR="00E77F23" w:rsidRPr="00AE01C6" w:rsidRDefault="00256F96" w:rsidP="00256F96">
            <w:pPr>
              <w:pStyle w:val="Title"/>
              <w:framePr w:w="0" w:hRule="auto" w:wrap="around" w:hAnchor="page" w:x="1162" w:y="1846"/>
              <w:spacing w:before="0"/>
              <w:rPr>
                <w:sz w:val="48"/>
                <w:szCs w:val="48"/>
              </w:rPr>
            </w:pPr>
            <w:r>
              <w:rPr>
                <w:bCs/>
                <w:sz w:val="56"/>
              </w:rPr>
              <w:t xml:space="preserve">Application for assessment of </w:t>
            </w:r>
            <w:r w:rsidR="00AE01C6">
              <w:rPr>
                <w:bCs/>
                <w:sz w:val="56"/>
              </w:rPr>
              <w:t xml:space="preserve">Western Australia’s Abrolhos Islands and </w:t>
            </w:r>
            <w:proofErr w:type="spellStart"/>
            <w:r w:rsidR="00AE01C6">
              <w:rPr>
                <w:bCs/>
                <w:sz w:val="56"/>
              </w:rPr>
              <w:t>Mid West</w:t>
            </w:r>
            <w:proofErr w:type="spellEnd"/>
            <w:r w:rsidR="00AE01C6">
              <w:rPr>
                <w:bCs/>
                <w:sz w:val="56"/>
              </w:rPr>
              <w:t xml:space="preserve"> Trawl Managed Fishery and South Coast Trawl Fishery</w:t>
            </w:r>
            <w:r>
              <w:rPr>
                <w:bCs/>
                <w:sz w:val="56"/>
              </w:rPr>
              <w:t xml:space="preserve"> under the Environment Protection and Biodiversity Conservation Act 199</w:t>
            </w:r>
            <w:r w:rsidR="00887F6B">
              <w:rPr>
                <w:bCs/>
                <w:sz w:val="56"/>
              </w:rPr>
              <w:t>9</w:t>
            </w:r>
          </w:p>
          <w:p w14:paraId="1003099C" w14:textId="77777777" w:rsidR="00E77F23" w:rsidRDefault="00AE01C6" w:rsidP="00256F96">
            <w:pPr>
              <w:pStyle w:val="Subtitle"/>
              <w:framePr w:hSpace="6804" w:wrap="around" w:vAnchor="page" w:hAnchor="page" w:x="1162" w:y="1846" w:anchorLock="1"/>
              <w:rPr>
                <w:sz w:val="36"/>
                <w:szCs w:val="36"/>
              </w:rPr>
            </w:pPr>
            <w:r w:rsidRPr="000E1D16">
              <w:rPr>
                <w:sz w:val="36"/>
                <w:szCs w:val="36"/>
              </w:rPr>
              <w:t xml:space="preserve">Submission to the Department of Climate Change, Energy, the Environment and Water </w:t>
            </w:r>
          </w:p>
          <w:p w14:paraId="4640FAE8" w14:textId="77777777" w:rsidR="00256F96" w:rsidRPr="00256F96" w:rsidRDefault="00256F96" w:rsidP="00256F96">
            <w:pPr>
              <w:framePr w:hSpace="6804" w:wrap="around" w:vAnchor="page" w:hAnchor="page" w:x="1162" w:y="1846" w:anchorLock="1"/>
            </w:pPr>
          </w:p>
          <w:p w14:paraId="36057CFF" w14:textId="4E38C5D8" w:rsidR="00AE01C6" w:rsidRDefault="00AE01C6" w:rsidP="00256F96">
            <w:pPr>
              <w:framePr w:hSpace="6804" w:wrap="around" w:vAnchor="page" w:hAnchor="page" w:x="1162" w:y="1846" w:anchorLock="1"/>
              <w:rPr>
                <w:i/>
                <w:iCs/>
              </w:rPr>
            </w:pPr>
            <w:r>
              <w:t xml:space="preserve">Against the </w:t>
            </w:r>
            <w:r>
              <w:rPr>
                <w:i/>
                <w:iCs/>
              </w:rPr>
              <w:t xml:space="preserve">Guidelines for Ecologically Sustainable Management of Fisheries </w:t>
            </w:r>
          </w:p>
          <w:p w14:paraId="37D2894E" w14:textId="77777777" w:rsidR="00AE01C6" w:rsidRDefault="00AE01C6" w:rsidP="00256F96">
            <w:pPr>
              <w:framePr w:hSpace="6804" w:wrap="around" w:vAnchor="page" w:hAnchor="page" w:x="1162" w:y="1846" w:anchorLock="1"/>
              <w:rPr>
                <w:b/>
                <w:bCs/>
              </w:rPr>
            </w:pPr>
          </w:p>
          <w:p w14:paraId="439AA1DB" w14:textId="2D200626" w:rsidR="00AE01C6" w:rsidRPr="00DF03B4" w:rsidRDefault="008921CA" w:rsidP="00256F96">
            <w:pPr>
              <w:pStyle w:val="Subtitle"/>
              <w:framePr w:hSpace="6804" w:wrap="around" w:vAnchor="page" w:hAnchor="page" w:x="1162" w:y="1846" w:anchorLock="1"/>
              <w:rPr>
                <w:b w:val="0"/>
                <w:bCs/>
                <w:sz w:val="32"/>
                <w:szCs w:val="32"/>
              </w:rPr>
            </w:pPr>
            <w:r>
              <w:rPr>
                <w:color w:val="003F51" w:themeColor="accent1"/>
                <w:sz w:val="32"/>
                <w:szCs w:val="32"/>
              </w:rPr>
              <w:t xml:space="preserve">26 </w:t>
            </w:r>
            <w:r w:rsidR="00394D69">
              <w:rPr>
                <w:color w:val="003F51" w:themeColor="accent1"/>
                <w:sz w:val="32"/>
                <w:szCs w:val="32"/>
              </w:rPr>
              <w:t>Novembe</w:t>
            </w:r>
            <w:r w:rsidR="00394D69" w:rsidRPr="00DF03B4">
              <w:rPr>
                <w:color w:val="003F51" w:themeColor="accent1"/>
                <w:sz w:val="32"/>
                <w:szCs w:val="32"/>
              </w:rPr>
              <w:t xml:space="preserve">r </w:t>
            </w:r>
            <w:r w:rsidR="00AE01C6" w:rsidRPr="00DF03B4">
              <w:rPr>
                <w:color w:val="003F51" w:themeColor="accent1"/>
                <w:sz w:val="32"/>
                <w:szCs w:val="32"/>
              </w:rPr>
              <w:t>2024</w:t>
            </w:r>
            <w:r w:rsidR="00AE01C6" w:rsidRPr="00DF03B4">
              <w:rPr>
                <w:bCs/>
                <w:color w:val="003F51" w:themeColor="accent1"/>
                <w:sz w:val="32"/>
                <w:szCs w:val="32"/>
              </w:rPr>
              <w:t xml:space="preserve"> </w:t>
            </w:r>
          </w:p>
        </w:tc>
      </w:tr>
    </w:tbl>
    <w:p w14:paraId="34002554" w14:textId="77777777" w:rsidR="00256F96" w:rsidRDefault="00256F96" w:rsidP="00256F96"/>
    <w:p w14:paraId="55410A83" w14:textId="77777777" w:rsidR="00256F96" w:rsidRPr="00256F96" w:rsidRDefault="00256F96" w:rsidP="00256F96"/>
    <w:p w14:paraId="12BB39B6" w14:textId="75B91F35" w:rsidR="00AE01C6" w:rsidRDefault="00AE01C6">
      <w:pPr>
        <w:rPr>
          <w:rFonts w:asciiTheme="majorHAnsi" w:eastAsiaTheme="majorEastAsia" w:hAnsiTheme="majorHAnsi" w:cstheme="majorBidi"/>
          <w:b/>
          <w:color w:val="003F51" w:themeColor="accent1"/>
          <w:sz w:val="40"/>
          <w:szCs w:val="32"/>
        </w:rPr>
      </w:pPr>
      <w:bookmarkStart w:id="0" w:name="_Toc87857019"/>
      <w:bookmarkStart w:id="1" w:name="_Toc30502210"/>
    </w:p>
    <w:sdt>
      <w:sdtPr>
        <w:rPr>
          <w:rFonts w:asciiTheme="minorHAnsi" w:eastAsiaTheme="minorHAnsi" w:hAnsiTheme="minorHAnsi" w:cstheme="minorBidi"/>
          <w:b w:val="0"/>
          <w:color w:val="auto"/>
          <w:sz w:val="24"/>
          <w:szCs w:val="22"/>
          <w:lang w:val="en-AU"/>
        </w:rPr>
        <w:id w:val="-1839762540"/>
        <w:docPartObj>
          <w:docPartGallery w:val="Table of Contents"/>
          <w:docPartUnique/>
        </w:docPartObj>
      </w:sdtPr>
      <w:sdtEndPr>
        <w:rPr>
          <w:bCs/>
          <w:noProof/>
        </w:rPr>
      </w:sdtEndPr>
      <w:sdtContent>
        <w:p w14:paraId="7E26DA49" w14:textId="43E52793" w:rsidR="000640F6" w:rsidRDefault="000640F6">
          <w:pPr>
            <w:pStyle w:val="TOCHeading"/>
          </w:pPr>
          <w:r>
            <w:t>Contents</w:t>
          </w:r>
        </w:p>
        <w:p w14:paraId="3A4F5C7E" w14:textId="5CD1A7D7" w:rsidR="00676164" w:rsidRDefault="000640F6">
          <w:pPr>
            <w:pStyle w:val="TOC1"/>
            <w:tabs>
              <w:tab w:val="right" w:leader="dot" w:pos="9016"/>
            </w:tabs>
            <w:rPr>
              <w:rFonts w:eastAsiaTheme="minorEastAsia"/>
              <w:bCs w:val="0"/>
              <w:noProof/>
              <w:kern w:val="2"/>
              <w:szCs w:val="24"/>
              <w:lang w:eastAsia="en-AU"/>
              <w14:ligatures w14:val="standardContextual"/>
            </w:rPr>
          </w:pPr>
          <w:r>
            <w:fldChar w:fldCharType="begin"/>
          </w:r>
          <w:r>
            <w:instrText xml:space="preserve"> TOC \o "1-3" \h \z \u </w:instrText>
          </w:r>
          <w:r>
            <w:fldChar w:fldCharType="separate"/>
          </w:r>
          <w:hyperlink w:anchor="_Toc183695790" w:history="1">
            <w:r w:rsidR="00676164" w:rsidRPr="003643FB">
              <w:rPr>
                <w:rStyle w:val="Hyperlink"/>
                <w:noProof/>
              </w:rPr>
              <w:t>Acronyms</w:t>
            </w:r>
            <w:r w:rsidR="00676164">
              <w:rPr>
                <w:noProof/>
                <w:webHidden/>
              </w:rPr>
              <w:tab/>
            </w:r>
            <w:r w:rsidR="00676164">
              <w:rPr>
                <w:noProof/>
                <w:webHidden/>
              </w:rPr>
              <w:fldChar w:fldCharType="begin"/>
            </w:r>
            <w:r w:rsidR="00676164">
              <w:rPr>
                <w:noProof/>
                <w:webHidden/>
              </w:rPr>
              <w:instrText xml:space="preserve"> PAGEREF _Toc183695790 \h </w:instrText>
            </w:r>
            <w:r w:rsidR="00676164">
              <w:rPr>
                <w:noProof/>
                <w:webHidden/>
              </w:rPr>
            </w:r>
            <w:r w:rsidR="00676164">
              <w:rPr>
                <w:noProof/>
                <w:webHidden/>
              </w:rPr>
              <w:fldChar w:fldCharType="separate"/>
            </w:r>
            <w:r w:rsidR="00034F81">
              <w:rPr>
                <w:noProof/>
                <w:webHidden/>
              </w:rPr>
              <w:t>4</w:t>
            </w:r>
            <w:r w:rsidR="00676164">
              <w:rPr>
                <w:noProof/>
                <w:webHidden/>
              </w:rPr>
              <w:fldChar w:fldCharType="end"/>
            </w:r>
          </w:hyperlink>
        </w:p>
        <w:p w14:paraId="119C2585" w14:textId="2288F9C9" w:rsidR="00676164" w:rsidRDefault="00676164">
          <w:pPr>
            <w:pStyle w:val="TOC1"/>
            <w:tabs>
              <w:tab w:val="right" w:leader="dot" w:pos="9016"/>
            </w:tabs>
            <w:rPr>
              <w:rFonts w:eastAsiaTheme="minorEastAsia"/>
              <w:bCs w:val="0"/>
              <w:noProof/>
              <w:kern w:val="2"/>
              <w:szCs w:val="24"/>
              <w:lang w:eastAsia="en-AU"/>
              <w14:ligatures w14:val="standardContextual"/>
            </w:rPr>
          </w:pPr>
          <w:hyperlink w:anchor="_Toc183695791" w:history="1">
            <w:r w:rsidRPr="003643FB">
              <w:rPr>
                <w:rStyle w:val="Hyperlink"/>
                <w:noProof/>
              </w:rPr>
              <w:t>Introduction</w:t>
            </w:r>
            <w:r>
              <w:rPr>
                <w:noProof/>
                <w:webHidden/>
              </w:rPr>
              <w:tab/>
            </w:r>
            <w:r>
              <w:rPr>
                <w:noProof/>
                <w:webHidden/>
              </w:rPr>
              <w:fldChar w:fldCharType="begin"/>
            </w:r>
            <w:r>
              <w:rPr>
                <w:noProof/>
                <w:webHidden/>
              </w:rPr>
              <w:instrText xml:space="preserve"> PAGEREF _Toc183695791 \h </w:instrText>
            </w:r>
            <w:r>
              <w:rPr>
                <w:noProof/>
                <w:webHidden/>
              </w:rPr>
            </w:r>
            <w:r>
              <w:rPr>
                <w:noProof/>
                <w:webHidden/>
              </w:rPr>
              <w:fldChar w:fldCharType="separate"/>
            </w:r>
            <w:r w:rsidR="00034F81">
              <w:rPr>
                <w:noProof/>
                <w:webHidden/>
              </w:rPr>
              <w:t>5</w:t>
            </w:r>
            <w:r>
              <w:rPr>
                <w:noProof/>
                <w:webHidden/>
              </w:rPr>
              <w:fldChar w:fldCharType="end"/>
            </w:r>
          </w:hyperlink>
        </w:p>
        <w:p w14:paraId="2E580754" w14:textId="45FBF0EF" w:rsidR="00676164" w:rsidRDefault="00676164">
          <w:pPr>
            <w:pStyle w:val="TOC1"/>
            <w:tabs>
              <w:tab w:val="right" w:leader="dot" w:pos="9016"/>
            </w:tabs>
            <w:rPr>
              <w:rFonts w:eastAsiaTheme="minorEastAsia"/>
              <w:bCs w:val="0"/>
              <w:noProof/>
              <w:kern w:val="2"/>
              <w:szCs w:val="24"/>
              <w:lang w:eastAsia="en-AU"/>
              <w14:ligatures w14:val="standardContextual"/>
            </w:rPr>
          </w:pPr>
          <w:hyperlink w:anchor="_Toc183695792" w:history="1">
            <w:r w:rsidRPr="003643FB">
              <w:rPr>
                <w:rStyle w:val="Hyperlink"/>
                <w:noProof/>
              </w:rPr>
              <w:t>The Fisheries</w:t>
            </w:r>
            <w:r>
              <w:rPr>
                <w:noProof/>
                <w:webHidden/>
              </w:rPr>
              <w:tab/>
            </w:r>
            <w:r>
              <w:rPr>
                <w:noProof/>
                <w:webHidden/>
              </w:rPr>
              <w:fldChar w:fldCharType="begin"/>
            </w:r>
            <w:r>
              <w:rPr>
                <w:noProof/>
                <w:webHidden/>
              </w:rPr>
              <w:instrText xml:space="preserve"> PAGEREF _Toc183695792 \h </w:instrText>
            </w:r>
            <w:r>
              <w:rPr>
                <w:noProof/>
                <w:webHidden/>
              </w:rPr>
            </w:r>
            <w:r>
              <w:rPr>
                <w:noProof/>
                <w:webHidden/>
              </w:rPr>
              <w:fldChar w:fldCharType="separate"/>
            </w:r>
            <w:r w:rsidR="00034F81">
              <w:rPr>
                <w:noProof/>
                <w:webHidden/>
              </w:rPr>
              <w:t>5</w:t>
            </w:r>
            <w:r>
              <w:rPr>
                <w:noProof/>
                <w:webHidden/>
              </w:rPr>
              <w:fldChar w:fldCharType="end"/>
            </w:r>
          </w:hyperlink>
        </w:p>
        <w:p w14:paraId="021DFB35" w14:textId="1C4E0A2D" w:rsidR="00676164" w:rsidRDefault="00676164">
          <w:pPr>
            <w:pStyle w:val="TOC2"/>
            <w:rPr>
              <w:rFonts w:eastAsiaTheme="minorEastAsia"/>
              <w:i w:val="0"/>
              <w:iCs w:val="0"/>
              <w:kern w:val="2"/>
              <w:szCs w:val="24"/>
              <w:lang w:eastAsia="en-AU"/>
              <w14:ligatures w14:val="standardContextual"/>
            </w:rPr>
          </w:pPr>
          <w:hyperlink w:anchor="_Toc183695793" w:history="1">
            <w:r w:rsidRPr="003643FB">
              <w:rPr>
                <w:rStyle w:val="Hyperlink"/>
              </w:rPr>
              <w:t>Description of the Fisheries</w:t>
            </w:r>
            <w:r>
              <w:rPr>
                <w:webHidden/>
              </w:rPr>
              <w:tab/>
            </w:r>
            <w:r>
              <w:rPr>
                <w:webHidden/>
              </w:rPr>
              <w:fldChar w:fldCharType="begin"/>
            </w:r>
            <w:r>
              <w:rPr>
                <w:webHidden/>
              </w:rPr>
              <w:instrText xml:space="preserve"> PAGEREF _Toc183695793 \h </w:instrText>
            </w:r>
            <w:r>
              <w:rPr>
                <w:webHidden/>
              </w:rPr>
            </w:r>
            <w:r>
              <w:rPr>
                <w:webHidden/>
              </w:rPr>
              <w:fldChar w:fldCharType="separate"/>
            </w:r>
            <w:r w:rsidR="00034F81">
              <w:rPr>
                <w:webHidden/>
              </w:rPr>
              <w:t>5</w:t>
            </w:r>
            <w:r>
              <w:rPr>
                <w:webHidden/>
              </w:rPr>
              <w:fldChar w:fldCharType="end"/>
            </w:r>
          </w:hyperlink>
        </w:p>
        <w:p w14:paraId="533AE3FD" w14:textId="63FFDBC5" w:rsidR="00676164" w:rsidRDefault="00676164">
          <w:pPr>
            <w:pStyle w:val="TOC3"/>
            <w:rPr>
              <w:rFonts w:eastAsiaTheme="minorEastAsia"/>
              <w:noProof/>
              <w:kern w:val="2"/>
              <w:szCs w:val="24"/>
              <w:lang w:eastAsia="en-AU"/>
              <w14:ligatures w14:val="standardContextual"/>
            </w:rPr>
          </w:pPr>
          <w:hyperlink w:anchor="_Toc183695794" w:history="1">
            <w:r w:rsidRPr="003643FB">
              <w:rPr>
                <w:rStyle w:val="Hyperlink"/>
                <w:noProof/>
              </w:rPr>
              <w:t>Abrolhos Islands and Mid West Trawl Managed Fishery</w:t>
            </w:r>
            <w:r>
              <w:rPr>
                <w:noProof/>
                <w:webHidden/>
              </w:rPr>
              <w:tab/>
            </w:r>
            <w:r>
              <w:rPr>
                <w:noProof/>
                <w:webHidden/>
              </w:rPr>
              <w:fldChar w:fldCharType="begin"/>
            </w:r>
            <w:r>
              <w:rPr>
                <w:noProof/>
                <w:webHidden/>
              </w:rPr>
              <w:instrText xml:space="preserve"> PAGEREF _Toc183695794 \h </w:instrText>
            </w:r>
            <w:r>
              <w:rPr>
                <w:noProof/>
                <w:webHidden/>
              </w:rPr>
            </w:r>
            <w:r>
              <w:rPr>
                <w:noProof/>
                <w:webHidden/>
              </w:rPr>
              <w:fldChar w:fldCharType="separate"/>
            </w:r>
            <w:r w:rsidR="00034F81">
              <w:rPr>
                <w:noProof/>
                <w:webHidden/>
              </w:rPr>
              <w:t>5</w:t>
            </w:r>
            <w:r>
              <w:rPr>
                <w:noProof/>
                <w:webHidden/>
              </w:rPr>
              <w:fldChar w:fldCharType="end"/>
            </w:r>
          </w:hyperlink>
        </w:p>
        <w:p w14:paraId="1549428C" w14:textId="6ABDBA60" w:rsidR="00676164" w:rsidRDefault="00676164">
          <w:pPr>
            <w:pStyle w:val="TOC3"/>
            <w:rPr>
              <w:rFonts w:eastAsiaTheme="minorEastAsia"/>
              <w:noProof/>
              <w:kern w:val="2"/>
              <w:szCs w:val="24"/>
              <w:lang w:eastAsia="en-AU"/>
              <w14:ligatures w14:val="standardContextual"/>
            </w:rPr>
          </w:pPr>
          <w:hyperlink w:anchor="_Toc183695795" w:history="1">
            <w:r w:rsidRPr="003643FB">
              <w:rPr>
                <w:rStyle w:val="Hyperlink"/>
                <w:noProof/>
              </w:rPr>
              <w:t>South Coast Trawl Fishery</w:t>
            </w:r>
            <w:r>
              <w:rPr>
                <w:noProof/>
                <w:webHidden/>
              </w:rPr>
              <w:tab/>
            </w:r>
            <w:r>
              <w:rPr>
                <w:noProof/>
                <w:webHidden/>
              </w:rPr>
              <w:fldChar w:fldCharType="begin"/>
            </w:r>
            <w:r>
              <w:rPr>
                <w:noProof/>
                <w:webHidden/>
              </w:rPr>
              <w:instrText xml:space="preserve"> PAGEREF _Toc183695795 \h </w:instrText>
            </w:r>
            <w:r>
              <w:rPr>
                <w:noProof/>
                <w:webHidden/>
              </w:rPr>
            </w:r>
            <w:r>
              <w:rPr>
                <w:noProof/>
                <w:webHidden/>
              </w:rPr>
              <w:fldChar w:fldCharType="separate"/>
            </w:r>
            <w:r w:rsidR="00034F81">
              <w:rPr>
                <w:noProof/>
                <w:webHidden/>
              </w:rPr>
              <w:t>12</w:t>
            </w:r>
            <w:r>
              <w:rPr>
                <w:noProof/>
                <w:webHidden/>
              </w:rPr>
              <w:fldChar w:fldCharType="end"/>
            </w:r>
          </w:hyperlink>
        </w:p>
        <w:p w14:paraId="368AB2FA" w14:textId="1614352E" w:rsidR="00676164" w:rsidRDefault="00676164">
          <w:pPr>
            <w:pStyle w:val="TOC2"/>
            <w:rPr>
              <w:rFonts w:eastAsiaTheme="minorEastAsia"/>
              <w:i w:val="0"/>
              <w:iCs w:val="0"/>
              <w:kern w:val="2"/>
              <w:szCs w:val="24"/>
              <w:lang w:eastAsia="en-AU"/>
              <w14:ligatures w14:val="standardContextual"/>
            </w:rPr>
          </w:pPr>
          <w:hyperlink w:anchor="_Toc183695796" w:history="1">
            <w:r w:rsidRPr="003643FB">
              <w:rPr>
                <w:rStyle w:val="Hyperlink"/>
              </w:rPr>
              <w:t>Fishing methods and gear</w:t>
            </w:r>
            <w:r>
              <w:rPr>
                <w:webHidden/>
              </w:rPr>
              <w:tab/>
            </w:r>
            <w:r>
              <w:rPr>
                <w:webHidden/>
              </w:rPr>
              <w:fldChar w:fldCharType="begin"/>
            </w:r>
            <w:r>
              <w:rPr>
                <w:webHidden/>
              </w:rPr>
              <w:instrText xml:space="preserve"> PAGEREF _Toc183695796 \h </w:instrText>
            </w:r>
            <w:r>
              <w:rPr>
                <w:webHidden/>
              </w:rPr>
            </w:r>
            <w:r>
              <w:rPr>
                <w:webHidden/>
              </w:rPr>
              <w:fldChar w:fldCharType="separate"/>
            </w:r>
            <w:r w:rsidR="00034F81">
              <w:rPr>
                <w:webHidden/>
              </w:rPr>
              <w:t>16</w:t>
            </w:r>
            <w:r>
              <w:rPr>
                <w:webHidden/>
              </w:rPr>
              <w:fldChar w:fldCharType="end"/>
            </w:r>
          </w:hyperlink>
        </w:p>
        <w:p w14:paraId="0200EA8E" w14:textId="463DC40B" w:rsidR="00676164" w:rsidRDefault="00676164">
          <w:pPr>
            <w:pStyle w:val="TOC3"/>
            <w:rPr>
              <w:rFonts w:eastAsiaTheme="minorEastAsia"/>
              <w:noProof/>
              <w:kern w:val="2"/>
              <w:szCs w:val="24"/>
              <w:lang w:eastAsia="en-AU"/>
              <w14:ligatures w14:val="standardContextual"/>
            </w:rPr>
          </w:pPr>
          <w:hyperlink w:anchor="_Toc183695797" w:history="1">
            <w:r w:rsidRPr="003643FB">
              <w:rPr>
                <w:rStyle w:val="Hyperlink"/>
                <w:noProof/>
              </w:rPr>
              <w:t>Abrolhos Islands and Mid West Trawl Managed Fishery</w:t>
            </w:r>
            <w:r>
              <w:rPr>
                <w:noProof/>
                <w:webHidden/>
              </w:rPr>
              <w:tab/>
            </w:r>
            <w:r>
              <w:rPr>
                <w:noProof/>
                <w:webHidden/>
              </w:rPr>
              <w:fldChar w:fldCharType="begin"/>
            </w:r>
            <w:r>
              <w:rPr>
                <w:noProof/>
                <w:webHidden/>
              </w:rPr>
              <w:instrText xml:space="preserve"> PAGEREF _Toc183695797 \h </w:instrText>
            </w:r>
            <w:r>
              <w:rPr>
                <w:noProof/>
                <w:webHidden/>
              </w:rPr>
            </w:r>
            <w:r>
              <w:rPr>
                <w:noProof/>
                <w:webHidden/>
              </w:rPr>
              <w:fldChar w:fldCharType="separate"/>
            </w:r>
            <w:r w:rsidR="00034F81">
              <w:rPr>
                <w:noProof/>
                <w:webHidden/>
              </w:rPr>
              <w:t>17</w:t>
            </w:r>
            <w:r>
              <w:rPr>
                <w:noProof/>
                <w:webHidden/>
              </w:rPr>
              <w:fldChar w:fldCharType="end"/>
            </w:r>
          </w:hyperlink>
        </w:p>
        <w:p w14:paraId="7832F2DE" w14:textId="2E72347F" w:rsidR="00676164" w:rsidRDefault="00676164">
          <w:pPr>
            <w:pStyle w:val="TOC3"/>
            <w:rPr>
              <w:rFonts w:eastAsiaTheme="minorEastAsia"/>
              <w:noProof/>
              <w:kern w:val="2"/>
              <w:szCs w:val="24"/>
              <w:lang w:eastAsia="en-AU"/>
              <w14:ligatures w14:val="standardContextual"/>
            </w:rPr>
          </w:pPr>
          <w:hyperlink w:anchor="_Toc183695798" w:history="1">
            <w:r w:rsidRPr="003643FB">
              <w:rPr>
                <w:rStyle w:val="Hyperlink"/>
                <w:noProof/>
              </w:rPr>
              <w:t>South Coast Trawl Fishery</w:t>
            </w:r>
            <w:r>
              <w:rPr>
                <w:noProof/>
                <w:webHidden/>
              </w:rPr>
              <w:tab/>
            </w:r>
            <w:r>
              <w:rPr>
                <w:noProof/>
                <w:webHidden/>
              </w:rPr>
              <w:fldChar w:fldCharType="begin"/>
            </w:r>
            <w:r>
              <w:rPr>
                <w:noProof/>
                <w:webHidden/>
              </w:rPr>
              <w:instrText xml:space="preserve"> PAGEREF _Toc183695798 \h </w:instrText>
            </w:r>
            <w:r>
              <w:rPr>
                <w:noProof/>
                <w:webHidden/>
              </w:rPr>
            </w:r>
            <w:r>
              <w:rPr>
                <w:noProof/>
                <w:webHidden/>
              </w:rPr>
              <w:fldChar w:fldCharType="separate"/>
            </w:r>
            <w:r w:rsidR="00034F81">
              <w:rPr>
                <w:noProof/>
                <w:webHidden/>
              </w:rPr>
              <w:t>18</w:t>
            </w:r>
            <w:r>
              <w:rPr>
                <w:noProof/>
                <w:webHidden/>
              </w:rPr>
              <w:fldChar w:fldCharType="end"/>
            </w:r>
          </w:hyperlink>
        </w:p>
        <w:p w14:paraId="559C3213" w14:textId="342F9BA9" w:rsidR="00676164" w:rsidRDefault="00676164">
          <w:pPr>
            <w:pStyle w:val="TOC2"/>
            <w:rPr>
              <w:rFonts w:eastAsiaTheme="minorEastAsia"/>
              <w:i w:val="0"/>
              <w:iCs w:val="0"/>
              <w:kern w:val="2"/>
              <w:szCs w:val="24"/>
              <w:lang w:eastAsia="en-AU"/>
              <w14:ligatures w14:val="standardContextual"/>
            </w:rPr>
          </w:pPr>
          <w:hyperlink w:anchor="_Toc183695799" w:history="1">
            <w:r w:rsidRPr="003643FB">
              <w:rPr>
                <w:rStyle w:val="Hyperlink"/>
              </w:rPr>
              <w:t>Target species and byproduct</w:t>
            </w:r>
            <w:r>
              <w:rPr>
                <w:webHidden/>
              </w:rPr>
              <w:tab/>
            </w:r>
            <w:r>
              <w:rPr>
                <w:webHidden/>
              </w:rPr>
              <w:fldChar w:fldCharType="begin"/>
            </w:r>
            <w:r>
              <w:rPr>
                <w:webHidden/>
              </w:rPr>
              <w:instrText xml:space="preserve"> PAGEREF _Toc183695799 \h </w:instrText>
            </w:r>
            <w:r>
              <w:rPr>
                <w:webHidden/>
              </w:rPr>
            </w:r>
            <w:r>
              <w:rPr>
                <w:webHidden/>
              </w:rPr>
              <w:fldChar w:fldCharType="separate"/>
            </w:r>
            <w:r w:rsidR="00034F81">
              <w:rPr>
                <w:webHidden/>
              </w:rPr>
              <w:t>19</w:t>
            </w:r>
            <w:r>
              <w:rPr>
                <w:webHidden/>
              </w:rPr>
              <w:fldChar w:fldCharType="end"/>
            </w:r>
          </w:hyperlink>
        </w:p>
        <w:p w14:paraId="6439E462" w14:textId="5325E84B" w:rsidR="00676164" w:rsidRDefault="00676164">
          <w:pPr>
            <w:pStyle w:val="TOC3"/>
            <w:rPr>
              <w:rFonts w:eastAsiaTheme="minorEastAsia"/>
              <w:noProof/>
              <w:kern w:val="2"/>
              <w:szCs w:val="24"/>
              <w:lang w:eastAsia="en-AU"/>
              <w14:ligatures w14:val="standardContextual"/>
            </w:rPr>
          </w:pPr>
          <w:hyperlink w:anchor="_Toc183695800" w:history="1">
            <w:r w:rsidRPr="003643FB">
              <w:rPr>
                <w:rStyle w:val="Hyperlink"/>
                <w:noProof/>
              </w:rPr>
              <w:t>Abrolhos Islands and Mid West Trawl Managed Fishery</w:t>
            </w:r>
            <w:r>
              <w:rPr>
                <w:noProof/>
                <w:webHidden/>
              </w:rPr>
              <w:tab/>
            </w:r>
            <w:r>
              <w:rPr>
                <w:noProof/>
                <w:webHidden/>
              </w:rPr>
              <w:fldChar w:fldCharType="begin"/>
            </w:r>
            <w:r>
              <w:rPr>
                <w:noProof/>
                <w:webHidden/>
              </w:rPr>
              <w:instrText xml:space="preserve"> PAGEREF _Toc183695800 \h </w:instrText>
            </w:r>
            <w:r>
              <w:rPr>
                <w:noProof/>
                <w:webHidden/>
              </w:rPr>
            </w:r>
            <w:r>
              <w:rPr>
                <w:noProof/>
                <w:webHidden/>
              </w:rPr>
              <w:fldChar w:fldCharType="separate"/>
            </w:r>
            <w:r w:rsidR="00034F81">
              <w:rPr>
                <w:noProof/>
                <w:webHidden/>
              </w:rPr>
              <w:t>19</w:t>
            </w:r>
            <w:r>
              <w:rPr>
                <w:noProof/>
                <w:webHidden/>
              </w:rPr>
              <w:fldChar w:fldCharType="end"/>
            </w:r>
          </w:hyperlink>
        </w:p>
        <w:p w14:paraId="1BFB6982" w14:textId="384714C8" w:rsidR="00676164" w:rsidRDefault="00676164">
          <w:pPr>
            <w:pStyle w:val="TOC3"/>
            <w:rPr>
              <w:rFonts w:eastAsiaTheme="minorEastAsia"/>
              <w:noProof/>
              <w:kern w:val="2"/>
              <w:szCs w:val="24"/>
              <w:lang w:eastAsia="en-AU"/>
              <w14:ligatures w14:val="standardContextual"/>
            </w:rPr>
          </w:pPr>
          <w:hyperlink w:anchor="_Toc183695801" w:history="1">
            <w:r w:rsidRPr="003643FB">
              <w:rPr>
                <w:rStyle w:val="Hyperlink"/>
                <w:noProof/>
              </w:rPr>
              <w:t>South Coast Trawl Fishery</w:t>
            </w:r>
            <w:r>
              <w:rPr>
                <w:noProof/>
                <w:webHidden/>
              </w:rPr>
              <w:tab/>
            </w:r>
            <w:r>
              <w:rPr>
                <w:noProof/>
                <w:webHidden/>
              </w:rPr>
              <w:fldChar w:fldCharType="begin"/>
            </w:r>
            <w:r>
              <w:rPr>
                <w:noProof/>
                <w:webHidden/>
              </w:rPr>
              <w:instrText xml:space="preserve"> PAGEREF _Toc183695801 \h </w:instrText>
            </w:r>
            <w:r>
              <w:rPr>
                <w:noProof/>
                <w:webHidden/>
              </w:rPr>
            </w:r>
            <w:r>
              <w:rPr>
                <w:noProof/>
                <w:webHidden/>
              </w:rPr>
              <w:fldChar w:fldCharType="separate"/>
            </w:r>
            <w:r w:rsidR="00034F81">
              <w:rPr>
                <w:noProof/>
                <w:webHidden/>
              </w:rPr>
              <w:t>20</w:t>
            </w:r>
            <w:r>
              <w:rPr>
                <w:noProof/>
                <w:webHidden/>
              </w:rPr>
              <w:fldChar w:fldCharType="end"/>
            </w:r>
          </w:hyperlink>
        </w:p>
        <w:p w14:paraId="170B54E7" w14:textId="1E1DF922" w:rsidR="00676164" w:rsidRDefault="00676164">
          <w:pPr>
            <w:pStyle w:val="TOC2"/>
            <w:rPr>
              <w:rFonts w:eastAsiaTheme="minorEastAsia"/>
              <w:i w:val="0"/>
              <w:iCs w:val="0"/>
              <w:kern w:val="2"/>
              <w:szCs w:val="24"/>
              <w:lang w:eastAsia="en-AU"/>
              <w14:ligatures w14:val="standardContextual"/>
            </w:rPr>
          </w:pPr>
          <w:hyperlink w:anchor="_Toc183695802" w:history="1">
            <w:r w:rsidRPr="003643FB">
              <w:rPr>
                <w:rStyle w:val="Hyperlink"/>
              </w:rPr>
              <w:t>Value of the Fisheries</w:t>
            </w:r>
            <w:r>
              <w:rPr>
                <w:webHidden/>
              </w:rPr>
              <w:tab/>
            </w:r>
            <w:r>
              <w:rPr>
                <w:webHidden/>
              </w:rPr>
              <w:fldChar w:fldCharType="begin"/>
            </w:r>
            <w:r>
              <w:rPr>
                <w:webHidden/>
              </w:rPr>
              <w:instrText xml:space="preserve"> PAGEREF _Toc183695802 \h </w:instrText>
            </w:r>
            <w:r>
              <w:rPr>
                <w:webHidden/>
              </w:rPr>
            </w:r>
            <w:r>
              <w:rPr>
                <w:webHidden/>
              </w:rPr>
              <w:fldChar w:fldCharType="separate"/>
            </w:r>
            <w:r w:rsidR="00034F81">
              <w:rPr>
                <w:webHidden/>
              </w:rPr>
              <w:t>20</w:t>
            </w:r>
            <w:r>
              <w:rPr>
                <w:webHidden/>
              </w:rPr>
              <w:fldChar w:fldCharType="end"/>
            </w:r>
          </w:hyperlink>
        </w:p>
        <w:p w14:paraId="28C4EFFF" w14:textId="5E2DBCFA" w:rsidR="00676164" w:rsidRDefault="00676164">
          <w:pPr>
            <w:pStyle w:val="TOC1"/>
            <w:tabs>
              <w:tab w:val="right" w:leader="dot" w:pos="9016"/>
            </w:tabs>
            <w:rPr>
              <w:rFonts w:eastAsiaTheme="minorEastAsia"/>
              <w:bCs w:val="0"/>
              <w:noProof/>
              <w:kern w:val="2"/>
              <w:szCs w:val="24"/>
              <w:lang w:eastAsia="en-AU"/>
              <w14:ligatures w14:val="standardContextual"/>
            </w:rPr>
          </w:pPr>
          <w:hyperlink w:anchor="_Toc183695803" w:history="1">
            <w:r w:rsidRPr="003643FB">
              <w:rPr>
                <w:rStyle w:val="Hyperlink"/>
                <w:noProof/>
              </w:rPr>
              <w:t>Management Regime</w:t>
            </w:r>
            <w:r>
              <w:rPr>
                <w:noProof/>
                <w:webHidden/>
              </w:rPr>
              <w:tab/>
            </w:r>
            <w:r>
              <w:rPr>
                <w:noProof/>
                <w:webHidden/>
              </w:rPr>
              <w:fldChar w:fldCharType="begin"/>
            </w:r>
            <w:r>
              <w:rPr>
                <w:noProof/>
                <w:webHidden/>
              </w:rPr>
              <w:instrText xml:space="preserve"> PAGEREF _Toc183695803 \h </w:instrText>
            </w:r>
            <w:r>
              <w:rPr>
                <w:noProof/>
                <w:webHidden/>
              </w:rPr>
            </w:r>
            <w:r>
              <w:rPr>
                <w:noProof/>
                <w:webHidden/>
              </w:rPr>
              <w:fldChar w:fldCharType="separate"/>
            </w:r>
            <w:r w:rsidR="00034F81">
              <w:rPr>
                <w:noProof/>
                <w:webHidden/>
              </w:rPr>
              <w:t>21</w:t>
            </w:r>
            <w:r>
              <w:rPr>
                <w:noProof/>
                <w:webHidden/>
              </w:rPr>
              <w:fldChar w:fldCharType="end"/>
            </w:r>
          </w:hyperlink>
        </w:p>
        <w:p w14:paraId="2637C774" w14:textId="46BBE9A6" w:rsidR="00676164" w:rsidRDefault="00676164">
          <w:pPr>
            <w:pStyle w:val="TOC2"/>
            <w:rPr>
              <w:rFonts w:eastAsiaTheme="minorEastAsia"/>
              <w:i w:val="0"/>
              <w:iCs w:val="0"/>
              <w:kern w:val="2"/>
              <w:szCs w:val="24"/>
              <w:lang w:eastAsia="en-AU"/>
              <w14:ligatures w14:val="standardContextual"/>
            </w:rPr>
          </w:pPr>
          <w:hyperlink w:anchor="_Toc183695804" w:history="1">
            <w:r w:rsidRPr="003643FB">
              <w:rPr>
                <w:rStyle w:val="Hyperlink"/>
              </w:rPr>
              <w:t>Legislative Framework</w:t>
            </w:r>
            <w:r>
              <w:rPr>
                <w:webHidden/>
              </w:rPr>
              <w:tab/>
            </w:r>
            <w:r>
              <w:rPr>
                <w:webHidden/>
              </w:rPr>
              <w:fldChar w:fldCharType="begin"/>
            </w:r>
            <w:r>
              <w:rPr>
                <w:webHidden/>
              </w:rPr>
              <w:instrText xml:space="preserve"> PAGEREF _Toc183695804 \h </w:instrText>
            </w:r>
            <w:r>
              <w:rPr>
                <w:webHidden/>
              </w:rPr>
            </w:r>
            <w:r>
              <w:rPr>
                <w:webHidden/>
              </w:rPr>
              <w:fldChar w:fldCharType="separate"/>
            </w:r>
            <w:r w:rsidR="00034F81">
              <w:rPr>
                <w:webHidden/>
              </w:rPr>
              <w:t>21</w:t>
            </w:r>
            <w:r>
              <w:rPr>
                <w:webHidden/>
              </w:rPr>
              <w:fldChar w:fldCharType="end"/>
            </w:r>
          </w:hyperlink>
        </w:p>
        <w:p w14:paraId="44EB815C" w14:textId="38A7F32D" w:rsidR="00676164" w:rsidRDefault="00676164">
          <w:pPr>
            <w:pStyle w:val="TOC2"/>
            <w:rPr>
              <w:rFonts w:eastAsiaTheme="minorEastAsia"/>
              <w:i w:val="0"/>
              <w:iCs w:val="0"/>
              <w:kern w:val="2"/>
              <w:szCs w:val="24"/>
              <w:lang w:eastAsia="en-AU"/>
              <w14:ligatures w14:val="standardContextual"/>
            </w:rPr>
          </w:pPr>
          <w:hyperlink w:anchor="_Toc183695805" w:history="1">
            <w:r w:rsidRPr="003643FB">
              <w:rPr>
                <w:rStyle w:val="Hyperlink"/>
              </w:rPr>
              <w:t>Licensing Framework</w:t>
            </w:r>
            <w:r>
              <w:rPr>
                <w:webHidden/>
              </w:rPr>
              <w:tab/>
            </w:r>
            <w:r>
              <w:rPr>
                <w:webHidden/>
              </w:rPr>
              <w:fldChar w:fldCharType="begin"/>
            </w:r>
            <w:r>
              <w:rPr>
                <w:webHidden/>
              </w:rPr>
              <w:instrText xml:space="preserve"> PAGEREF _Toc183695805 \h </w:instrText>
            </w:r>
            <w:r>
              <w:rPr>
                <w:webHidden/>
              </w:rPr>
            </w:r>
            <w:r>
              <w:rPr>
                <w:webHidden/>
              </w:rPr>
              <w:fldChar w:fldCharType="separate"/>
            </w:r>
            <w:r w:rsidR="00034F81">
              <w:rPr>
                <w:webHidden/>
              </w:rPr>
              <w:t>21</w:t>
            </w:r>
            <w:r>
              <w:rPr>
                <w:webHidden/>
              </w:rPr>
              <w:fldChar w:fldCharType="end"/>
            </w:r>
          </w:hyperlink>
        </w:p>
        <w:p w14:paraId="19CE868F" w14:textId="53E93BFB" w:rsidR="00676164" w:rsidRDefault="00676164">
          <w:pPr>
            <w:pStyle w:val="TOC2"/>
            <w:rPr>
              <w:rFonts w:eastAsiaTheme="minorEastAsia"/>
              <w:i w:val="0"/>
              <w:iCs w:val="0"/>
              <w:kern w:val="2"/>
              <w:szCs w:val="24"/>
              <w:lang w:eastAsia="en-AU"/>
              <w14:ligatures w14:val="standardContextual"/>
            </w:rPr>
          </w:pPr>
          <w:hyperlink w:anchor="_Toc183695806" w:history="1">
            <w:r w:rsidRPr="003643FB">
              <w:rPr>
                <w:rStyle w:val="Hyperlink"/>
              </w:rPr>
              <w:t>Controlling the level of harvest</w:t>
            </w:r>
            <w:r>
              <w:rPr>
                <w:webHidden/>
              </w:rPr>
              <w:tab/>
            </w:r>
            <w:r>
              <w:rPr>
                <w:webHidden/>
              </w:rPr>
              <w:fldChar w:fldCharType="begin"/>
            </w:r>
            <w:r>
              <w:rPr>
                <w:webHidden/>
              </w:rPr>
              <w:instrText xml:space="preserve"> PAGEREF _Toc183695806 \h </w:instrText>
            </w:r>
            <w:r>
              <w:rPr>
                <w:webHidden/>
              </w:rPr>
            </w:r>
            <w:r>
              <w:rPr>
                <w:webHidden/>
              </w:rPr>
              <w:fldChar w:fldCharType="separate"/>
            </w:r>
            <w:r w:rsidR="00034F81">
              <w:rPr>
                <w:webHidden/>
              </w:rPr>
              <w:t>22</w:t>
            </w:r>
            <w:r>
              <w:rPr>
                <w:webHidden/>
              </w:rPr>
              <w:fldChar w:fldCharType="end"/>
            </w:r>
          </w:hyperlink>
        </w:p>
        <w:p w14:paraId="230CD127" w14:textId="01ACCBBB" w:rsidR="00676164" w:rsidRDefault="00676164">
          <w:pPr>
            <w:pStyle w:val="TOC3"/>
            <w:rPr>
              <w:rFonts w:eastAsiaTheme="minorEastAsia"/>
              <w:noProof/>
              <w:kern w:val="2"/>
              <w:szCs w:val="24"/>
              <w:lang w:eastAsia="en-AU"/>
              <w14:ligatures w14:val="standardContextual"/>
            </w:rPr>
          </w:pPr>
          <w:hyperlink w:anchor="_Toc183695807" w:history="1">
            <w:r w:rsidRPr="003643FB">
              <w:rPr>
                <w:rStyle w:val="Hyperlink"/>
                <w:noProof/>
              </w:rPr>
              <w:t>Abrolhos Islands and Mid West Trawl Managed Fishery</w:t>
            </w:r>
            <w:r>
              <w:rPr>
                <w:noProof/>
                <w:webHidden/>
              </w:rPr>
              <w:tab/>
            </w:r>
            <w:r>
              <w:rPr>
                <w:noProof/>
                <w:webHidden/>
              </w:rPr>
              <w:fldChar w:fldCharType="begin"/>
            </w:r>
            <w:r>
              <w:rPr>
                <w:noProof/>
                <w:webHidden/>
              </w:rPr>
              <w:instrText xml:space="preserve"> PAGEREF _Toc183695807 \h </w:instrText>
            </w:r>
            <w:r>
              <w:rPr>
                <w:noProof/>
                <w:webHidden/>
              </w:rPr>
            </w:r>
            <w:r>
              <w:rPr>
                <w:noProof/>
                <w:webHidden/>
              </w:rPr>
              <w:fldChar w:fldCharType="separate"/>
            </w:r>
            <w:r w:rsidR="00034F81">
              <w:rPr>
                <w:noProof/>
                <w:webHidden/>
              </w:rPr>
              <w:t>22</w:t>
            </w:r>
            <w:r>
              <w:rPr>
                <w:noProof/>
                <w:webHidden/>
              </w:rPr>
              <w:fldChar w:fldCharType="end"/>
            </w:r>
          </w:hyperlink>
        </w:p>
        <w:p w14:paraId="3DC0774C" w14:textId="7B7DC27F" w:rsidR="00676164" w:rsidRDefault="00676164">
          <w:pPr>
            <w:pStyle w:val="TOC3"/>
            <w:rPr>
              <w:rFonts w:eastAsiaTheme="minorEastAsia"/>
              <w:noProof/>
              <w:kern w:val="2"/>
              <w:szCs w:val="24"/>
              <w:lang w:eastAsia="en-AU"/>
              <w14:ligatures w14:val="standardContextual"/>
            </w:rPr>
          </w:pPr>
          <w:hyperlink w:anchor="_Toc183695808" w:history="1">
            <w:r w:rsidRPr="003643FB">
              <w:rPr>
                <w:rStyle w:val="Hyperlink"/>
                <w:noProof/>
              </w:rPr>
              <w:t>South Coast Trawl Fishery</w:t>
            </w:r>
            <w:r>
              <w:rPr>
                <w:noProof/>
                <w:webHidden/>
              </w:rPr>
              <w:tab/>
            </w:r>
            <w:r>
              <w:rPr>
                <w:noProof/>
                <w:webHidden/>
              </w:rPr>
              <w:fldChar w:fldCharType="begin"/>
            </w:r>
            <w:r>
              <w:rPr>
                <w:noProof/>
                <w:webHidden/>
              </w:rPr>
              <w:instrText xml:space="preserve"> PAGEREF _Toc183695808 \h </w:instrText>
            </w:r>
            <w:r>
              <w:rPr>
                <w:noProof/>
                <w:webHidden/>
              </w:rPr>
            </w:r>
            <w:r>
              <w:rPr>
                <w:noProof/>
                <w:webHidden/>
              </w:rPr>
              <w:fldChar w:fldCharType="separate"/>
            </w:r>
            <w:r w:rsidR="00034F81">
              <w:rPr>
                <w:noProof/>
                <w:webHidden/>
              </w:rPr>
              <w:t>22</w:t>
            </w:r>
            <w:r>
              <w:rPr>
                <w:noProof/>
                <w:webHidden/>
              </w:rPr>
              <w:fldChar w:fldCharType="end"/>
            </w:r>
          </w:hyperlink>
        </w:p>
        <w:p w14:paraId="1BAD65F2" w14:textId="5BD09F7E" w:rsidR="00676164" w:rsidRDefault="00676164">
          <w:pPr>
            <w:pStyle w:val="TOC2"/>
            <w:rPr>
              <w:rFonts w:eastAsiaTheme="minorEastAsia"/>
              <w:i w:val="0"/>
              <w:iCs w:val="0"/>
              <w:kern w:val="2"/>
              <w:szCs w:val="24"/>
              <w:lang w:eastAsia="en-AU"/>
              <w14:ligatures w14:val="standardContextual"/>
            </w:rPr>
          </w:pPr>
          <w:hyperlink w:anchor="_Toc183695809" w:history="1">
            <w:r w:rsidRPr="003643FB">
              <w:rPr>
                <w:rStyle w:val="Hyperlink"/>
              </w:rPr>
              <w:t>Harvest Strategy</w:t>
            </w:r>
            <w:r>
              <w:rPr>
                <w:webHidden/>
              </w:rPr>
              <w:tab/>
            </w:r>
            <w:r>
              <w:rPr>
                <w:webHidden/>
              </w:rPr>
              <w:fldChar w:fldCharType="begin"/>
            </w:r>
            <w:r>
              <w:rPr>
                <w:webHidden/>
              </w:rPr>
              <w:instrText xml:space="preserve"> PAGEREF _Toc183695809 \h </w:instrText>
            </w:r>
            <w:r>
              <w:rPr>
                <w:webHidden/>
              </w:rPr>
            </w:r>
            <w:r>
              <w:rPr>
                <w:webHidden/>
              </w:rPr>
              <w:fldChar w:fldCharType="separate"/>
            </w:r>
            <w:r w:rsidR="00034F81">
              <w:rPr>
                <w:webHidden/>
              </w:rPr>
              <w:t>23</w:t>
            </w:r>
            <w:r>
              <w:rPr>
                <w:webHidden/>
              </w:rPr>
              <w:fldChar w:fldCharType="end"/>
            </w:r>
          </w:hyperlink>
        </w:p>
        <w:p w14:paraId="662CA564" w14:textId="043EA530" w:rsidR="00676164" w:rsidRDefault="00676164">
          <w:pPr>
            <w:pStyle w:val="TOC3"/>
            <w:rPr>
              <w:rFonts w:eastAsiaTheme="minorEastAsia"/>
              <w:noProof/>
              <w:kern w:val="2"/>
              <w:szCs w:val="24"/>
              <w:lang w:eastAsia="en-AU"/>
              <w14:ligatures w14:val="standardContextual"/>
            </w:rPr>
          </w:pPr>
          <w:hyperlink w:anchor="_Toc183695810" w:history="1">
            <w:r w:rsidRPr="003643FB">
              <w:rPr>
                <w:rStyle w:val="Hyperlink"/>
                <w:noProof/>
              </w:rPr>
              <w:t>Abrolhos Islands and Mid West Trawl Managed Fishery</w:t>
            </w:r>
            <w:r>
              <w:rPr>
                <w:noProof/>
                <w:webHidden/>
              </w:rPr>
              <w:tab/>
            </w:r>
            <w:r>
              <w:rPr>
                <w:noProof/>
                <w:webHidden/>
              </w:rPr>
              <w:fldChar w:fldCharType="begin"/>
            </w:r>
            <w:r>
              <w:rPr>
                <w:noProof/>
                <w:webHidden/>
              </w:rPr>
              <w:instrText xml:space="preserve"> PAGEREF _Toc183695810 \h </w:instrText>
            </w:r>
            <w:r>
              <w:rPr>
                <w:noProof/>
                <w:webHidden/>
              </w:rPr>
            </w:r>
            <w:r>
              <w:rPr>
                <w:noProof/>
                <w:webHidden/>
              </w:rPr>
              <w:fldChar w:fldCharType="separate"/>
            </w:r>
            <w:r w:rsidR="00034F81">
              <w:rPr>
                <w:noProof/>
                <w:webHidden/>
              </w:rPr>
              <w:t>23</w:t>
            </w:r>
            <w:r>
              <w:rPr>
                <w:noProof/>
                <w:webHidden/>
              </w:rPr>
              <w:fldChar w:fldCharType="end"/>
            </w:r>
          </w:hyperlink>
        </w:p>
        <w:p w14:paraId="59D1DB2C" w14:textId="7A6B72F9" w:rsidR="00676164" w:rsidRDefault="00676164">
          <w:pPr>
            <w:pStyle w:val="TOC3"/>
            <w:rPr>
              <w:rFonts w:eastAsiaTheme="minorEastAsia"/>
              <w:noProof/>
              <w:kern w:val="2"/>
              <w:szCs w:val="24"/>
              <w:lang w:eastAsia="en-AU"/>
              <w14:ligatures w14:val="standardContextual"/>
            </w:rPr>
          </w:pPr>
          <w:hyperlink w:anchor="_Toc183695811" w:history="1">
            <w:r w:rsidRPr="003643FB">
              <w:rPr>
                <w:rStyle w:val="Hyperlink"/>
                <w:noProof/>
              </w:rPr>
              <w:t>South Coast Trawl Fishery</w:t>
            </w:r>
            <w:r>
              <w:rPr>
                <w:noProof/>
                <w:webHidden/>
              </w:rPr>
              <w:tab/>
            </w:r>
            <w:r>
              <w:rPr>
                <w:noProof/>
                <w:webHidden/>
              </w:rPr>
              <w:fldChar w:fldCharType="begin"/>
            </w:r>
            <w:r>
              <w:rPr>
                <w:noProof/>
                <w:webHidden/>
              </w:rPr>
              <w:instrText xml:space="preserve"> PAGEREF _Toc183695811 \h </w:instrText>
            </w:r>
            <w:r>
              <w:rPr>
                <w:noProof/>
                <w:webHidden/>
              </w:rPr>
            </w:r>
            <w:r>
              <w:rPr>
                <w:noProof/>
                <w:webHidden/>
              </w:rPr>
              <w:fldChar w:fldCharType="separate"/>
            </w:r>
            <w:r w:rsidR="00034F81">
              <w:rPr>
                <w:noProof/>
                <w:webHidden/>
              </w:rPr>
              <w:t>24</w:t>
            </w:r>
            <w:r>
              <w:rPr>
                <w:noProof/>
                <w:webHidden/>
              </w:rPr>
              <w:fldChar w:fldCharType="end"/>
            </w:r>
          </w:hyperlink>
        </w:p>
        <w:p w14:paraId="62D20BC3" w14:textId="1D80B5A2" w:rsidR="00676164" w:rsidRDefault="00676164">
          <w:pPr>
            <w:pStyle w:val="TOC2"/>
            <w:rPr>
              <w:rFonts w:eastAsiaTheme="minorEastAsia"/>
              <w:i w:val="0"/>
              <w:iCs w:val="0"/>
              <w:kern w:val="2"/>
              <w:szCs w:val="24"/>
              <w:lang w:eastAsia="en-AU"/>
              <w14:ligatures w14:val="standardContextual"/>
            </w:rPr>
          </w:pPr>
          <w:hyperlink w:anchor="_Toc183695812" w:history="1">
            <w:r w:rsidRPr="003643FB">
              <w:rPr>
                <w:rStyle w:val="Hyperlink"/>
              </w:rPr>
              <w:t>Recovery Strategy</w:t>
            </w:r>
            <w:r>
              <w:rPr>
                <w:webHidden/>
              </w:rPr>
              <w:tab/>
            </w:r>
            <w:r>
              <w:rPr>
                <w:webHidden/>
              </w:rPr>
              <w:fldChar w:fldCharType="begin"/>
            </w:r>
            <w:r>
              <w:rPr>
                <w:webHidden/>
              </w:rPr>
              <w:instrText xml:space="preserve"> PAGEREF _Toc183695812 \h </w:instrText>
            </w:r>
            <w:r>
              <w:rPr>
                <w:webHidden/>
              </w:rPr>
            </w:r>
            <w:r>
              <w:rPr>
                <w:webHidden/>
              </w:rPr>
              <w:fldChar w:fldCharType="separate"/>
            </w:r>
            <w:r w:rsidR="00034F81">
              <w:rPr>
                <w:webHidden/>
              </w:rPr>
              <w:t>24</w:t>
            </w:r>
            <w:r>
              <w:rPr>
                <w:webHidden/>
              </w:rPr>
              <w:fldChar w:fldCharType="end"/>
            </w:r>
          </w:hyperlink>
        </w:p>
        <w:p w14:paraId="2F1A1D72" w14:textId="5F2AB937" w:rsidR="00676164" w:rsidRDefault="00676164">
          <w:pPr>
            <w:pStyle w:val="TOC3"/>
            <w:rPr>
              <w:rFonts w:eastAsiaTheme="minorEastAsia"/>
              <w:noProof/>
              <w:kern w:val="2"/>
              <w:szCs w:val="24"/>
              <w:lang w:eastAsia="en-AU"/>
              <w14:ligatures w14:val="standardContextual"/>
            </w:rPr>
          </w:pPr>
          <w:hyperlink w:anchor="_Toc183695813" w:history="1">
            <w:r w:rsidRPr="003643FB">
              <w:rPr>
                <w:rStyle w:val="Hyperlink"/>
                <w:noProof/>
              </w:rPr>
              <w:t>Abrolhos Islands and Mid West Trawl Managed Fishery</w:t>
            </w:r>
            <w:r>
              <w:rPr>
                <w:noProof/>
                <w:webHidden/>
              </w:rPr>
              <w:tab/>
            </w:r>
            <w:r>
              <w:rPr>
                <w:noProof/>
                <w:webHidden/>
              </w:rPr>
              <w:fldChar w:fldCharType="begin"/>
            </w:r>
            <w:r>
              <w:rPr>
                <w:noProof/>
                <w:webHidden/>
              </w:rPr>
              <w:instrText xml:space="preserve"> PAGEREF _Toc183695813 \h </w:instrText>
            </w:r>
            <w:r>
              <w:rPr>
                <w:noProof/>
                <w:webHidden/>
              </w:rPr>
            </w:r>
            <w:r>
              <w:rPr>
                <w:noProof/>
                <w:webHidden/>
              </w:rPr>
              <w:fldChar w:fldCharType="separate"/>
            </w:r>
            <w:r w:rsidR="00034F81">
              <w:rPr>
                <w:noProof/>
                <w:webHidden/>
              </w:rPr>
              <w:t>24</w:t>
            </w:r>
            <w:r>
              <w:rPr>
                <w:noProof/>
                <w:webHidden/>
              </w:rPr>
              <w:fldChar w:fldCharType="end"/>
            </w:r>
          </w:hyperlink>
        </w:p>
        <w:p w14:paraId="17E85D95" w14:textId="1F7D5722" w:rsidR="00676164" w:rsidRDefault="00676164">
          <w:pPr>
            <w:pStyle w:val="TOC3"/>
            <w:rPr>
              <w:rFonts w:eastAsiaTheme="minorEastAsia"/>
              <w:noProof/>
              <w:kern w:val="2"/>
              <w:szCs w:val="24"/>
              <w:lang w:eastAsia="en-AU"/>
              <w14:ligatures w14:val="standardContextual"/>
            </w:rPr>
          </w:pPr>
          <w:hyperlink w:anchor="_Toc183695814" w:history="1">
            <w:r w:rsidRPr="003643FB">
              <w:rPr>
                <w:rStyle w:val="Hyperlink"/>
                <w:noProof/>
              </w:rPr>
              <w:t>South Coast Trawl Fishery</w:t>
            </w:r>
            <w:r>
              <w:rPr>
                <w:noProof/>
                <w:webHidden/>
              </w:rPr>
              <w:tab/>
            </w:r>
            <w:r>
              <w:rPr>
                <w:noProof/>
                <w:webHidden/>
              </w:rPr>
              <w:fldChar w:fldCharType="begin"/>
            </w:r>
            <w:r>
              <w:rPr>
                <w:noProof/>
                <w:webHidden/>
              </w:rPr>
              <w:instrText xml:space="preserve"> PAGEREF _Toc183695814 \h </w:instrText>
            </w:r>
            <w:r>
              <w:rPr>
                <w:noProof/>
                <w:webHidden/>
              </w:rPr>
            </w:r>
            <w:r>
              <w:rPr>
                <w:noProof/>
                <w:webHidden/>
              </w:rPr>
              <w:fldChar w:fldCharType="separate"/>
            </w:r>
            <w:r w:rsidR="00034F81">
              <w:rPr>
                <w:noProof/>
                <w:webHidden/>
              </w:rPr>
              <w:t>25</w:t>
            </w:r>
            <w:r>
              <w:rPr>
                <w:noProof/>
                <w:webHidden/>
              </w:rPr>
              <w:fldChar w:fldCharType="end"/>
            </w:r>
          </w:hyperlink>
        </w:p>
        <w:p w14:paraId="485AD553" w14:textId="08FB0E49" w:rsidR="00676164" w:rsidRDefault="00676164">
          <w:pPr>
            <w:pStyle w:val="TOC2"/>
            <w:rPr>
              <w:rFonts w:eastAsiaTheme="minorEastAsia"/>
              <w:i w:val="0"/>
              <w:iCs w:val="0"/>
              <w:kern w:val="2"/>
              <w:szCs w:val="24"/>
              <w:lang w:eastAsia="en-AU"/>
              <w14:ligatures w14:val="standardContextual"/>
            </w:rPr>
          </w:pPr>
          <w:hyperlink w:anchor="_Toc183695815" w:history="1">
            <w:r w:rsidRPr="003643FB">
              <w:rPr>
                <w:rStyle w:val="Hyperlink"/>
              </w:rPr>
              <w:t>Performance against objectives, performance indicators and performance measures</w:t>
            </w:r>
            <w:r>
              <w:rPr>
                <w:webHidden/>
              </w:rPr>
              <w:tab/>
            </w:r>
            <w:r>
              <w:rPr>
                <w:webHidden/>
              </w:rPr>
              <w:fldChar w:fldCharType="begin"/>
            </w:r>
            <w:r>
              <w:rPr>
                <w:webHidden/>
              </w:rPr>
              <w:instrText xml:space="preserve"> PAGEREF _Toc183695815 \h </w:instrText>
            </w:r>
            <w:r>
              <w:rPr>
                <w:webHidden/>
              </w:rPr>
            </w:r>
            <w:r>
              <w:rPr>
                <w:webHidden/>
              </w:rPr>
              <w:fldChar w:fldCharType="separate"/>
            </w:r>
            <w:r w:rsidR="00034F81">
              <w:rPr>
                <w:webHidden/>
              </w:rPr>
              <w:t>25</w:t>
            </w:r>
            <w:r>
              <w:rPr>
                <w:webHidden/>
              </w:rPr>
              <w:fldChar w:fldCharType="end"/>
            </w:r>
          </w:hyperlink>
        </w:p>
        <w:p w14:paraId="5FB6B3D5" w14:textId="43F9311F" w:rsidR="00676164" w:rsidRDefault="00676164">
          <w:pPr>
            <w:pStyle w:val="TOC3"/>
            <w:rPr>
              <w:rFonts w:eastAsiaTheme="minorEastAsia"/>
              <w:noProof/>
              <w:kern w:val="2"/>
              <w:szCs w:val="24"/>
              <w:lang w:eastAsia="en-AU"/>
              <w14:ligatures w14:val="standardContextual"/>
            </w:rPr>
          </w:pPr>
          <w:hyperlink w:anchor="_Toc183695816" w:history="1">
            <w:r w:rsidRPr="003643FB">
              <w:rPr>
                <w:rStyle w:val="Hyperlink"/>
                <w:noProof/>
              </w:rPr>
              <w:t>Status Report of the Fisheries and Aquatic Resource (SRFR)</w:t>
            </w:r>
            <w:r>
              <w:rPr>
                <w:noProof/>
                <w:webHidden/>
              </w:rPr>
              <w:tab/>
            </w:r>
            <w:r>
              <w:rPr>
                <w:noProof/>
                <w:webHidden/>
              </w:rPr>
              <w:fldChar w:fldCharType="begin"/>
            </w:r>
            <w:r>
              <w:rPr>
                <w:noProof/>
                <w:webHidden/>
              </w:rPr>
              <w:instrText xml:space="preserve"> PAGEREF _Toc183695816 \h </w:instrText>
            </w:r>
            <w:r>
              <w:rPr>
                <w:noProof/>
                <w:webHidden/>
              </w:rPr>
            </w:r>
            <w:r>
              <w:rPr>
                <w:noProof/>
                <w:webHidden/>
              </w:rPr>
              <w:fldChar w:fldCharType="separate"/>
            </w:r>
            <w:r w:rsidR="00034F81">
              <w:rPr>
                <w:noProof/>
                <w:webHidden/>
              </w:rPr>
              <w:t>25</w:t>
            </w:r>
            <w:r>
              <w:rPr>
                <w:noProof/>
                <w:webHidden/>
              </w:rPr>
              <w:fldChar w:fldCharType="end"/>
            </w:r>
          </w:hyperlink>
        </w:p>
        <w:p w14:paraId="7F1DD4AE" w14:textId="19574418" w:rsidR="00676164" w:rsidRDefault="00676164">
          <w:pPr>
            <w:pStyle w:val="TOC3"/>
            <w:rPr>
              <w:rFonts w:eastAsiaTheme="minorEastAsia"/>
              <w:noProof/>
              <w:kern w:val="2"/>
              <w:szCs w:val="24"/>
              <w:lang w:eastAsia="en-AU"/>
              <w14:ligatures w14:val="standardContextual"/>
            </w:rPr>
          </w:pPr>
          <w:hyperlink w:anchor="_Toc183695817" w:history="1">
            <w:r w:rsidRPr="003643FB">
              <w:rPr>
                <w:rStyle w:val="Hyperlink"/>
                <w:noProof/>
              </w:rPr>
              <w:t>Annual fishery performance</w:t>
            </w:r>
            <w:r>
              <w:rPr>
                <w:noProof/>
                <w:webHidden/>
              </w:rPr>
              <w:tab/>
            </w:r>
            <w:r>
              <w:rPr>
                <w:noProof/>
                <w:webHidden/>
              </w:rPr>
              <w:fldChar w:fldCharType="begin"/>
            </w:r>
            <w:r>
              <w:rPr>
                <w:noProof/>
                <w:webHidden/>
              </w:rPr>
              <w:instrText xml:space="preserve"> PAGEREF _Toc183695817 \h </w:instrText>
            </w:r>
            <w:r>
              <w:rPr>
                <w:noProof/>
                <w:webHidden/>
              </w:rPr>
            </w:r>
            <w:r>
              <w:rPr>
                <w:noProof/>
                <w:webHidden/>
              </w:rPr>
              <w:fldChar w:fldCharType="separate"/>
            </w:r>
            <w:r w:rsidR="00034F81">
              <w:rPr>
                <w:noProof/>
                <w:webHidden/>
              </w:rPr>
              <w:t>25</w:t>
            </w:r>
            <w:r>
              <w:rPr>
                <w:noProof/>
                <w:webHidden/>
              </w:rPr>
              <w:fldChar w:fldCharType="end"/>
            </w:r>
          </w:hyperlink>
        </w:p>
        <w:p w14:paraId="36752367" w14:textId="0F630C99" w:rsidR="00676164" w:rsidRDefault="00676164">
          <w:pPr>
            <w:pStyle w:val="TOC1"/>
            <w:tabs>
              <w:tab w:val="right" w:leader="dot" w:pos="9016"/>
            </w:tabs>
            <w:rPr>
              <w:rFonts w:eastAsiaTheme="minorEastAsia"/>
              <w:bCs w:val="0"/>
              <w:noProof/>
              <w:kern w:val="2"/>
              <w:szCs w:val="24"/>
              <w:lang w:eastAsia="en-AU"/>
              <w14:ligatures w14:val="standardContextual"/>
            </w:rPr>
          </w:pPr>
          <w:hyperlink w:anchor="_Toc183695818" w:history="1">
            <w:r w:rsidRPr="003643FB">
              <w:rPr>
                <w:rStyle w:val="Hyperlink"/>
                <w:noProof/>
              </w:rPr>
              <w:t>Stock Assessments</w:t>
            </w:r>
            <w:r>
              <w:rPr>
                <w:noProof/>
                <w:webHidden/>
              </w:rPr>
              <w:tab/>
            </w:r>
            <w:r>
              <w:rPr>
                <w:noProof/>
                <w:webHidden/>
              </w:rPr>
              <w:fldChar w:fldCharType="begin"/>
            </w:r>
            <w:r>
              <w:rPr>
                <w:noProof/>
                <w:webHidden/>
              </w:rPr>
              <w:instrText xml:space="preserve"> PAGEREF _Toc183695818 \h </w:instrText>
            </w:r>
            <w:r>
              <w:rPr>
                <w:noProof/>
                <w:webHidden/>
              </w:rPr>
            </w:r>
            <w:r>
              <w:rPr>
                <w:noProof/>
                <w:webHidden/>
              </w:rPr>
              <w:fldChar w:fldCharType="separate"/>
            </w:r>
            <w:r w:rsidR="00034F81">
              <w:rPr>
                <w:noProof/>
                <w:webHidden/>
              </w:rPr>
              <w:t>26</w:t>
            </w:r>
            <w:r>
              <w:rPr>
                <w:noProof/>
                <w:webHidden/>
              </w:rPr>
              <w:fldChar w:fldCharType="end"/>
            </w:r>
          </w:hyperlink>
        </w:p>
        <w:p w14:paraId="46DBFA90" w14:textId="13E1FC70" w:rsidR="00676164" w:rsidRDefault="00676164">
          <w:pPr>
            <w:pStyle w:val="TOC2"/>
            <w:rPr>
              <w:rFonts w:eastAsiaTheme="minorEastAsia"/>
              <w:i w:val="0"/>
              <w:iCs w:val="0"/>
              <w:kern w:val="2"/>
              <w:szCs w:val="24"/>
              <w:lang w:eastAsia="en-AU"/>
              <w14:ligatures w14:val="standardContextual"/>
            </w:rPr>
          </w:pPr>
          <w:hyperlink w:anchor="_Toc183695819" w:history="1">
            <w:r w:rsidRPr="003643FB">
              <w:rPr>
                <w:rStyle w:val="Hyperlink"/>
              </w:rPr>
              <w:t>Principles</w:t>
            </w:r>
            <w:r>
              <w:rPr>
                <w:webHidden/>
              </w:rPr>
              <w:tab/>
            </w:r>
            <w:r>
              <w:rPr>
                <w:webHidden/>
              </w:rPr>
              <w:fldChar w:fldCharType="begin"/>
            </w:r>
            <w:r>
              <w:rPr>
                <w:webHidden/>
              </w:rPr>
              <w:instrText xml:space="preserve"> PAGEREF _Toc183695819 \h </w:instrText>
            </w:r>
            <w:r>
              <w:rPr>
                <w:webHidden/>
              </w:rPr>
            </w:r>
            <w:r>
              <w:rPr>
                <w:webHidden/>
              </w:rPr>
              <w:fldChar w:fldCharType="separate"/>
            </w:r>
            <w:r w:rsidR="00034F81">
              <w:rPr>
                <w:webHidden/>
              </w:rPr>
              <w:t>26</w:t>
            </w:r>
            <w:r>
              <w:rPr>
                <w:webHidden/>
              </w:rPr>
              <w:fldChar w:fldCharType="end"/>
            </w:r>
          </w:hyperlink>
        </w:p>
        <w:p w14:paraId="00283F7B" w14:textId="1CB798D9" w:rsidR="00676164" w:rsidRDefault="00676164">
          <w:pPr>
            <w:pStyle w:val="TOC3"/>
            <w:rPr>
              <w:rFonts w:eastAsiaTheme="minorEastAsia"/>
              <w:noProof/>
              <w:kern w:val="2"/>
              <w:szCs w:val="24"/>
              <w:lang w:eastAsia="en-AU"/>
              <w14:ligatures w14:val="standardContextual"/>
            </w:rPr>
          </w:pPr>
          <w:hyperlink w:anchor="_Toc183695820" w:history="1">
            <w:r w:rsidRPr="003643FB">
              <w:rPr>
                <w:rStyle w:val="Hyperlink"/>
                <w:noProof/>
              </w:rPr>
              <w:t>Weight of evidence reports and annual season review</w:t>
            </w:r>
            <w:r>
              <w:rPr>
                <w:noProof/>
                <w:webHidden/>
              </w:rPr>
              <w:tab/>
            </w:r>
            <w:r>
              <w:rPr>
                <w:noProof/>
                <w:webHidden/>
              </w:rPr>
              <w:fldChar w:fldCharType="begin"/>
            </w:r>
            <w:r>
              <w:rPr>
                <w:noProof/>
                <w:webHidden/>
              </w:rPr>
              <w:instrText xml:space="preserve"> PAGEREF _Toc183695820 \h </w:instrText>
            </w:r>
            <w:r>
              <w:rPr>
                <w:noProof/>
                <w:webHidden/>
              </w:rPr>
            </w:r>
            <w:r>
              <w:rPr>
                <w:noProof/>
                <w:webHidden/>
              </w:rPr>
              <w:fldChar w:fldCharType="separate"/>
            </w:r>
            <w:r w:rsidR="00034F81">
              <w:rPr>
                <w:noProof/>
                <w:webHidden/>
              </w:rPr>
              <w:t>26</w:t>
            </w:r>
            <w:r>
              <w:rPr>
                <w:noProof/>
                <w:webHidden/>
              </w:rPr>
              <w:fldChar w:fldCharType="end"/>
            </w:r>
          </w:hyperlink>
        </w:p>
        <w:p w14:paraId="23180B01" w14:textId="6517F14F" w:rsidR="00676164" w:rsidRDefault="00676164">
          <w:pPr>
            <w:pStyle w:val="TOC1"/>
            <w:tabs>
              <w:tab w:val="right" w:leader="dot" w:pos="9016"/>
            </w:tabs>
            <w:rPr>
              <w:rFonts w:eastAsiaTheme="minorEastAsia"/>
              <w:bCs w:val="0"/>
              <w:noProof/>
              <w:kern w:val="2"/>
              <w:szCs w:val="24"/>
              <w:lang w:eastAsia="en-AU"/>
              <w14:ligatures w14:val="standardContextual"/>
            </w:rPr>
          </w:pPr>
          <w:hyperlink w:anchor="_Toc183695821" w:history="1">
            <w:r w:rsidRPr="003643FB">
              <w:rPr>
                <w:rStyle w:val="Hyperlink"/>
                <w:noProof/>
              </w:rPr>
              <w:t>Monitoring, data collection and validation</w:t>
            </w:r>
            <w:r>
              <w:rPr>
                <w:noProof/>
                <w:webHidden/>
              </w:rPr>
              <w:tab/>
            </w:r>
            <w:r>
              <w:rPr>
                <w:noProof/>
                <w:webHidden/>
              </w:rPr>
              <w:fldChar w:fldCharType="begin"/>
            </w:r>
            <w:r>
              <w:rPr>
                <w:noProof/>
                <w:webHidden/>
              </w:rPr>
              <w:instrText xml:space="preserve"> PAGEREF _Toc183695821 \h </w:instrText>
            </w:r>
            <w:r>
              <w:rPr>
                <w:noProof/>
                <w:webHidden/>
              </w:rPr>
            </w:r>
            <w:r>
              <w:rPr>
                <w:noProof/>
                <w:webHidden/>
              </w:rPr>
              <w:fldChar w:fldCharType="separate"/>
            </w:r>
            <w:r w:rsidR="00034F81">
              <w:rPr>
                <w:noProof/>
                <w:webHidden/>
              </w:rPr>
              <w:t>27</w:t>
            </w:r>
            <w:r>
              <w:rPr>
                <w:noProof/>
                <w:webHidden/>
              </w:rPr>
              <w:fldChar w:fldCharType="end"/>
            </w:r>
          </w:hyperlink>
        </w:p>
        <w:p w14:paraId="6C6AFD7A" w14:textId="3EE94C59" w:rsidR="00676164" w:rsidRDefault="00676164">
          <w:pPr>
            <w:pStyle w:val="TOC2"/>
            <w:rPr>
              <w:rFonts w:eastAsiaTheme="minorEastAsia"/>
              <w:i w:val="0"/>
              <w:iCs w:val="0"/>
              <w:kern w:val="2"/>
              <w:szCs w:val="24"/>
              <w:lang w:eastAsia="en-AU"/>
              <w14:ligatures w14:val="standardContextual"/>
            </w:rPr>
          </w:pPr>
          <w:hyperlink w:anchor="_Toc183695822" w:history="1">
            <w:r w:rsidRPr="003643FB">
              <w:rPr>
                <w:rStyle w:val="Hyperlink"/>
              </w:rPr>
              <w:t>Fishery-independent monitoring</w:t>
            </w:r>
            <w:r>
              <w:rPr>
                <w:webHidden/>
              </w:rPr>
              <w:tab/>
            </w:r>
            <w:r>
              <w:rPr>
                <w:webHidden/>
              </w:rPr>
              <w:fldChar w:fldCharType="begin"/>
            </w:r>
            <w:r>
              <w:rPr>
                <w:webHidden/>
              </w:rPr>
              <w:instrText xml:space="preserve"> PAGEREF _Toc183695822 \h </w:instrText>
            </w:r>
            <w:r>
              <w:rPr>
                <w:webHidden/>
              </w:rPr>
            </w:r>
            <w:r>
              <w:rPr>
                <w:webHidden/>
              </w:rPr>
              <w:fldChar w:fldCharType="separate"/>
            </w:r>
            <w:r w:rsidR="00034F81">
              <w:rPr>
                <w:webHidden/>
              </w:rPr>
              <w:t>27</w:t>
            </w:r>
            <w:r>
              <w:rPr>
                <w:webHidden/>
              </w:rPr>
              <w:fldChar w:fldCharType="end"/>
            </w:r>
          </w:hyperlink>
        </w:p>
        <w:p w14:paraId="5F8B30EC" w14:textId="6B63E22C" w:rsidR="00676164" w:rsidRDefault="00676164">
          <w:pPr>
            <w:pStyle w:val="TOC2"/>
            <w:rPr>
              <w:rFonts w:eastAsiaTheme="minorEastAsia"/>
              <w:i w:val="0"/>
              <w:iCs w:val="0"/>
              <w:kern w:val="2"/>
              <w:szCs w:val="24"/>
              <w:lang w:eastAsia="en-AU"/>
              <w14:ligatures w14:val="standardContextual"/>
            </w:rPr>
          </w:pPr>
          <w:hyperlink w:anchor="_Toc183695823" w:history="1">
            <w:r w:rsidRPr="003643FB">
              <w:rPr>
                <w:rStyle w:val="Hyperlink"/>
              </w:rPr>
              <w:t>Statutory logbook reporting</w:t>
            </w:r>
            <w:r>
              <w:rPr>
                <w:webHidden/>
              </w:rPr>
              <w:tab/>
            </w:r>
            <w:r>
              <w:rPr>
                <w:webHidden/>
              </w:rPr>
              <w:fldChar w:fldCharType="begin"/>
            </w:r>
            <w:r>
              <w:rPr>
                <w:webHidden/>
              </w:rPr>
              <w:instrText xml:space="preserve"> PAGEREF _Toc183695823 \h </w:instrText>
            </w:r>
            <w:r>
              <w:rPr>
                <w:webHidden/>
              </w:rPr>
            </w:r>
            <w:r>
              <w:rPr>
                <w:webHidden/>
              </w:rPr>
              <w:fldChar w:fldCharType="separate"/>
            </w:r>
            <w:r w:rsidR="00034F81">
              <w:rPr>
                <w:webHidden/>
              </w:rPr>
              <w:t>28</w:t>
            </w:r>
            <w:r>
              <w:rPr>
                <w:webHidden/>
              </w:rPr>
              <w:fldChar w:fldCharType="end"/>
            </w:r>
          </w:hyperlink>
        </w:p>
        <w:p w14:paraId="79E0B475" w14:textId="07E97046" w:rsidR="00676164" w:rsidRDefault="00676164">
          <w:pPr>
            <w:pStyle w:val="TOC2"/>
            <w:rPr>
              <w:rFonts w:eastAsiaTheme="minorEastAsia"/>
              <w:i w:val="0"/>
              <w:iCs w:val="0"/>
              <w:kern w:val="2"/>
              <w:szCs w:val="24"/>
              <w:lang w:eastAsia="en-AU"/>
              <w14:ligatures w14:val="standardContextual"/>
            </w:rPr>
          </w:pPr>
          <w:hyperlink w:anchor="_Toc183695824" w:history="1">
            <w:r w:rsidRPr="003643FB">
              <w:rPr>
                <w:rStyle w:val="Hyperlink"/>
              </w:rPr>
              <w:t>Vessel monitoring system</w:t>
            </w:r>
            <w:r>
              <w:rPr>
                <w:webHidden/>
              </w:rPr>
              <w:tab/>
            </w:r>
            <w:r>
              <w:rPr>
                <w:webHidden/>
              </w:rPr>
              <w:fldChar w:fldCharType="begin"/>
            </w:r>
            <w:r>
              <w:rPr>
                <w:webHidden/>
              </w:rPr>
              <w:instrText xml:space="preserve"> PAGEREF _Toc183695824 \h </w:instrText>
            </w:r>
            <w:r>
              <w:rPr>
                <w:webHidden/>
              </w:rPr>
            </w:r>
            <w:r>
              <w:rPr>
                <w:webHidden/>
              </w:rPr>
              <w:fldChar w:fldCharType="separate"/>
            </w:r>
            <w:r w:rsidR="00034F81">
              <w:rPr>
                <w:webHidden/>
              </w:rPr>
              <w:t>28</w:t>
            </w:r>
            <w:r>
              <w:rPr>
                <w:webHidden/>
              </w:rPr>
              <w:fldChar w:fldCharType="end"/>
            </w:r>
          </w:hyperlink>
        </w:p>
        <w:p w14:paraId="3C77EDD5" w14:textId="4EA92430" w:rsidR="00676164" w:rsidRDefault="00676164">
          <w:pPr>
            <w:pStyle w:val="TOC1"/>
            <w:tabs>
              <w:tab w:val="right" w:leader="dot" w:pos="9016"/>
            </w:tabs>
            <w:rPr>
              <w:rFonts w:eastAsiaTheme="minorEastAsia"/>
              <w:bCs w:val="0"/>
              <w:noProof/>
              <w:kern w:val="2"/>
              <w:szCs w:val="24"/>
              <w:lang w:eastAsia="en-AU"/>
              <w14:ligatures w14:val="standardContextual"/>
            </w:rPr>
          </w:pPr>
          <w:hyperlink w:anchor="_Toc183695825" w:history="1">
            <w:r w:rsidRPr="003643FB">
              <w:rPr>
                <w:rStyle w:val="Hyperlink"/>
                <w:noProof/>
              </w:rPr>
              <w:t>Ecosystem</w:t>
            </w:r>
            <w:r>
              <w:rPr>
                <w:noProof/>
                <w:webHidden/>
              </w:rPr>
              <w:tab/>
            </w:r>
            <w:r>
              <w:rPr>
                <w:noProof/>
                <w:webHidden/>
              </w:rPr>
              <w:fldChar w:fldCharType="begin"/>
            </w:r>
            <w:r>
              <w:rPr>
                <w:noProof/>
                <w:webHidden/>
              </w:rPr>
              <w:instrText xml:space="preserve"> PAGEREF _Toc183695825 \h </w:instrText>
            </w:r>
            <w:r>
              <w:rPr>
                <w:noProof/>
                <w:webHidden/>
              </w:rPr>
            </w:r>
            <w:r>
              <w:rPr>
                <w:noProof/>
                <w:webHidden/>
              </w:rPr>
              <w:fldChar w:fldCharType="separate"/>
            </w:r>
            <w:r w:rsidR="00034F81">
              <w:rPr>
                <w:noProof/>
                <w:webHidden/>
              </w:rPr>
              <w:t>28</w:t>
            </w:r>
            <w:r>
              <w:rPr>
                <w:noProof/>
                <w:webHidden/>
              </w:rPr>
              <w:fldChar w:fldCharType="end"/>
            </w:r>
          </w:hyperlink>
        </w:p>
        <w:p w14:paraId="5FEBCBA2" w14:textId="08FBE927" w:rsidR="00676164" w:rsidRDefault="00676164">
          <w:pPr>
            <w:pStyle w:val="TOC2"/>
            <w:rPr>
              <w:rFonts w:eastAsiaTheme="minorEastAsia"/>
              <w:i w:val="0"/>
              <w:iCs w:val="0"/>
              <w:kern w:val="2"/>
              <w:szCs w:val="24"/>
              <w:lang w:eastAsia="en-AU"/>
              <w14:ligatures w14:val="standardContextual"/>
            </w:rPr>
          </w:pPr>
          <w:hyperlink w:anchor="_Toc183695826" w:history="1">
            <w:r w:rsidRPr="003643FB">
              <w:rPr>
                <w:rStyle w:val="Hyperlink"/>
              </w:rPr>
              <w:t>Marine Stewardship Council (MSC) accreditation</w:t>
            </w:r>
            <w:r>
              <w:rPr>
                <w:webHidden/>
              </w:rPr>
              <w:tab/>
            </w:r>
            <w:r>
              <w:rPr>
                <w:webHidden/>
              </w:rPr>
              <w:fldChar w:fldCharType="begin"/>
            </w:r>
            <w:r>
              <w:rPr>
                <w:webHidden/>
              </w:rPr>
              <w:instrText xml:space="preserve"> PAGEREF _Toc183695826 \h </w:instrText>
            </w:r>
            <w:r>
              <w:rPr>
                <w:webHidden/>
              </w:rPr>
            </w:r>
            <w:r>
              <w:rPr>
                <w:webHidden/>
              </w:rPr>
              <w:fldChar w:fldCharType="separate"/>
            </w:r>
            <w:r w:rsidR="00034F81">
              <w:rPr>
                <w:webHidden/>
              </w:rPr>
              <w:t>28</w:t>
            </w:r>
            <w:r>
              <w:rPr>
                <w:webHidden/>
              </w:rPr>
              <w:fldChar w:fldCharType="end"/>
            </w:r>
          </w:hyperlink>
        </w:p>
        <w:p w14:paraId="73EFFC16" w14:textId="000A16D4" w:rsidR="00676164" w:rsidRDefault="00676164">
          <w:pPr>
            <w:pStyle w:val="TOC2"/>
            <w:rPr>
              <w:rFonts w:eastAsiaTheme="minorEastAsia"/>
              <w:i w:val="0"/>
              <w:iCs w:val="0"/>
              <w:kern w:val="2"/>
              <w:szCs w:val="24"/>
              <w:lang w:eastAsia="en-AU"/>
              <w14:ligatures w14:val="standardContextual"/>
            </w:rPr>
          </w:pPr>
          <w:hyperlink w:anchor="_Toc183695827" w:history="1">
            <w:r w:rsidRPr="003643FB">
              <w:rPr>
                <w:rStyle w:val="Hyperlink"/>
              </w:rPr>
              <w:t>Mitigating impacts of the wider ecosystem</w:t>
            </w:r>
            <w:r>
              <w:rPr>
                <w:webHidden/>
              </w:rPr>
              <w:tab/>
            </w:r>
            <w:r>
              <w:rPr>
                <w:webHidden/>
              </w:rPr>
              <w:fldChar w:fldCharType="begin"/>
            </w:r>
            <w:r>
              <w:rPr>
                <w:webHidden/>
              </w:rPr>
              <w:instrText xml:space="preserve"> PAGEREF _Toc183695827 \h </w:instrText>
            </w:r>
            <w:r>
              <w:rPr>
                <w:webHidden/>
              </w:rPr>
            </w:r>
            <w:r>
              <w:rPr>
                <w:webHidden/>
              </w:rPr>
              <w:fldChar w:fldCharType="separate"/>
            </w:r>
            <w:r w:rsidR="00034F81">
              <w:rPr>
                <w:webHidden/>
              </w:rPr>
              <w:t>29</w:t>
            </w:r>
            <w:r>
              <w:rPr>
                <w:webHidden/>
              </w:rPr>
              <w:fldChar w:fldCharType="end"/>
            </w:r>
          </w:hyperlink>
        </w:p>
        <w:p w14:paraId="58A6C9F5" w14:textId="411E3E7B" w:rsidR="00676164" w:rsidRDefault="00676164">
          <w:pPr>
            <w:pStyle w:val="TOC2"/>
            <w:rPr>
              <w:rFonts w:eastAsiaTheme="minorEastAsia"/>
              <w:i w:val="0"/>
              <w:iCs w:val="0"/>
              <w:kern w:val="2"/>
              <w:szCs w:val="24"/>
              <w:lang w:eastAsia="en-AU"/>
              <w14:ligatures w14:val="standardContextual"/>
            </w:rPr>
          </w:pPr>
          <w:hyperlink w:anchor="_Toc183695828" w:history="1">
            <w:r w:rsidRPr="003643FB">
              <w:rPr>
                <w:rStyle w:val="Hyperlink"/>
              </w:rPr>
              <w:t>Ecological Risk Assessments</w:t>
            </w:r>
            <w:r>
              <w:rPr>
                <w:webHidden/>
              </w:rPr>
              <w:tab/>
            </w:r>
            <w:r>
              <w:rPr>
                <w:webHidden/>
              </w:rPr>
              <w:fldChar w:fldCharType="begin"/>
            </w:r>
            <w:r>
              <w:rPr>
                <w:webHidden/>
              </w:rPr>
              <w:instrText xml:space="preserve"> PAGEREF _Toc183695828 \h </w:instrText>
            </w:r>
            <w:r>
              <w:rPr>
                <w:webHidden/>
              </w:rPr>
            </w:r>
            <w:r>
              <w:rPr>
                <w:webHidden/>
              </w:rPr>
              <w:fldChar w:fldCharType="separate"/>
            </w:r>
            <w:r w:rsidR="00034F81">
              <w:rPr>
                <w:webHidden/>
              </w:rPr>
              <w:t>29</w:t>
            </w:r>
            <w:r>
              <w:rPr>
                <w:webHidden/>
              </w:rPr>
              <w:fldChar w:fldCharType="end"/>
            </w:r>
          </w:hyperlink>
        </w:p>
        <w:p w14:paraId="119EA07C" w14:textId="497E328A" w:rsidR="00676164" w:rsidRDefault="00676164">
          <w:pPr>
            <w:pStyle w:val="TOC2"/>
            <w:rPr>
              <w:rFonts w:eastAsiaTheme="minorEastAsia"/>
              <w:i w:val="0"/>
              <w:iCs w:val="0"/>
              <w:kern w:val="2"/>
              <w:szCs w:val="24"/>
              <w:lang w:eastAsia="en-AU"/>
              <w14:ligatures w14:val="standardContextual"/>
            </w:rPr>
          </w:pPr>
          <w:hyperlink w:anchor="_Toc183695829" w:history="1">
            <w:r w:rsidRPr="003643FB">
              <w:rPr>
                <w:rStyle w:val="Hyperlink"/>
              </w:rPr>
              <w:t>Bycatch and protected species interactions</w:t>
            </w:r>
            <w:r>
              <w:rPr>
                <w:webHidden/>
              </w:rPr>
              <w:tab/>
            </w:r>
            <w:r>
              <w:rPr>
                <w:webHidden/>
              </w:rPr>
              <w:fldChar w:fldCharType="begin"/>
            </w:r>
            <w:r>
              <w:rPr>
                <w:webHidden/>
              </w:rPr>
              <w:instrText xml:space="preserve"> PAGEREF _Toc183695829 \h </w:instrText>
            </w:r>
            <w:r>
              <w:rPr>
                <w:webHidden/>
              </w:rPr>
            </w:r>
            <w:r>
              <w:rPr>
                <w:webHidden/>
              </w:rPr>
              <w:fldChar w:fldCharType="separate"/>
            </w:r>
            <w:r w:rsidR="00034F81">
              <w:rPr>
                <w:webHidden/>
              </w:rPr>
              <w:t>30</w:t>
            </w:r>
            <w:r>
              <w:rPr>
                <w:webHidden/>
              </w:rPr>
              <w:fldChar w:fldCharType="end"/>
            </w:r>
          </w:hyperlink>
        </w:p>
        <w:p w14:paraId="0D7F7EC8" w14:textId="2436FA3D" w:rsidR="00676164" w:rsidRDefault="00676164">
          <w:pPr>
            <w:pStyle w:val="TOC2"/>
            <w:rPr>
              <w:rFonts w:eastAsiaTheme="minorEastAsia"/>
              <w:i w:val="0"/>
              <w:iCs w:val="0"/>
              <w:kern w:val="2"/>
              <w:szCs w:val="24"/>
              <w:lang w:eastAsia="en-AU"/>
              <w14:ligatures w14:val="standardContextual"/>
            </w:rPr>
          </w:pPr>
          <w:hyperlink w:anchor="_Toc183695830" w:history="1">
            <w:r w:rsidRPr="003643FB">
              <w:rPr>
                <w:rStyle w:val="Hyperlink"/>
              </w:rPr>
              <w:t>Habitat</w:t>
            </w:r>
            <w:r>
              <w:rPr>
                <w:webHidden/>
              </w:rPr>
              <w:tab/>
            </w:r>
            <w:r>
              <w:rPr>
                <w:webHidden/>
              </w:rPr>
              <w:fldChar w:fldCharType="begin"/>
            </w:r>
            <w:r>
              <w:rPr>
                <w:webHidden/>
              </w:rPr>
              <w:instrText xml:space="preserve"> PAGEREF _Toc183695830 \h </w:instrText>
            </w:r>
            <w:r>
              <w:rPr>
                <w:webHidden/>
              </w:rPr>
            </w:r>
            <w:r>
              <w:rPr>
                <w:webHidden/>
              </w:rPr>
              <w:fldChar w:fldCharType="separate"/>
            </w:r>
            <w:r w:rsidR="00034F81">
              <w:rPr>
                <w:webHidden/>
              </w:rPr>
              <w:t>31</w:t>
            </w:r>
            <w:r>
              <w:rPr>
                <w:webHidden/>
              </w:rPr>
              <w:fldChar w:fldCharType="end"/>
            </w:r>
          </w:hyperlink>
        </w:p>
        <w:p w14:paraId="6F2F67F0" w14:textId="57920BDB" w:rsidR="00676164" w:rsidRDefault="00676164">
          <w:pPr>
            <w:pStyle w:val="TOC1"/>
            <w:tabs>
              <w:tab w:val="right" w:leader="dot" w:pos="9016"/>
            </w:tabs>
            <w:rPr>
              <w:rFonts w:eastAsiaTheme="minorEastAsia"/>
              <w:bCs w:val="0"/>
              <w:noProof/>
              <w:kern w:val="2"/>
              <w:szCs w:val="24"/>
              <w:lang w:eastAsia="en-AU"/>
              <w14:ligatures w14:val="standardContextual"/>
            </w:rPr>
          </w:pPr>
          <w:hyperlink w:anchor="_Toc183695831" w:history="1">
            <w:r w:rsidRPr="003643FB">
              <w:rPr>
                <w:rStyle w:val="Hyperlink"/>
                <w:noProof/>
              </w:rPr>
              <w:t>Enforcement of Management Arrangements</w:t>
            </w:r>
            <w:r>
              <w:rPr>
                <w:noProof/>
                <w:webHidden/>
              </w:rPr>
              <w:tab/>
            </w:r>
            <w:r>
              <w:rPr>
                <w:noProof/>
                <w:webHidden/>
              </w:rPr>
              <w:fldChar w:fldCharType="begin"/>
            </w:r>
            <w:r>
              <w:rPr>
                <w:noProof/>
                <w:webHidden/>
              </w:rPr>
              <w:instrText xml:space="preserve"> PAGEREF _Toc183695831 \h </w:instrText>
            </w:r>
            <w:r>
              <w:rPr>
                <w:noProof/>
                <w:webHidden/>
              </w:rPr>
            </w:r>
            <w:r>
              <w:rPr>
                <w:noProof/>
                <w:webHidden/>
              </w:rPr>
              <w:fldChar w:fldCharType="separate"/>
            </w:r>
            <w:r w:rsidR="00034F81">
              <w:rPr>
                <w:noProof/>
                <w:webHidden/>
              </w:rPr>
              <w:t>31</w:t>
            </w:r>
            <w:r>
              <w:rPr>
                <w:noProof/>
                <w:webHidden/>
              </w:rPr>
              <w:fldChar w:fldCharType="end"/>
            </w:r>
          </w:hyperlink>
        </w:p>
        <w:p w14:paraId="08B3659E" w14:textId="24527D3C" w:rsidR="00676164" w:rsidRDefault="00676164">
          <w:pPr>
            <w:pStyle w:val="TOC2"/>
            <w:rPr>
              <w:rFonts w:eastAsiaTheme="minorEastAsia"/>
              <w:i w:val="0"/>
              <w:iCs w:val="0"/>
              <w:kern w:val="2"/>
              <w:szCs w:val="24"/>
              <w:lang w:eastAsia="en-AU"/>
              <w14:ligatures w14:val="standardContextual"/>
            </w:rPr>
          </w:pPr>
          <w:hyperlink w:anchor="_Toc183695832" w:history="1">
            <w:r w:rsidRPr="003643FB">
              <w:rPr>
                <w:rStyle w:val="Hyperlink"/>
              </w:rPr>
              <w:t>Operations and Compliance</w:t>
            </w:r>
            <w:r>
              <w:rPr>
                <w:webHidden/>
              </w:rPr>
              <w:tab/>
            </w:r>
            <w:r>
              <w:rPr>
                <w:webHidden/>
              </w:rPr>
              <w:fldChar w:fldCharType="begin"/>
            </w:r>
            <w:r>
              <w:rPr>
                <w:webHidden/>
              </w:rPr>
              <w:instrText xml:space="preserve"> PAGEREF _Toc183695832 \h </w:instrText>
            </w:r>
            <w:r>
              <w:rPr>
                <w:webHidden/>
              </w:rPr>
            </w:r>
            <w:r>
              <w:rPr>
                <w:webHidden/>
              </w:rPr>
              <w:fldChar w:fldCharType="separate"/>
            </w:r>
            <w:r w:rsidR="00034F81">
              <w:rPr>
                <w:webHidden/>
              </w:rPr>
              <w:t>31</w:t>
            </w:r>
            <w:r>
              <w:rPr>
                <w:webHidden/>
              </w:rPr>
              <w:fldChar w:fldCharType="end"/>
            </w:r>
          </w:hyperlink>
        </w:p>
        <w:p w14:paraId="654E0296" w14:textId="7751FA65" w:rsidR="00676164" w:rsidRDefault="00676164">
          <w:pPr>
            <w:pStyle w:val="TOC3"/>
            <w:rPr>
              <w:rFonts w:eastAsiaTheme="minorEastAsia"/>
              <w:noProof/>
              <w:kern w:val="2"/>
              <w:szCs w:val="24"/>
              <w:lang w:eastAsia="en-AU"/>
              <w14:ligatures w14:val="standardContextual"/>
            </w:rPr>
          </w:pPr>
          <w:hyperlink w:anchor="_Toc183695833" w:history="1">
            <w:r w:rsidRPr="003643FB">
              <w:rPr>
                <w:rStyle w:val="Hyperlink"/>
                <w:noProof/>
              </w:rPr>
              <w:t>Strategic Objectives</w:t>
            </w:r>
            <w:r>
              <w:rPr>
                <w:noProof/>
                <w:webHidden/>
              </w:rPr>
              <w:tab/>
            </w:r>
            <w:r>
              <w:rPr>
                <w:noProof/>
                <w:webHidden/>
              </w:rPr>
              <w:fldChar w:fldCharType="begin"/>
            </w:r>
            <w:r>
              <w:rPr>
                <w:noProof/>
                <w:webHidden/>
              </w:rPr>
              <w:instrText xml:space="preserve"> PAGEREF _Toc183695833 \h </w:instrText>
            </w:r>
            <w:r>
              <w:rPr>
                <w:noProof/>
                <w:webHidden/>
              </w:rPr>
            </w:r>
            <w:r>
              <w:rPr>
                <w:noProof/>
                <w:webHidden/>
              </w:rPr>
              <w:fldChar w:fldCharType="separate"/>
            </w:r>
            <w:r w:rsidR="00034F81">
              <w:rPr>
                <w:noProof/>
                <w:webHidden/>
              </w:rPr>
              <w:t>32</w:t>
            </w:r>
            <w:r>
              <w:rPr>
                <w:noProof/>
                <w:webHidden/>
              </w:rPr>
              <w:fldChar w:fldCharType="end"/>
            </w:r>
          </w:hyperlink>
        </w:p>
        <w:p w14:paraId="7CC62A6D" w14:textId="04D2A070" w:rsidR="00676164" w:rsidRDefault="00676164">
          <w:pPr>
            <w:pStyle w:val="TOC3"/>
            <w:rPr>
              <w:rFonts w:eastAsiaTheme="minorEastAsia"/>
              <w:noProof/>
              <w:kern w:val="2"/>
              <w:szCs w:val="24"/>
              <w:lang w:eastAsia="en-AU"/>
              <w14:ligatures w14:val="standardContextual"/>
            </w:rPr>
          </w:pPr>
          <w:hyperlink w:anchor="_Toc183695834" w:history="1">
            <w:r w:rsidRPr="003643FB">
              <w:rPr>
                <w:rStyle w:val="Hyperlink"/>
                <w:noProof/>
              </w:rPr>
              <w:t>Compliance Operations</w:t>
            </w:r>
            <w:r>
              <w:rPr>
                <w:noProof/>
                <w:webHidden/>
              </w:rPr>
              <w:tab/>
            </w:r>
            <w:r>
              <w:rPr>
                <w:noProof/>
                <w:webHidden/>
              </w:rPr>
              <w:fldChar w:fldCharType="begin"/>
            </w:r>
            <w:r>
              <w:rPr>
                <w:noProof/>
                <w:webHidden/>
              </w:rPr>
              <w:instrText xml:space="preserve"> PAGEREF _Toc183695834 \h </w:instrText>
            </w:r>
            <w:r>
              <w:rPr>
                <w:noProof/>
                <w:webHidden/>
              </w:rPr>
            </w:r>
            <w:r>
              <w:rPr>
                <w:noProof/>
                <w:webHidden/>
              </w:rPr>
              <w:fldChar w:fldCharType="separate"/>
            </w:r>
            <w:r w:rsidR="00034F81">
              <w:rPr>
                <w:noProof/>
                <w:webHidden/>
              </w:rPr>
              <w:t>32</w:t>
            </w:r>
            <w:r>
              <w:rPr>
                <w:noProof/>
                <w:webHidden/>
              </w:rPr>
              <w:fldChar w:fldCharType="end"/>
            </w:r>
          </w:hyperlink>
        </w:p>
        <w:p w14:paraId="5956940D" w14:textId="13EC5BCD" w:rsidR="00676164" w:rsidRDefault="00676164">
          <w:pPr>
            <w:pStyle w:val="TOC2"/>
            <w:rPr>
              <w:rFonts w:eastAsiaTheme="minorEastAsia"/>
              <w:i w:val="0"/>
              <w:iCs w:val="0"/>
              <w:kern w:val="2"/>
              <w:szCs w:val="24"/>
              <w:lang w:eastAsia="en-AU"/>
              <w14:ligatures w14:val="standardContextual"/>
            </w:rPr>
          </w:pPr>
          <w:hyperlink w:anchor="_Toc183695835" w:history="1">
            <w:r w:rsidRPr="003643FB">
              <w:rPr>
                <w:rStyle w:val="Hyperlink"/>
              </w:rPr>
              <w:t>Vessel Monitoring System</w:t>
            </w:r>
            <w:r>
              <w:rPr>
                <w:webHidden/>
              </w:rPr>
              <w:tab/>
            </w:r>
            <w:r>
              <w:rPr>
                <w:webHidden/>
              </w:rPr>
              <w:fldChar w:fldCharType="begin"/>
            </w:r>
            <w:r>
              <w:rPr>
                <w:webHidden/>
              </w:rPr>
              <w:instrText xml:space="preserve"> PAGEREF _Toc183695835 \h </w:instrText>
            </w:r>
            <w:r>
              <w:rPr>
                <w:webHidden/>
              </w:rPr>
            </w:r>
            <w:r>
              <w:rPr>
                <w:webHidden/>
              </w:rPr>
              <w:fldChar w:fldCharType="separate"/>
            </w:r>
            <w:r w:rsidR="00034F81">
              <w:rPr>
                <w:webHidden/>
              </w:rPr>
              <w:t>33</w:t>
            </w:r>
            <w:r>
              <w:rPr>
                <w:webHidden/>
              </w:rPr>
              <w:fldChar w:fldCharType="end"/>
            </w:r>
          </w:hyperlink>
        </w:p>
        <w:p w14:paraId="697AABAF" w14:textId="6F8BF360" w:rsidR="00676164" w:rsidRDefault="00676164">
          <w:pPr>
            <w:pStyle w:val="TOC2"/>
            <w:rPr>
              <w:rFonts w:eastAsiaTheme="minorEastAsia"/>
              <w:i w:val="0"/>
              <w:iCs w:val="0"/>
              <w:kern w:val="2"/>
              <w:szCs w:val="24"/>
              <w:lang w:eastAsia="en-AU"/>
              <w14:ligatures w14:val="standardContextual"/>
            </w:rPr>
          </w:pPr>
          <w:hyperlink w:anchor="_Toc183695836" w:history="1">
            <w:r w:rsidRPr="003643FB">
              <w:rPr>
                <w:rStyle w:val="Hyperlink"/>
              </w:rPr>
              <w:t>Operations and Communications Procedure</w:t>
            </w:r>
            <w:r>
              <w:rPr>
                <w:webHidden/>
              </w:rPr>
              <w:tab/>
            </w:r>
            <w:r>
              <w:rPr>
                <w:webHidden/>
              </w:rPr>
              <w:fldChar w:fldCharType="begin"/>
            </w:r>
            <w:r>
              <w:rPr>
                <w:webHidden/>
              </w:rPr>
              <w:instrText xml:space="preserve"> PAGEREF _Toc183695836 \h </w:instrText>
            </w:r>
            <w:r>
              <w:rPr>
                <w:webHidden/>
              </w:rPr>
            </w:r>
            <w:r>
              <w:rPr>
                <w:webHidden/>
              </w:rPr>
              <w:fldChar w:fldCharType="separate"/>
            </w:r>
            <w:r w:rsidR="00034F81">
              <w:rPr>
                <w:webHidden/>
              </w:rPr>
              <w:t>34</w:t>
            </w:r>
            <w:r>
              <w:rPr>
                <w:webHidden/>
              </w:rPr>
              <w:fldChar w:fldCharType="end"/>
            </w:r>
          </w:hyperlink>
        </w:p>
        <w:p w14:paraId="2219472C" w14:textId="23D9064E" w:rsidR="00676164" w:rsidRDefault="00676164">
          <w:pPr>
            <w:pStyle w:val="TOC1"/>
            <w:tabs>
              <w:tab w:val="right" w:leader="dot" w:pos="9016"/>
            </w:tabs>
            <w:rPr>
              <w:rFonts w:eastAsiaTheme="minorEastAsia"/>
              <w:bCs w:val="0"/>
              <w:noProof/>
              <w:kern w:val="2"/>
              <w:szCs w:val="24"/>
              <w:lang w:eastAsia="en-AU"/>
              <w14:ligatures w14:val="standardContextual"/>
            </w:rPr>
          </w:pPr>
          <w:hyperlink w:anchor="_Toc183695837" w:history="1">
            <w:r w:rsidRPr="003643FB">
              <w:rPr>
                <w:rStyle w:val="Hyperlink"/>
                <w:noProof/>
              </w:rPr>
              <w:t>Consultation Process</w:t>
            </w:r>
            <w:r>
              <w:rPr>
                <w:noProof/>
                <w:webHidden/>
              </w:rPr>
              <w:tab/>
            </w:r>
            <w:r>
              <w:rPr>
                <w:noProof/>
                <w:webHidden/>
              </w:rPr>
              <w:fldChar w:fldCharType="begin"/>
            </w:r>
            <w:r>
              <w:rPr>
                <w:noProof/>
                <w:webHidden/>
              </w:rPr>
              <w:instrText xml:space="preserve"> PAGEREF _Toc183695837 \h </w:instrText>
            </w:r>
            <w:r>
              <w:rPr>
                <w:noProof/>
                <w:webHidden/>
              </w:rPr>
            </w:r>
            <w:r>
              <w:rPr>
                <w:noProof/>
                <w:webHidden/>
              </w:rPr>
              <w:fldChar w:fldCharType="separate"/>
            </w:r>
            <w:r w:rsidR="00034F81">
              <w:rPr>
                <w:noProof/>
                <w:webHidden/>
              </w:rPr>
              <w:t>34</w:t>
            </w:r>
            <w:r>
              <w:rPr>
                <w:noProof/>
                <w:webHidden/>
              </w:rPr>
              <w:fldChar w:fldCharType="end"/>
            </w:r>
          </w:hyperlink>
        </w:p>
        <w:p w14:paraId="3ECC1A5B" w14:textId="0150FF0C" w:rsidR="00676164" w:rsidRDefault="00676164">
          <w:pPr>
            <w:pStyle w:val="TOC2"/>
            <w:rPr>
              <w:rFonts w:eastAsiaTheme="minorEastAsia"/>
              <w:i w:val="0"/>
              <w:iCs w:val="0"/>
              <w:kern w:val="2"/>
              <w:szCs w:val="24"/>
              <w:lang w:eastAsia="en-AU"/>
              <w14:ligatures w14:val="standardContextual"/>
            </w:rPr>
          </w:pPr>
          <w:hyperlink w:anchor="_Toc183695838" w:history="1">
            <w:r w:rsidRPr="003643FB">
              <w:rPr>
                <w:rStyle w:val="Hyperlink"/>
              </w:rPr>
              <w:t>Commercial sector consultation and decision-making</w:t>
            </w:r>
            <w:r>
              <w:rPr>
                <w:webHidden/>
              </w:rPr>
              <w:tab/>
            </w:r>
            <w:r>
              <w:rPr>
                <w:webHidden/>
              </w:rPr>
              <w:fldChar w:fldCharType="begin"/>
            </w:r>
            <w:r>
              <w:rPr>
                <w:webHidden/>
              </w:rPr>
              <w:instrText xml:space="preserve"> PAGEREF _Toc183695838 \h </w:instrText>
            </w:r>
            <w:r>
              <w:rPr>
                <w:webHidden/>
              </w:rPr>
            </w:r>
            <w:r>
              <w:rPr>
                <w:webHidden/>
              </w:rPr>
              <w:fldChar w:fldCharType="separate"/>
            </w:r>
            <w:r w:rsidR="00034F81">
              <w:rPr>
                <w:webHidden/>
              </w:rPr>
              <w:t>35</w:t>
            </w:r>
            <w:r>
              <w:rPr>
                <w:webHidden/>
              </w:rPr>
              <w:fldChar w:fldCharType="end"/>
            </w:r>
          </w:hyperlink>
        </w:p>
        <w:p w14:paraId="371BF7D1" w14:textId="1984D523" w:rsidR="00676164" w:rsidRDefault="00676164">
          <w:pPr>
            <w:pStyle w:val="TOC3"/>
            <w:rPr>
              <w:rFonts w:eastAsiaTheme="minorEastAsia"/>
              <w:noProof/>
              <w:kern w:val="2"/>
              <w:szCs w:val="24"/>
              <w:lang w:eastAsia="en-AU"/>
              <w14:ligatures w14:val="standardContextual"/>
            </w:rPr>
          </w:pPr>
          <w:hyperlink w:anchor="_Toc183695839" w:history="1">
            <w:r w:rsidRPr="003643FB">
              <w:rPr>
                <w:rStyle w:val="Hyperlink"/>
                <w:noProof/>
              </w:rPr>
              <w:t>Communication of season arrangements</w:t>
            </w:r>
            <w:r>
              <w:rPr>
                <w:noProof/>
                <w:webHidden/>
              </w:rPr>
              <w:tab/>
            </w:r>
            <w:r>
              <w:rPr>
                <w:noProof/>
                <w:webHidden/>
              </w:rPr>
              <w:fldChar w:fldCharType="begin"/>
            </w:r>
            <w:r>
              <w:rPr>
                <w:noProof/>
                <w:webHidden/>
              </w:rPr>
              <w:instrText xml:space="preserve"> PAGEREF _Toc183695839 \h </w:instrText>
            </w:r>
            <w:r>
              <w:rPr>
                <w:noProof/>
                <w:webHidden/>
              </w:rPr>
            </w:r>
            <w:r>
              <w:rPr>
                <w:noProof/>
                <w:webHidden/>
              </w:rPr>
              <w:fldChar w:fldCharType="separate"/>
            </w:r>
            <w:r w:rsidR="00034F81">
              <w:rPr>
                <w:noProof/>
                <w:webHidden/>
              </w:rPr>
              <w:t>35</w:t>
            </w:r>
            <w:r>
              <w:rPr>
                <w:noProof/>
                <w:webHidden/>
              </w:rPr>
              <w:fldChar w:fldCharType="end"/>
            </w:r>
          </w:hyperlink>
        </w:p>
        <w:p w14:paraId="46FECFD6" w14:textId="7594DA54" w:rsidR="00676164" w:rsidRDefault="00676164">
          <w:pPr>
            <w:pStyle w:val="TOC3"/>
            <w:rPr>
              <w:rFonts w:eastAsiaTheme="minorEastAsia"/>
              <w:noProof/>
              <w:kern w:val="2"/>
              <w:szCs w:val="24"/>
              <w:lang w:eastAsia="en-AU"/>
              <w14:ligatures w14:val="standardContextual"/>
            </w:rPr>
          </w:pPr>
          <w:hyperlink w:anchor="_Toc183695840" w:history="1">
            <w:r w:rsidRPr="003643FB">
              <w:rPr>
                <w:rStyle w:val="Hyperlink"/>
                <w:noProof/>
              </w:rPr>
              <w:t>Voluntary closures</w:t>
            </w:r>
            <w:r>
              <w:rPr>
                <w:noProof/>
                <w:webHidden/>
              </w:rPr>
              <w:tab/>
            </w:r>
            <w:r>
              <w:rPr>
                <w:noProof/>
                <w:webHidden/>
              </w:rPr>
              <w:fldChar w:fldCharType="begin"/>
            </w:r>
            <w:r>
              <w:rPr>
                <w:noProof/>
                <w:webHidden/>
              </w:rPr>
              <w:instrText xml:space="preserve"> PAGEREF _Toc183695840 \h </w:instrText>
            </w:r>
            <w:r>
              <w:rPr>
                <w:noProof/>
                <w:webHidden/>
              </w:rPr>
            </w:r>
            <w:r>
              <w:rPr>
                <w:noProof/>
                <w:webHidden/>
              </w:rPr>
              <w:fldChar w:fldCharType="separate"/>
            </w:r>
            <w:r w:rsidR="00034F81">
              <w:rPr>
                <w:noProof/>
                <w:webHidden/>
              </w:rPr>
              <w:t>36</w:t>
            </w:r>
            <w:r>
              <w:rPr>
                <w:noProof/>
                <w:webHidden/>
              </w:rPr>
              <w:fldChar w:fldCharType="end"/>
            </w:r>
          </w:hyperlink>
        </w:p>
        <w:p w14:paraId="38782673" w14:textId="1B554100" w:rsidR="00676164" w:rsidRDefault="00676164">
          <w:pPr>
            <w:pStyle w:val="TOC2"/>
            <w:rPr>
              <w:rFonts w:eastAsiaTheme="minorEastAsia"/>
              <w:i w:val="0"/>
              <w:iCs w:val="0"/>
              <w:kern w:val="2"/>
              <w:szCs w:val="24"/>
              <w:lang w:eastAsia="en-AU"/>
              <w14:ligatures w14:val="standardContextual"/>
            </w:rPr>
          </w:pPr>
          <w:hyperlink w:anchor="_Toc183695841" w:history="1">
            <w:r w:rsidRPr="003643FB">
              <w:rPr>
                <w:rStyle w:val="Hyperlink"/>
              </w:rPr>
              <w:t>Consultation with other groups</w:t>
            </w:r>
            <w:r>
              <w:rPr>
                <w:webHidden/>
              </w:rPr>
              <w:tab/>
            </w:r>
            <w:r>
              <w:rPr>
                <w:webHidden/>
              </w:rPr>
              <w:fldChar w:fldCharType="begin"/>
            </w:r>
            <w:r>
              <w:rPr>
                <w:webHidden/>
              </w:rPr>
              <w:instrText xml:space="preserve"> PAGEREF _Toc183695841 \h </w:instrText>
            </w:r>
            <w:r>
              <w:rPr>
                <w:webHidden/>
              </w:rPr>
            </w:r>
            <w:r>
              <w:rPr>
                <w:webHidden/>
              </w:rPr>
              <w:fldChar w:fldCharType="separate"/>
            </w:r>
            <w:r w:rsidR="00034F81">
              <w:rPr>
                <w:webHidden/>
              </w:rPr>
              <w:t>36</w:t>
            </w:r>
            <w:r>
              <w:rPr>
                <w:webHidden/>
              </w:rPr>
              <w:fldChar w:fldCharType="end"/>
            </w:r>
          </w:hyperlink>
        </w:p>
        <w:p w14:paraId="7467DE38" w14:textId="1330D446" w:rsidR="00676164" w:rsidRDefault="00676164">
          <w:pPr>
            <w:pStyle w:val="TOC1"/>
            <w:tabs>
              <w:tab w:val="right" w:leader="dot" w:pos="9016"/>
            </w:tabs>
            <w:rPr>
              <w:rFonts w:eastAsiaTheme="minorEastAsia"/>
              <w:bCs w:val="0"/>
              <w:noProof/>
              <w:kern w:val="2"/>
              <w:szCs w:val="24"/>
              <w:lang w:eastAsia="en-AU"/>
              <w14:ligatures w14:val="standardContextual"/>
            </w:rPr>
          </w:pPr>
          <w:hyperlink w:anchor="_Toc183695842" w:history="1">
            <w:r w:rsidRPr="003643FB">
              <w:rPr>
                <w:rStyle w:val="Hyperlink"/>
                <w:noProof/>
              </w:rPr>
              <w:t>Changes since the previous assessment</w:t>
            </w:r>
            <w:r>
              <w:rPr>
                <w:noProof/>
                <w:webHidden/>
              </w:rPr>
              <w:tab/>
            </w:r>
            <w:r>
              <w:rPr>
                <w:noProof/>
                <w:webHidden/>
              </w:rPr>
              <w:fldChar w:fldCharType="begin"/>
            </w:r>
            <w:r>
              <w:rPr>
                <w:noProof/>
                <w:webHidden/>
              </w:rPr>
              <w:instrText xml:space="preserve"> PAGEREF _Toc183695842 \h </w:instrText>
            </w:r>
            <w:r>
              <w:rPr>
                <w:noProof/>
                <w:webHidden/>
              </w:rPr>
            </w:r>
            <w:r>
              <w:rPr>
                <w:noProof/>
                <w:webHidden/>
              </w:rPr>
              <w:fldChar w:fldCharType="separate"/>
            </w:r>
            <w:r w:rsidR="00034F81">
              <w:rPr>
                <w:noProof/>
                <w:webHidden/>
              </w:rPr>
              <w:t>37</w:t>
            </w:r>
            <w:r>
              <w:rPr>
                <w:noProof/>
                <w:webHidden/>
              </w:rPr>
              <w:fldChar w:fldCharType="end"/>
            </w:r>
          </w:hyperlink>
        </w:p>
        <w:p w14:paraId="4FC4FF62" w14:textId="13B95E08" w:rsidR="00676164" w:rsidRDefault="00676164">
          <w:pPr>
            <w:pStyle w:val="TOC2"/>
            <w:rPr>
              <w:rFonts w:eastAsiaTheme="minorEastAsia"/>
              <w:i w:val="0"/>
              <w:iCs w:val="0"/>
              <w:kern w:val="2"/>
              <w:szCs w:val="24"/>
              <w:lang w:eastAsia="en-AU"/>
              <w14:ligatures w14:val="standardContextual"/>
            </w:rPr>
          </w:pPr>
          <w:hyperlink w:anchor="_Toc183695843" w:history="1">
            <w:r w:rsidRPr="003643FB">
              <w:rPr>
                <w:rStyle w:val="Hyperlink"/>
              </w:rPr>
              <w:t>Abrolhos Islands and Mid West Trawl Managed Fishery</w:t>
            </w:r>
            <w:r>
              <w:rPr>
                <w:webHidden/>
              </w:rPr>
              <w:tab/>
            </w:r>
            <w:r>
              <w:rPr>
                <w:webHidden/>
              </w:rPr>
              <w:fldChar w:fldCharType="begin"/>
            </w:r>
            <w:r>
              <w:rPr>
                <w:webHidden/>
              </w:rPr>
              <w:instrText xml:space="preserve"> PAGEREF _Toc183695843 \h </w:instrText>
            </w:r>
            <w:r>
              <w:rPr>
                <w:webHidden/>
              </w:rPr>
            </w:r>
            <w:r>
              <w:rPr>
                <w:webHidden/>
              </w:rPr>
              <w:fldChar w:fldCharType="separate"/>
            </w:r>
            <w:r w:rsidR="00034F81">
              <w:rPr>
                <w:webHidden/>
              </w:rPr>
              <w:t>37</w:t>
            </w:r>
            <w:r>
              <w:rPr>
                <w:webHidden/>
              </w:rPr>
              <w:fldChar w:fldCharType="end"/>
            </w:r>
          </w:hyperlink>
        </w:p>
        <w:p w14:paraId="538621F3" w14:textId="59D77BD1" w:rsidR="00676164" w:rsidRDefault="00676164">
          <w:pPr>
            <w:pStyle w:val="TOC2"/>
            <w:rPr>
              <w:rFonts w:eastAsiaTheme="minorEastAsia"/>
              <w:i w:val="0"/>
              <w:iCs w:val="0"/>
              <w:kern w:val="2"/>
              <w:szCs w:val="24"/>
              <w:lang w:eastAsia="en-AU"/>
              <w14:ligatures w14:val="standardContextual"/>
            </w:rPr>
          </w:pPr>
          <w:hyperlink w:anchor="_Toc183695844" w:history="1">
            <w:r w:rsidRPr="003643FB">
              <w:rPr>
                <w:rStyle w:val="Hyperlink"/>
              </w:rPr>
              <w:t>South Coast Trawl Fishery</w:t>
            </w:r>
            <w:r>
              <w:rPr>
                <w:webHidden/>
              </w:rPr>
              <w:tab/>
            </w:r>
            <w:r>
              <w:rPr>
                <w:webHidden/>
              </w:rPr>
              <w:fldChar w:fldCharType="begin"/>
            </w:r>
            <w:r>
              <w:rPr>
                <w:webHidden/>
              </w:rPr>
              <w:instrText xml:space="preserve"> PAGEREF _Toc183695844 \h </w:instrText>
            </w:r>
            <w:r>
              <w:rPr>
                <w:webHidden/>
              </w:rPr>
            </w:r>
            <w:r>
              <w:rPr>
                <w:webHidden/>
              </w:rPr>
              <w:fldChar w:fldCharType="separate"/>
            </w:r>
            <w:r w:rsidR="00034F81">
              <w:rPr>
                <w:webHidden/>
              </w:rPr>
              <w:t>38</w:t>
            </w:r>
            <w:r>
              <w:rPr>
                <w:webHidden/>
              </w:rPr>
              <w:fldChar w:fldCharType="end"/>
            </w:r>
          </w:hyperlink>
        </w:p>
        <w:p w14:paraId="5BD14ED4" w14:textId="1D16514D" w:rsidR="00676164" w:rsidRDefault="00676164">
          <w:pPr>
            <w:pStyle w:val="TOC1"/>
            <w:tabs>
              <w:tab w:val="right" w:leader="dot" w:pos="9016"/>
            </w:tabs>
            <w:rPr>
              <w:rFonts w:eastAsiaTheme="minorEastAsia"/>
              <w:bCs w:val="0"/>
              <w:noProof/>
              <w:kern w:val="2"/>
              <w:szCs w:val="24"/>
              <w:lang w:eastAsia="en-AU"/>
              <w14:ligatures w14:val="standardContextual"/>
            </w:rPr>
          </w:pPr>
          <w:hyperlink w:anchor="_Toc183695845" w:history="1">
            <w:r w:rsidRPr="003643FB">
              <w:rPr>
                <w:rStyle w:val="Hyperlink"/>
                <w:noProof/>
              </w:rPr>
              <w:t>References</w:t>
            </w:r>
            <w:r>
              <w:rPr>
                <w:noProof/>
                <w:webHidden/>
              </w:rPr>
              <w:tab/>
            </w:r>
            <w:r>
              <w:rPr>
                <w:noProof/>
                <w:webHidden/>
              </w:rPr>
              <w:fldChar w:fldCharType="begin"/>
            </w:r>
            <w:r>
              <w:rPr>
                <w:noProof/>
                <w:webHidden/>
              </w:rPr>
              <w:instrText xml:space="preserve"> PAGEREF _Toc183695845 \h </w:instrText>
            </w:r>
            <w:r>
              <w:rPr>
                <w:noProof/>
                <w:webHidden/>
              </w:rPr>
            </w:r>
            <w:r>
              <w:rPr>
                <w:noProof/>
                <w:webHidden/>
              </w:rPr>
              <w:fldChar w:fldCharType="separate"/>
            </w:r>
            <w:r w:rsidR="00034F81">
              <w:rPr>
                <w:noProof/>
                <w:webHidden/>
              </w:rPr>
              <w:t>39</w:t>
            </w:r>
            <w:r>
              <w:rPr>
                <w:noProof/>
                <w:webHidden/>
              </w:rPr>
              <w:fldChar w:fldCharType="end"/>
            </w:r>
          </w:hyperlink>
        </w:p>
        <w:p w14:paraId="07C9F5E8" w14:textId="6EF97234" w:rsidR="00676164" w:rsidRDefault="00676164">
          <w:pPr>
            <w:pStyle w:val="TOC1"/>
            <w:tabs>
              <w:tab w:val="right" w:leader="dot" w:pos="9016"/>
            </w:tabs>
            <w:rPr>
              <w:rFonts w:eastAsiaTheme="minorEastAsia"/>
              <w:bCs w:val="0"/>
              <w:noProof/>
              <w:kern w:val="2"/>
              <w:szCs w:val="24"/>
              <w:lang w:eastAsia="en-AU"/>
              <w14:ligatures w14:val="standardContextual"/>
            </w:rPr>
          </w:pPr>
          <w:hyperlink w:anchor="_Toc183695846" w:history="1">
            <w:r w:rsidRPr="003643FB">
              <w:rPr>
                <w:rStyle w:val="Hyperlink"/>
                <w:noProof/>
                <w:lang w:val="en-US"/>
              </w:rPr>
              <w:t>Appendix 1 – Retained catch data (target and byproduct species)</w:t>
            </w:r>
            <w:r>
              <w:rPr>
                <w:noProof/>
                <w:webHidden/>
              </w:rPr>
              <w:tab/>
            </w:r>
            <w:r>
              <w:rPr>
                <w:noProof/>
                <w:webHidden/>
              </w:rPr>
              <w:fldChar w:fldCharType="begin"/>
            </w:r>
            <w:r>
              <w:rPr>
                <w:noProof/>
                <w:webHidden/>
              </w:rPr>
              <w:instrText xml:space="preserve"> PAGEREF _Toc183695846 \h </w:instrText>
            </w:r>
            <w:r>
              <w:rPr>
                <w:noProof/>
                <w:webHidden/>
              </w:rPr>
            </w:r>
            <w:r>
              <w:rPr>
                <w:noProof/>
                <w:webHidden/>
              </w:rPr>
              <w:fldChar w:fldCharType="separate"/>
            </w:r>
            <w:r w:rsidR="00034F81">
              <w:rPr>
                <w:noProof/>
                <w:webHidden/>
              </w:rPr>
              <w:t>41</w:t>
            </w:r>
            <w:r>
              <w:rPr>
                <w:noProof/>
                <w:webHidden/>
              </w:rPr>
              <w:fldChar w:fldCharType="end"/>
            </w:r>
          </w:hyperlink>
        </w:p>
        <w:p w14:paraId="69EB856B" w14:textId="6063091D" w:rsidR="00676164" w:rsidRDefault="00676164">
          <w:pPr>
            <w:pStyle w:val="TOC1"/>
            <w:tabs>
              <w:tab w:val="right" w:leader="dot" w:pos="9016"/>
            </w:tabs>
            <w:rPr>
              <w:rFonts w:eastAsiaTheme="minorEastAsia"/>
              <w:bCs w:val="0"/>
              <w:noProof/>
              <w:kern w:val="2"/>
              <w:szCs w:val="24"/>
              <w:lang w:eastAsia="en-AU"/>
              <w14:ligatures w14:val="standardContextual"/>
            </w:rPr>
          </w:pPr>
          <w:hyperlink w:anchor="_Toc183695847" w:history="1">
            <w:r w:rsidRPr="003643FB">
              <w:rPr>
                <w:rStyle w:val="Hyperlink"/>
                <w:noProof/>
              </w:rPr>
              <w:t>Appendix 2 – Bycatch data (2023) in the AIMWTMF</w:t>
            </w:r>
            <w:r>
              <w:rPr>
                <w:noProof/>
                <w:webHidden/>
              </w:rPr>
              <w:tab/>
            </w:r>
            <w:r>
              <w:rPr>
                <w:noProof/>
                <w:webHidden/>
              </w:rPr>
              <w:fldChar w:fldCharType="begin"/>
            </w:r>
            <w:r>
              <w:rPr>
                <w:noProof/>
                <w:webHidden/>
              </w:rPr>
              <w:instrText xml:space="preserve"> PAGEREF _Toc183695847 \h </w:instrText>
            </w:r>
            <w:r>
              <w:rPr>
                <w:noProof/>
                <w:webHidden/>
              </w:rPr>
            </w:r>
            <w:r>
              <w:rPr>
                <w:noProof/>
                <w:webHidden/>
              </w:rPr>
              <w:fldChar w:fldCharType="separate"/>
            </w:r>
            <w:r w:rsidR="00034F81">
              <w:rPr>
                <w:noProof/>
                <w:webHidden/>
              </w:rPr>
              <w:t>42</w:t>
            </w:r>
            <w:r>
              <w:rPr>
                <w:noProof/>
                <w:webHidden/>
              </w:rPr>
              <w:fldChar w:fldCharType="end"/>
            </w:r>
          </w:hyperlink>
        </w:p>
        <w:p w14:paraId="0B6A464C" w14:textId="00794FBE" w:rsidR="00676164" w:rsidRDefault="00676164">
          <w:pPr>
            <w:pStyle w:val="TOC1"/>
            <w:tabs>
              <w:tab w:val="right" w:leader="dot" w:pos="9016"/>
            </w:tabs>
            <w:rPr>
              <w:rFonts w:eastAsiaTheme="minorEastAsia"/>
              <w:bCs w:val="0"/>
              <w:noProof/>
              <w:kern w:val="2"/>
              <w:szCs w:val="24"/>
              <w:lang w:eastAsia="en-AU"/>
              <w14:ligatures w14:val="standardContextual"/>
            </w:rPr>
          </w:pPr>
          <w:hyperlink w:anchor="_Toc183695848" w:history="1">
            <w:r w:rsidRPr="003643FB">
              <w:rPr>
                <w:rStyle w:val="Hyperlink"/>
                <w:noProof/>
                <w:lang w:val="en-US"/>
              </w:rPr>
              <w:t>Appendix 3 – Fishing catch and effort</w:t>
            </w:r>
            <w:r>
              <w:rPr>
                <w:noProof/>
                <w:webHidden/>
              </w:rPr>
              <w:tab/>
            </w:r>
            <w:r>
              <w:rPr>
                <w:noProof/>
                <w:webHidden/>
              </w:rPr>
              <w:fldChar w:fldCharType="begin"/>
            </w:r>
            <w:r>
              <w:rPr>
                <w:noProof/>
                <w:webHidden/>
              </w:rPr>
              <w:instrText xml:space="preserve"> PAGEREF _Toc183695848 \h </w:instrText>
            </w:r>
            <w:r>
              <w:rPr>
                <w:noProof/>
                <w:webHidden/>
              </w:rPr>
            </w:r>
            <w:r>
              <w:rPr>
                <w:noProof/>
                <w:webHidden/>
              </w:rPr>
              <w:fldChar w:fldCharType="separate"/>
            </w:r>
            <w:r w:rsidR="00034F81">
              <w:rPr>
                <w:noProof/>
                <w:webHidden/>
              </w:rPr>
              <w:t>46</w:t>
            </w:r>
            <w:r>
              <w:rPr>
                <w:noProof/>
                <w:webHidden/>
              </w:rPr>
              <w:fldChar w:fldCharType="end"/>
            </w:r>
          </w:hyperlink>
        </w:p>
        <w:p w14:paraId="07177EB8" w14:textId="3C9824A7" w:rsidR="00676164" w:rsidRDefault="00676164">
          <w:pPr>
            <w:pStyle w:val="TOC1"/>
            <w:tabs>
              <w:tab w:val="right" w:leader="dot" w:pos="9016"/>
            </w:tabs>
            <w:rPr>
              <w:rFonts w:eastAsiaTheme="minorEastAsia"/>
              <w:bCs w:val="0"/>
              <w:noProof/>
              <w:kern w:val="2"/>
              <w:szCs w:val="24"/>
              <w:lang w:eastAsia="en-AU"/>
              <w14:ligatures w14:val="standardContextual"/>
            </w:rPr>
          </w:pPr>
          <w:hyperlink w:anchor="_Toc183695849" w:history="1">
            <w:r w:rsidRPr="003643FB">
              <w:rPr>
                <w:rStyle w:val="Hyperlink"/>
                <w:noProof/>
                <w:lang w:val="en-US"/>
              </w:rPr>
              <w:t>Appendix 4 – AIMWTMF Weight of Evidence Stock Assessment Report (2024)</w:t>
            </w:r>
            <w:r>
              <w:rPr>
                <w:noProof/>
                <w:webHidden/>
              </w:rPr>
              <w:tab/>
            </w:r>
            <w:r>
              <w:rPr>
                <w:noProof/>
                <w:webHidden/>
              </w:rPr>
              <w:fldChar w:fldCharType="begin"/>
            </w:r>
            <w:r>
              <w:rPr>
                <w:noProof/>
                <w:webHidden/>
              </w:rPr>
              <w:instrText xml:space="preserve"> PAGEREF _Toc183695849 \h </w:instrText>
            </w:r>
            <w:r>
              <w:rPr>
                <w:noProof/>
                <w:webHidden/>
              </w:rPr>
            </w:r>
            <w:r>
              <w:rPr>
                <w:noProof/>
                <w:webHidden/>
              </w:rPr>
              <w:fldChar w:fldCharType="separate"/>
            </w:r>
            <w:r w:rsidR="00034F81">
              <w:rPr>
                <w:noProof/>
                <w:webHidden/>
              </w:rPr>
              <w:t>52</w:t>
            </w:r>
            <w:r>
              <w:rPr>
                <w:noProof/>
                <w:webHidden/>
              </w:rPr>
              <w:fldChar w:fldCharType="end"/>
            </w:r>
          </w:hyperlink>
        </w:p>
        <w:p w14:paraId="2B6519A9" w14:textId="506C4AD7" w:rsidR="00676164" w:rsidRDefault="00676164">
          <w:pPr>
            <w:pStyle w:val="TOC1"/>
            <w:tabs>
              <w:tab w:val="right" w:leader="dot" w:pos="9016"/>
            </w:tabs>
            <w:rPr>
              <w:rFonts w:eastAsiaTheme="minorEastAsia"/>
              <w:bCs w:val="0"/>
              <w:noProof/>
              <w:kern w:val="2"/>
              <w:szCs w:val="24"/>
              <w:lang w:eastAsia="en-AU"/>
              <w14:ligatures w14:val="standardContextual"/>
            </w:rPr>
          </w:pPr>
          <w:hyperlink w:anchor="_Toc183695850" w:history="1">
            <w:r w:rsidRPr="003643FB">
              <w:rPr>
                <w:rStyle w:val="Hyperlink"/>
                <w:noProof/>
                <w:lang w:val="en-US"/>
              </w:rPr>
              <w:t>Appendix 5 – SCTMF Weight of Evidence Stock Assessment Report (2024)</w:t>
            </w:r>
            <w:r>
              <w:rPr>
                <w:noProof/>
                <w:webHidden/>
              </w:rPr>
              <w:tab/>
            </w:r>
            <w:r>
              <w:rPr>
                <w:noProof/>
                <w:webHidden/>
              </w:rPr>
              <w:fldChar w:fldCharType="begin"/>
            </w:r>
            <w:r>
              <w:rPr>
                <w:noProof/>
                <w:webHidden/>
              </w:rPr>
              <w:instrText xml:space="preserve"> PAGEREF _Toc183695850 \h </w:instrText>
            </w:r>
            <w:r>
              <w:rPr>
                <w:noProof/>
                <w:webHidden/>
              </w:rPr>
            </w:r>
            <w:r>
              <w:rPr>
                <w:noProof/>
                <w:webHidden/>
              </w:rPr>
              <w:fldChar w:fldCharType="separate"/>
            </w:r>
            <w:r w:rsidR="00034F81">
              <w:rPr>
                <w:noProof/>
                <w:webHidden/>
              </w:rPr>
              <w:t>80</w:t>
            </w:r>
            <w:r>
              <w:rPr>
                <w:noProof/>
                <w:webHidden/>
              </w:rPr>
              <w:fldChar w:fldCharType="end"/>
            </w:r>
          </w:hyperlink>
        </w:p>
        <w:p w14:paraId="33911E74" w14:textId="60962070" w:rsidR="000640F6" w:rsidRDefault="000640F6">
          <w:r>
            <w:rPr>
              <w:b/>
              <w:bCs/>
              <w:noProof/>
            </w:rPr>
            <w:fldChar w:fldCharType="end"/>
          </w:r>
        </w:p>
      </w:sdtContent>
    </w:sdt>
    <w:p w14:paraId="6FF19A47" w14:textId="550E0401" w:rsidR="00AE01C6" w:rsidRDefault="00AE01C6" w:rsidP="00AE01C6">
      <w:pPr>
        <w:pStyle w:val="Heading1"/>
      </w:pPr>
      <w:bookmarkStart w:id="2" w:name="_Ref178856542"/>
      <w:bookmarkStart w:id="3" w:name="_Ref178856556"/>
      <w:bookmarkStart w:id="4" w:name="_Toc183695790"/>
      <w:r>
        <w:lastRenderedPageBreak/>
        <w:t>Acronyms</w:t>
      </w:r>
      <w:bookmarkEnd w:id="2"/>
      <w:bookmarkEnd w:id="3"/>
      <w:bookmarkEnd w:id="4"/>
      <w:r>
        <w:t xml:space="preserve"> </w:t>
      </w:r>
    </w:p>
    <w:p w14:paraId="4BF4E720" w14:textId="77777777" w:rsidR="00894611" w:rsidRDefault="00894611" w:rsidP="00894611">
      <w:r>
        <w:t>WA</w:t>
      </w:r>
      <w:r>
        <w:tab/>
      </w:r>
      <w:r>
        <w:tab/>
      </w:r>
      <w:r>
        <w:tab/>
        <w:t>Western Australia</w:t>
      </w:r>
    </w:p>
    <w:p w14:paraId="0D53A0E0" w14:textId="44CFA456" w:rsidR="00894611" w:rsidRDefault="00894611" w:rsidP="00894611">
      <w:r>
        <w:t>AIMWTMF</w:t>
      </w:r>
      <w:r>
        <w:tab/>
      </w:r>
      <w:r>
        <w:tab/>
        <w:t xml:space="preserve">Abrolhos Islands and </w:t>
      </w:r>
      <w:proofErr w:type="spellStart"/>
      <w:r>
        <w:t>Mid West</w:t>
      </w:r>
      <w:proofErr w:type="spellEnd"/>
      <w:r>
        <w:t xml:space="preserve"> Trawl Managed Fishery</w:t>
      </w:r>
    </w:p>
    <w:p w14:paraId="01AC58F1" w14:textId="18E70201" w:rsidR="00894611" w:rsidRDefault="00894611" w:rsidP="00894611">
      <w:r>
        <w:t>SCT</w:t>
      </w:r>
      <w:r>
        <w:tab/>
      </w:r>
      <w:r>
        <w:tab/>
      </w:r>
      <w:r>
        <w:tab/>
        <w:t xml:space="preserve">South Coast Trawl Fishery </w:t>
      </w:r>
    </w:p>
    <w:p w14:paraId="5C4F7A94" w14:textId="77777777" w:rsidR="00894611" w:rsidRDefault="00894611" w:rsidP="00894611">
      <w:r>
        <w:t>EPBC Act</w:t>
      </w:r>
      <w:r>
        <w:tab/>
      </w:r>
      <w:r>
        <w:tab/>
      </w:r>
      <w:r>
        <w:rPr>
          <w:i/>
          <w:iCs/>
        </w:rPr>
        <w:t>Environment Protection and Biodiversity Conservation Act 1999</w:t>
      </w:r>
    </w:p>
    <w:p w14:paraId="701E6B5C" w14:textId="77777777" w:rsidR="00894611" w:rsidRDefault="00894611" w:rsidP="00894611">
      <w:r>
        <w:t>DPIRD</w:t>
      </w:r>
      <w:r>
        <w:tab/>
      </w:r>
      <w:r>
        <w:tab/>
        <w:t>Department of Primary Industries and Regional Development</w:t>
      </w:r>
    </w:p>
    <w:p w14:paraId="5A09A254" w14:textId="77777777" w:rsidR="00894611" w:rsidRDefault="00894611" w:rsidP="00894611">
      <w:r>
        <w:t>DCCEEW</w:t>
      </w:r>
      <w:r>
        <w:tab/>
      </w:r>
      <w:r>
        <w:tab/>
        <w:t>Department of Climate Change, Energy the Environment and Water</w:t>
      </w:r>
    </w:p>
    <w:p w14:paraId="6930338D" w14:textId="77777777" w:rsidR="00894611" w:rsidRDefault="00894611" w:rsidP="00894611">
      <w:r>
        <w:t>SRFAR</w:t>
      </w:r>
      <w:r>
        <w:tab/>
      </w:r>
      <w:r>
        <w:tab/>
        <w:t>Status Reports of the Fisheries and Aquatic Resources of WA</w:t>
      </w:r>
    </w:p>
    <w:p w14:paraId="79369F95" w14:textId="77777777" w:rsidR="00894611" w:rsidRDefault="00894611" w:rsidP="00894611">
      <w:r>
        <w:t>GVP</w:t>
      </w:r>
      <w:r>
        <w:tab/>
      </w:r>
      <w:r>
        <w:tab/>
      </w:r>
      <w:r>
        <w:tab/>
        <w:t>Gross value product</w:t>
      </w:r>
    </w:p>
    <w:p w14:paraId="3F94FE88" w14:textId="77777777" w:rsidR="00894611" w:rsidRDefault="00894611" w:rsidP="00894611">
      <w:pPr>
        <w:rPr>
          <w:i/>
          <w:iCs/>
        </w:rPr>
      </w:pPr>
      <w:r>
        <w:t>FRMA</w:t>
      </w:r>
      <w:r>
        <w:tab/>
      </w:r>
      <w:r>
        <w:tab/>
      </w:r>
      <w:r>
        <w:tab/>
      </w:r>
      <w:r>
        <w:rPr>
          <w:i/>
          <w:iCs/>
        </w:rPr>
        <w:t>Fish Resources Management Act 1994</w:t>
      </w:r>
    </w:p>
    <w:p w14:paraId="51F5745B" w14:textId="77777777" w:rsidR="00894611" w:rsidRPr="00BF57A5" w:rsidRDefault="00894611" w:rsidP="00894611">
      <w:pPr>
        <w:rPr>
          <w:i/>
          <w:iCs/>
        </w:rPr>
      </w:pPr>
      <w:r w:rsidRPr="00BF57A5">
        <w:t>FRMR</w:t>
      </w:r>
      <w:r w:rsidRPr="00BF57A5">
        <w:tab/>
      </w:r>
      <w:r w:rsidRPr="00BF57A5">
        <w:tab/>
      </w:r>
      <w:r w:rsidRPr="00BF57A5">
        <w:tab/>
      </w:r>
      <w:r w:rsidRPr="00BF57A5">
        <w:rPr>
          <w:i/>
          <w:iCs/>
        </w:rPr>
        <w:t>Fish Resources Management Regulations 1995</w:t>
      </w:r>
    </w:p>
    <w:p w14:paraId="507DB5CD" w14:textId="77777777" w:rsidR="00894611" w:rsidRDefault="00894611" w:rsidP="00894611">
      <w:pPr>
        <w:rPr>
          <w:i/>
          <w:iCs/>
        </w:rPr>
      </w:pPr>
      <w:r w:rsidRPr="00BF57A5">
        <w:t>BCA</w:t>
      </w:r>
      <w:r w:rsidRPr="00BF57A5">
        <w:tab/>
      </w:r>
      <w:r w:rsidRPr="00BF57A5">
        <w:tab/>
      </w:r>
      <w:r w:rsidRPr="00BF57A5">
        <w:tab/>
      </w:r>
      <w:r w:rsidRPr="00BF57A5">
        <w:rPr>
          <w:i/>
          <w:iCs/>
        </w:rPr>
        <w:t>Biodiversity Conservation Act 2016</w:t>
      </w:r>
    </w:p>
    <w:p w14:paraId="3BAC036B" w14:textId="77777777" w:rsidR="00894611" w:rsidRDefault="00894611" w:rsidP="00894611">
      <w:r>
        <w:t>WAFIC</w:t>
      </w:r>
      <w:r>
        <w:tab/>
      </w:r>
      <w:r>
        <w:tab/>
        <w:t>Western Australian Fishing Industry Council</w:t>
      </w:r>
    </w:p>
    <w:p w14:paraId="53C1917A" w14:textId="77777777" w:rsidR="00894611" w:rsidRDefault="00894611" w:rsidP="00894611">
      <w:r>
        <w:t>CPUE</w:t>
      </w:r>
      <w:r>
        <w:tab/>
      </w:r>
      <w:r>
        <w:tab/>
      </w:r>
      <w:r>
        <w:tab/>
        <w:t>Catch per unit effort</w:t>
      </w:r>
    </w:p>
    <w:p w14:paraId="43F6D96D" w14:textId="77777777" w:rsidR="00894611" w:rsidRPr="00B30B82" w:rsidRDefault="00894611" w:rsidP="00894611">
      <w:r>
        <w:t>ETP species</w:t>
      </w:r>
      <w:r>
        <w:tab/>
      </w:r>
      <w:r>
        <w:tab/>
        <w:t>Endangered, threatened and protected species</w:t>
      </w:r>
    </w:p>
    <w:p w14:paraId="49D42416" w14:textId="77777777" w:rsidR="00894611" w:rsidRDefault="00894611" w:rsidP="00894611">
      <w:r>
        <w:t>VMS</w:t>
      </w:r>
      <w:r>
        <w:tab/>
      </w:r>
      <w:r>
        <w:tab/>
      </w:r>
      <w:r>
        <w:tab/>
        <w:t>Vessel monitoring system</w:t>
      </w:r>
    </w:p>
    <w:p w14:paraId="6A793B54" w14:textId="77777777" w:rsidR="00894611" w:rsidRDefault="00894611" w:rsidP="00894611">
      <w:r>
        <w:t>EBFM</w:t>
      </w:r>
      <w:r>
        <w:tab/>
      </w:r>
      <w:r>
        <w:tab/>
      </w:r>
      <w:r>
        <w:tab/>
        <w:t>Ecosystem-based fisheries management</w:t>
      </w:r>
    </w:p>
    <w:p w14:paraId="5B207BED" w14:textId="77777777" w:rsidR="00894611" w:rsidRDefault="00894611" w:rsidP="00894611">
      <w:r>
        <w:t>ERA</w:t>
      </w:r>
      <w:r>
        <w:tab/>
      </w:r>
      <w:r>
        <w:tab/>
      </w:r>
      <w:r>
        <w:tab/>
        <w:t>Ecological risk assessment</w:t>
      </w:r>
    </w:p>
    <w:p w14:paraId="083F08D2" w14:textId="77777777" w:rsidR="00894611" w:rsidRDefault="00894611" w:rsidP="00894611">
      <w:r>
        <w:t>DBCA</w:t>
      </w:r>
      <w:r>
        <w:tab/>
      </w:r>
      <w:r>
        <w:tab/>
      </w:r>
      <w:r>
        <w:tab/>
        <w:t>Department of Biodiversity, Conservation and Attractions</w:t>
      </w:r>
    </w:p>
    <w:p w14:paraId="75420BF8" w14:textId="1B784A43" w:rsidR="00894611" w:rsidRDefault="00894611" w:rsidP="00894611">
      <w:proofErr w:type="spellStart"/>
      <w:r>
        <w:t>OpCP</w:t>
      </w:r>
      <w:proofErr w:type="spellEnd"/>
      <w:r>
        <w:tab/>
      </w:r>
      <w:r>
        <w:tab/>
      </w:r>
      <w:r>
        <w:tab/>
        <w:t>Operational compliance plans</w:t>
      </w:r>
    </w:p>
    <w:p w14:paraId="5AEBB43A" w14:textId="192CFD18" w:rsidR="00894611" w:rsidRDefault="00894611" w:rsidP="00894611">
      <w:r>
        <w:t>OCP</w:t>
      </w:r>
      <w:r>
        <w:tab/>
      </w:r>
      <w:r>
        <w:tab/>
      </w:r>
      <w:r>
        <w:tab/>
        <w:t>Operations and Communications Procedure for the SCTF</w:t>
      </w:r>
    </w:p>
    <w:p w14:paraId="01D22554" w14:textId="77777777" w:rsidR="00894611" w:rsidRDefault="00894611" w:rsidP="00894611">
      <w:r>
        <w:t>ALC</w:t>
      </w:r>
      <w:r>
        <w:tab/>
      </w:r>
      <w:r>
        <w:tab/>
      </w:r>
      <w:r>
        <w:tab/>
        <w:t>Automatic location communicators</w:t>
      </w:r>
    </w:p>
    <w:p w14:paraId="11427A01" w14:textId="2C3FFE8A" w:rsidR="00BF57A5" w:rsidRDefault="00BF57A5" w:rsidP="00894611">
      <w:r>
        <w:t xml:space="preserve">MFL </w:t>
      </w:r>
      <w:r>
        <w:tab/>
      </w:r>
      <w:r>
        <w:tab/>
      </w:r>
      <w:r>
        <w:tab/>
        <w:t xml:space="preserve">Managed Fishery Licence </w:t>
      </w:r>
    </w:p>
    <w:p w14:paraId="5217D81A" w14:textId="1E416F57" w:rsidR="00BF57A5" w:rsidRDefault="00BF57A5" w:rsidP="00894611">
      <w:r>
        <w:t xml:space="preserve">FBL </w:t>
      </w:r>
      <w:r>
        <w:tab/>
      </w:r>
      <w:r>
        <w:tab/>
      </w:r>
      <w:r>
        <w:tab/>
        <w:t xml:space="preserve">Fishing Boat Licence </w:t>
      </w:r>
    </w:p>
    <w:p w14:paraId="43DBDC8C" w14:textId="5E22ED54" w:rsidR="00BF57A5" w:rsidRDefault="00BF57A5" w:rsidP="00894611">
      <w:r>
        <w:t xml:space="preserve">IoE </w:t>
      </w:r>
      <w:r>
        <w:tab/>
      </w:r>
      <w:r>
        <w:tab/>
      </w:r>
      <w:r>
        <w:tab/>
        <w:t xml:space="preserve">Instrument of Exemption </w:t>
      </w:r>
    </w:p>
    <w:p w14:paraId="70FB55BE" w14:textId="4AAD0BBF" w:rsidR="00CD1EA8" w:rsidRDefault="00CD1EA8" w:rsidP="00894611">
      <w:r>
        <w:t xml:space="preserve">HCR </w:t>
      </w:r>
      <w:r>
        <w:tab/>
      </w:r>
      <w:r>
        <w:tab/>
      </w:r>
      <w:r>
        <w:tab/>
        <w:t>Harvest Control Rule \</w:t>
      </w:r>
    </w:p>
    <w:p w14:paraId="3A63ABDF" w14:textId="749721BA" w:rsidR="00CD1EA8" w:rsidRDefault="00CD1EA8" w:rsidP="00894611">
      <w:r>
        <w:t xml:space="preserve">LENS </w:t>
      </w:r>
      <w:r>
        <w:tab/>
      </w:r>
      <w:r>
        <w:tab/>
      </w:r>
      <w:r>
        <w:tab/>
        <w:t xml:space="preserve">List of Exempt Native Specimens </w:t>
      </w:r>
    </w:p>
    <w:p w14:paraId="2E2777F1" w14:textId="4DB99D26" w:rsidR="00CD1EA8" w:rsidRPr="007E6B91" w:rsidRDefault="00CD1EA8" w:rsidP="00894611">
      <w:proofErr w:type="spellStart"/>
      <w:r>
        <w:t>WoE</w:t>
      </w:r>
      <w:proofErr w:type="spellEnd"/>
      <w:r>
        <w:t xml:space="preserve"> </w:t>
      </w:r>
      <w:r>
        <w:tab/>
      </w:r>
      <w:r>
        <w:tab/>
      </w:r>
      <w:r>
        <w:tab/>
        <w:t xml:space="preserve">Weight of Evidence </w:t>
      </w:r>
    </w:p>
    <w:p w14:paraId="69A7AF7C" w14:textId="77777777" w:rsidR="00A50359" w:rsidRPr="00A50359" w:rsidRDefault="00A50359" w:rsidP="00A50359"/>
    <w:p w14:paraId="534642DA" w14:textId="77777777" w:rsidR="00AB15B7" w:rsidRDefault="00AB15B7" w:rsidP="00AB15B7">
      <w:pPr>
        <w:pStyle w:val="Heading1"/>
        <w:pageBreakBefore w:val="0"/>
      </w:pPr>
      <w:bookmarkStart w:id="5" w:name="_Toc183695791"/>
      <w:r>
        <w:lastRenderedPageBreak/>
        <w:t>Introduction</w:t>
      </w:r>
      <w:bookmarkEnd w:id="5"/>
      <w:r>
        <w:t xml:space="preserve"> </w:t>
      </w:r>
    </w:p>
    <w:p w14:paraId="36FF8B66" w14:textId="77777777" w:rsidR="00DF03B4" w:rsidRPr="00916D71" w:rsidRDefault="00DF03B4" w:rsidP="00DF03B4">
      <w:r w:rsidRPr="00916D71">
        <w:t xml:space="preserve">This submission meets the requirements for the assessment of the Western Australian (WA) Abrolhos Islands and </w:t>
      </w:r>
      <w:proofErr w:type="spellStart"/>
      <w:r w:rsidRPr="00916D71">
        <w:t>Mid West</w:t>
      </w:r>
      <w:proofErr w:type="spellEnd"/>
      <w:r w:rsidRPr="00916D71">
        <w:t xml:space="preserve"> Trawl Managed Fishery (AIMWTMF, Fishery) and the South Coast Trawl Fishery (SCTF, Fishery) under the </w:t>
      </w:r>
      <w:r w:rsidRPr="00916D71">
        <w:rPr>
          <w:i/>
        </w:rPr>
        <w:t xml:space="preserve">Environment Protection and Biodiversity Conservation Act 1999 </w:t>
      </w:r>
      <w:r w:rsidRPr="00916D71">
        <w:t xml:space="preserve">(EPBC Act). </w:t>
      </w:r>
    </w:p>
    <w:p w14:paraId="04938965" w14:textId="1F6F2185" w:rsidR="00DF03B4" w:rsidRPr="00916D71" w:rsidRDefault="00DF03B4" w:rsidP="00DF03B4">
      <w:pPr>
        <w:rPr>
          <w:rStyle w:val="cf21"/>
          <w:rFonts w:asciiTheme="minorHAnsi" w:hAnsiTheme="minorHAnsi" w:cstheme="minorHAnsi"/>
          <w:sz w:val="24"/>
          <w:szCs w:val="24"/>
        </w:rPr>
      </w:pPr>
      <w:r w:rsidRPr="00916D71">
        <w:rPr>
          <w:szCs w:val="24"/>
        </w:rPr>
        <w:t xml:space="preserve">This submission has been produced to enable the Department of Climate Change, Energy, the Environment and Water (DCCEEW, </w:t>
      </w:r>
      <w:proofErr w:type="spellStart"/>
      <w:r w:rsidRPr="00916D71">
        <w:rPr>
          <w:szCs w:val="24"/>
        </w:rPr>
        <w:t>Cth</w:t>
      </w:r>
      <w:proofErr w:type="spellEnd"/>
      <w:r w:rsidRPr="00916D71">
        <w:rPr>
          <w:szCs w:val="24"/>
        </w:rPr>
        <w:t>)</w:t>
      </w:r>
      <w:r w:rsidR="008D1D4F" w:rsidRPr="00916D71">
        <w:rPr>
          <w:szCs w:val="24"/>
        </w:rPr>
        <w:t xml:space="preserve"> </w:t>
      </w:r>
      <w:r w:rsidRPr="00916D71">
        <w:rPr>
          <w:szCs w:val="24"/>
        </w:rPr>
        <w:t xml:space="preserve">assess management arrangements for the AIMWTMF and SCTF against the </w:t>
      </w:r>
      <w:r w:rsidRPr="00916D71">
        <w:rPr>
          <w:i/>
          <w:iCs/>
          <w:szCs w:val="24"/>
        </w:rPr>
        <w:t>Guidelines for the Ecologically Sustainable Management of Fisheries – 2nd Edition</w:t>
      </w:r>
      <w:r w:rsidRPr="00916D71">
        <w:rPr>
          <w:szCs w:val="24"/>
        </w:rPr>
        <w:t xml:space="preserve"> </w:t>
      </w:r>
      <w:r w:rsidRPr="00916D71">
        <w:rPr>
          <w:rStyle w:val="cf21"/>
          <w:rFonts w:asciiTheme="minorHAnsi" w:hAnsiTheme="minorHAnsi" w:cstheme="minorHAnsi"/>
          <w:sz w:val="24"/>
          <w:szCs w:val="24"/>
        </w:rPr>
        <w:t>and requirements set out in relevant sections of the EPBC Act.</w:t>
      </w:r>
    </w:p>
    <w:p w14:paraId="2B0AAA28" w14:textId="64F138CB" w:rsidR="00DF03B4" w:rsidRDefault="00DF03B4" w:rsidP="00DF03B4">
      <w:pPr>
        <w:rPr>
          <w:rStyle w:val="cf21"/>
          <w:rFonts w:asciiTheme="minorHAnsi" w:hAnsiTheme="minorHAnsi" w:cstheme="minorHAnsi"/>
          <w:sz w:val="24"/>
          <w:szCs w:val="24"/>
        </w:rPr>
      </w:pPr>
      <w:r w:rsidRPr="00916D71">
        <w:rPr>
          <w:rStyle w:val="cf21"/>
          <w:rFonts w:asciiTheme="minorHAnsi" w:hAnsiTheme="minorHAnsi" w:cstheme="minorHAnsi"/>
          <w:sz w:val="24"/>
          <w:szCs w:val="24"/>
        </w:rPr>
        <w:t xml:space="preserve">Export of product from the AIMWTMF and SCTF are currently approved until </w:t>
      </w:r>
      <w:r w:rsidR="00712CE5">
        <w:rPr>
          <w:rStyle w:val="cf21"/>
          <w:rFonts w:asciiTheme="minorHAnsi" w:hAnsiTheme="minorHAnsi" w:cstheme="minorHAnsi"/>
          <w:sz w:val="24"/>
          <w:szCs w:val="24"/>
        </w:rPr>
        <w:t>30 May</w:t>
      </w:r>
      <w:r w:rsidRPr="00916D71">
        <w:rPr>
          <w:rStyle w:val="cf21"/>
          <w:rFonts w:asciiTheme="minorHAnsi" w:hAnsiTheme="minorHAnsi" w:cstheme="minorHAnsi"/>
          <w:sz w:val="24"/>
          <w:szCs w:val="24"/>
        </w:rPr>
        <w:t xml:space="preserve"> 2025, through their inclusion on the List of Exempt Native Specimens (LENS). It is requested that these Fisheries’ accreditation under Part 13 of the EPBC Act for the purposes of protected species provisions and export approval granted under Part 13A through inclusion on the LENS be continued based on the information and evidence prepared in this application.</w:t>
      </w:r>
    </w:p>
    <w:p w14:paraId="5E069375" w14:textId="3BDF9371" w:rsidR="00916D71" w:rsidRPr="00916D71" w:rsidRDefault="00916D71" w:rsidP="00916D71">
      <w:pPr>
        <w:rPr>
          <w:rStyle w:val="cf21"/>
          <w:rFonts w:asciiTheme="minorHAnsi" w:hAnsiTheme="minorHAnsi" w:cstheme="minorHAnsi"/>
          <w:sz w:val="24"/>
          <w:szCs w:val="24"/>
        </w:rPr>
      </w:pPr>
      <w:bookmarkStart w:id="6" w:name="_MailAutoSig"/>
      <w:r w:rsidRPr="00916D71">
        <w:rPr>
          <w:rStyle w:val="cf21"/>
          <w:rFonts w:asciiTheme="minorHAnsi" w:hAnsiTheme="minorHAnsi" w:cstheme="minorHAnsi"/>
          <w:sz w:val="24"/>
          <w:szCs w:val="24"/>
        </w:rPr>
        <w:t>Enquir</w:t>
      </w:r>
      <w:r w:rsidR="001E079C">
        <w:rPr>
          <w:rStyle w:val="cf21"/>
          <w:rFonts w:asciiTheme="minorHAnsi" w:hAnsiTheme="minorHAnsi" w:cstheme="minorHAnsi"/>
          <w:sz w:val="24"/>
          <w:szCs w:val="24"/>
        </w:rPr>
        <w:t>i</w:t>
      </w:r>
      <w:r w:rsidRPr="00916D71">
        <w:rPr>
          <w:rStyle w:val="cf21"/>
          <w:rFonts w:asciiTheme="minorHAnsi" w:hAnsiTheme="minorHAnsi" w:cstheme="minorHAnsi"/>
          <w:sz w:val="24"/>
          <w:szCs w:val="24"/>
        </w:rPr>
        <w:t xml:space="preserve">es on this submission can be directed to: </w:t>
      </w:r>
    </w:p>
    <w:p w14:paraId="3D53DFF9" w14:textId="77777777" w:rsidR="00916D71" w:rsidRPr="00916D71" w:rsidRDefault="00916D71" w:rsidP="00916D71">
      <w:pPr>
        <w:spacing w:after="0"/>
        <w:rPr>
          <w:rStyle w:val="cf21"/>
          <w:rFonts w:asciiTheme="minorHAnsi" w:hAnsiTheme="minorHAnsi" w:cstheme="minorHAnsi"/>
          <w:sz w:val="24"/>
          <w:szCs w:val="24"/>
        </w:rPr>
      </w:pPr>
      <w:r w:rsidRPr="00916D71">
        <w:rPr>
          <w:rStyle w:val="cf21"/>
          <w:rFonts w:asciiTheme="minorHAnsi" w:hAnsiTheme="minorHAnsi" w:cstheme="minorHAnsi"/>
          <w:sz w:val="24"/>
          <w:szCs w:val="24"/>
        </w:rPr>
        <w:t>Bec Leaversuch, Fisheries Management Officer</w:t>
      </w:r>
    </w:p>
    <w:p w14:paraId="55C42B0C" w14:textId="77777777" w:rsidR="00916D71" w:rsidRPr="00916D71" w:rsidRDefault="00916D71" w:rsidP="00916D71">
      <w:pPr>
        <w:spacing w:after="0"/>
        <w:rPr>
          <w:rStyle w:val="cf21"/>
          <w:rFonts w:asciiTheme="minorHAnsi" w:hAnsiTheme="minorHAnsi" w:cstheme="minorHAnsi"/>
          <w:sz w:val="24"/>
          <w:szCs w:val="24"/>
        </w:rPr>
      </w:pPr>
      <w:r w:rsidRPr="00916D71">
        <w:rPr>
          <w:rStyle w:val="cf21"/>
          <w:rFonts w:asciiTheme="minorHAnsi" w:hAnsiTheme="minorHAnsi" w:cstheme="minorHAnsi"/>
          <w:sz w:val="24"/>
          <w:szCs w:val="24"/>
        </w:rPr>
        <w:t>Department of Primary Industries and Regional Development</w:t>
      </w:r>
    </w:p>
    <w:p w14:paraId="006FD9E3" w14:textId="36E95C44" w:rsidR="00916D71" w:rsidRPr="00916D71" w:rsidRDefault="00916D71" w:rsidP="00916D71">
      <w:pPr>
        <w:spacing w:after="0"/>
        <w:rPr>
          <w:rStyle w:val="cf21"/>
          <w:rFonts w:asciiTheme="minorHAnsi" w:hAnsiTheme="minorHAnsi" w:cstheme="minorHAnsi"/>
          <w:sz w:val="24"/>
          <w:szCs w:val="24"/>
        </w:rPr>
      </w:pPr>
      <w:hyperlink r:id="rId17" w:history="1">
        <w:r w:rsidRPr="00916D71">
          <w:rPr>
            <w:rStyle w:val="Hyperlink"/>
            <w:rFonts w:cstheme="minorHAnsi"/>
            <w:szCs w:val="24"/>
          </w:rPr>
          <w:t>Rebecca.Leaversuch@dpird.wa.gov.au</w:t>
        </w:r>
      </w:hyperlink>
      <w:r w:rsidRPr="00916D71">
        <w:rPr>
          <w:rStyle w:val="cf21"/>
          <w:rFonts w:asciiTheme="minorHAnsi" w:hAnsiTheme="minorHAnsi" w:cstheme="minorHAnsi"/>
          <w:sz w:val="24"/>
          <w:szCs w:val="24"/>
        </w:rPr>
        <w:t xml:space="preserve"> </w:t>
      </w:r>
      <w:bookmarkEnd w:id="6"/>
    </w:p>
    <w:p w14:paraId="54CE77E9" w14:textId="2D612DFE" w:rsidR="00A50359" w:rsidRDefault="00A50359" w:rsidP="00A50359">
      <w:pPr>
        <w:pStyle w:val="Heading1"/>
        <w:pageBreakBefore w:val="0"/>
      </w:pPr>
      <w:bookmarkStart w:id="7" w:name="_Toc183695792"/>
      <w:r>
        <w:t>The Fisheries</w:t>
      </w:r>
      <w:bookmarkEnd w:id="7"/>
    </w:p>
    <w:p w14:paraId="0FDB1750" w14:textId="1A95BCD0" w:rsidR="00A50359" w:rsidRDefault="00A50359" w:rsidP="00A50359">
      <w:pPr>
        <w:pStyle w:val="Heading2"/>
      </w:pPr>
      <w:bookmarkStart w:id="8" w:name="_Toc183695793"/>
      <w:r>
        <w:t>Description of the Fisher</w:t>
      </w:r>
      <w:r w:rsidR="00111B7F">
        <w:t>ies</w:t>
      </w:r>
      <w:bookmarkEnd w:id="8"/>
    </w:p>
    <w:p w14:paraId="631A2097" w14:textId="598E5593" w:rsidR="00A50359" w:rsidRDefault="00A50359" w:rsidP="00A50359">
      <w:pPr>
        <w:pStyle w:val="Heading3"/>
      </w:pPr>
      <w:bookmarkStart w:id="9" w:name="_Toc183695794"/>
      <w:r>
        <w:t xml:space="preserve">Abrolhos Islands and </w:t>
      </w:r>
      <w:proofErr w:type="spellStart"/>
      <w:r>
        <w:t>Mid West</w:t>
      </w:r>
      <w:proofErr w:type="spellEnd"/>
      <w:r>
        <w:t xml:space="preserve"> Trawl Managed Fishery</w:t>
      </w:r>
      <w:bookmarkEnd w:id="9"/>
      <w:r>
        <w:t xml:space="preserve"> </w:t>
      </w:r>
    </w:p>
    <w:p w14:paraId="28BD8738" w14:textId="66E4351C" w:rsidR="00DF03B4" w:rsidRPr="005543BC" w:rsidRDefault="00DF03B4" w:rsidP="00DF03B4">
      <w:r w:rsidRPr="005543BC">
        <w:t>The AIMWTMF is a commercial fishery accessing (western) saucer scallops (</w:t>
      </w:r>
      <w:proofErr w:type="spellStart"/>
      <w:r w:rsidRPr="005543BC">
        <w:t>sp</w:t>
      </w:r>
      <w:proofErr w:type="spellEnd"/>
      <w:r w:rsidRPr="005543BC">
        <w:t xml:space="preserve">: </w:t>
      </w:r>
      <w:proofErr w:type="spellStart"/>
      <w:r w:rsidRPr="005543BC">
        <w:rPr>
          <w:i/>
          <w:iCs/>
        </w:rPr>
        <w:t>Ylistrum</w:t>
      </w:r>
      <w:proofErr w:type="spellEnd"/>
      <w:r w:rsidRPr="005543BC">
        <w:rPr>
          <w:i/>
          <w:iCs/>
        </w:rPr>
        <w:t xml:space="preserve"> </w:t>
      </w:r>
      <w:proofErr w:type="spellStart"/>
      <w:r w:rsidRPr="005543BC">
        <w:rPr>
          <w:i/>
          <w:iCs/>
        </w:rPr>
        <w:t>balloti</w:t>
      </w:r>
      <w:proofErr w:type="spellEnd"/>
      <w:r w:rsidRPr="005543BC">
        <w:t>) in the waters surrounding the Houtman Abrolhos Islands</w:t>
      </w:r>
      <w:r>
        <w:t>,</w:t>
      </w:r>
      <w:r w:rsidRPr="005543BC">
        <w:t xml:space="preserve"> located 60km off the mid-west coast of Geraldton, in the West Coast Bioregion (WCB) of Western Australia (WA). The boundaries of the Fishery lie within Commonwealth and WA waters of the Indian Ocean between 27</w:t>
      </w:r>
      <w:r w:rsidRPr="005543BC">
        <w:sym w:font="Symbol" w:char="F0B0"/>
      </w:r>
      <w:r w:rsidRPr="005543BC">
        <w:t>51’ south latitude and 29</w:t>
      </w:r>
      <w:r w:rsidRPr="005543BC">
        <w:sym w:font="Symbol" w:char="F0B0"/>
      </w:r>
      <w:r w:rsidRPr="005543BC">
        <w:t>03’ south latitude on the landward side of the 200m isobath</w:t>
      </w:r>
      <w:r>
        <w:t xml:space="preserve"> (</w:t>
      </w:r>
      <w:r w:rsidR="00916D71">
        <w:fldChar w:fldCharType="begin"/>
      </w:r>
      <w:r w:rsidR="00916D71">
        <w:instrText xml:space="preserve"> REF _Ref178855956 \h </w:instrText>
      </w:r>
      <w:r w:rsidR="00916D71">
        <w:fldChar w:fldCharType="separate"/>
      </w:r>
      <w:r w:rsidR="00AB15B7">
        <w:t xml:space="preserve">Figure </w:t>
      </w:r>
      <w:r w:rsidR="00AB15B7">
        <w:rPr>
          <w:noProof/>
        </w:rPr>
        <w:t>1</w:t>
      </w:r>
      <w:r w:rsidR="00916D71">
        <w:fldChar w:fldCharType="end"/>
      </w:r>
      <w:r>
        <w:t>)</w:t>
      </w:r>
      <w:r w:rsidRPr="005543BC">
        <w:t xml:space="preserve">. </w:t>
      </w:r>
    </w:p>
    <w:p w14:paraId="20875E71" w14:textId="645DD43F" w:rsidR="00916D71" w:rsidRDefault="00DF03B4" w:rsidP="00DF03B4">
      <w:r w:rsidRPr="009A4E65">
        <w:t xml:space="preserve">There are </w:t>
      </w:r>
      <w:r>
        <w:t xml:space="preserve">ten </w:t>
      </w:r>
      <w:r w:rsidRPr="009A4E65">
        <w:t>Managed Fishery Licences (MFLs) in the AIMWTMF held by two independent operators</w:t>
      </w:r>
      <w:r>
        <w:t>, of which four are actively fished</w:t>
      </w:r>
      <w:r w:rsidRPr="009A4E65">
        <w:t xml:space="preserve">. </w:t>
      </w:r>
      <w:r w:rsidR="006842A9">
        <w:t xml:space="preserve">The capacity of the AIMWTMF is managed by a maximum headrope allocation that is divided equally across all MFLs. </w:t>
      </w:r>
      <w:r w:rsidRPr="009A4E65">
        <w:t xml:space="preserve">Licenced vessels are permitted to access areas to fish in accordance with Schedule 1 of the </w:t>
      </w:r>
      <w:r w:rsidRPr="009A4E65">
        <w:rPr>
          <w:i/>
          <w:iCs/>
        </w:rPr>
        <w:t xml:space="preserve">Abrolhos Islands and </w:t>
      </w:r>
      <w:proofErr w:type="spellStart"/>
      <w:r w:rsidRPr="009A4E65">
        <w:rPr>
          <w:i/>
          <w:iCs/>
        </w:rPr>
        <w:t>Mid West</w:t>
      </w:r>
      <w:proofErr w:type="spellEnd"/>
      <w:r w:rsidRPr="009A4E65">
        <w:rPr>
          <w:i/>
          <w:iCs/>
        </w:rPr>
        <w:t xml:space="preserve"> Trawl Limited Entry Fishery Notice 1993 </w:t>
      </w:r>
      <w:r w:rsidRPr="009A4E65">
        <w:t>(</w:t>
      </w:r>
      <w:hyperlink r:id="rId18" w:history="1">
        <w:r w:rsidRPr="00270A39">
          <w:rPr>
            <w:rStyle w:val="Hyperlink"/>
          </w:rPr>
          <w:t>Management Plan</w:t>
        </w:r>
      </w:hyperlink>
      <w:r w:rsidRPr="009A4E65">
        <w:t>), and the CEO Determination</w:t>
      </w:r>
      <w:r w:rsidRPr="009A4E65">
        <w:rPr>
          <w:i/>
          <w:iCs/>
        </w:rPr>
        <w:t xml:space="preserve"> Notice of Areas Closed to Fishing in the AIMWTMF No. 1 of 2023</w:t>
      </w:r>
      <w:r w:rsidRPr="009A4E65">
        <w:t xml:space="preserve">, which is renewed every three years to ensure spatial and temporal management arrangements continue to facilitate sustainable harvest of </w:t>
      </w:r>
      <w:r w:rsidR="00916D71">
        <w:t>scallops</w:t>
      </w:r>
      <w:r w:rsidRPr="009A4E65">
        <w:t xml:space="preserve"> Additionally, voluntary spatial (and/or </w:t>
      </w:r>
      <w:r w:rsidRPr="009A4E65">
        <w:lastRenderedPageBreak/>
        <w:t xml:space="preserve">temporal) closures may be implemented prior to, or during a season based on the abundance and quality of </w:t>
      </w:r>
      <w:r w:rsidRPr="00C07491">
        <w:t xml:space="preserve">scallops to maintain adequate stock biomass for future fishing seasons. </w:t>
      </w:r>
      <w:r w:rsidR="00916D71">
        <w:br w:type="page"/>
      </w:r>
    </w:p>
    <w:p w14:paraId="64C2E8D9" w14:textId="301A6AD2" w:rsidR="00916D71" w:rsidRDefault="00916D71" w:rsidP="00916D71">
      <w:pPr>
        <w:pStyle w:val="Caption"/>
      </w:pPr>
      <w:bookmarkStart w:id="10" w:name="_Ref178855956"/>
      <w:r>
        <w:rPr>
          <w:noProof/>
        </w:rPr>
        <w:lastRenderedPageBreak/>
        <w:drawing>
          <wp:anchor distT="0" distB="0" distL="114300" distR="114300" simplePos="0" relativeHeight="251658246" behindDoc="1" locked="0" layoutInCell="1" allowOverlap="1" wp14:anchorId="246BC65E" wp14:editId="4753AD47">
            <wp:simplePos x="0" y="0"/>
            <wp:positionH relativeFrom="margin">
              <wp:posOffset>203835</wp:posOffset>
            </wp:positionH>
            <wp:positionV relativeFrom="paragraph">
              <wp:posOffset>4445</wp:posOffset>
            </wp:positionV>
            <wp:extent cx="5749925" cy="8277225"/>
            <wp:effectExtent l="0" t="0" r="3175" b="9525"/>
            <wp:wrapTight wrapText="bothSides">
              <wp:wrapPolygon edited="0">
                <wp:start x="0" y="0"/>
                <wp:lineTo x="0" y="21575"/>
                <wp:lineTo x="21540" y="21575"/>
                <wp:lineTo x="21540" y="0"/>
                <wp:lineTo x="0" y="0"/>
              </wp:wrapPolygon>
            </wp:wrapTight>
            <wp:docPr id="2003249039" name="Picture 1" descr="A map of the boundaries and management areas of the Abrolhos Islands and Mid West Trawl Managed Fishery, as prescribed in the Management Plan.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249039" name="Picture 1" descr="A map of the boundaries and management areas of the Abrolhos Islands and Mid West Trawl Managed Fishery, as prescribed in the Management Plan. ">
                      <a:extLst>
                        <a:ext uri="{C183D7F6-B498-43B3-948B-1728B52AA6E4}">
                          <adec:decorative xmlns:adec="http://schemas.microsoft.com/office/drawing/2017/decorative" val="0"/>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9925" cy="82772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Figure </w:t>
      </w:r>
      <w:r>
        <w:fldChar w:fldCharType="begin"/>
      </w:r>
      <w:r>
        <w:instrText xml:space="preserve"> SEQ Figure \* ARABIC </w:instrText>
      </w:r>
      <w:r>
        <w:fldChar w:fldCharType="separate"/>
      </w:r>
      <w:r w:rsidR="00AB15B7">
        <w:rPr>
          <w:noProof/>
        </w:rPr>
        <w:t>1</w:t>
      </w:r>
      <w:r>
        <w:fldChar w:fldCharType="end"/>
      </w:r>
      <w:bookmarkEnd w:id="10"/>
      <w:r>
        <w:t>: Boundaries and management areas of the AIMWTMF, as prescribed in the Management Plan.</w:t>
      </w:r>
    </w:p>
    <w:p w14:paraId="2BBC028B" w14:textId="3407538E" w:rsidR="00FC2EC4" w:rsidRDefault="003937CD" w:rsidP="00DF03B4">
      <w:r>
        <w:lastRenderedPageBreak/>
        <w:t xml:space="preserve">In </w:t>
      </w:r>
      <w:r w:rsidR="00916D71">
        <w:t>2019</w:t>
      </w:r>
      <w:r w:rsidR="000F3003">
        <w:t>,</w:t>
      </w:r>
      <w:r w:rsidR="00916D71">
        <w:t xml:space="preserve"> </w:t>
      </w:r>
      <w:r>
        <w:t xml:space="preserve">a Code of Conduct developed </w:t>
      </w:r>
      <w:r w:rsidR="00916D71">
        <w:t xml:space="preserve">in consultation with industry </w:t>
      </w:r>
      <w:r w:rsidR="008D1D4F">
        <w:t xml:space="preserve">to </w:t>
      </w:r>
      <w:r>
        <w:t xml:space="preserve">provide </w:t>
      </w:r>
      <w:r w:rsidR="00FB1CF9">
        <w:t>guidelines for responsible fishing aiming to mitigate potential impact</w:t>
      </w:r>
      <w:r>
        <w:t>s</w:t>
      </w:r>
      <w:r w:rsidR="00FB1CF9">
        <w:t xml:space="preserve"> of trawling</w:t>
      </w:r>
      <w:r w:rsidRPr="003937CD">
        <w:t xml:space="preserve"> </w:t>
      </w:r>
      <w:r w:rsidR="00FB1CF9">
        <w:t>on the Rock Lobster industry and the broader environment</w:t>
      </w:r>
      <w:r>
        <w:t>. Under the</w:t>
      </w:r>
      <w:r w:rsidR="00446D0E">
        <w:t xml:space="preserve"> C</w:t>
      </w:r>
      <w:r w:rsidR="008D1D4F">
        <w:t>o</w:t>
      </w:r>
      <w:r>
        <w:t>de of Conduct, t</w:t>
      </w:r>
      <w:r w:rsidRPr="00C07491">
        <w:t xml:space="preserve">he </w:t>
      </w:r>
      <w:r w:rsidRPr="00894611">
        <w:t>AIMWTMF is divided into traditional</w:t>
      </w:r>
      <w:r>
        <w:t xml:space="preserve"> </w:t>
      </w:r>
      <w:r w:rsidRPr="00894611">
        <w:t>and non-traditional trawl areas</w:t>
      </w:r>
      <w:r>
        <w:t xml:space="preserve">. </w:t>
      </w:r>
      <w:r w:rsidR="00DF03B4" w:rsidRPr="00C07491">
        <w:t xml:space="preserve">Traditional trawl grounds represent historically established fishing grounds that are known to </w:t>
      </w:r>
      <w:r w:rsidR="00FB1CF9">
        <w:t xml:space="preserve">regularly </w:t>
      </w:r>
      <w:r w:rsidR="00DF03B4" w:rsidRPr="00C07491">
        <w:t xml:space="preserve">produce commercial </w:t>
      </w:r>
      <w:r w:rsidR="00FB1CF9">
        <w:t>quantities</w:t>
      </w:r>
      <w:r w:rsidR="00FB1CF9" w:rsidRPr="00C07491">
        <w:t xml:space="preserve"> </w:t>
      </w:r>
      <w:r w:rsidR="00DF03B4" w:rsidRPr="00C07491">
        <w:t xml:space="preserve">of scallop </w:t>
      </w:r>
      <w:r w:rsidR="00DF03B4" w:rsidRPr="000E1D16">
        <w:t>(</w:t>
      </w:r>
      <w:r w:rsidR="001F640D">
        <w:rPr>
          <w:b/>
          <w:bCs/>
          <w:highlight w:val="green"/>
        </w:rPr>
        <w:fldChar w:fldCharType="begin"/>
      </w:r>
      <w:r w:rsidR="001F640D">
        <w:instrText xml:space="preserve"> REF _Ref178856159 \h </w:instrText>
      </w:r>
      <w:r w:rsidR="001F640D">
        <w:rPr>
          <w:b/>
          <w:bCs/>
          <w:highlight w:val="green"/>
        </w:rPr>
      </w:r>
      <w:r w:rsidR="001F640D">
        <w:rPr>
          <w:b/>
          <w:bCs/>
          <w:highlight w:val="green"/>
        </w:rPr>
        <w:fldChar w:fldCharType="separate"/>
      </w:r>
      <w:r w:rsidR="00AB15B7">
        <w:t xml:space="preserve">Figure </w:t>
      </w:r>
      <w:r w:rsidR="00AB15B7">
        <w:rPr>
          <w:noProof/>
        </w:rPr>
        <w:t>3</w:t>
      </w:r>
      <w:r w:rsidR="001F640D">
        <w:rPr>
          <w:b/>
          <w:bCs/>
          <w:highlight w:val="green"/>
        </w:rPr>
        <w:fldChar w:fldCharType="end"/>
      </w:r>
      <w:r w:rsidR="001F640D">
        <w:rPr>
          <w:b/>
          <w:bCs/>
        </w:rPr>
        <w:t xml:space="preserve">, </w:t>
      </w:r>
      <w:r w:rsidR="00DF03B4" w:rsidRPr="00F234FA">
        <w:rPr>
          <w:b/>
          <w:bCs/>
        </w:rPr>
        <w:fldChar w:fldCharType="begin"/>
      </w:r>
      <w:r w:rsidR="00DF03B4" w:rsidRPr="00F234FA">
        <w:rPr>
          <w:b/>
          <w:bCs/>
        </w:rPr>
        <w:instrText xml:space="preserve"> REF _Ref178586053 \h </w:instrText>
      </w:r>
      <w:r w:rsidR="00DF03B4">
        <w:rPr>
          <w:b/>
          <w:bCs/>
        </w:rPr>
        <w:instrText xml:space="preserve"> \* MERGEFORMAT </w:instrText>
      </w:r>
      <w:r w:rsidR="00DF03B4" w:rsidRPr="00F234FA">
        <w:rPr>
          <w:b/>
          <w:bCs/>
        </w:rPr>
      </w:r>
      <w:r w:rsidR="00DF03B4" w:rsidRPr="00F234FA">
        <w:rPr>
          <w:b/>
          <w:bCs/>
        </w:rPr>
        <w:fldChar w:fldCharType="separate"/>
      </w:r>
      <w:r w:rsidR="00AB15B7" w:rsidRPr="00AB15B7">
        <w:t xml:space="preserve">Figure </w:t>
      </w:r>
      <w:r w:rsidR="00AB15B7" w:rsidRPr="00AB15B7">
        <w:rPr>
          <w:noProof/>
        </w:rPr>
        <w:t>4</w:t>
      </w:r>
      <w:r w:rsidR="00DF03B4" w:rsidRPr="00F234FA">
        <w:rPr>
          <w:b/>
          <w:bCs/>
        </w:rPr>
        <w:fldChar w:fldCharType="end"/>
      </w:r>
      <w:r w:rsidR="00DF03B4" w:rsidRPr="00F234FA">
        <w:t>)</w:t>
      </w:r>
      <w:r w:rsidR="00FB1CF9">
        <w:t>.</w:t>
      </w:r>
      <w:r w:rsidR="00394D69">
        <w:t xml:space="preserve"> </w:t>
      </w:r>
      <w:r w:rsidR="00FB1CF9">
        <w:t>In these areas</w:t>
      </w:r>
      <w:r w:rsidR="00394D69">
        <w:t xml:space="preserve">, </w:t>
      </w:r>
      <w:r w:rsidR="00DF03B4" w:rsidRPr="00C07491">
        <w:t xml:space="preserve">fishing with main gear is permitted any time during the season. </w:t>
      </w:r>
      <w:r w:rsidR="00FC2EC4">
        <w:t>The</w:t>
      </w:r>
      <w:r w:rsidR="00DF03B4" w:rsidRPr="00C07491">
        <w:t xml:space="preserve"> ‘non-traditional’ areas</w:t>
      </w:r>
      <w:r w:rsidR="00FC2EC4">
        <w:t xml:space="preserve"> </w:t>
      </w:r>
      <w:r w:rsidR="00DF03B4" w:rsidRPr="00C07491">
        <w:t xml:space="preserve">are </w:t>
      </w:r>
      <w:r>
        <w:t xml:space="preserve">sandy habitats not historically fished and are </w:t>
      </w:r>
      <w:r w:rsidR="00DF03B4" w:rsidRPr="00C07491">
        <w:t xml:space="preserve">subject to </w:t>
      </w:r>
      <w:r w:rsidR="00DF03B4">
        <w:t xml:space="preserve">an </w:t>
      </w:r>
      <w:r w:rsidR="00DF03B4" w:rsidRPr="00C07491">
        <w:t>exploratory fishing</w:t>
      </w:r>
      <w:r w:rsidR="00DF03B4">
        <w:t xml:space="preserve"> approach. </w:t>
      </w:r>
    </w:p>
    <w:p w14:paraId="62843BA8" w14:textId="36646D24" w:rsidR="00DF03B4" w:rsidRDefault="001F640D" w:rsidP="00DF03B4">
      <w:r>
        <w:rPr>
          <w:noProof/>
        </w:rPr>
        <mc:AlternateContent>
          <mc:Choice Requires="wps">
            <w:drawing>
              <wp:anchor distT="0" distB="0" distL="114300" distR="114300" simplePos="0" relativeHeight="251658247" behindDoc="0" locked="0" layoutInCell="1" allowOverlap="1" wp14:anchorId="196DF7D6" wp14:editId="5F4FCE60">
                <wp:simplePos x="0" y="0"/>
                <wp:positionH relativeFrom="column">
                  <wp:posOffset>-205740</wp:posOffset>
                </wp:positionH>
                <wp:positionV relativeFrom="paragraph">
                  <wp:posOffset>6571615</wp:posOffset>
                </wp:positionV>
                <wp:extent cx="6673850" cy="635"/>
                <wp:effectExtent l="0" t="0" r="0" b="0"/>
                <wp:wrapTopAndBottom/>
                <wp:docPr id="1392473882" name="Text Box 1"/>
                <wp:cNvGraphicFramePr/>
                <a:graphic xmlns:a="http://schemas.openxmlformats.org/drawingml/2006/main">
                  <a:graphicData uri="http://schemas.microsoft.com/office/word/2010/wordprocessingShape">
                    <wps:wsp>
                      <wps:cNvSpPr txBox="1"/>
                      <wps:spPr>
                        <a:xfrm>
                          <a:off x="0" y="0"/>
                          <a:ext cx="6673850" cy="635"/>
                        </a:xfrm>
                        <a:prstGeom prst="rect">
                          <a:avLst/>
                        </a:prstGeom>
                        <a:solidFill>
                          <a:prstClr val="white"/>
                        </a:solidFill>
                        <a:ln>
                          <a:noFill/>
                        </a:ln>
                      </wps:spPr>
                      <wps:txbx>
                        <w:txbxContent>
                          <w:p w14:paraId="71B8844E" w14:textId="7292E522" w:rsidR="001F640D" w:rsidRPr="000929AE" w:rsidRDefault="001F640D" w:rsidP="001F640D">
                            <w:pPr>
                              <w:pStyle w:val="Caption"/>
                              <w:rPr>
                                <w:noProof/>
                                <w:szCs w:val="22"/>
                              </w:rPr>
                            </w:pPr>
                            <w:bookmarkStart w:id="11" w:name="_Ref182398029"/>
                            <w:r>
                              <w:t xml:space="preserve">Figure </w:t>
                            </w:r>
                            <w:r>
                              <w:fldChar w:fldCharType="begin"/>
                            </w:r>
                            <w:r>
                              <w:instrText xml:space="preserve"> SEQ Figure \* ARABIC </w:instrText>
                            </w:r>
                            <w:r>
                              <w:fldChar w:fldCharType="separate"/>
                            </w:r>
                            <w:r w:rsidR="00AB15B7">
                              <w:rPr>
                                <w:noProof/>
                              </w:rPr>
                              <w:t>2</w:t>
                            </w:r>
                            <w:r>
                              <w:fldChar w:fldCharType="end"/>
                            </w:r>
                            <w:bookmarkEnd w:id="11"/>
                            <w:r>
                              <w:t xml:space="preserve">: </w:t>
                            </w:r>
                            <w:r w:rsidRPr="00606FB8">
                              <w:t>Protocols for Exploratory Fishing in Non-Traditional Areas or Unknown Grounds within the AIMWTMF.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96DF7D6" id="_x0000_t202" coordsize="21600,21600" o:spt="202" path="m,l,21600r21600,l21600,xe">
                <v:stroke joinstyle="miter"/>
                <v:path gradientshapeok="t" o:connecttype="rect"/>
              </v:shapetype>
              <v:shape id="Text Box 1" o:spid="_x0000_s1026" type="#_x0000_t202" style="position:absolute;margin-left:-16.2pt;margin-top:517.45pt;width:525.5pt;height:.05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" stroked="f">
                <v:textbox style="mso-fit-shape-to-text:t" inset="0,0,0,0">
                  <w:txbxContent>
                    <w:p w14:paraId="71B8844E" w14:textId="7292E522" w:rsidR="001F640D" w:rsidRPr="000929AE" w:rsidRDefault="001F640D" w:rsidP="001F640D">
                      <w:pPr>
                        <w:pStyle w:val="Caption"/>
                        <w:rPr>
                          <w:noProof/>
                          <w:szCs w:val="22"/>
                        </w:rPr>
                      </w:pPr>
                      <w:bookmarkStart w:id="12" w:name="_Ref182398029"/>
                      <w:r>
                        <w:t xml:space="preserve">Figure </w:t>
                      </w:r>
                      <w:r>
                        <w:fldChar w:fldCharType="begin"/>
                      </w:r>
                      <w:r>
                        <w:instrText xml:space="preserve"> SEQ Figure \* ARABIC </w:instrText>
                      </w:r>
                      <w:r>
                        <w:fldChar w:fldCharType="separate"/>
                      </w:r>
                      <w:r w:rsidR="00AB15B7">
                        <w:rPr>
                          <w:noProof/>
                        </w:rPr>
                        <w:t>2</w:t>
                      </w:r>
                      <w:r>
                        <w:fldChar w:fldCharType="end"/>
                      </w:r>
                      <w:bookmarkEnd w:id="12"/>
                      <w:r>
                        <w:t xml:space="preserve">: </w:t>
                      </w:r>
                      <w:r w:rsidRPr="00606FB8">
                        <w:t>Protocols for Exploratory Fishing in Non-Traditional Areas or Unknown Grounds within the AIMWTMF.</w:t>
                      </w:r>
                    </w:p>
                  </w:txbxContent>
                </v:textbox>
                <w10:wrap type="topAndBottom"/>
              </v:shape>
            </w:pict>
          </mc:Fallback>
        </mc:AlternateContent>
      </w:r>
      <w:r w:rsidR="00EF4088">
        <w:rPr>
          <w:noProof/>
        </w:rPr>
        <w:drawing>
          <wp:anchor distT="0" distB="0" distL="114300" distR="114300" simplePos="0" relativeHeight="251658243" behindDoc="1" locked="0" layoutInCell="1" allowOverlap="1" wp14:anchorId="05F17DD1" wp14:editId="251DF9FE">
            <wp:simplePos x="0" y="0"/>
            <wp:positionH relativeFrom="margin">
              <wp:posOffset>-205740</wp:posOffset>
            </wp:positionH>
            <wp:positionV relativeFrom="paragraph">
              <wp:posOffset>1399540</wp:posOffset>
            </wp:positionV>
            <wp:extent cx="6673850" cy="5114925"/>
            <wp:effectExtent l="0" t="0" r="0" b="9525"/>
            <wp:wrapTopAndBottom/>
            <wp:docPr id="582160830" name="Picture 1" descr="A diagram referring to the protocols for exploratory fishing in non-traditional areas of unknown fishing grounds within the Abrolhos Islands and Mid West Trawl Managed Fisher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60830" name="Picture 1" descr="A diagram referring to the protocols for exploratory fishing in non-traditional areas of unknown fishing grounds within the Abrolhos Islands and Mid West Trawl Managed Fishery.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73850" cy="5114925"/>
                    </a:xfrm>
                    <a:prstGeom prst="rect">
                      <a:avLst/>
                    </a:prstGeom>
                    <a:noFill/>
                    <a:ln>
                      <a:noFill/>
                    </a:ln>
                  </pic:spPr>
                </pic:pic>
              </a:graphicData>
            </a:graphic>
            <wp14:sizeRelH relativeFrom="page">
              <wp14:pctWidth>0</wp14:pctWidth>
            </wp14:sizeRelH>
            <wp14:sizeRelV relativeFrom="page">
              <wp14:pctHeight>0</wp14:pctHeight>
            </wp14:sizeRelV>
          </wp:anchor>
        </w:drawing>
      </w:r>
      <w:r w:rsidR="00DF03B4">
        <w:t>P</w:t>
      </w:r>
      <w:r w:rsidR="00DF03B4" w:rsidRPr="004A22E0">
        <w:t xml:space="preserve">rotocols for </w:t>
      </w:r>
      <w:r w:rsidR="00FC2EC4">
        <w:t>‘</w:t>
      </w:r>
      <w:r w:rsidR="00DF03B4" w:rsidRPr="004A22E0">
        <w:t>exploratory fishing</w:t>
      </w:r>
      <w:r w:rsidR="00FC2EC4">
        <w:t>’</w:t>
      </w:r>
      <w:r w:rsidR="00DF03B4" w:rsidRPr="004A22E0">
        <w:t xml:space="preserve"> are also set out in the </w:t>
      </w:r>
      <w:r w:rsidR="00DF03B4" w:rsidRPr="000E7D4F">
        <w:rPr>
          <w:i/>
          <w:iCs/>
        </w:rPr>
        <w:t>Saucer Scallop Resource of the Abrolhos Islands Harvest Strategy 2020 - 2025</w:t>
      </w:r>
      <w:r w:rsidR="00DF03B4" w:rsidRPr="000E7D4F" w:rsidDel="00B4620C">
        <w:rPr>
          <w:i/>
          <w:iCs/>
        </w:rPr>
        <w:t xml:space="preserve"> </w:t>
      </w:r>
      <w:r w:rsidR="00DF03B4">
        <w:t>(</w:t>
      </w:r>
      <w:hyperlink r:id="rId21" w:history="1">
        <w:bookmarkStart w:id="12" w:name="_Hlk181875095"/>
        <w:r w:rsidR="00DF03B4" w:rsidRPr="00270A39">
          <w:rPr>
            <w:rStyle w:val="Hyperlink"/>
          </w:rPr>
          <w:t xml:space="preserve">AIMWTMF </w:t>
        </w:r>
        <w:hyperlink r:id="rId22" w:history="1">
          <w:r w:rsidR="00DF03B4" w:rsidRPr="00270A39">
            <w:rPr>
              <w:rStyle w:val="Hyperlink"/>
            </w:rPr>
            <w:t>Harvest Strategy</w:t>
          </w:r>
        </w:hyperlink>
        <w:bookmarkEnd w:id="12"/>
      </w:hyperlink>
      <w:r w:rsidR="000F3003">
        <w:t>)</w:t>
      </w:r>
      <w:r w:rsidR="00DF03B4">
        <w:t>.</w:t>
      </w:r>
      <w:r w:rsidR="00712CE5">
        <w:t xml:space="preserve"> </w:t>
      </w:r>
      <w:r w:rsidR="00EF4088">
        <w:t>outlines t</w:t>
      </w:r>
      <w:r w:rsidR="008D1D4F">
        <w:t>he</w:t>
      </w:r>
      <w:r w:rsidR="00EF4088">
        <w:t xml:space="preserve"> process to develop</w:t>
      </w:r>
      <w:r w:rsidR="003937CD">
        <w:t xml:space="preserve"> n</w:t>
      </w:r>
      <w:r w:rsidR="00DF03B4" w:rsidRPr="00027EF1">
        <w:t xml:space="preserve">ew fishing grounds </w:t>
      </w:r>
      <w:r>
        <w:t>using</w:t>
      </w:r>
      <w:r w:rsidR="00DF03B4" w:rsidRPr="00027EF1">
        <w:t xml:space="preserve"> exploratory fishing</w:t>
      </w:r>
      <w:r w:rsidR="00EF4088">
        <w:t xml:space="preserve"> (a combination of echo soundings and surveys using try gear</w:t>
      </w:r>
      <w:r>
        <w:t>)</w:t>
      </w:r>
      <w:r w:rsidRPr="00027EF1">
        <w:t xml:space="preserve"> and</w:t>
      </w:r>
      <w:r w:rsidR="00EF4088">
        <w:t xml:space="preserve"> </w:t>
      </w:r>
      <w:r w:rsidR="00DF03B4">
        <w:t>following a</w:t>
      </w:r>
      <w:r w:rsidR="00EF4088">
        <w:t xml:space="preserve"> scientific </w:t>
      </w:r>
      <w:r w:rsidR="00DF03B4">
        <w:t xml:space="preserve">assessment by DPIRD. </w:t>
      </w:r>
      <w:r w:rsidR="00DF03B4" w:rsidRPr="00C07491">
        <w:t>Total area closures near major population centres, including Port areas, apply throughout the season.</w:t>
      </w:r>
      <w:r w:rsidR="00DF03B4">
        <w:t xml:space="preserve"> </w:t>
      </w:r>
    </w:p>
    <w:p w14:paraId="19328A56" w14:textId="77777777" w:rsidR="00F67662" w:rsidRDefault="00F67662" w:rsidP="00B4620C"/>
    <w:p w14:paraId="4A5C58F0" w14:textId="2370CB05" w:rsidR="005D2A14" w:rsidRDefault="004E0C0A" w:rsidP="004E0C0A">
      <w:pPr>
        <w:pStyle w:val="Caption"/>
        <w:keepNext/>
      </w:pPr>
      <w:bookmarkStart w:id="13" w:name="_Ref178856159"/>
      <w:r>
        <w:rPr>
          <w:b/>
          <w:noProof/>
          <w:highlight w:val="green"/>
        </w:rPr>
        <w:lastRenderedPageBreak/>
        <w:drawing>
          <wp:anchor distT="0" distB="0" distL="114300" distR="114300" simplePos="0" relativeHeight="251658241" behindDoc="1" locked="0" layoutInCell="1" allowOverlap="1" wp14:anchorId="05D5CCE8" wp14:editId="6776B4F4">
            <wp:simplePos x="0" y="0"/>
            <wp:positionH relativeFrom="margin">
              <wp:posOffset>280035</wp:posOffset>
            </wp:positionH>
            <wp:positionV relativeFrom="paragraph">
              <wp:posOffset>3810</wp:posOffset>
            </wp:positionV>
            <wp:extent cx="5703570" cy="8277225"/>
            <wp:effectExtent l="0" t="0" r="0" b="9525"/>
            <wp:wrapTight wrapText="bothSides">
              <wp:wrapPolygon edited="0">
                <wp:start x="0" y="0"/>
                <wp:lineTo x="0" y="21575"/>
                <wp:lineTo x="21499" y="21575"/>
                <wp:lineTo x="21499" y="0"/>
                <wp:lineTo x="0" y="0"/>
              </wp:wrapPolygon>
            </wp:wrapTight>
            <wp:docPr id="2145512391" name="Picture 2" descr="A map of the boundaries and management areas of the Abrolhos Islands and Mid West Trawl Managed Fishery, as per Notice No. 1 of 2023, which refers to the areas closed to fishing for scallops and praw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512391" name="Picture 2" descr="A map of the boundaries and management areas of the Abrolhos Islands and Mid West Trawl Managed Fishery, as per Notice No. 1 of 2023, which refers to the areas closed to fishing for scallops and prawns.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03570" cy="827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5D2A14">
        <w:t xml:space="preserve">Figure </w:t>
      </w:r>
      <w:r w:rsidR="005D2A14">
        <w:fldChar w:fldCharType="begin"/>
      </w:r>
      <w:r w:rsidR="005D2A14">
        <w:instrText xml:space="preserve"> SEQ Figure \* ARABIC </w:instrText>
      </w:r>
      <w:r w:rsidR="005D2A14">
        <w:fldChar w:fldCharType="separate"/>
      </w:r>
      <w:r w:rsidR="00AB15B7">
        <w:rPr>
          <w:noProof/>
        </w:rPr>
        <w:t>3</w:t>
      </w:r>
      <w:r w:rsidR="005D2A14">
        <w:fldChar w:fldCharType="end"/>
      </w:r>
      <w:bookmarkEnd w:id="13"/>
      <w:r w:rsidR="005D2A14">
        <w:t xml:space="preserve">: </w:t>
      </w:r>
      <w:r w:rsidR="005D2A14" w:rsidRPr="00692AD2">
        <w:t xml:space="preserve">Boundaries and management areas of the </w:t>
      </w:r>
      <w:r w:rsidR="00DF03B4">
        <w:t xml:space="preserve">AIMWTMF, </w:t>
      </w:r>
      <w:r w:rsidR="00F67662">
        <w:t xml:space="preserve">as per Notice No. 1 of 2023 – </w:t>
      </w:r>
      <w:hyperlink r:id="rId24" w:history="1">
        <w:r w:rsidR="00F67662" w:rsidRPr="004E0C0A">
          <w:rPr>
            <w:rStyle w:val="Hyperlink"/>
          </w:rPr>
          <w:t xml:space="preserve">Areas Closed to Fishing </w:t>
        </w:r>
        <w:r w:rsidRPr="004E0C0A">
          <w:rPr>
            <w:rStyle w:val="Hyperlink"/>
          </w:rPr>
          <w:t>for Scallops and Prawns</w:t>
        </w:r>
      </w:hyperlink>
      <w:r w:rsidR="00F67662">
        <w:t>.</w:t>
      </w:r>
      <w:r w:rsidR="00FB503D">
        <w:t xml:space="preserve"> </w:t>
      </w:r>
    </w:p>
    <w:p w14:paraId="2CF88BCC" w14:textId="22F5CCCB" w:rsidR="00F01392" w:rsidRDefault="00B84893" w:rsidP="00B84893">
      <w:pPr>
        <w:keepNext/>
      </w:pPr>
      <w:bookmarkStart w:id="14" w:name="_Ref182393595"/>
      <w:r w:rsidRPr="00DF03B4">
        <w:rPr>
          <w:i/>
          <w:iCs/>
          <w:noProof/>
          <w:color w:val="4000A6"/>
        </w:rPr>
        <w:lastRenderedPageBreak/>
        <w:drawing>
          <wp:anchor distT="0" distB="0" distL="114300" distR="114300" simplePos="0" relativeHeight="251658242" behindDoc="1" locked="0" layoutInCell="1" allowOverlap="1" wp14:anchorId="6EFEF98D" wp14:editId="543B1E00">
            <wp:simplePos x="0" y="0"/>
            <wp:positionH relativeFrom="margin">
              <wp:posOffset>251460</wp:posOffset>
            </wp:positionH>
            <wp:positionV relativeFrom="paragraph">
              <wp:posOffset>4445</wp:posOffset>
            </wp:positionV>
            <wp:extent cx="5581650" cy="8031480"/>
            <wp:effectExtent l="0" t="0" r="0" b="7620"/>
            <wp:wrapTight wrapText="bothSides">
              <wp:wrapPolygon edited="0">
                <wp:start x="0" y="0"/>
                <wp:lineTo x="0" y="21569"/>
                <wp:lineTo x="21526" y="21569"/>
                <wp:lineTo x="21526" y="0"/>
                <wp:lineTo x="0" y="0"/>
              </wp:wrapPolygon>
            </wp:wrapTight>
            <wp:docPr id="66609709" name="Picture 5" descr="A map of the traditional scallop trawl areas in the Abrolhos Islands and Mid West Trawl Managed FIsh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09709" name="Picture 5" descr="A map of the traditional scallop trawl areas in the Abrolhos Islands and Mid West Trawl Managed FIshery.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81650" cy="803148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5" w:name="_Ref178586053"/>
      <w:bookmarkStart w:id="16" w:name="_Ref178843105"/>
      <w:r w:rsidR="00F01392" w:rsidRPr="00DF03B4">
        <w:rPr>
          <w:i/>
          <w:iCs/>
        </w:rPr>
        <w:t xml:space="preserve">Figure </w:t>
      </w:r>
      <w:r w:rsidR="00F01392" w:rsidRPr="00DF03B4">
        <w:rPr>
          <w:i/>
          <w:iCs/>
        </w:rPr>
        <w:fldChar w:fldCharType="begin"/>
      </w:r>
      <w:r w:rsidR="00F01392" w:rsidRPr="00DF03B4">
        <w:rPr>
          <w:i/>
          <w:iCs/>
        </w:rPr>
        <w:instrText xml:space="preserve"> SEQ Figure \* ARABIC </w:instrText>
      </w:r>
      <w:r w:rsidR="00F01392" w:rsidRPr="00DF03B4">
        <w:rPr>
          <w:i/>
          <w:iCs/>
        </w:rPr>
        <w:fldChar w:fldCharType="separate"/>
      </w:r>
      <w:r w:rsidR="00AB15B7">
        <w:rPr>
          <w:i/>
          <w:iCs/>
          <w:noProof/>
        </w:rPr>
        <w:t>4</w:t>
      </w:r>
      <w:r w:rsidR="00F01392" w:rsidRPr="00DF03B4">
        <w:rPr>
          <w:i/>
          <w:iCs/>
        </w:rPr>
        <w:fldChar w:fldCharType="end"/>
      </w:r>
      <w:bookmarkEnd w:id="14"/>
      <w:bookmarkEnd w:id="15"/>
      <w:r w:rsidR="00F01392" w:rsidRPr="00DF03B4">
        <w:rPr>
          <w:i/>
          <w:iCs/>
        </w:rPr>
        <w:t>: Traditional scallop trawl areas in the AIMWTMF</w:t>
      </w:r>
      <w:r w:rsidR="00270A39">
        <w:t xml:space="preserve">. </w:t>
      </w:r>
      <w:r w:rsidR="00D66CBD">
        <w:rPr>
          <w:rStyle w:val="FootnoteReference"/>
        </w:rPr>
        <w:footnoteReference w:id="2"/>
      </w:r>
      <w:bookmarkEnd w:id="16"/>
      <w:r w:rsidR="00F01392">
        <w:br w:type="page"/>
      </w:r>
    </w:p>
    <w:p w14:paraId="58670F41" w14:textId="101FF027" w:rsidR="001F640D" w:rsidRDefault="001F640D" w:rsidP="001F640D">
      <w:r w:rsidRPr="00FB11E5">
        <w:lastRenderedPageBreak/>
        <w:t>AIMWTMF trawl footprint information continues to be updated annually</w:t>
      </w:r>
      <w:r>
        <w:t xml:space="preserve">. </w:t>
      </w:r>
      <w:r w:rsidRPr="00FB11E5">
        <w:t>In 2023, the footprint was estimated at 457km</w:t>
      </w:r>
      <w:r w:rsidRPr="001F640D">
        <w:rPr>
          <w:vertAlign w:val="superscript"/>
        </w:rPr>
        <w:t>2</w:t>
      </w:r>
      <w:r w:rsidRPr="00FB11E5">
        <w:t>, representing ~7.7% of the AIMWTMF allowable fish</w:t>
      </w:r>
      <w:r>
        <w:t>ery</w:t>
      </w:r>
      <w:r w:rsidRPr="00FB11E5">
        <w:t xml:space="preserve"> area (~5900 km</w:t>
      </w:r>
      <w:r w:rsidRPr="001F640D">
        <w:rPr>
          <w:vertAlign w:val="superscript"/>
        </w:rPr>
        <w:t>2</w:t>
      </w:r>
      <w:r w:rsidRPr="00FB11E5">
        <w:t>)</w:t>
      </w:r>
      <w:r>
        <w:t xml:space="preserve"> (</w:t>
      </w:r>
      <w:r w:rsidR="00E05AD1" w:rsidRPr="00E05AD1">
        <w:t>Figure 8</w:t>
      </w:r>
      <w:proofErr w:type="gramStart"/>
      <w:r>
        <w:t>).</w:t>
      </w:r>
      <w:r w:rsidRPr="00FB11E5">
        <w:t>This</w:t>
      </w:r>
      <w:proofErr w:type="gramEnd"/>
      <w:r w:rsidRPr="00FB11E5">
        <w:t xml:space="preserve"> is comparable to levels of spatial fishing effort reported for the AIMWTMF for 2005 and 2019 and</w:t>
      </w:r>
      <w:r>
        <w:t xml:space="preserve"> is</w:t>
      </w:r>
      <w:r w:rsidRPr="00FB11E5">
        <w:t xml:space="preserve"> 116 km</w:t>
      </w:r>
      <w:r w:rsidRPr="001F640D">
        <w:rPr>
          <w:vertAlign w:val="superscript"/>
        </w:rPr>
        <w:t>2</w:t>
      </w:r>
      <w:r w:rsidRPr="00FB11E5">
        <w:t xml:space="preserve"> smaller than the cumulative area fished from 2010-19</w:t>
      </w:r>
      <w:r>
        <w:t>, being</w:t>
      </w:r>
      <w:r w:rsidRPr="00FB11E5">
        <w:t xml:space="preserve"> 573 km</w:t>
      </w:r>
      <w:r w:rsidRPr="001F640D">
        <w:rPr>
          <w:vertAlign w:val="superscript"/>
        </w:rPr>
        <w:t>2</w:t>
      </w:r>
      <w:r w:rsidR="006F4D89">
        <w:rPr>
          <w:vertAlign w:val="superscript"/>
        </w:rPr>
        <w:t xml:space="preserve"> </w:t>
      </w:r>
      <w:r w:rsidRPr="00FB11E5">
        <w:t>.</w:t>
      </w:r>
      <w:r w:rsidR="006F4D89">
        <w:t xml:space="preserve"> This suggests an increasing level of targeted fishing by the fleet.</w:t>
      </w:r>
    </w:p>
    <w:p w14:paraId="04C1080F" w14:textId="5D4ADA19" w:rsidR="001F640D" w:rsidRDefault="001F640D" w:rsidP="001F640D">
      <w:r w:rsidRPr="00C07491">
        <w:t xml:space="preserve">Considering the spawning period of saucer scallops (August </w:t>
      </w:r>
      <w:r>
        <w:t>to</w:t>
      </w:r>
      <w:r w:rsidRPr="00C07491">
        <w:t xml:space="preserve"> February/March of the following year), trawling for scallops in the Fishery is only permitted between 1 March and 31 August. The actual commencement and duration of </w:t>
      </w:r>
      <w:proofErr w:type="gramStart"/>
      <w:r w:rsidRPr="00C07491">
        <w:t>fishing</w:t>
      </w:r>
      <w:proofErr w:type="gramEnd"/>
      <w:r w:rsidRPr="00C07491">
        <w:t xml:space="preserve"> however, </w:t>
      </w:r>
      <w:r>
        <w:t>depends</w:t>
      </w:r>
      <w:r w:rsidRPr="00C07491">
        <w:t xml:space="preserve"> on scallop distribution and abundance, </w:t>
      </w:r>
      <w:r>
        <w:t xml:space="preserve">which is highly </w:t>
      </w:r>
      <w:r w:rsidRPr="00EE1139">
        <w:t>variable</w:t>
      </w:r>
      <w:r>
        <w:t>. A</w:t>
      </w:r>
      <w:r w:rsidRPr="00C07491">
        <w:t xml:space="preserve"> pre-season survey conducted in November</w:t>
      </w:r>
      <w:r>
        <w:t xml:space="preserve"> each year, and supported by a second survey the following February, is used to base the duration of the season on, as well as identify areas to avoid, to protect the stock</w:t>
      </w:r>
      <w:r w:rsidRPr="00C07491">
        <w:t xml:space="preserve">. Historically, fishing has occurred for between one and eight weeks. </w:t>
      </w:r>
      <w:r>
        <w:t xml:space="preserve">The time and duration of fishing is also dependent on the productivity of other WA scallop managed fisheries, which AIMWTMF operators also hold authorisations to fish in. </w:t>
      </w:r>
    </w:p>
    <w:p w14:paraId="7C5ED9F3" w14:textId="4D46B8F3" w:rsidR="001F640D" w:rsidRDefault="001F640D" w:rsidP="001F640D">
      <w:r>
        <w:t>The AIMWTMF also manages prawn fishing in a specified area within the Fishery boundary; the Port Gregory Area (</w:t>
      </w:r>
      <w:r>
        <w:fldChar w:fldCharType="begin"/>
      </w:r>
      <w:r>
        <w:instrText xml:space="preserve"> REF _Ref182393595 \h </w:instrText>
      </w:r>
      <w:r>
        <w:fldChar w:fldCharType="separate"/>
      </w:r>
      <w:r w:rsidR="00AB15B7" w:rsidRPr="00DF03B4">
        <w:rPr>
          <w:i/>
          <w:iCs/>
        </w:rPr>
        <w:t xml:space="preserve">Figure </w:t>
      </w:r>
      <w:r w:rsidR="00AB15B7">
        <w:rPr>
          <w:i/>
          <w:iCs/>
          <w:noProof/>
        </w:rPr>
        <w:t>4</w:t>
      </w:r>
      <w:r>
        <w:fldChar w:fldCharType="end"/>
      </w:r>
      <w:r>
        <w:t xml:space="preserve">). </w:t>
      </w:r>
      <w:r w:rsidRPr="00C07491">
        <w:t xml:space="preserve">The Port Gregory area is open to fishing </w:t>
      </w:r>
      <w:r>
        <w:t xml:space="preserve">from 1 March </w:t>
      </w:r>
      <w:r w:rsidRPr="00C07491">
        <w:t xml:space="preserve">until 15 November of each year, </w:t>
      </w:r>
      <w:r>
        <w:t xml:space="preserve">however fishing in this area to target prawns has not occurred since 2019. </w:t>
      </w:r>
    </w:p>
    <w:p w14:paraId="5DDC2973" w14:textId="77777777" w:rsidR="001F640D" w:rsidRDefault="001F640D" w:rsidP="001F640D">
      <w:r w:rsidRPr="00D87E91">
        <w:t xml:space="preserve">Since 2021, the AIMWTMF has been </w:t>
      </w:r>
      <w:r>
        <w:t xml:space="preserve">certified under the </w:t>
      </w:r>
      <w:r w:rsidRPr="00D87E91">
        <w:t xml:space="preserve">Marine Stewardship Council (MSC) </w:t>
      </w:r>
      <w:r>
        <w:t xml:space="preserve">accreditation standards (version 2.01). </w:t>
      </w:r>
    </w:p>
    <w:p w14:paraId="65E745FF" w14:textId="0D6B84E2" w:rsidR="00A50359" w:rsidRDefault="00A50359" w:rsidP="00A50359">
      <w:pPr>
        <w:pStyle w:val="Heading3"/>
      </w:pPr>
      <w:bookmarkStart w:id="17" w:name="_Toc183695795"/>
      <w:r>
        <w:t>South Coast Trawl Fishery</w:t>
      </w:r>
      <w:bookmarkEnd w:id="17"/>
      <w:r>
        <w:t xml:space="preserve"> </w:t>
      </w:r>
    </w:p>
    <w:p w14:paraId="69568D0A" w14:textId="374898CB" w:rsidR="00DF03B4" w:rsidRDefault="00DF03B4" w:rsidP="00DF03B4">
      <w:pPr>
        <w:rPr>
          <w:lang w:val="en-GB"/>
        </w:rPr>
      </w:pPr>
      <w:r>
        <w:rPr>
          <w:lang w:val="en-GB"/>
        </w:rPr>
        <w:t xml:space="preserve">The SCTF operates under an Instrument of </w:t>
      </w:r>
      <w:r w:rsidRPr="005B1C49">
        <w:rPr>
          <w:lang w:val="en-GB"/>
        </w:rPr>
        <w:t xml:space="preserve">Exemption </w:t>
      </w:r>
      <w:r>
        <w:rPr>
          <w:lang w:val="en-GB"/>
        </w:rPr>
        <w:t xml:space="preserve">to the </w:t>
      </w:r>
      <w:r w:rsidRPr="004A64F1">
        <w:rPr>
          <w:i/>
          <w:iCs/>
          <w:lang w:val="en-GB"/>
        </w:rPr>
        <w:t>Fisheries Notice No. 556 Trawl Prohibition (Whole of State) Notice 1992</w:t>
      </w:r>
      <w:r>
        <w:rPr>
          <w:lang w:val="en-GB"/>
        </w:rPr>
        <w:t xml:space="preserve"> permitting four Fishing Boat Licences (FBLs) to access (western) saucer scallops</w:t>
      </w:r>
      <w:r w:rsidRPr="005543BC">
        <w:t xml:space="preserve"> (</w:t>
      </w:r>
      <w:proofErr w:type="spellStart"/>
      <w:r w:rsidRPr="005543BC">
        <w:t>sp</w:t>
      </w:r>
      <w:proofErr w:type="spellEnd"/>
      <w:r w:rsidRPr="005543BC">
        <w:t xml:space="preserve">: </w:t>
      </w:r>
      <w:proofErr w:type="spellStart"/>
      <w:r w:rsidRPr="005543BC">
        <w:rPr>
          <w:i/>
          <w:iCs/>
        </w:rPr>
        <w:t>Ylistrum</w:t>
      </w:r>
      <w:proofErr w:type="spellEnd"/>
      <w:r w:rsidRPr="005543BC">
        <w:rPr>
          <w:i/>
          <w:iCs/>
        </w:rPr>
        <w:t xml:space="preserve"> </w:t>
      </w:r>
      <w:proofErr w:type="spellStart"/>
      <w:r w:rsidRPr="005543BC">
        <w:rPr>
          <w:i/>
          <w:iCs/>
        </w:rPr>
        <w:t>balloti</w:t>
      </w:r>
      <w:proofErr w:type="spellEnd"/>
      <w:r w:rsidRPr="005543BC">
        <w:t xml:space="preserve">) </w:t>
      </w:r>
      <w:r>
        <w:t xml:space="preserve">off the South Coast of WA, and Commonwealth waters in the Great Australian Bight, </w:t>
      </w:r>
      <w:r>
        <w:rPr>
          <w:lang w:val="en-GB"/>
        </w:rPr>
        <w:t>between Cape Leeuwin (115 degrees E) and 125 degrees E on the landward side of the 200 metre (m) isobath. The Fishery area also includes all WA waters (to three nautical miles seaward from the mean low water mark) between 125 degrees and 129 degrees E (i.e. the WA/South Australian border) (</w:t>
      </w:r>
      <w:r>
        <w:rPr>
          <w:b/>
          <w:bCs/>
          <w:highlight w:val="green"/>
          <w:lang w:val="en-GB"/>
        </w:rPr>
        <w:fldChar w:fldCharType="begin"/>
      </w:r>
      <w:r>
        <w:rPr>
          <w:lang w:val="en-GB"/>
        </w:rPr>
        <w:instrText xml:space="preserve"> REF _Ref178856101 \h </w:instrText>
      </w:r>
      <w:r>
        <w:rPr>
          <w:b/>
          <w:bCs/>
          <w:highlight w:val="green"/>
          <w:lang w:val="en-GB"/>
        </w:rPr>
      </w:r>
      <w:r>
        <w:rPr>
          <w:b/>
          <w:bCs/>
          <w:highlight w:val="green"/>
          <w:lang w:val="en-GB"/>
        </w:rPr>
        <w:fldChar w:fldCharType="separate"/>
      </w:r>
      <w:r w:rsidR="00AB15B7">
        <w:t xml:space="preserve">Figure </w:t>
      </w:r>
      <w:r w:rsidR="00AB15B7">
        <w:rPr>
          <w:noProof/>
        </w:rPr>
        <w:t>5</w:t>
      </w:r>
      <w:r>
        <w:rPr>
          <w:b/>
          <w:bCs/>
          <w:highlight w:val="green"/>
          <w:lang w:val="en-GB"/>
        </w:rPr>
        <w:fldChar w:fldCharType="end"/>
      </w:r>
      <w:r w:rsidRPr="000E7D4F">
        <w:rPr>
          <w:lang w:val="en-GB"/>
        </w:rPr>
        <w:t>)</w:t>
      </w:r>
      <w:r w:rsidRPr="00B97191">
        <w:rPr>
          <w:lang w:val="en-GB"/>
        </w:rPr>
        <w:t>.</w:t>
      </w:r>
      <w:r>
        <w:rPr>
          <w:lang w:val="en-GB"/>
        </w:rPr>
        <w:t xml:space="preserve"> </w:t>
      </w:r>
    </w:p>
    <w:p w14:paraId="460677F1" w14:textId="4BDDA34C" w:rsidR="00FB503D" w:rsidRPr="00D66CBD" w:rsidRDefault="00DF03B4" w:rsidP="00D66CBD">
      <w:pPr>
        <w:rPr>
          <w:lang w:val="en-GB"/>
        </w:rPr>
      </w:pPr>
      <w:r>
        <w:rPr>
          <w:lang w:val="en-GB"/>
        </w:rPr>
        <w:t xml:space="preserve">While the boundary of the Fishery covers a large section of the South Coast of WA, actual fishing effort is targeted to small sandy areas of higher scallop abundance, which is approximately 1-3% of the allowable SCTF fishing area. There are four key fishing areas: </w:t>
      </w:r>
      <w:proofErr w:type="spellStart"/>
      <w:r>
        <w:rPr>
          <w:lang w:val="en-GB"/>
        </w:rPr>
        <w:t>Cheynes</w:t>
      </w:r>
      <w:proofErr w:type="spellEnd"/>
      <w:r>
        <w:rPr>
          <w:lang w:val="en-GB"/>
        </w:rPr>
        <w:t xml:space="preserve"> Beach (near Albany), Doubtful Islands (including Bremmer Bay), the Recherche Archipelago (off Esperance) and Israelite Ba</w:t>
      </w:r>
      <w:r w:rsidR="008F520E">
        <w:rPr>
          <w:lang w:val="en-GB"/>
        </w:rPr>
        <w:t>y</w:t>
      </w:r>
      <w:r>
        <w:rPr>
          <w:lang w:val="en-GB"/>
        </w:rPr>
        <w:t xml:space="preserve">. Fishing at </w:t>
      </w:r>
      <w:proofErr w:type="spellStart"/>
      <w:r w:rsidR="008F520E">
        <w:rPr>
          <w:lang w:val="en-GB"/>
        </w:rPr>
        <w:t>Cheynes</w:t>
      </w:r>
      <w:proofErr w:type="spellEnd"/>
      <w:r w:rsidR="008F520E">
        <w:rPr>
          <w:lang w:val="en-GB"/>
        </w:rPr>
        <w:t xml:space="preserve"> </w:t>
      </w:r>
      <w:r>
        <w:rPr>
          <w:lang w:val="en-GB"/>
        </w:rPr>
        <w:t xml:space="preserve">Beach and Bremer Bay is managed under an </w:t>
      </w:r>
      <w:r>
        <w:rPr>
          <w:i/>
          <w:iCs/>
          <w:lang w:val="en-GB"/>
        </w:rPr>
        <w:t xml:space="preserve">Operations and Communications Protocol </w:t>
      </w:r>
      <w:r>
        <w:rPr>
          <w:lang w:val="en-GB"/>
        </w:rPr>
        <w:t>(OCP, 2021</w:t>
      </w:r>
      <w:r w:rsidR="000F3003">
        <w:rPr>
          <w:lang w:val="en-GB"/>
        </w:rPr>
        <w:t>)</w:t>
      </w:r>
      <w:r w:rsidRPr="005B1C49">
        <w:rPr>
          <w:lang w:val="en-GB"/>
        </w:rPr>
        <w:t>,</w:t>
      </w:r>
      <w:r w:rsidRPr="00293E89">
        <w:rPr>
          <w:lang w:val="en-GB"/>
        </w:rPr>
        <w:t xml:space="preserve"> developed by DPIRD in consultation with industry to support info</w:t>
      </w:r>
      <w:r>
        <w:rPr>
          <w:lang w:val="en-GB"/>
        </w:rPr>
        <w:t xml:space="preserve">rmation sharing between the Fishery’s operators and relevant </w:t>
      </w:r>
      <w:r>
        <w:rPr>
          <w:lang w:val="en-GB"/>
        </w:rPr>
        <w:lastRenderedPageBreak/>
        <w:t xml:space="preserve">stakeholders. The objective of the OCP </w:t>
      </w:r>
      <w:r w:rsidR="001F640D">
        <w:rPr>
          <w:lang w:val="en-GB"/>
        </w:rPr>
        <w:t>is</w:t>
      </w:r>
      <w:r>
        <w:rPr>
          <w:lang w:val="en-GB"/>
        </w:rPr>
        <w:t xml:space="preserve"> to provide adequate information to be able to respond to potential community and media enquiries regarding trawling vessel locations and/or operations. Bremer Bay and </w:t>
      </w:r>
      <w:proofErr w:type="spellStart"/>
      <w:r>
        <w:rPr>
          <w:lang w:val="en-GB"/>
        </w:rPr>
        <w:t>Cheynes</w:t>
      </w:r>
      <w:proofErr w:type="spellEnd"/>
      <w:r>
        <w:rPr>
          <w:lang w:val="en-GB"/>
        </w:rPr>
        <w:t xml:space="preserve"> Beach were identified as key areas of interest due to their high visibility and the OCP provides specific measures that operators must adhere to when planning to fish in these areas. </w:t>
      </w:r>
    </w:p>
    <w:p w14:paraId="1DFDE703" w14:textId="47476C30" w:rsidR="00D66CBD" w:rsidRDefault="00D66CBD" w:rsidP="003238DB">
      <w:pPr>
        <w:pStyle w:val="Caption"/>
      </w:pPr>
      <w:bookmarkStart w:id="18" w:name="_Ref178586077"/>
      <w:r>
        <w:rPr>
          <w:b/>
          <w:noProof/>
        </w:rPr>
        <w:lastRenderedPageBreak/>
        <w:drawing>
          <wp:inline distT="0" distB="0" distL="0" distR="0" wp14:anchorId="1A0E44BB" wp14:editId="633C80D7">
            <wp:extent cx="8568579" cy="6015471"/>
            <wp:effectExtent l="0" t="0" r="4445" b="4445"/>
            <wp:docPr id="867973216" name="Picture 1" descr="A map of the boundaries and management areas of the South Coast Trawl Fish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973216" name="Picture 1" descr="A map of the boundaries and management areas of the South Coast Trawl Fishery.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8592133" cy="6032007"/>
                    </a:xfrm>
                    <a:prstGeom prst="rect">
                      <a:avLst/>
                    </a:prstGeom>
                    <a:noFill/>
                    <a:ln>
                      <a:noFill/>
                    </a:ln>
                  </pic:spPr>
                </pic:pic>
              </a:graphicData>
            </a:graphic>
          </wp:inline>
        </w:drawing>
      </w:r>
    </w:p>
    <w:p w14:paraId="7E37F4DB" w14:textId="7A3D4929" w:rsidR="00FB503D" w:rsidRDefault="003238DB" w:rsidP="003238DB">
      <w:pPr>
        <w:pStyle w:val="Caption"/>
      </w:pPr>
      <w:bookmarkStart w:id="19" w:name="_Ref178856101"/>
      <w:r>
        <w:lastRenderedPageBreak/>
        <w:t xml:space="preserve">Figure </w:t>
      </w:r>
      <w:r>
        <w:fldChar w:fldCharType="begin"/>
      </w:r>
      <w:r>
        <w:instrText xml:space="preserve"> SEQ Figure \* ARABIC </w:instrText>
      </w:r>
      <w:r>
        <w:fldChar w:fldCharType="separate"/>
      </w:r>
      <w:r w:rsidR="00AB15B7">
        <w:rPr>
          <w:noProof/>
        </w:rPr>
        <w:t>5</w:t>
      </w:r>
      <w:r>
        <w:fldChar w:fldCharType="end"/>
      </w:r>
      <w:bookmarkEnd w:id="19"/>
      <w:r>
        <w:t xml:space="preserve">: Boundaries and management areas of the </w:t>
      </w:r>
      <w:r w:rsidR="00DF03B4">
        <w:t>SCTF</w:t>
      </w:r>
      <w:r>
        <w:t>.</w:t>
      </w:r>
      <w:bookmarkEnd w:id="18"/>
      <w:r w:rsidR="00FB503D">
        <w:t xml:space="preserve"> </w:t>
      </w:r>
      <w:r w:rsidR="00FB503D">
        <w:br w:type="page"/>
      </w:r>
    </w:p>
    <w:p w14:paraId="616A2D5A" w14:textId="23828AC6" w:rsidR="001F640D" w:rsidRDefault="001F640D" w:rsidP="001F640D">
      <w:pPr>
        <w:rPr>
          <w:lang w:val="en-GB"/>
        </w:rPr>
      </w:pPr>
      <w:r>
        <w:rPr>
          <w:lang w:val="en-GB"/>
        </w:rPr>
        <w:lastRenderedPageBreak/>
        <w:t>Fishing in the SCTF is permitted from 1 April to 31 October each year, with the remain</w:t>
      </w:r>
      <w:r w:rsidR="007B107C">
        <w:rPr>
          <w:lang w:val="en-GB"/>
        </w:rPr>
        <w:t>d</w:t>
      </w:r>
      <w:r>
        <w:rPr>
          <w:lang w:val="en-GB"/>
        </w:rPr>
        <w:t xml:space="preserve">er of the year (1 November to 30 March) closed to trawling to </w:t>
      </w:r>
      <w:r w:rsidR="00AE7D3F">
        <w:rPr>
          <w:lang w:val="en-GB"/>
        </w:rPr>
        <w:t>protect</w:t>
      </w:r>
      <w:r>
        <w:rPr>
          <w:lang w:val="en-GB"/>
        </w:rPr>
        <w:t xml:space="preserve"> spawning scallop stock and recover post-spawned scallops. Noting areas of the Fishery are visible to popular tourist destinations, and that holiday periods occur over the Easter (generally April) break, DPIRD requires that operators seek </w:t>
      </w:r>
      <w:r w:rsidR="00AE7D3F">
        <w:rPr>
          <w:lang w:val="en-GB"/>
        </w:rPr>
        <w:t xml:space="preserve">DPIRD </w:t>
      </w:r>
      <w:r>
        <w:rPr>
          <w:lang w:val="en-GB"/>
        </w:rPr>
        <w:t xml:space="preserve">approval to commence fishing prior to 1 May. </w:t>
      </w:r>
      <w:r w:rsidR="00AE7D3F">
        <w:rPr>
          <w:lang w:val="en-GB"/>
        </w:rPr>
        <w:t>F</w:t>
      </w:r>
      <w:r>
        <w:rPr>
          <w:lang w:val="en-GB"/>
        </w:rPr>
        <w:t xml:space="preserve">ishing season duration is generally 6-8 weeks, depending on scallop abundance. </w:t>
      </w:r>
    </w:p>
    <w:p w14:paraId="6B5753D4" w14:textId="3B3B6BE7" w:rsidR="009327D1" w:rsidRDefault="009327D1" w:rsidP="009327D1">
      <w:pPr>
        <w:pStyle w:val="Heading2"/>
      </w:pPr>
      <w:bookmarkStart w:id="20" w:name="_Toc183695796"/>
      <w:r>
        <w:t>Fishing methods and gear</w:t>
      </w:r>
      <w:bookmarkEnd w:id="20"/>
      <w:r>
        <w:t xml:space="preserve"> </w:t>
      </w:r>
    </w:p>
    <w:p w14:paraId="53423EC1" w14:textId="62122D12" w:rsidR="00DF03B4" w:rsidRPr="008F2A62" w:rsidRDefault="00DF03B4" w:rsidP="00DF03B4">
      <w:pPr>
        <w:rPr>
          <w:lang w:val="en-GB"/>
        </w:rPr>
      </w:pPr>
      <w:r w:rsidRPr="009327D1">
        <w:t xml:space="preserve">Both </w:t>
      </w:r>
      <w:r>
        <w:t xml:space="preserve">the AIMWTMF and SCTF </w:t>
      </w:r>
      <w:r w:rsidRPr="009327D1">
        <w:t>harvest saucer scallops using low-opening otter trawls</w:t>
      </w:r>
      <w:r>
        <w:t xml:space="preserve"> (</w:t>
      </w:r>
      <w:r w:rsidR="00F9300B">
        <w:rPr>
          <w:highlight w:val="green"/>
        </w:rPr>
        <w:fldChar w:fldCharType="begin"/>
      </w:r>
      <w:r w:rsidR="00F9300B">
        <w:instrText xml:space="preserve"> REF _Ref178856126 \h </w:instrText>
      </w:r>
      <w:r w:rsidR="00F9300B">
        <w:rPr>
          <w:highlight w:val="green"/>
        </w:rPr>
      </w:r>
      <w:r w:rsidR="00F9300B">
        <w:rPr>
          <w:highlight w:val="green"/>
        </w:rPr>
        <w:fldChar w:fldCharType="separate"/>
      </w:r>
      <w:r w:rsidR="00AB15B7">
        <w:t xml:space="preserve">Figure </w:t>
      </w:r>
      <w:r w:rsidR="00AB15B7">
        <w:rPr>
          <w:noProof/>
        </w:rPr>
        <w:t>6</w:t>
      </w:r>
      <w:r w:rsidR="00F9300B">
        <w:rPr>
          <w:highlight w:val="green"/>
        </w:rPr>
        <w:fldChar w:fldCharType="end"/>
      </w:r>
      <w:r>
        <w:t>).</w:t>
      </w:r>
      <w:r w:rsidRPr="009327D1">
        <w:t xml:space="preserve"> </w:t>
      </w:r>
      <w:r>
        <w:t xml:space="preserve">A maximum of two trawl nets and one try net can be used to fish in these Fisheries, where nets have a 10mm ground chain that weighs down the nets and meshes not exceeding 100mm. Nets are towed along the seabed and are held open by a pair of otter boards on either side attached to the wings of the net. </w:t>
      </w:r>
    </w:p>
    <w:p w14:paraId="40382C67" w14:textId="77777777" w:rsidR="009327D1" w:rsidRDefault="009327D1" w:rsidP="009327D1">
      <w:pPr>
        <w:jc w:val="center"/>
        <w:rPr>
          <w:color w:val="4000A6"/>
        </w:rPr>
      </w:pPr>
      <w:r w:rsidRPr="00807CD7">
        <w:rPr>
          <w:noProof/>
          <w:lang w:eastAsia="en-AU"/>
        </w:rPr>
        <w:drawing>
          <wp:inline distT="0" distB="0" distL="0" distR="0" wp14:anchorId="5CC1A991" wp14:editId="052A2AFB">
            <wp:extent cx="2963981" cy="2324735"/>
            <wp:effectExtent l="0" t="0" r="8255" b="0"/>
            <wp:docPr id="41" name="Picture 41" descr="A diagram of a standard twin-rig otter trawl net, including try gear, as used in the Abrolhos Islands and South Coast scallop trawl fishe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diagram of a standard twin-rig otter trawl net, including try gear, as used in the Abrolhos Islands and South Coast scallop trawl fisheries. "/>
                    <pic:cNvPicPr/>
                  </pic:nvPicPr>
                  <pic:blipFill rotWithShape="1">
                    <a:blip r:embed="rId27"/>
                    <a:srcRect l="4456" r="38263"/>
                    <a:stretch/>
                  </pic:blipFill>
                  <pic:spPr bwMode="auto">
                    <a:xfrm>
                      <a:off x="0" y="0"/>
                      <a:ext cx="2981658" cy="2338599"/>
                    </a:xfrm>
                    <a:prstGeom prst="rect">
                      <a:avLst/>
                    </a:prstGeom>
                    <a:ln>
                      <a:noFill/>
                    </a:ln>
                    <a:extLst>
                      <a:ext uri="{53640926-AAD7-44D8-BBD7-CCE9431645EC}">
                        <a14:shadowObscured xmlns:a14="http://schemas.microsoft.com/office/drawing/2010/main"/>
                      </a:ext>
                    </a:extLst>
                  </pic:spPr>
                </pic:pic>
              </a:graphicData>
            </a:graphic>
          </wp:inline>
        </w:drawing>
      </w:r>
    </w:p>
    <w:p w14:paraId="0FCF719F" w14:textId="0ABB31A2" w:rsidR="003D022C" w:rsidRDefault="003238DB" w:rsidP="00F712A6">
      <w:pPr>
        <w:pStyle w:val="Caption"/>
      </w:pPr>
      <w:bookmarkStart w:id="21" w:name="_Ref178856126"/>
      <w:r>
        <w:t xml:space="preserve">Figure </w:t>
      </w:r>
      <w:r>
        <w:fldChar w:fldCharType="begin"/>
      </w:r>
      <w:r>
        <w:instrText xml:space="preserve"> SEQ Figure \* ARABIC </w:instrText>
      </w:r>
      <w:r>
        <w:fldChar w:fldCharType="separate"/>
      </w:r>
      <w:r w:rsidR="00AB15B7">
        <w:rPr>
          <w:noProof/>
        </w:rPr>
        <w:t>6</w:t>
      </w:r>
      <w:r>
        <w:fldChar w:fldCharType="end"/>
      </w:r>
      <w:bookmarkEnd w:id="21"/>
      <w:r>
        <w:t xml:space="preserve">: </w:t>
      </w:r>
      <w:r w:rsidR="003D022C">
        <w:t>Standard twin-rig otter trawl (with try gear).</w:t>
      </w:r>
      <w:r w:rsidR="003D022C" w:rsidRPr="0038555C">
        <w:rPr>
          <w:rFonts w:cstheme="minorHAnsi"/>
          <w:szCs w:val="24"/>
        </w:rPr>
        <w:t xml:space="preserve"> (Source: adapted from Sterling 1998; cited in Kangas et al. 2019)</w:t>
      </w:r>
      <w:r w:rsidR="003D022C">
        <w:rPr>
          <w:rFonts w:cstheme="minorHAnsi"/>
          <w:szCs w:val="24"/>
        </w:rPr>
        <w:t xml:space="preserve">. </w:t>
      </w:r>
    </w:p>
    <w:p w14:paraId="635723B5" w14:textId="0EC6471C" w:rsidR="00DF03B4" w:rsidRPr="00FB7CEE" w:rsidRDefault="00DF03B4" w:rsidP="00DF03B4">
      <w:r w:rsidRPr="00FB7CEE">
        <w:t>Since 2003</w:t>
      </w:r>
      <w:r>
        <w:t xml:space="preserve"> and 2012 respectively, </w:t>
      </w:r>
      <w:r w:rsidRPr="00FB7CEE">
        <w:t>Bycatch Reduction Devices (BRDs) have been required to be fitted to all standard otter trawl nets (exclud</w:t>
      </w:r>
      <w:r>
        <w:t>ing</w:t>
      </w:r>
      <w:r w:rsidRPr="00FB7CEE">
        <w:t xml:space="preserve"> try nets) being used to fish in the </w:t>
      </w:r>
      <w:r>
        <w:t>AIMWTMF and SCTF</w:t>
      </w:r>
      <w:r w:rsidRPr="00FB7CEE">
        <w:t>. Specifically, a rigid barrier grid</w:t>
      </w:r>
      <w:r w:rsidR="00C37A12">
        <w:t xml:space="preserve"> (</w:t>
      </w:r>
      <w:r w:rsidR="00C37A12">
        <w:fldChar w:fldCharType="begin"/>
      </w:r>
      <w:r w:rsidR="00C37A12">
        <w:instrText xml:space="preserve"> REF _Ref182393906 \h </w:instrText>
      </w:r>
      <w:r w:rsidR="00C37A12">
        <w:fldChar w:fldCharType="separate"/>
      </w:r>
      <w:r w:rsidR="00AB15B7">
        <w:t xml:space="preserve">Figure </w:t>
      </w:r>
      <w:r w:rsidR="00AB15B7">
        <w:rPr>
          <w:noProof/>
        </w:rPr>
        <w:t>7</w:t>
      </w:r>
      <w:r w:rsidR="00C37A12">
        <w:fldChar w:fldCharType="end"/>
      </w:r>
      <w:r w:rsidR="00C37A12">
        <w:t>)</w:t>
      </w:r>
      <w:r w:rsidRPr="00FB7CEE">
        <w:t xml:space="preserve"> (installed at an angle no greater than 60 degrees), which comprises vertical bars spaced a minimum of 200mm apart and attached to the circumference of the net. The BRDs are an effective means of minimising the capture of large animals (including turtles), as they are designed to guide these animals, and/or objects, towards the escape opening forward of the grid, which must be at least 750mm wide transversely across the net and 500 mm along the net from the mid-point of the width measurement. </w:t>
      </w:r>
    </w:p>
    <w:p w14:paraId="49ED2EBA" w14:textId="77777777" w:rsidR="000300EA" w:rsidRDefault="000300EA" w:rsidP="000300EA">
      <w:pPr>
        <w:jc w:val="center"/>
        <w:rPr>
          <w:color w:val="4000A6"/>
        </w:rPr>
      </w:pPr>
      <w:r w:rsidRPr="00FB7CEE">
        <w:rPr>
          <w:noProof/>
          <w:lang w:eastAsia="en-AU"/>
        </w:rPr>
        <w:lastRenderedPageBreak/>
        <w:drawing>
          <wp:inline distT="0" distB="0" distL="0" distR="0" wp14:anchorId="7A7918BD" wp14:editId="6DF370CC">
            <wp:extent cx="2460110" cy="2217420"/>
            <wp:effectExtent l="0" t="0" r="0" b="0"/>
            <wp:docPr id="37" name="Picture 37" descr="A diagram of a grid bycatch reduction device, fitted to an otter trawl net, which is used in Western Australian scallop trawl fishe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diagram of a grid bycatch reduction device, fitted to an otter trawl net, which is used in Western Australian scallop trawl fisheries. "/>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7204" cy="2241841"/>
                    </a:xfrm>
                    <a:prstGeom prst="rect">
                      <a:avLst/>
                    </a:prstGeom>
                    <a:noFill/>
                    <a:ln>
                      <a:noFill/>
                    </a:ln>
                  </pic:spPr>
                </pic:pic>
              </a:graphicData>
            </a:graphic>
          </wp:inline>
        </w:drawing>
      </w:r>
    </w:p>
    <w:p w14:paraId="0B9124A0" w14:textId="415F6633" w:rsidR="003238DB" w:rsidRPr="00FB7CEE" w:rsidRDefault="003238DB" w:rsidP="003238DB">
      <w:pPr>
        <w:pStyle w:val="Caption"/>
        <w:rPr>
          <w:color w:val="4000A6"/>
        </w:rPr>
      </w:pPr>
      <w:bookmarkStart w:id="22" w:name="_Ref182393906"/>
      <w:r>
        <w:t xml:space="preserve">Figure </w:t>
      </w:r>
      <w:r>
        <w:fldChar w:fldCharType="begin"/>
      </w:r>
      <w:r>
        <w:instrText xml:space="preserve"> SEQ Figure \* ARABIC </w:instrText>
      </w:r>
      <w:r>
        <w:fldChar w:fldCharType="separate"/>
      </w:r>
      <w:r w:rsidR="00AB15B7">
        <w:rPr>
          <w:noProof/>
        </w:rPr>
        <w:t>7</w:t>
      </w:r>
      <w:r>
        <w:fldChar w:fldCharType="end"/>
      </w:r>
      <w:bookmarkEnd w:id="22"/>
      <w:r>
        <w:t>: Diagrammatic representation of the grid bycatch reduction device used in W</w:t>
      </w:r>
      <w:r w:rsidRPr="00DF03B4">
        <w:t xml:space="preserve">estern Australian trawl fisheries, including the scallop trawl fisheries. (Source: </w:t>
      </w:r>
      <w:proofErr w:type="spellStart"/>
      <w:r w:rsidRPr="00DF03B4">
        <w:t>DoF</w:t>
      </w:r>
      <w:proofErr w:type="spellEnd"/>
      <w:r w:rsidRPr="00DF03B4">
        <w:t xml:space="preserve"> 2004).</w:t>
      </w:r>
    </w:p>
    <w:p w14:paraId="552B79AC" w14:textId="3EC4EC37" w:rsidR="009327D1" w:rsidRDefault="009327D1" w:rsidP="009327D1">
      <w:pPr>
        <w:pStyle w:val="Heading3"/>
      </w:pPr>
      <w:bookmarkStart w:id="23" w:name="_Toc183695797"/>
      <w:r>
        <w:t xml:space="preserve">Abrolhos Islands and </w:t>
      </w:r>
      <w:proofErr w:type="spellStart"/>
      <w:r>
        <w:t>Mid West</w:t>
      </w:r>
      <w:proofErr w:type="spellEnd"/>
      <w:r>
        <w:t xml:space="preserve"> Trawl Managed Fishery</w:t>
      </w:r>
      <w:bookmarkEnd w:id="23"/>
      <w:r>
        <w:t xml:space="preserve"> </w:t>
      </w:r>
    </w:p>
    <w:p w14:paraId="4FA422AD" w14:textId="130BBD93" w:rsidR="009327D1" w:rsidRDefault="009327D1" w:rsidP="009327D1">
      <w:pPr>
        <w:rPr>
          <w:color w:val="4000A6"/>
        </w:rPr>
      </w:pPr>
      <w:r w:rsidRPr="000E7D4F">
        <w:t xml:space="preserve">Operators primarily access scallops within the traditional trawl areas around the Abrolhos </w:t>
      </w:r>
      <w:r w:rsidRPr="00D66CBD">
        <w:t>Islands (</w:t>
      </w:r>
      <w:r w:rsidR="00293E89">
        <w:fldChar w:fldCharType="begin"/>
      </w:r>
      <w:r w:rsidR="00293E89">
        <w:instrText xml:space="preserve"> REF _Ref178856159 \h </w:instrText>
      </w:r>
      <w:r w:rsidR="00293E89">
        <w:fldChar w:fldCharType="separate"/>
      </w:r>
      <w:r w:rsidR="00AB15B7">
        <w:t xml:space="preserve">Figure </w:t>
      </w:r>
      <w:r w:rsidR="00AB15B7">
        <w:rPr>
          <w:noProof/>
        </w:rPr>
        <w:t>3</w:t>
      </w:r>
      <w:r w:rsidR="00293E89">
        <w:fldChar w:fldCharType="end"/>
      </w:r>
      <w:r w:rsidR="00293E89">
        <w:t xml:space="preserve">, </w:t>
      </w:r>
      <w:r w:rsidR="00D66CBD" w:rsidRPr="00D66CBD">
        <w:fldChar w:fldCharType="begin"/>
      </w:r>
      <w:r w:rsidR="00D66CBD" w:rsidRPr="00D66CBD">
        <w:instrText xml:space="preserve"> REF _Ref178586053 \h </w:instrText>
      </w:r>
      <w:r w:rsidR="00D66CBD">
        <w:instrText xml:space="preserve"> \* MERGEFORMAT </w:instrText>
      </w:r>
      <w:r w:rsidR="00D66CBD" w:rsidRPr="00D66CBD">
        <w:fldChar w:fldCharType="separate"/>
      </w:r>
      <w:r w:rsidR="00AB15B7" w:rsidRPr="00AB15B7">
        <w:t xml:space="preserve">Figure </w:t>
      </w:r>
      <w:r w:rsidR="00AB15B7" w:rsidRPr="00AB15B7">
        <w:rPr>
          <w:noProof/>
        </w:rPr>
        <w:t>4</w:t>
      </w:r>
      <w:r w:rsidR="00D66CBD" w:rsidRPr="00D66CBD">
        <w:fldChar w:fldCharType="end"/>
      </w:r>
      <w:r w:rsidRPr="00D66CBD">
        <w:t>)</w:t>
      </w:r>
      <w:r w:rsidR="006A1B4D" w:rsidRPr="00D66CBD">
        <w:t>, h</w:t>
      </w:r>
      <w:r w:rsidRPr="00D66CBD">
        <w:t>owever,</w:t>
      </w:r>
      <w:r>
        <w:t xml:space="preserve"> exploratory fishing occurs in non-traditional fishing grounds, where vessels are required to </w:t>
      </w:r>
      <w:r w:rsidRPr="00C07491">
        <w:t>commence fishing with ‘try-gear’ to determine scallop abundance prior to deploying and fishing with main gear</w:t>
      </w:r>
      <w:r>
        <w:t>. A try net is a trawl net with a headrope length no</w:t>
      </w:r>
      <w:r w:rsidR="00C24892">
        <w:t>t</w:t>
      </w:r>
      <w:r>
        <w:t xml:space="preserve"> exceeding 5 metres and mesh size</w:t>
      </w:r>
      <w:r w:rsidR="00C24892">
        <w:t xml:space="preserve"> no</w:t>
      </w:r>
      <w:r>
        <w:t xml:space="preserve"> less than 50 mm. In accordance with </w:t>
      </w:r>
      <w:hyperlink r:id="rId29" w:history="1">
        <w:r w:rsidR="0099556B" w:rsidRPr="00BD7FB4">
          <w:rPr>
            <w:rStyle w:val="Hyperlink"/>
          </w:rPr>
          <w:t>AIMWTMF Harvest Strategy</w:t>
        </w:r>
      </w:hyperlink>
      <w:r>
        <w:t xml:space="preserve">, fishing with main gear can commence if an area of scallops is found, and the ground consists of well-defined sandy substrate. Information regarding these new areas must be provided to other skippers and DPIRD. </w:t>
      </w:r>
    </w:p>
    <w:p w14:paraId="66D31D8A" w14:textId="5A280991" w:rsidR="009327D1" w:rsidRPr="00FB7CEE" w:rsidRDefault="0057441B" w:rsidP="009327D1">
      <w:r>
        <w:t>Historically, the</w:t>
      </w:r>
      <w:r w:rsidRPr="00FB7CEE">
        <w:t xml:space="preserve"> </w:t>
      </w:r>
      <w:r w:rsidR="009327D1" w:rsidRPr="00FB7CEE">
        <w:t xml:space="preserve">Fishery </w:t>
      </w:r>
      <w:r>
        <w:t xml:space="preserve">operated </w:t>
      </w:r>
      <w:r w:rsidR="009327D1" w:rsidRPr="00FB7CEE">
        <w:t xml:space="preserve">under a maximum total net headrope capacity restriction of 256.1 metres (excluding try nets). </w:t>
      </w:r>
      <w:r>
        <w:t>Following a significant amalgamation of licences, the</w:t>
      </w:r>
      <w:r w:rsidR="009327D1" w:rsidRPr="00FB7CEE">
        <w:t xml:space="preserve"> headrope unitization management approach was removed</w:t>
      </w:r>
      <w:r w:rsidR="00723771">
        <w:t xml:space="preserve"> (in </w:t>
      </w:r>
      <w:r w:rsidR="00723771" w:rsidRPr="003238DB">
        <w:t>2018</w:t>
      </w:r>
      <w:r w:rsidR="00723771">
        <w:t>)</w:t>
      </w:r>
      <w:r>
        <w:t xml:space="preserve">. Since then, </w:t>
      </w:r>
      <w:r w:rsidR="009327D1" w:rsidRPr="00723771">
        <w:t>t</w:t>
      </w:r>
      <w:r w:rsidR="009327D1" w:rsidRPr="00FB7CEE">
        <w:t xml:space="preserve">he Fishery has operated </w:t>
      </w:r>
      <w:r>
        <w:t xml:space="preserve">with </w:t>
      </w:r>
      <w:r w:rsidR="009327D1" w:rsidRPr="00FB7CEE">
        <w:t xml:space="preserve">a standardised net </w:t>
      </w:r>
      <w:r w:rsidR="00541F59">
        <w:t>configuration; allowing</w:t>
      </w:r>
      <w:r w:rsidR="00541F59" w:rsidRPr="00FB7CEE">
        <w:t xml:space="preserve"> each vessel to operate using two 12.8 metre (7 fathom) nets in twin gear configuration. </w:t>
      </w:r>
      <w:r w:rsidR="00541F59">
        <w:t>C</w:t>
      </w:r>
      <w:r w:rsidR="00541F59" w:rsidRPr="00FB7CEE">
        <w:t xml:space="preserve">hafers or liners may not cover more than the bottom half of the cod end. Each otter board must not be greater than </w:t>
      </w:r>
      <w:r w:rsidR="00541F59">
        <w:t xml:space="preserve">1.1 meters in height with no more than </w:t>
      </w:r>
      <w:r w:rsidR="00541F59" w:rsidRPr="00FB7CEE">
        <w:t>2</w:t>
      </w:r>
      <w:r w:rsidR="00541F59">
        <w:t xml:space="preserve">.64 square meters in surface </w:t>
      </w:r>
      <w:r w:rsidR="00541F59" w:rsidRPr="006A1B4D">
        <w:t>area</w:t>
      </w:r>
      <w:r w:rsidR="00541F59" w:rsidRPr="000E7D4F">
        <w:t>.</w:t>
      </w:r>
    </w:p>
    <w:p w14:paraId="70613685" w14:textId="28F33233" w:rsidR="009327D1" w:rsidRPr="00FB7CEE" w:rsidRDefault="00C60F22" w:rsidP="009327D1">
      <w:r>
        <w:t xml:space="preserve">Although </w:t>
      </w:r>
      <w:r w:rsidR="00F12622">
        <w:t>not recently done</w:t>
      </w:r>
      <w:r w:rsidR="00AE5B71">
        <w:t>,</w:t>
      </w:r>
      <w:r w:rsidR="00F12622">
        <w:t xml:space="preserve"> f</w:t>
      </w:r>
      <w:r w:rsidR="009327D1" w:rsidRPr="00FB7CEE">
        <w:t xml:space="preserve">ishers in the AIMWTMF are permitted to fish for </w:t>
      </w:r>
      <w:r w:rsidR="000300EA">
        <w:t xml:space="preserve">both scallops and </w:t>
      </w:r>
      <w:r w:rsidR="009327D1" w:rsidRPr="00FB7CEE">
        <w:t xml:space="preserve">prawns </w:t>
      </w:r>
      <w:r w:rsidR="000300EA">
        <w:t>in the Port Gregory area</w:t>
      </w:r>
      <w:r w:rsidR="00787CE6">
        <w:t xml:space="preserve">. In this area operators are permitted to </w:t>
      </w:r>
      <w:r w:rsidR="007B107C">
        <w:t xml:space="preserve">use </w:t>
      </w:r>
      <w:r w:rsidR="00787CE6">
        <w:t>slightly larger</w:t>
      </w:r>
      <w:r w:rsidR="000300EA" w:rsidRPr="00FB7CEE">
        <w:t xml:space="preserve"> otter trawl nets </w:t>
      </w:r>
      <w:r w:rsidR="00787CE6">
        <w:t xml:space="preserve">with </w:t>
      </w:r>
      <w:r w:rsidR="000300EA" w:rsidRPr="00FB7CEE">
        <w:t>a maximum headrope length of 29.27 metres (2 x 8 fathom nets</w:t>
      </w:r>
      <w:r w:rsidR="00C37A12" w:rsidRPr="00FB7CEE">
        <w:t>)</w:t>
      </w:r>
      <w:r w:rsidR="00C37A12">
        <w:t xml:space="preserve"> and</w:t>
      </w:r>
      <w:r w:rsidR="00787CE6">
        <w:t xml:space="preserve"> may use pra</w:t>
      </w:r>
      <w:r w:rsidR="009327D1" w:rsidRPr="00FB7CEE">
        <w:t>wn mesh (61 mm)</w:t>
      </w:r>
      <w:r w:rsidR="000300EA">
        <w:t xml:space="preserve">. </w:t>
      </w:r>
    </w:p>
    <w:p w14:paraId="160C36F7" w14:textId="59763024" w:rsidR="009327D1" w:rsidRPr="008C0EB1" w:rsidRDefault="009327D1" w:rsidP="009327D1">
      <w:r w:rsidRPr="003C18F4">
        <w:t>When fishing in the Port Gregory area,</w:t>
      </w:r>
      <w:r w:rsidRPr="008C0EB1">
        <w:t xml:space="preserve"> a Fish Escape Device (FED)</w:t>
      </w:r>
      <w:r w:rsidR="00C37A12">
        <w:t xml:space="preserve"> </w:t>
      </w:r>
      <w:r w:rsidR="00C37A12" w:rsidRPr="008C0EB1">
        <w:t>must also be incorporated into the nets</w:t>
      </w:r>
      <w:r w:rsidR="00C37A12">
        <w:t xml:space="preserve">. A FED is a type of BRD, </w:t>
      </w:r>
      <w:r w:rsidRPr="008C0EB1">
        <w:t xml:space="preserve">either a square/rectangular opening not less than 400 mm by 300 mm, or a triangular opening with no side measuring less than 300 mm and having a mesh size less than 100mm. FEDs must not contain netting or any other material that may inhibit the egress of fish. </w:t>
      </w:r>
    </w:p>
    <w:p w14:paraId="6F0A2004" w14:textId="4FAF2A30" w:rsidR="009327D1" w:rsidRDefault="00DF03B4" w:rsidP="009327D1">
      <w:r w:rsidRPr="008C0EB1">
        <w:lastRenderedPageBreak/>
        <w:t>Trawling takes place in the day and/or night, in waters less than 40 metres</w:t>
      </w:r>
      <w:r>
        <w:t xml:space="preserve"> (</w:t>
      </w:r>
      <w:hyperlink r:id="rId30" w:history="1">
        <w:r w:rsidR="000F07D6" w:rsidRPr="00A96058">
          <w:rPr>
            <w:rStyle w:val="Hyperlink"/>
          </w:rPr>
          <w:t>AIMWTMF 2</w:t>
        </w:r>
        <w:r w:rsidR="000F07D6" w:rsidRPr="00A96058">
          <w:rPr>
            <w:rStyle w:val="Hyperlink"/>
            <w:vertAlign w:val="superscript"/>
          </w:rPr>
          <w:t>nd</w:t>
        </w:r>
        <w:r w:rsidR="000F07D6" w:rsidRPr="00A96058">
          <w:rPr>
            <w:rStyle w:val="Hyperlink"/>
          </w:rPr>
          <w:t xml:space="preserve"> </w:t>
        </w:r>
        <w:r w:rsidR="00A96058" w:rsidRPr="00A96058">
          <w:rPr>
            <w:rStyle w:val="Hyperlink"/>
          </w:rPr>
          <w:t>MSC Surveillance</w:t>
        </w:r>
        <w:r w:rsidR="000F07D6" w:rsidRPr="00A96058">
          <w:rPr>
            <w:rStyle w:val="Hyperlink"/>
          </w:rPr>
          <w:t xml:space="preserve"> Audit, </w:t>
        </w:r>
        <w:r w:rsidR="00A96058" w:rsidRPr="00A96058">
          <w:rPr>
            <w:rStyle w:val="Hyperlink"/>
          </w:rPr>
          <w:t>2024</w:t>
        </w:r>
      </w:hyperlink>
      <w:r w:rsidRPr="00D80E40">
        <w:t>).</w:t>
      </w:r>
      <w:r w:rsidRPr="008C0EB1">
        <w:t xml:space="preserve"> Each tow can last from 30 minutes up to three hours, depending on scallop abundance. Tow speed is around 2.5 to 3.5 knots. Fishing generally occurs over sandy areas to target scallops and avoid damaging fishing gear on substrates such as reefs. </w:t>
      </w:r>
      <w:r w:rsidR="00121694">
        <w:t>Management mechanisms implemented in the Fishery to mitigate these risks</w:t>
      </w:r>
      <w:r w:rsidR="00121694" w:rsidRPr="008C0EB1">
        <w:t xml:space="preserve"> </w:t>
      </w:r>
      <w:r w:rsidR="00121694">
        <w:t>of interactions</w:t>
      </w:r>
      <w:r w:rsidRPr="008C0EB1">
        <w:t xml:space="preserve"> with vulnerable benthic habitat, including sponges, seagrasses and soft corals</w:t>
      </w:r>
      <w:r w:rsidR="00787CE6">
        <w:t xml:space="preserve"> </w:t>
      </w:r>
      <w:r>
        <w:t xml:space="preserve">are detailed in Table 1 of the </w:t>
      </w:r>
      <w:hyperlink r:id="rId31" w:history="1">
        <w:r w:rsidR="0099556B" w:rsidRPr="00BD7FB4">
          <w:rPr>
            <w:rStyle w:val="Hyperlink"/>
          </w:rPr>
          <w:t>AIMWTMF Harvest Strategy</w:t>
        </w:r>
      </w:hyperlink>
      <w:r w:rsidR="0099556B">
        <w:rPr>
          <w:rStyle w:val="Hyperlink"/>
        </w:rPr>
        <w:t xml:space="preserve">. </w:t>
      </w:r>
    </w:p>
    <w:p w14:paraId="25E77903" w14:textId="67637A06" w:rsidR="00723771" w:rsidRDefault="00723771" w:rsidP="00723771">
      <w:pPr>
        <w:pStyle w:val="Heading3"/>
      </w:pPr>
      <w:bookmarkStart w:id="24" w:name="_Toc183695798"/>
      <w:r>
        <w:t>South Coast Trawl Fishery</w:t>
      </w:r>
      <w:bookmarkEnd w:id="24"/>
      <w:r>
        <w:t xml:space="preserve"> </w:t>
      </w:r>
    </w:p>
    <w:p w14:paraId="139F8766" w14:textId="77777777" w:rsidR="00B56695" w:rsidRDefault="00B56695" w:rsidP="00B56695">
      <w:r>
        <w:t xml:space="preserve">Fishing effort for all WA scallop fisheries is driven by the abundance of scallops in any given year, which can be highly variable due to sporadic recruitment. Recruitment in the SCTF is influenced by environmental factors including sea temperatures, with warmer than average sea temperatures, brought by the warm Leeuwin Current tending to improve scallop recruitment on the South Coast.  </w:t>
      </w:r>
    </w:p>
    <w:p w14:paraId="6A1A1AC9" w14:textId="5E1BD078" w:rsidR="00B56695" w:rsidRDefault="00B56695" w:rsidP="00B56695">
      <w:r>
        <w:t xml:space="preserve">Fishing in the SCTF is intermittent due to temporal restrictions imposed through management controls, the naturally challenging weather conditions on the South Coast, environmental conditions influencing recruitment and operators prioritising fishing in other WA </w:t>
      </w:r>
      <w:r w:rsidRPr="002F5592">
        <w:t xml:space="preserve">scallop managed fisheries for which they also hold authorisations. </w:t>
      </w:r>
      <w:r w:rsidR="00787CE6">
        <w:t>For these reasons</w:t>
      </w:r>
      <w:r w:rsidRPr="002F5592">
        <w:t>, landings since the last assessment of the Fishery</w:t>
      </w:r>
      <w:r>
        <w:rPr>
          <w:b/>
          <w:bCs/>
        </w:rPr>
        <w:t xml:space="preserve"> </w:t>
      </w:r>
      <w:r>
        <w:t xml:space="preserve">have ranged from 31 tonne (meat weight) in 2018 to 238.6t in 2020. When fishing does occur in the SCTF, vessels are generally active for approximately 6-8 weeks (longer in large abundance years), between July-September. </w:t>
      </w:r>
    </w:p>
    <w:p w14:paraId="06827CD8" w14:textId="780EDEB5" w:rsidR="00B56695" w:rsidRDefault="00B56695" w:rsidP="00B56695">
      <w:r>
        <w:t xml:space="preserve">Four authorised vessels </w:t>
      </w:r>
      <w:r w:rsidR="00787CE6">
        <w:t>(</w:t>
      </w:r>
      <w:r>
        <w:t>not exceeding a boat length of 32m</w:t>
      </w:r>
      <w:r w:rsidR="00787CE6">
        <w:t>)</w:t>
      </w:r>
      <w:r>
        <w:t xml:space="preserve"> are permitted to access saucer scallops on the South Coast of WA under </w:t>
      </w:r>
      <w:r w:rsidR="00787CE6">
        <w:t xml:space="preserve">an </w:t>
      </w:r>
      <w:r>
        <w:t>exemption</w:t>
      </w:r>
      <w:r w:rsidR="00787CE6">
        <w:t>. However,</w:t>
      </w:r>
      <w:r w:rsidR="009A4681">
        <w:t xml:space="preserve"> depending on annual scallop abundance, typically only </w:t>
      </w:r>
      <w:r>
        <w:t xml:space="preserve">1 to 3 vessels </w:t>
      </w:r>
      <w:r w:rsidR="009A4681">
        <w:t xml:space="preserve">smaller than 25m in length </w:t>
      </w:r>
      <w:r>
        <w:t xml:space="preserve">access the Fishery. </w:t>
      </w:r>
    </w:p>
    <w:p w14:paraId="56FC2C8E" w14:textId="0B296DE8" w:rsidR="00B56695" w:rsidRDefault="00B56695" w:rsidP="00B56695">
      <w:r>
        <w:t>Under current exemption arrangements</w:t>
      </w:r>
      <w:r w:rsidR="00F12622">
        <w:t>,</w:t>
      </w:r>
      <w:r>
        <w:t xml:space="preserve"> each </w:t>
      </w:r>
      <w:r w:rsidR="009A4681">
        <w:t xml:space="preserve">of the four </w:t>
      </w:r>
      <w:r>
        <w:t>authorised FB</w:t>
      </w:r>
      <w:r w:rsidR="00F12622">
        <w:t>L</w:t>
      </w:r>
      <w:r w:rsidR="009A4681">
        <w:t>s</w:t>
      </w:r>
      <w:r>
        <w:t xml:space="preserve"> </w:t>
      </w:r>
      <w:r w:rsidR="00C37A12">
        <w:t>can</w:t>
      </w:r>
      <w:r>
        <w:t xml:space="preserve"> operate up to two otter trawl nets and one try net with a maximum headrope capacity of 36.58m (excluding the headrope length of try nets; &lt;5m headrope length). This headrope length is the equivalent of two 10 fathom nets. </w:t>
      </w:r>
    </w:p>
    <w:p w14:paraId="2346255F" w14:textId="17CB7D32" w:rsidR="00B56695" w:rsidRDefault="00B56695" w:rsidP="00B56695">
      <w:r>
        <w:t>Management arrangements</w:t>
      </w:r>
      <w:r w:rsidR="009A4681">
        <w:t>, soon</w:t>
      </w:r>
      <w:r>
        <w:t xml:space="preserve"> to </w:t>
      </w:r>
      <w:r w:rsidR="00716FC0">
        <w:t>transition</w:t>
      </w:r>
      <w:r>
        <w:t xml:space="preserve"> under a </w:t>
      </w:r>
      <w:r w:rsidR="009A4681">
        <w:t xml:space="preserve">new </w:t>
      </w:r>
      <w:r>
        <w:t xml:space="preserve">Management Plan for the Fishery, will </w:t>
      </w:r>
      <w:r w:rsidR="00394D69">
        <w:t>formalise</w:t>
      </w:r>
      <w:r w:rsidR="00F12622">
        <w:t xml:space="preserve"> the use of </w:t>
      </w:r>
      <w:r>
        <w:t xml:space="preserve">‘standard’ scallop gear, which includes the net configuration of a maximum of two seven fathom (12.8m) otter trawl nets, and one try net. This is driven by recent (2024) consultation with operators in the SCTF which indicated that since 2018 (the time at which gear units were removed from the AIMWTMF) vessels accessing all three WA scallop-based fisheries (i.e. SCTF, AIMWTMF and Shark Bay Scallop Managed Fishery (SBSMF)) have used the same ‘standard’ scallop gear to improve operational ease and efficiency, i.e. two seven fathom otter trawl nets. </w:t>
      </w:r>
    </w:p>
    <w:p w14:paraId="5514628F" w14:textId="03DD66CE" w:rsidR="00B56695" w:rsidRPr="00C1499B" w:rsidRDefault="00B56695" w:rsidP="00B56695">
      <w:r w:rsidRPr="00C1499B">
        <w:t xml:space="preserve">Specifications regarding the maximum size of otter boards and otter board shoes are not currently managed for this Fishery. It is proposed that this gear, as well as mesh </w:t>
      </w:r>
      <w:r w:rsidRPr="00C1499B">
        <w:lastRenderedPageBreak/>
        <w:t>type and size and BRD</w:t>
      </w:r>
      <w:r>
        <w:t>s</w:t>
      </w:r>
      <w:r w:rsidRPr="00C1499B">
        <w:t xml:space="preserve"> will </w:t>
      </w:r>
      <w:r>
        <w:t xml:space="preserve">also </w:t>
      </w:r>
      <w:r w:rsidRPr="00C1499B">
        <w:t xml:space="preserve">be ‘standardised’ and formalised under the </w:t>
      </w:r>
      <w:r>
        <w:t xml:space="preserve">proposed </w:t>
      </w:r>
      <w:r w:rsidR="009A4681">
        <w:t xml:space="preserve">new </w:t>
      </w:r>
      <w:r w:rsidRPr="00C1499B">
        <w:t xml:space="preserve">Management Plan. </w:t>
      </w:r>
    </w:p>
    <w:p w14:paraId="5C3C2B69" w14:textId="33270C02" w:rsidR="009327D1" w:rsidRDefault="009327D1" w:rsidP="009327D1">
      <w:pPr>
        <w:pStyle w:val="Heading2"/>
      </w:pPr>
      <w:bookmarkStart w:id="25" w:name="_Toc183695799"/>
      <w:r>
        <w:t>Target species and byproduct</w:t>
      </w:r>
      <w:bookmarkEnd w:id="25"/>
      <w:r>
        <w:t xml:space="preserve"> </w:t>
      </w:r>
    </w:p>
    <w:p w14:paraId="27F63BE9" w14:textId="4F6A1208" w:rsidR="00B56695" w:rsidRDefault="00B56695" w:rsidP="00B56695">
      <w:pPr>
        <w:spacing w:before="240"/>
      </w:pPr>
      <w:r w:rsidRPr="00032E08">
        <w:t xml:space="preserve">The AIMWTMF </w:t>
      </w:r>
      <w:r>
        <w:t xml:space="preserve">and SCTF </w:t>
      </w:r>
      <w:r w:rsidRPr="00032E08">
        <w:t>target saucer scallops (</w:t>
      </w:r>
      <w:proofErr w:type="spellStart"/>
      <w:r w:rsidRPr="00032E08">
        <w:rPr>
          <w:i/>
          <w:iCs/>
        </w:rPr>
        <w:t>Ylistrum</w:t>
      </w:r>
      <w:proofErr w:type="spellEnd"/>
      <w:r w:rsidRPr="00032E08">
        <w:rPr>
          <w:i/>
          <w:iCs/>
        </w:rPr>
        <w:t xml:space="preserve"> </w:t>
      </w:r>
      <w:proofErr w:type="spellStart"/>
      <w:r w:rsidRPr="00032E08">
        <w:rPr>
          <w:i/>
          <w:iCs/>
        </w:rPr>
        <w:t>balloti</w:t>
      </w:r>
      <w:proofErr w:type="spellEnd"/>
      <w:r w:rsidRPr="00032E08">
        <w:t xml:space="preserve">); a bivalve mollusc of the family </w:t>
      </w:r>
      <w:proofErr w:type="spellStart"/>
      <w:r w:rsidRPr="00032E08">
        <w:t>Pectinidae</w:t>
      </w:r>
      <w:proofErr w:type="spellEnd"/>
      <w:r w:rsidRPr="00032E08">
        <w:t xml:space="preserve">. </w:t>
      </w:r>
      <w:r>
        <w:t>The species</w:t>
      </w:r>
      <w:r w:rsidRPr="00032E08">
        <w:t xml:space="preserve"> </w:t>
      </w:r>
      <w:r>
        <w:t xml:space="preserve">is predominantly sub-tropical, </w:t>
      </w:r>
      <w:r w:rsidRPr="00032E08">
        <w:t>occur</w:t>
      </w:r>
      <w:r>
        <w:t>ring</w:t>
      </w:r>
      <w:r w:rsidRPr="00032E08">
        <w:t xml:space="preserve"> on both the east and west coasts of Australia and in New Caledonia. On the west coast of Australia, this species is distributed from Broome in the north to Israelite Bay in the south and does not overlap with the easter</w:t>
      </w:r>
      <w:r>
        <w:t>n</w:t>
      </w:r>
      <w:r w:rsidRPr="00032E08">
        <w:t xml:space="preserve"> population. </w:t>
      </w:r>
    </w:p>
    <w:p w14:paraId="2C653057" w14:textId="77777777" w:rsidR="00B56695" w:rsidRDefault="00B56695" w:rsidP="00B56695">
      <w:pPr>
        <w:spacing w:before="240"/>
      </w:pPr>
      <w:r w:rsidRPr="004516BB">
        <w:t xml:space="preserve">The saucer scallop species is </w:t>
      </w:r>
      <w:r>
        <w:t xml:space="preserve">generally </w:t>
      </w:r>
      <w:r w:rsidRPr="004516BB">
        <w:t xml:space="preserve">known to have </w:t>
      </w:r>
      <w:r>
        <w:t>an annual spawning cycle, which varies across the State and associated water temperatures. In the Abrolhos Islands, the saucer scallop population has a spawning period extending from September through to March. The species develops rapidly, in which they grow to a size of 90 mm in 6-12 months; reaching a fishable size from one year’s spawning. Although, an animal can grow as large as 140 mm throughout its life. The species also reaches maturity at around one year of age. Ballot’s saucer scallop is a short-lived species whereby an animal may survive to a maximum age of approximately three years (</w:t>
      </w:r>
      <w:hyperlink r:id="rId32" w:history="1">
        <w:r w:rsidRPr="004516BB">
          <w:rPr>
            <w:rStyle w:val="Hyperlink"/>
          </w:rPr>
          <w:t>Scallop (fish.wa.gov.au)</w:t>
        </w:r>
      </w:hyperlink>
      <w:r>
        <w:t xml:space="preserve">. </w:t>
      </w:r>
    </w:p>
    <w:p w14:paraId="40FC3327" w14:textId="1B7EEA60" w:rsidR="00B56695" w:rsidRDefault="00B56695" w:rsidP="00B56695">
      <w:r>
        <w:t xml:space="preserve">Recruitment is highly variable and not thought to be dependent on the density of spawning biomass. Extreme environmental events, as was observed with a marine heat wave in the summer of 2010/11, can have a significant impact on scallop stocks, particularly at the Abrolhos Islands. Assessments of stock biomass indicate that annual variations in recruitment are due to environmental impacts, particularly water temperature, and that catch rates and annual tonnage disparity is not due to fishing pressure. </w:t>
      </w:r>
      <w:r w:rsidR="003B4E3E">
        <w:t>As</w:t>
      </w:r>
      <w:r>
        <w:t xml:space="preserve"> the species is short-lived, displaying a characteristically high rate of natural mortality, </w:t>
      </w:r>
      <w:r w:rsidR="003B4E3E">
        <w:t>they are</w:t>
      </w:r>
      <w:r>
        <w:t xml:space="preserve"> susceptible to a ‘boom and bust’ life history. </w:t>
      </w:r>
    </w:p>
    <w:p w14:paraId="264325D4" w14:textId="77777777" w:rsidR="00B56695" w:rsidRDefault="00B56695" w:rsidP="00B56695">
      <w:pPr>
        <w:spacing w:before="240"/>
      </w:pPr>
      <w:r>
        <w:t xml:space="preserve">The larger mesh size of 100 mm or greater used in trawl nets for scallop fishing and the requirement to have BRDs in the form of grids fitted in all trawl nets to minimise larger animals being captured, combined with the low number of authorisations and relatively small area/s trawled, is considered to minimise the take of byproduct species. </w:t>
      </w:r>
    </w:p>
    <w:p w14:paraId="0989C361" w14:textId="289750C5" w:rsidR="00FF7F1B" w:rsidRDefault="00FF7F1B" w:rsidP="00FF7F1B">
      <w:pPr>
        <w:pStyle w:val="Heading3"/>
      </w:pPr>
      <w:bookmarkStart w:id="26" w:name="_Toc183695800"/>
      <w:r>
        <w:t xml:space="preserve">Abrolhos Islands and </w:t>
      </w:r>
      <w:proofErr w:type="spellStart"/>
      <w:r>
        <w:t>Mid West</w:t>
      </w:r>
      <w:proofErr w:type="spellEnd"/>
      <w:r>
        <w:t xml:space="preserve"> Trawl Managed Fishery</w:t>
      </w:r>
      <w:bookmarkEnd w:id="26"/>
      <w:r>
        <w:t xml:space="preserve"> </w:t>
      </w:r>
    </w:p>
    <w:p w14:paraId="789C55B9" w14:textId="741E1CAB" w:rsidR="003B4E3E" w:rsidRDefault="00B56695" w:rsidP="00B56695">
      <w:pPr>
        <w:spacing w:before="240"/>
      </w:pPr>
      <w:r>
        <w:t>The Fishery is permitted to retain</w:t>
      </w:r>
      <w:r w:rsidR="003B4E3E">
        <w:t xml:space="preserve"> the following species </w:t>
      </w:r>
      <w:r w:rsidR="003B4E3E" w:rsidRPr="000F6B84">
        <w:t xml:space="preserve">as a </w:t>
      </w:r>
      <w:r w:rsidR="003B4E3E">
        <w:t xml:space="preserve">byproduct </w:t>
      </w:r>
      <w:r w:rsidR="003B4E3E" w:rsidRPr="000F6B84">
        <w:t>component of the catch</w:t>
      </w:r>
      <w:r w:rsidR="003B4E3E">
        <w:t xml:space="preserve">: </w:t>
      </w:r>
    </w:p>
    <w:p w14:paraId="32C0B929" w14:textId="77777777" w:rsidR="003B4E3E" w:rsidRPr="003B4E3E" w:rsidRDefault="003B4E3E" w:rsidP="00972AC9">
      <w:pPr>
        <w:pStyle w:val="ListParagraph"/>
        <w:numPr>
          <w:ilvl w:val="0"/>
          <w:numId w:val="21"/>
        </w:numPr>
        <w:spacing w:before="240"/>
        <w:rPr>
          <w:b/>
          <w:bCs/>
        </w:rPr>
      </w:pPr>
      <w:r>
        <w:t>W</w:t>
      </w:r>
      <w:r w:rsidR="00B56695" w:rsidRPr="000F6B84">
        <w:t>estern king prawns (</w:t>
      </w:r>
      <w:r w:rsidR="00B56695" w:rsidRPr="003B4E3E">
        <w:rPr>
          <w:i/>
          <w:iCs/>
        </w:rPr>
        <w:t xml:space="preserve">Penaeus </w:t>
      </w:r>
      <w:proofErr w:type="spellStart"/>
      <w:r w:rsidR="00B56695" w:rsidRPr="003B4E3E">
        <w:rPr>
          <w:i/>
          <w:iCs/>
        </w:rPr>
        <w:t>latisulcatus</w:t>
      </w:r>
      <w:proofErr w:type="spellEnd"/>
      <w:r w:rsidR="00B56695" w:rsidRPr="000F6B84">
        <w:t>)</w:t>
      </w:r>
      <w:r w:rsidR="00B56695">
        <w:t xml:space="preserve">. </w:t>
      </w:r>
      <w:r>
        <w:t>L</w:t>
      </w:r>
      <w:r w:rsidR="00B56695" w:rsidRPr="000F6B84">
        <w:t>ow numbers of this species have been recorded in recent years.</w:t>
      </w:r>
      <w:r w:rsidR="00B56695">
        <w:t xml:space="preserve"> </w:t>
      </w:r>
      <w:r w:rsidR="00B56695" w:rsidRPr="000F6B84">
        <w:t>Western king prawns have a wide distribution</w:t>
      </w:r>
      <w:r w:rsidR="00B56695">
        <w:t xml:space="preserve"> in Australia</w:t>
      </w:r>
      <w:r w:rsidR="00B56695" w:rsidRPr="000F6B84">
        <w:t>; found west from South Australia and north all around the coast to northern New South Wales.</w:t>
      </w:r>
      <w:r w:rsidR="00B56695">
        <w:t xml:space="preserve"> </w:t>
      </w:r>
    </w:p>
    <w:p w14:paraId="20C362DE" w14:textId="53D1CD60" w:rsidR="00B56695" w:rsidRPr="003B4E3E" w:rsidRDefault="003B4E3E" w:rsidP="00972AC9">
      <w:pPr>
        <w:pStyle w:val="ListParagraph"/>
        <w:numPr>
          <w:ilvl w:val="0"/>
          <w:numId w:val="21"/>
        </w:numPr>
        <w:spacing w:before="240"/>
        <w:rPr>
          <w:b/>
          <w:bCs/>
        </w:rPr>
      </w:pPr>
      <w:r>
        <w:t>S</w:t>
      </w:r>
      <w:r w:rsidR="00B56695" w:rsidRPr="000F6B84">
        <w:t>lipper lobster</w:t>
      </w:r>
      <w:r w:rsidR="00B56695">
        <w:t xml:space="preserve"> and</w:t>
      </w:r>
      <w:r w:rsidR="00B56695" w:rsidRPr="000F6B84">
        <w:t xml:space="preserve"> bugs (</w:t>
      </w:r>
      <w:r w:rsidR="00B56695" w:rsidRPr="003B4E3E">
        <w:rPr>
          <w:i/>
          <w:iCs/>
        </w:rPr>
        <w:t xml:space="preserve">Thenus </w:t>
      </w:r>
      <w:r w:rsidR="00B56695" w:rsidRPr="000F6B84">
        <w:t xml:space="preserve">sp.), although reported landings of these species have been very low and </w:t>
      </w:r>
      <w:r w:rsidR="00B56695">
        <w:t xml:space="preserve">have </w:t>
      </w:r>
      <w:r w:rsidR="00B56695" w:rsidRPr="000F6B84">
        <w:t>represent</w:t>
      </w:r>
      <w:r w:rsidR="00B56695">
        <w:t>ed</w:t>
      </w:r>
      <w:r w:rsidR="00B56695" w:rsidRPr="000F6B84">
        <w:t xml:space="preserve"> less than 0.1% of the catch between 2008 and 2018 (DPIRD-ERA, 2020).</w:t>
      </w:r>
      <w:r w:rsidR="00B56695">
        <w:t xml:space="preserve"> </w:t>
      </w:r>
    </w:p>
    <w:p w14:paraId="02B49F64" w14:textId="3B83FAB7" w:rsidR="00B56695" w:rsidRDefault="003B4E3E" w:rsidP="00972AC9">
      <w:pPr>
        <w:pStyle w:val="ListParagraph"/>
        <w:numPr>
          <w:ilvl w:val="0"/>
          <w:numId w:val="21"/>
        </w:numPr>
        <w:spacing w:before="240"/>
      </w:pPr>
      <w:r>
        <w:lastRenderedPageBreak/>
        <w:t>D</w:t>
      </w:r>
      <w:r w:rsidR="00B56695">
        <w:t xml:space="preserve">emersal </w:t>
      </w:r>
      <w:proofErr w:type="spellStart"/>
      <w:r>
        <w:t>Scalefish</w:t>
      </w:r>
      <w:proofErr w:type="spellEnd"/>
      <w:r>
        <w:t xml:space="preserve">, </w:t>
      </w:r>
      <w:r w:rsidR="00F12622">
        <w:t>if encountered</w:t>
      </w:r>
      <w:r w:rsidR="00B56695">
        <w:t xml:space="preserve">, as </w:t>
      </w:r>
      <w:r w:rsidR="00B56695" w:rsidRPr="000F6B84">
        <w:t xml:space="preserve">specified </w:t>
      </w:r>
      <w:r w:rsidR="00B56695">
        <w:t xml:space="preserve">under clause 24 of the </w:t>
      </w:r>
      <w:r w:rsidR="00B56695" w:rsidRPr="003B4E3E">
        <w:rPr>
          <w:i/>
          <w:iCs/>
        </w:rPr>
        <w:t xml:space="preserve">West Coast Demersal </w:t>
      </w:r>
      <w:proofErr w:type="spellStart"/>
      <w:r w:rsidR="00B56695" w:rsidRPr="003B4E3E">
        <w:rPr>
          <w:i/>
          <w:iCs/>
        </w:rPr>
        <w:t>Scalefish</w:t>
      </w:r>
      <w:proofErr w:type="spellEnd"/>
      <w:r w:rsidR="00B56695" w:rsidRPr="003B4E3E">
        <w:rPr>
          <w:i/>
          <w:iCs/>
        </w:rPr>
        <w:t xml:space="preserve"> (Interim) Managed Fishery Management Plan</w:t>
      </w:r>
      <w:r w:rsidR="00B56695" w:rsidRPr="000F6B84">
        <w:t xml:space="preserve">. However, operators are required to have </w:t>
      </w:r>
      <w:r>
        <w:t>FEDS</w:t>
      </w:r>
      <w:r w:rsidR="00B56695" w:rsidRPr="000F6B84">
        <w:t xml:space="preserve"> fitted to their nets</w:t>
      </w:r>
      <w:r w:rsidR="00B56695">
        <w:t xml:space="preserve"> when operating in the Port Gregory Area</w:t>
      </w:r>
      <w:r w:rsidR="00B56695" w:rsidRPr="000F6B84">
        <w:t xml:space="preserve">, </w:t>
      </w:r>
      <w:r w:rsidR="00B56695">
        <w:t xml:space="preserve">minimising the capture of </w:t>
      </w:r>
      <w:r w:rsidR="00B56695" w:rsidRPr="000F6B84">
        <w:t xml:space="preserve">demersal </w:t>
      </w:r>
      <w:proofErr w:type="spellStart"/>
      <w:r w:rsidR="00B56695" w:rsidRPr="000F6B84">
        <w:t>scalefish</w:t>
      </w:r>
      <w:proofErr w:type="spellEnd"/>
      <w:r w:rsidR="00B56695" w:rsidRPr="000F6B84">
        <w:t xml:space="preserve"> and other fish species</w:t>
      </w:r>
      <w:r w:rsidR="00B56695">
        <w:t xml:space="preserve"> in this location</w:t>
      </w:r>
      <w:r w:rsidR="00B56695" w:rsidRPr="000F6B84">
        <w:t xml:space="preserve">. </w:t>
      </w:r>
    </w:p>
    <w:p w14:paraId="04AA464C" w14:textId="63F54C96" w:rsidR="00FF7F1B" w:rsidRDefault="00FF7F1B" w:rsidP="00FF7F1B">
      <w:pPr>
        <w:pStyle w:val="Heading3"/>
      </w:pPr>
      <w:bookmarkStart w:id="27" w:name="_Toc183695801"/>
      <w:r>
        <w:t>South Coast Trawl Fishery</w:t>
      </w:r>
      <w:bookmarkEnd w:id="27"/>
      <w:r>
        <w:t xml:space="preserve"> </w:t>
      </w:r>
    </w:p>
    <w:p w14:paraId="66751B90" w14:textId="577A908C" w:rsidR="00B56695" w:rsidRDefault="00F12622" w:rsidP="00B56695">
      <w:pPr>
        <w:spacing w:before="240"/>
      </w:pPr>
      <w:r>
        <w:t>O</w:t>
      </w:r>
      <w:r w:rsidR="00B56695">
        <w:t>perators have adopted similar harvesting strategies to that used in the AIMWTMF, such as move-on rules when vessel</w:t>
      </w:r>
      <w:r w:rsidR="00995DD1">
        <w:t>s</w:t>
      </w:r>
      <w:r w:rsidR="00B56695">
        <w:t xml:space="preserve"> encounter areas of low scallop abundance, small scallops, and vulnerable habitat. </w:t>
      </w:r>
    </w:p>
    <w:p w14:paraId="723FC0A9" w14:textId="358AB817" w:rsidR="004C0B1F" w:rsidRDefault="00B56695" w:rsidP="00B56695">
      <w:pPr>
        <w:spacing w:before="240"/>
      </w:pPr>
      <w:r>
        <w:t xml:space="preserve">In accordance with the exemption, authorised vessels are permitted to retain species of the Class </w:t>
      </w:r>
      <w:r>
        <w:rPr>
          <w:i/>
          <w:iCs/>
        </w:rPr>
        <w:t xml:space="preserve">Osteichthyes </w:t>
      </w:r>
      <w:r w:rsidRPr="00336C1B">
        <w:t>(bony fishes)</w:t>
      </w:r>
      <w:r>
        <w:rPr>
          <w:i/>
          <w:iCs/>
        </w:rPr>
        <w:t xml:space="preserve"> </w:t>
      </w:r>
      <w:r>
        <w:t xml:space="preserve">except for Australian Salmon, small pelagic fish as defined in the </w:t>
      </w:r>
      <w:r>
        <w:rPr>
          <w:i/>
          <w:iCs/>
        </w:rPr>
        <w:t xml:space="preserve">South Coast Purse Seine Management Plan 1994 </w:t>
      </w:r>
      <w:r>
        <w:t xml:space="preserve">and any fish specified as under Commonwealth control or management in the </w:t>
      </w:r>
      <w:r>
        <w:rPr>
          <w:i/>
          <w:iCs/>
        </w:rPr>
        <w:t>Offshore Constitutional Settlement 1995</w:t>
      </w:r>
      <w:r>
        <w:t xml:space="preserve">. FEDs are not required to be used in this Fishery and therefore some fish species are retained as byproduct. </w:t>
      </w:r>
    </w:p>
    <w:p w14:paraId="35AF43E5" w14:textId="2426DAE2" w:rsidR="00B56695" w:rsidRDefault="004C0B1F" w:rsidP="00B56695">
      <w:pPr>
        <w:spacing w:before="240"/>
      </w:pPr>
      <w:r>
        <w:t xml:space="preserve">Historically, this Fishery has targeted fish species, </w:t>
      </w:r>
      <w:r w:rsidR="006E2139">
        <w:t xml:space="preserve">however, </w:t>
      </w:r>
      <w:r>
        <w:t>recent catch records indicate that there has not been active targeting of fish species, with negligible fish and other non-target byproduct being retained (</w:t>
      </w:r>
      <w:r>
        <w:fldChar w:fldCharType="begin"/>
      </w:r>
      <w:r>
        <w:instrText xml:space="preserve"> REF _Ref179449207 \h </w:instrText>
      </w:r>
      <w:r>
        <w:fldChar w:fldCharType="separate"/>
      </w:r>
      <w:r w:rsidR="00AB15B7">
        <w:t xml:space="preserve">Table </w:t>
      </w:r>
      <w:r w:rsidR="00AB15B7">
        <w:rPr>
          <w:noProof/>
        </w:rPr>
        <w:t>6</w:t>
      </w:r>
      <w:r>
        <w:fldChar w:fldCharType="end"/>
      </w:r>
      <w:r>
        <w:rPr>
          <w:b/>
          <w:bCs/>
        </w:rPr>
        <w:t>)</w:t>
      </w:r>
      <w:r>
        <w:t>.</w:t>
      </w:r>
    </w:p>
    <w:p w14:paraId="1FCC8734" w14:textId="77777777" w:rsidR="00B56695" w:rsidRDefault="00B56695" w:rsidP="00B56695">
      <w:pPr>
        <w:spacing w:before="240"/>
      </w:pPr>
      <w:r>
        <w:t xml:space="preserve">In the past ten years, the most retained species after scallop has been Balmain bugs, with less than one tonne of this species and/or other byproducts of all species’ groups retained. Other byproduct species include cuttlefish, squid, flathead sp., flounder and </w:t>
      </w:r>
      <w:r w:rsidRPr="00C93DA3">
        <w:t>John Dory</w:t>
      </w:r>
      <w:r>
        <w:t>. Some commercial scallop (</w:t>
      </w:r>
      <w:r w:rsidRPr="00336C1B">
        <w:rPr>
          <w:i/>
          <w:iCs/>
        </w:rPr>
        <w:t xml:space="preserve">Pecten </w:t>
      </w:r>
      <w:proofErr w:type="spellStart"/>
      <w:r>
        <w:rPr>
          <w:i/>
          <w:iCs/>
        </w:rPr>
        <w:t>fumatus</w:t>
      </w:r>
      <w:proofErr w:type="spellEnd"/>
      <w:r>
        <w:rPr>
          <w:i/>
          <w:iCs/>
        </w:rPr>
        <w:t xml:space="preserve"> </w:t>
      </w:r>
      <w:r w:rsidRPr="00336C1B">
        <w:t>Reeve 1852</w:t>
      </w:r>
      <w:r>
        <w:rPr>
          <w:i/>
          <w:iCs/>
        </w:rPr>
        <w:t>.</w:t>
      </w:r>
      <w:r>
        <w:t xml:space="preserve">) are retained, but also represent a small proportion of the total catch.  </w:t>
      </w:r>
    </w:p>
    <w:p w14:paraId="046B95A9" w14:textId="1753ACA6" w:rsidR="00B56695" w:rsidRPr="00293E89" w:rsidRDefault="00B56695" w:rsidP="00B56695">
      <w:pPr>
        <w:spacing w:before="240"/>
      </w:pPr>
      <w:r w:rsidRPr="00293E89">
        <w:t>Refer to</w:t>
      </w:r>
      <w:r w:rsidR="000F3003">
        <w:t xml:space="preserve"> </w:t>
      </w:r>
      <w:r w:rsidR="00E05AD1">
        <w:rPr>
          <w:b/>
          <w:bCs/>
        </w:rPr>
        <w:t>Appendix 3</w:t>
      </w:r>
      <w:r w:rsidRPr="00293E89">
        <w:t xml:space="preserve"> for historic catch and effort data for the AIMWTMF and SCTF.  </w:t>
      </w:r>
    </w:p>
    <w:p w14:paraId="1883898A" w14:textId="19949A4B" w:rsidR="00493CF2" w:rsidRPr="00B0051F" w:rsidRDefault="00493CF2" w:rsidP="00493CF2">
      <w:pPr>
        <w:pStyle w:val="Heading2"/>
      </w:pPr>
      <w:bookmarkStart w:id="28" w:name="_Toc183695802"/>
      <w:r w:rsidRPr="00B0051F">
        <w:t>Value of the Fisheries</w:t>
      </w:r>
      <w:bookmarkEnd w:id="28"/>
      <w:r w:rsidRPr="00B0051F">
        <w:t xml:space="preserve"> </w:t>
      </w:r>
    </w:p>
    <w:p w14:paraId="2E7ACCE0" w14:textId="040210B0" w:rsidR="00493CF2" w:rsidRPr="00EA559E" w:rsidRDefault="00B0051F" w:rsidP="00493CF2">
      <w:pPr>
        <w:rPr>
          <w:szCs w:val="24"/>
        </w:rPr>
      </w:pPr>
      <w:r w:rsidRPr="00EA559E">
        <w:rPr>
          <w:szCs w:val="24"/>
        </w:rPr>
        <w:t>Effort</w:t>
      </w:r>
      <w:r w:rsidR="00493CF2" w:rsidRPr="00EA559E">
        <w:rPr>
          <w:szCs w:val="24"/>
        </w:rPr>
        <w:t xml:space="preserve"> in the</w:t>
      </w:r>
      <w:r w:rsidRPr="00EA559E">
        <w:rPr>
          <w:szCs w:val="24"/>
        </w:rPr>
        <w:t xml:space="preserve"> AIMWTMF and SCTF</w:t>
      </w:r>
      <w:r w:rsidR="00493CF2" w:rsidRPr="00EA559E">
        <w:rPr>
          <w:szCs w:val="24"/>
        </w:rPr>
        <w:t xml:space="preserve"> fisheries vary widely depending on the strength of recruitmen</w:t>
      </w:r>
      <w:r w:rsidR="00F93954" w:rsidRPr="00EA559E">
        <w:rPr>
          <w:szCs w:val="24"/>
        </w:rPr>
        <w:t>t</w:t>
      </w:r>
      <w:r w:rsidR="005B5F35">
        <w:rPr>
          <w:szCs w:val="24"/>
        </w:rPr>
        <w:t xml:space="preserve"> with f</w:t>
      </w:r>
      <w:r w:rsidRPr="00EA559E">
        <w:rPr>
          <w:szCs w:val="24"/>
        </w:rPr>
        <w:t xml:space="preserve">ishing in the SCTF </w:t>
      </w:r>
      <w:r w:rsidR="005B5F35">
        <w:rPr>
          <w:szCs w:val="24"/>
        </w:rPr>
        <w:t xml:space="preserve">being </w:t>
      </w:r>
      <w:r w:rsidRPr="00EA559E">
        <w:rPr>
          <w:szCs w:val="24"/>
        </w:rPr>
        <w:t>particularly intermittent</w:t>
      </w:r>
      <w:r w:rsidR="005B5F35">
        <w:rPr>
          <w:szCs w:val="24"/>
        </w:rPr>
        <w:t>.</w:t>
      </w:r>
    </w:p>
    <w:p w14:paraId="245F5FF7" w14:textId="689DA527" w:rsidR="00B0051F" w:rsidRPr="00EA559E" w:rsidRDefault="00F75481" w:rsidP="00B0051F">
      <w:pPr>
        <w:rPr>
          <w:szCs w:val="24"/>
        </w:rPr>
      </w:pPr>
      <w:r w:rsidRPr="00EA559E">
        <w:rPr>
          <w:szCs w:val="24"/>
        </w:rPr>
        <w:t>In 2023/2</w:t>
      </w:r>
      <w:r w:rsidR="00B0051F" w:rsidRPr="00EA559E">
        <w:rPr>
          <w:szCs w:val="24"/>
        </w:rPr>
        <w:t xml:space="preserve">4 the beach price for saucer scallops was </w:t>
      </w:r>
      <w:r w:rsidR="00B0051F" w:rsidRPr="00EA559E">
        <w:rPr>
          <w:rFonts w:ascii="Arial" w:eastAsia="Arial" w:hAnsi="Arial" w:cs="Arial"/>
          <w:color w:val="000000" w:themeColor="text1"/>
          <w:szCs w:val="24"/>
        </w:rPr>
        <w:t>$43.37 / kg (whole weight)</w:t>
      </w:r>
      <w:r w:rsidR="005B5F35">
        <w:rPr>
          <w:rFonts w:ascii="Arial" w:eastAsia="Arial" w:hAnsi="Arial" w:cs="Arial"/>
          <w:color w:val="000000" w:themeColor="text1"/>
          <w:szCs w:val="24"/>
        </w:rPr>
        <w:t xml:space="preserve"> based on: </w:t>
      </w:r>
    </w:p>
    <w:p w14:paraId="5744586E" w14:textId="2E2F4387" w:rsidR="00B0051F" w:rsidRPr="00EA559E" w:rsidRDefault="00B0051F" w:rsidP="00972AC9">
      <w:pPr>
        <w:pStyle w:val="ListParagraph"/>
        <w:numPr>
          <w:ilvl w:val="0"/>
          <w:numId w:val="11"/>
        </w:numPr>
        <w:rPr>
          <w:szCs w:val="24"/>
        </w:rPr>
      </w:pPr>
      <w:r w:rsidRPr="00EA559E">
        <w:rPr>
          <w:rFonts w:ascii="Arial" w:eastAsia="Arial" w:hAnsi="Arial" w:cs="Arial"/>
          <w:color w:val="000000" w:themeColor="text1"/>
          <w:szCs w:val="24"/>
        </w:rPr>
        <w:t xml:space="preserve">1317 t whole weight </w:t>
      </w:r>
      <w:r w:rsidR="005B5F35">
        <w:rPr>
          <w:rFonts w:ascii="Arial" w:eastAsia="Arial" w:hAnsi="Arial" w:cs="Arial"/>
          <w:color w:val="000000" w:themeColor="text1"/>
          <w:szCs w:val="24"/>
        </w:rPr>
        <w:t xml:space="preserve">of scallop </w:t>
      </w:r>
      <w:r w:rsidRPr="00EA559E">
        <w:rPr>
          <w:rFonts w:ascii="Arial" w:eastAsia="Arial" w:hAnsi="Arial" w:cs="Arial"/>
          <w:color w:val="000000" w:themeColor="text1"/>
          <w:szCs w:val="24"/>
        </w:rPr>
        <w:t xml:space="preserve">caught in </w:t>
      </w:r>
      <w:r w:rsidR="005B5F35">
        <w:rPr>
          <w:rFonts w:ascii="Arial" w:eastAsia="Arial" w:hAnsi="Arial" w:cs="Arial"/>
          <w:color w:val="000000" w:themeColor="text1"/>
          <w:szCs w:val="24"/>
        </w:rPr>
        <w:t xml:space="preserve">the AIMWTMF in </w:t>
      </w:r>
      <w:r w:rsidRPr="00EA559E">
        <w:rPr>
          <w:rFonts w:ascii="Arial" w:eastAsia="Arial" w:hAnsi="Arial" w:cs="Arial"/>
          <w:color w:val="000000" w:themeColor="text1"/>
          <w:szCs w:val="24"/>
        </w:rPr>
        <w:t xml:space="preserve">2023/24. </w:t>
      </w:r>
    </w:p>
    <w:p w14:paraId="5C220F94" w14:textId="509EDADF" w:rsidR="00B0051F" w:rsidRPr="00EA559E" w:rsidRDefault="00B0051F" w:rsidP="00972AC9">
      <w:pPr>
        <w:pStyle w:val="ListParagraph"/>
        <w:numPr>
          <w:ilvl w:val="0"/>
          <w:numId w:val="11"/>
        </w:numPr>
        <w:rPr>
          <w:szCs w:val="24"/>
        </w:rPr>
      </w:pPr>
      <w:r w:rsidRPr="00EA559E">
        <w:rPr>
          <w:rFonts w:ascii="Arial" w:eastAsia="Arial" w:hAnsi="Arial" w:cs="Arial"/>
          <w:color w:val="000000" w:themeColor="text1"/>
          <w:szCs w:val="24"/>
        </w:rPr>
        <w:t xml:space="preserve">&lt;140 t whole weight </w:t>
      </w:r>
      <w:r w:rsidR="005B5F35">
        <w:rPr>
          <w:rFonts w:ascii="Arial" w:eastAsia="Arial" w:hAnsi="Arial" w:cs="Arial"/>
          <w:color w:val="000000" w:themeColor="text1"/>
          <w:szCs w:val="24"/>
        </w:rPr>
        <w:t xml:space="preserve">of scallop </w:t>
      </w:r>
      <w:r w:rsidRPr="00EA559E">
        <w:rPr>
          <w:rFonts w:ascii="Arial" w:eastAsia="Arial" w:hAnsi="Arial" w:cs="Arial"/>
          <w:color w:val="000000" w:themeColor="text1"/>
          <w:szCs w:val="24"/>
        </w:rPr>
        <w:t xml:space="preserve">caught in </w:t>
      </w:r>
      <w:r w:rsidR="005B5F35">
        <w:rPr>
          <w:rFonts w:ascii="Arial" w:eastAsia="Arial" w:hAnsi="Arial" w:cs="Arial"/>
          <w:color w:val="000000" w:themeColor="text1"/>
          <w:szCs w:val="24"/>
        </w:rPr>
        <w:t xml:space="preserve">the SCTF in </w:t>
      </w:r>
      <w:r w:rsidRPr="00EA559E">
        <w:rPr>
          <w:rFonts w:ascii="Arial" w:eastAsia="Arial" w:hAnsi="Arial" w:cs="Arial"/>
          <w:color w:val="000000" w:themeColor="text1"/>
          <w:szCs w:val="24"/>
        </w:rPr>
        <w:t>2023/24</w:t>
      </w:r>
      <w:r w:rsidR="005B5F35">
        <w:rPr>
          <w:rFonts w:ascii="Arial" w:eastAsia="Arial" w:hAnsi="Arial" w:cs="Arial"/>
          <w:color w:val="000000" w:themeColor="text1"/>
          <w:szCs w:val="24"/>
        </w:rPr>
        <w:t xml:space="preserve">. </w:t>
      </w:r>
    </w:p>
    <w:p w14:paraId="75441E5F" w14:textId="7236B488" w:rsidR="00493CF2" w:rsidRPr="00EA559E" w:rsidRDefault="00493CF2" w:rsidP="00493CF2">
      <w:pPr>
        <w:rPr>
          <w:szCs w:val="24"/>
        </w:rPr>
      </w:pPr>
      <w:r w:rsidRPr="00EA559E">
        <w:rPr>
          <w:szCs w:val="24"/>
        </w:rPr>
        <w:t>Scallops are shucked, processed at sea and frozen. The majority of product is exported with small quantities left in the shell or in the half-shell to supply to local gourmet seafood markets</w:t>
      </w:r>
      <w:r w:rsidR="002F5592">
        <w:rPr>
          <w:szCs w:val="24"/>
        </w:rPr>
        <w:t xml:space="preserve"> (Ref: </w:t>
      </w:r>
      <w:hyperlink r:id="rId33" w:history="1">
        <w:r w:rsidR="002F5592" w:rsidRPr="002F5592">
          <w:rPr>
            <w:rStyle w:val="Hyperlink"/>
            <w:szCs w:val="24"/>
          </w:rPr>
          <w:t>Abrolhos scallop_MSC-2nd Surveillance Report_FINAL.pdf</w:t>
        </w:r>
      </w:hyperlink>
      <w:r w:rsidR="002F5592">
        <w:rPr>
          <w:szCs w:val="24"/>
        </w:rPr>
        <w:t>)</w:t>
      </w:r>
      <w:r w:rsidRPr="00EA559E">
        <w:rPr>
          <w:szCs w:val="24"/>
        </w:rPr>
        <w:t xml:space="preserve">. </w:t>
      </w:r>
    </w:p>
    <w:p w14:paraId="7BE098B2" w14:textId="3AC58198" w:rsidR="00493CF2" w:rsidRDefault="00493CF2" w:rsidP="00493CF2">
      <w:pPr>
        <w:pStyle w:val="Heading1"/>
        <w:pageBreakBefore w:val="0"/>
      </w:pPr>
      <w:bookmarkStart w:id="29" w:name="_Toc183695803"/>
      <w:r>
        <w:lastRenderedPageBreak/>
        <w:t>Management Regime</w:t>
      </w:r>
      <w:bookmarkEnd w:id="29"/>
      <w:r>
        <w:t xml:space="preserve"> </w:t>
      </w:r>
    </w:p>
    <w:p w14:paraId="5B7D9597" w14:textId="31C14938" w:rsidR="00493CF2" w:rsidRDefault="00493CF2" w:rsidP="00493CF2">
      <w:pPr>
        <w:pStyle w:val="Heading2"/>
      </w:pPr>
      <w:bookmarkStart w:id="30" w:name="_Toc183695804"/>
      <w:r>
        <w:t>Legislative Framework</w:t>
      </w:r>
      <w:bookmarkEnd w:id="30"/>
      <w:r>
        <w:t xml:space="preserve"> </w:t>
      </w:r>
    </w:p>
    <w:p w14:paraId="5E0FA1D0" w14:textId="77777777" w:rsidR="00493CF2" w:rsidRPr="008F5698" w:rsidRDefault="00493CF2" w:rsidP="00493CF2">
      <w:pPr>
        <w:jc w:val="both"/>
      </w:pPr>
      <w:r w:rsidRPr="00C22DF7">
        <w:t xml:space="preserve">The </w:t>
      </w:r>
      <w:r>
        <w:t>AIMWTMF and SCTF</w:t>
      </w:r>
      <w:r w:rsidRPr="00C22DF7">
        <w:t xml:space="preserve"> </w:t>
      </w:r>
      <w:r>
        <w:t>are</w:t>
      </w:r>
      <w:r w:rsidRPr="00C22DF7">
        <w:t xml:space="preserve"> managed </w:t>
      </w:r>
      <w:r>
        <w:t>by DPIRD under the following legislation</w:t>
      </w:r>
      <w:r w:rsidRPr="008F5698">
        <w:t>:</w:t>
      </w:r>
    </w:p>
    <w:p w14:paraId="18BF8AB9" w14:textId="77777777" w:rsidR="00493CF2" w:rsidRPr="008F5698" w:rsidRDefault="00493CF2" w:rsidP="00972AC9">
      <w:pPr>
        <w:pStyle w:val="ListParagraph"/>
        <w:numPr>
          <w:ilvl w:val="0"/>
          <w:numId w:val="13"/>
        </w:numPr>
        <w:spacing w:before="120"/>
        <w:jc w:val="both"/>
      </w:pPr>
      <w:r w:rsidRPr="00FA4EEF">
        <w:rPr>
          <w:i/>
          <w:iCs/>
        </w:rPr>
        <w:t xml:space="preserve">Fish Resources Management Act 1994 </w:t>
      </w:r>
      <w:r>
        <w:t>(FRMA).</w:t>
      </w:r>
    </w:p>
    <w:p w14:paraId="07398CBD" w14:textId="77777777" w:rsidR="00493CF2" w:rsidRPr="000036B0" w:rsidRDefault="00493CF2" w:rsidP="00972AC9">
      <w:pPr>
        <w:pStyle w:val="ListParagraph"/>
        <w:numPr>
          <w:ilvl w:val="0"/>
          <w:numId w:val="13"/>
        </w:numPr>
        <w:spacing w:before="120"/>
        <w:jc w:val="both"/>
      </w:pPr>
      <w:r w:rsidRPr="00FA4EEF">
        <w:rPr>
          <w:i/>
          <w:iCs/>
        </w:rPr>
        <w:t xml:space="preserve">Fish Resources Management Regulations 1995 </w:t>
      </w:r>
      <w:r w:rsidRPr="000036B0">
        <w:t>(FRMR).</w:t>
      </w:r>
    </w:p>
    <w:p w14:paraId="45D8E49C" w14:textId="77777777" w:rsidR="00493CF2" w:rsidRDefault="00493CF2" w:rsidP="00972AC9">
      <w:pPr>
        <w:pStyle w:val="ListParagraph"/>
        <w:numPr>
          <w:ilvl w:val="0"/>
          <w:numId w:val="13"/>
        </w:numPr>
        <w:spacing w:before="120"/>
        <w:jc w:val="both"/>
      </w:pPr>
      <w:r w:rsidRPr="00C830CA">
        <w:rPr>
          <w:i/>
          <w:iCs/>
        </w:rPr>
        <w:t xml:space="preserve">Abrolhos Islands and </w:t>
      </w:r>
      <w:proofErr w:type="spellStart"/>
      <w:r w:rsidRPr="00C830CA">
        <w:rPr>
          <w:i/>
          <w:iCs/>
        </w:rPr>
        <w:t>Mid West</w:t>
      </w:r>
      <w:proofErr w:type="spellEnd"/>
      <w:r w:rsidRPr="00C830CA">
        <w:rPr>
          <w:i/>
          <w:iCs/>
        </w:rPr>
        <w:t xml:space="preserve"> Trawl Limited Entry Fishery Notice 1993 </w:t>
      </w:r>
      <w:r w:rsidRPr="000036B0">
        <w:t xml:space="preserve">(Management Plan) </w:t>
      </w:r>
      <w:hyperlink r:id="rId34" w:history="1">
        <w:r w:rsidRPr="000036B0">
          <w:rPr>
            <w:rStyle w:val="Hyperlink"/>
          </w:rPr>
          <w:t>Fisheries Act 1905 (www.wa.gov.au)</w:t>
        </w:r>
      </w:hyperlink>
      <w:r>
        <w:t xml:space="preserve">. </w:t>
      </w:r>
      <w:r w:rsidRPr="000036B0">
        <w:t xml:space="preserve"> </w:t>
      </w:r>
    </w:p>
    <w:p w14:paraId="5E682254" w14:textId="2EEC221D" w:rsidR="00B515B2" w:rsidRPr="00B515B2" w:rsidRDefault="00493CF2" w:rsidP="00972AC9">
      <w:pPr>
        <w:pStyle w:val="ListParagraph"/>
        <w:numPr>
          <w:ilvl w:val="0"/>
          <w:numId w:val="13"/>
        </w:numPr>
        <w:spacing w:before="120"/>
        <w:jc w:val="both"/>
        <w:rPr>
          <w:color w:val="000000" w:themeColor="hyperlink"/>
          <w:u w:val="single"/>
        </w:rPr>
      </w:pPr>
      <w:r>
        <w:t xml:space="preserve">South Coast Trawl Fishery, </w:t>
      </w:r>
      <w:r w:rsidR="00CC7C11">
        <w:t>FRMA Section 7</w:t>
      </w:r>
      <w:r w:rsidR="00B515B2">
        <w:t xml:space="preserve"> – </w:t>
      </w:r>
      <w:r>
        <w:t xml:space="preserve">Instrument of </w:t>
      </w:r>
      <w:r w:rsidRPr="00F75481">
        <w:t>Exemption</w:t>
      </w:r>
      <w:r w:rsidR="00B515B2">
        <w:t xml:space="preserve">: </w:t>
      </w:r>
      <w:r w:rsidR="00CC7C11">
        <w:t xml:space="preserve"> </w:t>
      </w:r>
    </w:p>
    <w:p w14:paraId="6D3ED843" w14:textId="2C3E7A5E" w:rsidR="00CC7C11" w:rsidRPr="00CC7C11" w:rsidRDefault="00B515B2" w:rsidP="00B515B2">
      <w:pPr>
        <w:pStyle w:val="ListParagraph"/>
        <w:spacing w:before="120"/>
        <w:ind w:left="720"/>
        <w:jc w:val="both"/>
        <w:rPr>
          <w:color w:val="000000" w:themeColor="hyperlink"/>
          <w:u w:val="single"/>
        </w:rPr>
      </w:pPr>
      <w:r>
        <w:t>(</w:t>
      </w:r>
      <w:r w:rsidR="00493CF2" w:rsidRPr="00F75481">
        <w:t xml:space="preserve">No. </w:t>
      </w:r>
      <w:r w:rsidR="00F75481" w:rsidRPr="00F75481">
        <w:t>3659</w:t>
      </w:r>
      <w:r>
        <w:t>) currently l</w:t>
      </w:r>
      <w:r w:rsidR="00493CF2">
        <w:t xml:space="preserve">ists vessels (Fishing Boat Licences, FBLs) exempt from legislation that would otherwise prevent these operators from fishing for saucer scallops in the specified waters off the south coast of Western Australia. </w:t>
      </w:r>
    </w:p>
    <w:p w14:paraId="23B6FFE9" w14:textId="1DD65A59" w:rsidR="00CC7C11" w:rsidRPr="00FA4EEF" w:rsidRDefault="00CC7C11" w:rsidP="00972AC9">
      <w:pPr>
        <w:pStyle w:val="ListParagraph"/>
        <w:numPr>
          <w:ilvl w:val="0"/>
          <w:numId w:val="13"/>
        </w:numPr>
        <w:spacing w:before="120"/>
        <w:jc w:val="both"/>
        <w:rPr>
          <w:color w:val="000000" w:themeColor="hyperlink"/>
          <w:u w:val="single"/>
        </w:rPr>
      </w:pPr>
      <w:r>
        <w:rPr>
          <w:i/>
          <w:iCs/>
          <w:color w:val="000000" w:themeColor="hyperlink"/>
        </w:rPr>
        <w:t xml:space="preserve">Notice of Areas Closed to Fishing for Scallops and Prawns in the Abrolhos Islands and </w:t>
      </w:r>
      <w:proofErr w:type="spellStart"/>
      <w:r>
        <w:rPr>
          <w:i/>
          <w:iCs/>
          <w:color w:val="000000" w:themeColor="hyperlink"/>
        </w:rPr>
        <w:t>Mid West</w:t>
      </w:r>
      <w:proofErr w:type="spellEnd"/>
      <w:r>
        <w:rPr>
          <w:i/>
          <w:iCs/>
          <w:color w:val="000000" w:themeColor="hyperlink"/>
        </w:rPr>
        <w:t xml:space="preserve"> Trawl Managed Fishery – No. 1 o 2023</w:t>
      </w:r>
      <w:r>
        <w:rPr>
          <w:color w:val="000000" w:themeColor="hyperlink"/>
        </w:rPr>
        <w:t xml:space="preserve">. </w:t>
      </w:r>
    </w:p>
    <w:p w14:paraId="02AF58C8" w14:textId="160A5C27" w:rsidR="00C830CA" w:rsidRPr="00CC7C11" w:rsidRDefault="00B515B2" w:rsidP="00972AC9">
      <w:pPr>
        <w:pStyle w:val="ListParagraph"/>
        <w:numPr>
          <w:ilvl w:val="0"/>
          <w:numId w:val="13"/>
        </w:numPr>
      </w:pPr>
      <w:r>
        <w:rPr>
          <w:lang w:val="en-US"/>
        </w:rPr>
        <w:t xml:space="preserve">FRMA s.43 order – </w:t>
      </w:r>
      <w:r w:rsidR="00C830CA" w:rsidRPr="00FA4EEF">
        <w:rPr>
          <w:i/>
          <w:iCs/>
          <w:lang w:val="en-US"/>
        </w:rPr>
        <w:t xml:space="preserve">Trawling Prohibition (Whole of State) Notice 1992. </w:t>
      </w:r>
    </w:p>
    <w:p w14:paraId="6A4297BE" w14:textId="77777777" w:rsidR="00493CF2" w:rsidRPr="008F5698" w:rsidRDefault="00493CF2" w:rsidP="00493CF2">
      <w:pPr>
        <w:overflowPunct w:val="0"/>
        <w:autoSpaceDE w:val="0"/>
        <w:autoSpaceDN w:val="0"/>
        <w:adjustRightInd w:val="0"/>
        <w:jc w:val="both"/>
        <w:textAlignment w:val="baseline"/>
      </w:pPr>
      <w:r w:rsidRPr="008F5698">
        <w:t xml:space="preserve">Fishers must also comply with the requirements of (but not limited to): </w:t>
      </w:r>
    </w:p>
    <w:p w14:paraId="17C454FA" w14:textId="61253AF7" w:rsidR="00493CF2" w:rsidRPr="008F5698" w:rsidRDefault="00C830CA" w:rsidP="00830F5A">
      <w:pPr>
        <w:pStyle w:val="ListParagraph"/>
        <w:numPr>
          <w:ilvl w:val="1"/>
          <w:numId w:val="8"/>
        </w:numPr>
        <w:spacing w:before="120"/>
        <w:jc w:val="both"/>
      </w:pPr>
      <w:r>
        <w:t>Commonwealth</w:t>
      </w:r>
      <w:r w:rsidR="00493CF2" w:rsidRPr="00FA4EEF">
        <w:rPr>
          <w:i/>
          <w:iCs/>
        </w:rPr>
        <w:t xml:space="preserve"> Environment Protection and Biodiversity Conservation Act 1999</w:t>
      </w:r>
      <w:r w:rsidR="00493CF2">
        <w:t xml:space="preserve"> (EPBC Act).</w:t>
      </w:r>
    </w:p>
    <w:p w14:paraId="61FCC572" w14:textId="77777777" w:rsidR="00493CF2" w:rsidRPr="008F5698" w:rsidRDefault="00493CF2" w:rsidP="00830F5A">
      <w:pPr>
        <w:pStyle w:val="ListParagraph"/>
        <w:numPr>
          <w:ilvl w:val="1"/>
          <w:numId w:val="8"/>
        </w:numPr>
        <w:spacing w:before="120"/>
        <w:jc w:val="both"/>
      </w:pPr>
      <w:r w:rsidRPr="00FA4EEF">
        <w:rPr>
          <w:i/>
          <w:iCs/>
        </w:rPr>
        <w:t>Marine Safety (Domestic Commercial Vessel) National Law Act 2012</w:t>
      </w:r>
      <w:r>
        <w:t>.</w:t>
      </w:r>
    </w:p>
    <w:p w14:paraId="392FA352" w14:textId="77777777" w:rsidR="00493CF2" w:rsidRPr="008F5698" w:rsidRDefault="00493CF2" w:rsidP="00830F5A">
      <w:pPr>
        <w:pStyle w:val="ListParagraph"/>
        <w:numPr>
          <w:ilvl w:val="1"/>
          <w:numId w:val="8"/>
        </w:numPr>
        <w:spacing w:before="120"/>
        <w:jc w:val="both"/>
      </w:pPr>
      <w:r>
        <w:t>WA</w:t>
      </w:r>
      <w:r w:rsidRPr="00FA4EEF">
        <w:rPr>
          <w:i/>
          <w:iCs/>
        </w:rPr>
        <w:t xml:space="preserve"> Marine Act 1982</w:t>
      </w:r>
      <w:r>
        <w:t>.</w:t>
      </w:r>
    </w:p>
    <w:p w14:paraId="739952C2" w14:textId="77777777" w:rsidR="00493CF2" w:rsidRDefault="00493CF2" w:rsidP="00830F5A">
      <w:pPr>
        <w:pStyle w:val="ListParagraph"/>
        <w:numPr>
          <w:ilvl w:val="1"/>
          <w:numId w:val="8"/>
        </w:numPr>
        <w:spacing w:before="120"/>
        <w:jc w:val="both"/>
      </w:pPr>
      <w:r>
        <w:t>WA</w:t>
      </w:r>
      <w:r w:rsidRPr="00FA4EEF">
        <w:rPr>
          <w:i/>
          <w:iCs/>
        </w:rPr>
        <w:t xml:space="preserve"> Biodiversity Conservation Act 2016 </w:t>
      </w:r>
      <w:r>
        <w:t>(BCA).</w:t>
      </w:r>
    </w:p>
    <w:p w14:paraId="5494F776" w14:textId="6065CF18" w:rsidR="00A50359" w:rsidRPr="00FA4EEF" w:rsidRDefault="00493CF2" w:rsidP="00830F5A">
      <w:pPr>
        <w:pStyle w:val="ListParagraph"/>
        <w:numPr>
          <w:ilvl w:val="1"/>
          <w:numId w:val="8"/>
        </w:numPr>
        <w:spacing w:before="120"/>
        <w:jc w:val="both"/>
      </w:pPr>
      <w:r>
        <w:t>WA</w:t>
      </w:r>
      <w:r w:rsidRPr="00FA4EEF">
        <w:rPr>
          <w:i/>
          <w:iCs/>
        </w:rPr>
        <w:t xml:space="preserve"> Conservation and Land Management Act 1984.</w:t>
      </w:r>
    </w:p>
    <w:p w14:paraId="2A642BEE" w14:textId="140820A8" w:rsidR="00C830CA" w:rsidRDefault="00C830CA" w:rsidP="00995DD1">
      <w:pPr>
        <w:pStyle w:val="ListParagraph"/>
        <w:ind w:left="720"/>
      </w:pPr>
      <w:r>
        <w:t xml:space="preserve"> </w:t>
      </w:r>
    </w:p>
    <w:p w14:paraId="38BE4288" w14:textId="7611F427" w:rsidR="00C830CA" w:rsidRPr="002F5592" w:rsidRDefault="00C830CA" w:rsidP="00C830CA">
      <w:pPr>
        <w:spacing w:before="120"/>
        <w:jc w:val="both"/>
      </w:pPr>
      <w:r w:rsidRPr="002F5592">
        <w:t xml:space="preserve">Other policy/management documents </w:t>
      </w:r>
      <w:r w:rsidR="002F5592">
        <w:t>applied to these</w:t>
      </w:r>
      <w:r w:rsidRPr="002F5592">
        <w:t xml:space="preserve"> Fisheries include: </w:t>
      </w:r>
    </w:p>
    <w:p w14:paraId="5FAA9421" w14:textId="47C0EB9B" w:rsidR="00CC7C11" w:rsidRDefault="00CC7C11" w:rsidP="00972AC9">
      <w:pPr>
        <w:pStyle w:val="ListParagraph"/>
        <w:numPr>
          <w:ilvl w:val="0"/>
          <w:numId w:val="12"/>
        </w:numPr>
      </w:pPr>
      <w:r>
        <w:t xml:space="preserve">Saucer Scallop Resource of the Abrolhos Islands Harvest Strategy 2020-2025. </w:t>
      </w:r>
    </w:p>
    <w:p w14:paraId="58D166EE" w14:textId="33473A65" w:rsidR="00CC7C11" w:rsidRDefault="00CC7C11" w:rsidP="00972AC9">
      <w:pPr>
        <w:pStyle w:val="ListParagraph"/>
        <w:numPr>
          <w:ilvl w:val="0"/>
          <w:numId w:val="12"/>
        </w:numPr>
      </w:pPr>
      <w:r>
        <w:t xml:space="preserve">Abrolhos Islands and </w:t>
      </w:r>
      <w:proofErr w:type="spellStart"/>
      <w:r>
        <w:t>Mid West</w:t>
      </w:r>
      <w:proofErr w:type="spellEnd"/>
      <w:r>
        <w:t xml:space="preserve"> Trawl Managed Fishery Code of Conduct (2019). </w:t>
      </w:r>
    </w:p>
    <w:p w14:paraId="5550A3DD" w14:textId="3359F559" w:rsidR="00CC7C11" w:rsidRPr="00CC7C11" w:rsidRDefault="00CC7C11" w:rsidP="00972AC9">
      <w:pPr>
        <w:pStyle w:val="ListParagraph"/>
        <w:numPr>
          <w:ilvl w:val="0"/>
          <w:numId w:val="12"/>
        </w:numPr>
      </w:pPr>
      <w:r>
        <w:t>South Coast Trawl Fishery Operations and Communications Procedure (2021).</w:t>
      </w:r>
    </w:p>
    <w:p w14:paraId="74AD63EC" w14:textId="54074188" w:rsidR="00493CF2" w:rsidRDefault="00493CF2" w:rsidP="00493CF2">
      <w:pPr>
        <w:pStyle w:val="Heading2"/>
      </w:pPr>
      <w:bookmarkStart w:id="31" w:name="_Toc183695805"/>
      <w:r>
        <w:t>Licen</w:t>
      </w:r>
      <w:r w:rsidR="00EC75A7">
        <w:t>s</w:t>
      </w:r>
      <w:r>
        <w:t>ing Framework</w:t>
      </w:r>
      <w:bookmarkEnd w:id="31"/>
      <w:r>
        <w:t xml:space="preserve"> </w:t>
      </w:r>
    </w:p>
    <w:p w14:paraId="6F1C71AC" w14:textId="77777777" w:rsidR="00B56695" w:rsidRDefault="00B56695" w:rsidP="00B56695">
      <w:pPr>
        <w:spacing w:before="120"/>
        <w:jc w:val="both"/>
      </w:pPr>
      <w:r>
        <w:t xml:space="preserve">Commercial fishers in the AIMWTMF are required to have an AIMWTMF MFL to fish in the Fishery. </w:t>
      </w:r>
    </w:p>
    <w:p w14:paraId="3141B711" w14:textId="31F54A9D" w:rsidR="00B56695" w:rsidRPr="00A50359" w:rsidRDefault="00B56695" w:rsidP="00B56695">
      <w:pPr>
        <w:spacing w:before="120"/>
        <w:jc w:val="both"/>
        <w:rPr>
          <w:b/>
          <w:bCs/>
        </w:rPr>
      </w:pPr>
      <w:r>
        <w:t xml:space="preserve">Operators in the SCTF must be the holder of an authorised FBL, as specified on the current Instrument of </w:t>
      </w:r>
      <w:r w:rsidRPr="00EC183A">
        <w:t>Exemption No. 3659</w:t>
      </w:r>
      <w:r>
        <w:t xml:space="preserve"> (exemption). Currently, there are no MFLs that provide secure access to operators in the SCTF, however, MFLs will be granted to eligible applicants per the Management Plan, expected to be implemented in 2025. </w:t>
      </w:r>
    </w:p>
    <w:p w14:paraId="6BC7A6F6" w14:textId="08FA224B" w:rsidR="00493CF2" w:rsidRDefault="00493CF2" w:rsidP="00493CF2">
      <w:pPr>
        <w:pStyle w:val="Heading2"/>
      </w:pPr>
      <w:bookmarkStart w:id="32" w:name="_Toc183695806"/>
      <w:r>
        <w:lastRenderedPageBreak/>
        <w:t>Controlling the level of harvest</w:t>
      </w:r>
      <w:bookmarkEnd w:id="32"/>
      <w:r>
        <w:t xml:space="preserve"> </w:t>
      </w:r>
    </w:p>
    <w:p w14:paraId="04A42F77" w14:textId="77777777" w:rsidR="00B56695" w:rsidRDefault="00B56695" w:rsidP="00B56695">
      <w:r>
        <w:t xml:space="preserve">Effort in WA scallop fisheries is related to the abundance of available scallops each year, which fluctuates due to recruitment variability. </w:t>
      </w:r>
    </w:p>
    <w:p w14:paraId="29BD9E55" w14:textId="77777777" w:rsidR="00B56695" w:rsidRDefault="00B56695" w:rsidP="00B56695">
      <w:r>
        <w:t xml:space="preserve">Management for scallop-based fisheries are generally based on: </w:t>
      </w:r>
    </w:p>
    <w:p w14:paraId="6A6FDBE6" w14:textId="77777777" w:rsidR="00B56695" w:rsidRDefault="00B56695" w:rsidP="00B56695">
      <w:pPr>
        <w:pStyle w:val="ListParagraph"/>
        <w:numPr>
          <w:ilvl w:val="0"/>
          <w:numId w:val="9"/>
        </w:numPr>
      </w:pPr>
      <w:r>
        <w:t xml:space="preserve">Catch limits (and/or catch rate cut-offs)  </w:t>
      </w:r>
    </w:p>
    <w:p w14:paraId="6053E929" w14:textId="77777777" w:rsidR="00B56695" w:rsidRDefault="00B56695" w:rsidP="00B56695">
      <w:pPr>
        <w:pStyle w:val="ListParagraph"/>
        <w:numPr>
          <w:ilvl w:val="0"/>
          <w:numId w:val="9"/>
        </w:numPr>
      </w:pPr>
      <w:r>
        <w:t xml:space="preserve">Effort limits </w:t>
      </w:r>
    </w:p>
    <w:p w14:paraId="0E24A53C" w14:textId="77777777" w:rsidR="00B56695" w:rsidRDefault="00B56695" w:rsidP="00B56695">
      <w:pPr>
        <w:pStyle w:val="ListParagraph"/>
        <w:numPr>
          <w:ilvl w:val="0"/>
          <w:numId w:val="9"/>
        </w:numPr>
      </w:pPr>
      <w:r>
        <w:t>Limited entry</w:t>
      </w:r>
    </w:p>
    <w:p w14:paraId="2EE3B262" w14:textId="77777777" w:rsidR="00B56695" w:rsidRDefault="00B56695" w:rsidP="00B56695">
      <w:pPr>
        <w:pStyle w:val="ListParagraph"/>
        <w:numPr>
          <w:ilvl w:val="0"/>
          <w:numId w:val="9"/>
        </w:numPr>
      </w:pPr>
      <w:r>
        <w:t xml:space="preserve">Gear controls and vessel restrictions </w:t>
      </w:r>
    </w:p>
    <w:p w14:paraId="703F2D4B" w14:textId="77777777" w:rsidR="00B56695" w:rsidRDefault="00B56695" w:rsidP="00B56695">
      <w:pPr>
        <w:pStyle w:val="ListParagraph"/>
        <w:numPr>
          <w:ilvl w:val="0"/>
          <w:numId w:val="9"/>
        </w:numPr>
      </w:pPr>
      <w:r>
        <w:t xml:space="preserve">Seasonal (spatial and temporal) closures. </w:t>
      </w:r>
    </w:p>
    <w:p w14:paraId="6F74D327" w14:textId="429AFC9A" w:rsidR="00493CF2" w:rsidRDefault="00493CF2" w:rsidP="00493CF2">
      <w:pPr>
        <w:pStyle w:val="Heading3"/>
      </w:pPr>
      <w:bookmarkStart w:id="33" w:name="_Toc183695807"/>
      <w:r>
        <w:t xml:space="preserve">Abrolhos Islands and </w:t>
      </w:r>
      <w:proofErr w:type="spellStart"/>
      <w:r>
        <w:t>Mid West</w:t>
      </w:r>
      <w:proofErr w:type="spellEnd"/>
      <w:r>
        <w:t xml:space="preserve"> Trawl Managed Fishery</w:t>
      </w:r>
      <w:bookmarkEnd w:id="33"/>
      <w:r>
        <w:t xml:space="preserve"> </w:t>
      </w:r>
    </w:p>
    <w:p w14:paraId="71C69021" w14:textId="406FD5F3" w:rsidR="0037502D" w:rsidRDefault="00327875" w:rsidP="00B56695">
      <w:r w:rsidRPr="001355D3">
        <w:t xml:space="preserve">The regulatory harvesting system for </w:t>
      </w:r>
      <w:r>
        <w:t>AIMWTMF</w:t>
      </w:r>
      <w:r w:rsidRPr="001355D3">
        <w:t xml:space="preserve"> is based on a </w:t>
      </w:r>
      <w:r w:rsidRPr="001355D3">
        <w:rPr>
          <w:i/>
          <w:iCs/>
        </w:rPr>
        <w:t>constant escapement approach</w:t>
      </w:r>
      <w:r w:rsidRPr="001355D3">
        <w:t xml:space="preserve">, which aims to ensure that </w:t>
      </w:r>
      <w:r w:rsidR="00114787">
        <w:t xml:space="preserve">fishing </w:t>
      </w:r>
      <w:r w:rsidR="0037502D">
        <w:t>does</w:t>
      </w:r>
      <w:r w:rsidR="00114787">
        <w:t xml:space="preserve"> not deplete the residual stock</w:t>
      </w:r>
      <w:r w:rsidR="0037502D">
        <w:t xml:space="preserve"> so that </w:t>
      </w:r>
      <w:r w:rsidRPr="001355D3">
        <w:t xml:space="preserve">an adequate abundance of breeding stock remains in the Fishery to replenish the </w:t>
      </w:r>
      <w:r w:rsidR="0037502D">
        <w:t xml:space="preserve">resource and support fishing in </w:t>
      </w:r>
      <w:r w:rsidRPr="001355D3">
        <w:t>future seasons.</w:t>
      </w:r>
      <w:r w:rsidR="00114787">
        <w:t xml:space="preserve"> </w:t>
      </w:r>
    </w:p>
    <w:p w14:paraId="61418B76" w14:textId="5B253353" w:rsidR="00CF6212" w:rsidRDefault="00CF6212" w:rsidP="00CF6212">
      <w:r>
        <w:t xml:space="preserve">Recognising the highly variable nature of scallop recruitment, a high level of protection is provided to the spawning stock, particularly in years when scallops are naturally low in abundance. For example, the fishing season nominally opens on 1 March, however this may be delayed </w:t>
      </w:r>
      <w:proofErr w:type="gramStart"/>
      <w:r>
        <w:t>to increase</w:t>
      </w:r>
      <w:proofErr w:type="gramEnd"/>
      <w:r>
        <w:t xml:space="preserve"> protection of spawning scallops in years when the previous years’ (November) spawning index is low.</w:t>
      </w:r>
    </w:p>
    <w:p w14:paraId="1DDF88E3" w14:textId="249101F3" w:rsidR="00E915E5" w:rsidRDefault="00CF6212" w:rsidP="00E915E5">
      <w:r>
        <w:t xml:space="preserve">Additionally, noting the life history of this species being approximately 2-3 years, management arrangements attempt to provide adequate opportunity to harvest the stock </w:t>
      </w:r>
      <w:r w:rsidR="006E2139">
        <w:t>at optimal</w:t>
      </w:r>
      <w:r>
        <w:t xml:space="preserve"> quality</w:t>
      </w:r>
      <w:r w:rsidR="006E2139">
        <w:t xml:space="preserve"> and prior to the</w:t>
      </w:r>
      <w:r w:rsidR="00AD450C">
        <w:t xml:space="preserve"> end of their short life span</w:t>
      </w:r>
      <w:r>
        <w:t xml:space="preserve">. </w:t>
      </w:r>
      <w:r w:rsidR="002F0465">
        <w:t>Th</w:t>
      </w:r>
      <w:r w:rsidR="00114787">
        <w:t xml:space="preserve">is </w:t>
      </w:r>
      <w:r w:rsidR="002F0465">
        <w:t xml:space="preserve">approach </w:t>
      </w:r>
      <w:r w:rsidR="004A433E">
        <w:t xml:space="preserve">is informed </w:t>
      </w:r>
      <w:r w:rsidR="00A47D36">
        <w:t>by</w:t>
      </w:r>
      <w:r w:rsidR="004A433E">
        <w:t xml:space="preserve"> </w:t>
      </w:r>
      <w:r w:rsidR="00B56695">
        <w:t xml:space="preserve">fishery-independent </w:t>
      </w:r>
      <w:r w:rsidR="006D1FB1">
        <w:t xml:space="preserve">and dependent </w:t>
      </w:r>
      <w:r w:rsidR="00B56695">
        <w:t>survey informati</w:t>
      </w:r>
      <w:r w:rsidR="0037502D">
        <w:t xml:space="preserve">on, whereby </w:t>
      </w:r>
      <w:r w:rsidR="007B37F0">
        <w:t xml:space="preserve">several surveys are undertaken during the year to assess </w:t>
      </w:r>
      <w:r w:rsidR="00E915E5">
        <w:t>stock abundance and size</w:t>
      </w:r>
      <w:r w:rsidR="007B37F0">
        <w:t xml:space="preserve"> </w:t>
      </w:r>
      <w:r w:rsidR="00E915E5">
        <w:t>composition</w:t>
      </w:r>
      <w:r w:rsidR="007B37F0">
        <w:t xml:space="preserve">, and </w:t>
      </w:r>
      <w:r w:rsidR="0037502D">
        <w:t>c</w:t>
      </w:r>
      <w:r w:rsidR="0037502D" w:rsidRPr="00431292">
        <w:t xml:space="preserve">ommercial catch rates </w:t>
      </w:r>
      <w:r w:rsidR="0037502D">
        <w:t>are</w:t>
      </w:r>
      <w:r w:rsidR="0037502D" w:rsidRPr="00431292">
        <w:t xml:space="preserve"> monitored </w:t>
      </w:r>
      <w:r w:rsidR="0037502D">
        <w:t xml:space="preserve">to a threshold level of 150 kg daily meat weight. </w:t>
      </w:r>
      <w:r w:rsidR="007B37F0" w:rsidRPr="00431292">
        <w:t>Where the average daily catch rate of fishing vessels over seven consecutive fishing days falls below this level, fishing will cease for the remainder of the fishing season.</w:t>
      </w:r>
      <w:r w:rsidR="00E915E5">
        <w:t xml:space="preserve"> Further, if areas with a high abundance of juvenile scallops (&lt;60 mm in size) or sensitive habitats are encountered, these areas are avoided by the fishing fleet to minimise potential adverse impacts. </w:t>
      </w:r>
    </w:p>
    <w:p w14:paraId="23DB040C" w14:textId="58F3C1EC" w:rsidR="00E915E5" w:rsidRPr="00CF6212" w:rsidRDefault="00114787" w:rsidP="00B56695">
      <w:pPr>
        <w:rPr>
          <w:i/>
          <w:iCs/>
        </w:rPr>
      </w:pPr>
      <w:r>
        <w:t xml:space="preserve">Details of </w:t>
      </w:r>
      <w:r w:rsidR="0037502D">
        <w:t xml:space="preserve">the </w:t>
      </w:r>
      <w:r w:rsidR="00E915E5">
        <w:t xml:space="preserve">harvesting approach and </w:t>
      </w:r>
      <w:r w:rsidR="007B37F0">
        <w:t>management mechanisms used to control the scallop</w:t>
      </w:r>
      <w:r w:rsidR="00E915E5">
        <w:t xml:space="preserve"> fishing</w:t>
      </w:r>
      <w:r w:rsidR="007B37F0">
        <w:t xml:space="preserve"> in</w:t>
      </w:r>
      <w:r>
        <w:t xml:space="preserve"> the Fisher</w:t>
      </w:r>
      <w:r w:rsidR="0037502D">
        <w:t>y</w:t>
      </w:r>
      <w:r w:rsidR="00CF6212">
        <w:t xml:space="preserve"> </w:t>
      </w:r>
      <w:r>
        <w:t>are explicitly described in the</w:t>
      </w:r>
      <w:r w:rsidR="00B612BB">
        <w:t xml:space="preserve"> </w:t>
      </w:r>
      <w:hyperlink r:id="rId35" w:history="1">
        <w:r w:rsidR="00B612BB" w:rsidRPr="00BD7FB4">
          <w:rPr>
            <w:rStyle w:val="Hyperlink"/>
          </w:rPr>
          <w:t>AIMWTMF Harvest Strategy</w:t>
        </w:r>
      </w:hyperlink>
      <w:r w:rsidR="00B612BB">
        <w:t>.</w:t>
      </w:r>
    </w:p>
    <w:p w14:paraId="42DA77CC" w14:textId="77777777" w:rsidR="00493CF2" w:rsidRDefault="00493CF2" w:rsidP="00493CF2">
      <w:pPr>
        <w:pStyle w:val="Heading3"/>
      </w:pPr>
      <w:bookmarkStart w:id="34" w:name="_Toc183695808"/>
      <w:r>
        <w:t>South Coast Trawl Fishery</w:t>
      </w:r>
      <w:bookmarkEnd w:id="34"/>
      <w:r>
        <w:t xml:space="preserve"> </w:t>
      </w:r>
    </w:p>
    <w:p w14:paraId="59B9206C" w14:textId="055BD629" w:rsidR="00B56695" w:rsidRDefault="00B56695" w:rsidP="00B56695">
      <w:r>
        <w:t xml:space="preserve">Due to authorised operators prioritising fishing in other WA scallop managed fisheries, there is low and infrequent fishing effort applied to the SCTF. As such, a formal approach to harvesting scallops in this Fishery has not yet been developed. However, noting that the same operators’ fish across both the AIMWTMF and the SCTF, as well as the SBSMF, arrangements have been adopted that align with the harvest approach in these </w:t>
      </w:r>
      <w:r w:rsidR="00C57D4A">
        <w:t xml:space="preserve">other </w:t>
      </w:r>
      <w:r>
        <w:t xml:space="preserve">scallop-based fisheries. For example, while there </w:t>
      </w:r>
      <w:r>
        <w:lastRenderedPageBreak/>
        <w:t xml:space="preserve">are no formal catch limits, fishers in the SCTF cease fishing at threshold catch rates and/or adopt the ‘move-on’ rule to avoid areas of small and/or low abundances of scallops. </w:t>
      </w:r>
    </w:p>
    <w:p w14:paraId="2E1DC28D" w14:textId="77777777" w:rsidR="00B56695" w:rsidRDefault="00B56695" w:rsidP="00B56695">
      <w:r>
        <w:t>Fishing is also managed under limited entry with gear restrictions, including a maximum headrope capacity, and seasonal closures.</w:t>
      </w:r>
    </w:p>
    <w:p w14:paraId="46BD639A" w14:textId="5C6DE220" w:rsidR="00B56695" w:rsidRDefault="00B56695" w:rsidP="00B56695">
      <w:r>
        <w:t xml:space="preserve">Management arrangements consistent with the current operations of the Fishery, as well as other best-practice scallop fishery management arrangements, will be legislated under the </w:t>
      </w:r>
      <w:r w:rsidR="004C0B1F">
        <w:t>new Management Plan</w:t>
      </w:r>
      <w:r>
        <w:t>, with the development of a Harvest Strategy to follow. The Harvest Strategy will consider incorporating the current voluntary arrangements, such as the catch rate thresholds and move-on rules</w:t>
      </w:r>
      <w:r w:rsidR="009C1114">
        <w:t xml:space="preserve">, as </w:t>
      </w:r>
      <w:r>
        <w:t xml:space="preserve">applied in the AIMWTMF. </w:t>
      </w:r>
    </w:p>
    <w:p w14:paraId="76C6638F" w14:textId="4DAD2E95" w:rsidR="001160D8" w:rsidRDefault="001160D8" w:rsidP="001160D8">
      <w:pPr>
        <w:pStyle w:val="Heading2"/>
      </w:pPr>
      <w:bookmarkStart w:id="35" w:name="_Toc183695809"/>
      <w:r>
        <w:t>Harvest Strategy</w:t>
      </w:r>
      <w:bookmarkEnd w:id="35"/>
      <w:r>
        <w:t xml:space="preserve"> </w:t>
      </w:r>
    </w:p>
    <w:p w14:paraId="1E223717" w14:textId="3E3A7732" w:rsidR="000A6D5B" w:rsidRDefault="000A6D5B" w:rsidP="000A6D5B">
      <w:pPr>
        <w:pStyle w:val="Heading3"/>
      </w:pPr>
      <w:bookmarkStart w:id="36" w:name="_Toc183695810"/>
      <w:r>
        <w:t xml:space="preserve">Abrolhos Islands and </w:t>
      </w:r>
      <w:proofErr w:type="spellStart"/>
      <w:r>
        <w:t>Mid West</w:t>
      </w:r>
      <w:proofErr w:type="spellEnd"/>
      <w:r>
        <w:t xml:space="preserve"> Trawl Managed Fishery</w:t>
      </w:r>
      <w:bookmarkEnd w:id="36"/>
      <w:r>
        <w:t xml:space="preserve"> </w:t>
      </w:r>
    </w:p>
    <w:p w14:paraId="136D1015" w14:textId="7299C32C" w:rsidR="00B56695" w:rsidRPr="00B612BB" w:rsidRDefault="00B56695" w:rsidP="00B56695">
      <w:r>
        <w:t xml:space="preserve">The AIMWTMF is currently managed in accordance with the </w:t>
      </w:r>
      <w:r w:rsidR="00E915E5">
        <w:t>Fishery’s</w:t>
      </w:r>
      <w:r>
        <w:t xml:space="preserve"> </w:t>
      </w:r>
      <w:r w:rsidR="00646423">
        <w:t xml:space="preserve">2020 </w:t>
      </w:r>
      <w:r>
        <w:t xml:space="preserve">Harvest Strategy, developed by DPIRD in consultation with the commercial fishing sector, WAFIC and other key stakeholders. </w:t>
      </w:r>
      <w:r w:rsidR="00B612BB">
        <w:t xml:space="preserve">A copy of the Harvest Strategy is </w:t>
      </w:r>
      <w:r w:rsidR="000F3003">
        <w:t xml:space="preserve">available </w:t>
      </w:r>
      <w:hyperlink r:id="rId36" w:history="1">
        <w:r w:rsidR="000F3003" w:rsidRPr="000F3003">
          <w:rPr>
            <w:rStyle w:val="Hyperlink"/>
          </w:rPr>
          <w:t>here</w:t>
        </w:r>
      </w:hyperlink>
      <w:r w:rsidR="00B612BB">
        <w:t xml:space="preserve">. </w:t>
      </w:r>
    </w:p>
    <w:p w14:paraId="5A0EB791" w14:textId="77777777" w:rsidR="00B56695" w:rsidRDefault="00B56695" w:rsidP="00B56695">
      <w:r>
        <w:t xml:space="preserve">The Harvest Strategy is </w:t>
      </w:r>
      <w:r w:rsidRPr="001F798B">
        <w:t xml:space="preserve">structured to describe, hierarchically: </w:t>
      </w:r>
    </w:p>
    <w:p w14:paraId="01A50986" w14:textId="77777777" w:rsidR="00B56695" w:rsidRDefault="00B56695" w:rsidP="00972AC9">
      <w:pPr>
        <w:pStyle w:val="ListParagraph"/>
        <w:numPr>
          <w:ilvl w:val="0"/>
          <w:numId w:val="14"/>
        </w:numPr>
      </w:pPr>
      <w:r w:rsidRPr="001F798B">
        <w:t>the high-level, long-term objectives of management</w:t>
      </w:r>
      <w:r>
        <w:t xml:space="preserve">. </w:t>
      </w:r>
    </w:p>
    <w:p w14:paraId="336B16F9" w14:textId="77777777" w:rsidR="00B56695" w:rsidRDefault="00B56695" w:rsidP="00972AC9">
      <w:pPr>
        <w:pStyle w:val="ListParagraph"/>
        <w:numPr>
          <w:ilvl w:val="0"/>
          <w:numId w:val="14"/>
        </w:numPr>
      </w:pPr>
      <w:r w:rsidRPr="001F798B">
        <w:t>the short-term, operational objectives</w:t>
      </w:r>
      <w:r>
        <w:t>.</w:t>
      </w:r>
    </w:p>
    <w:p w14:paraId="2E5D1844" w14:textId="77777777" w:rsidR="00B56695" w:rsidRDefault="00B56695" w:rsidP="00972AC9">
      <w:pPr>
        <w:pStyle w:val="ListParagraph"/>
        <w:numPr>
          <w:ilvl w:val="0"/>
          <w:numId w:val="14"/>
        </w:numPr>
      </w:pPr>
      <w:r w:rsidRPr="001F798B">
        <w:t xml:space="preserve">how </w:t>
      </w:r>
      <w:r>
        <w:t xml:space="preserve">objectives </w:t>
      </w:r>
      <w:r w:rsidRPr="001F798B">
        <w:t>translate into the management approach used for th</w:t>
      </w:r>
      <w:r>
        <w:t>e</w:t>
      </w:r>
      <w:r w:rsidRPr="001F798B">
        <w:t xml:space="preserve"> fishery. </w:t>
      </w:r>
    </w:p>
    <w:p w14:paraId="5C58C222" w14:textId="30A15FE3" w:rsidR="00BD7A90" w:rsidRDefault="00BD7A90" w:rsidP="00BD7A90">
      <w:r>
        <w:t>The long- and short-term objectives for the management of the Fishery focus on sustainable saucer scallops fishing practices, the environment, social and community benefit, and economic viability.</w:t>
      </w:r>
      <w:r w:rsidRPr="006803FE">
        <w:t xml:space="preserve"> </w:t>
      </w:r>
      <w:r>
        <w:t xml:space="preserve">There is no formal allocation between the commercial and recreational fishing sectors, nor a customary allocation. </w:t>
      </w:r>
    </w:p>
    <w:p w14:paraId="4478A475" w14:textId="22E349BD" w:rsidR="00B56695" w:rsidRDefault="00B56695" w:rsidP="00B56695">
      <w:r w:rsidRPr="001F798B">
        <w:t>Th</w:t>
      </w:r>
      <w:r w:rsidR="00550EEA">
        <w:t>e Harvest Strategy also provides a d</w:t>
      </w:r>
      <w:r w:rsidRPr="001F798B">
        <w:t xml:space="preserve">etailed description of </w:t>
      </w:r>
      <w:r w:rsidR="007B37F0">
        <w:t xml:space="preserve">the specific monitoring and assessment processes used to evaluate ecological sustainability and fishery </w:t>
      </w:r>
      <w:r w:rsidR="00646423">
        <w:t>performance and</w:t>
      </w:r>
      <w:r w:rsidR="007B37F0">
        <w:t xml:space="preserve"> ascertain </w:t>
      </w:r>
      <w:r w:rsidR="00CF6212">
        <w:t>whether</w:t>
      </w:r>
      <w:r w:rsidR="007B37F0">
        <w:t xml:space="preserve"> objectives are being met. </w:t>
      </w:r>
      <w:r w:rsidR="00550EEA">
        <w:t xml:space="preserve">Suitable indicators are selected to measure the Fishery’s performance, which are assessed against defined reference levels; established to separate acceptable from unacceptable performance. </w:t>
      </w:r>
    </w:p>
    <w:p w14:paraId="7EBD99FC" w14:textId="350FB144" w:rsidR="00550EEA" w:rsidRPr="00550EEA" w:rsidRDefault="00550EEA" w:rsidP="00550EEA">
      <w:r>
        <w:t>In association with the Fishery’s performance, Harvest Control Rules (HCRs) are developed and outlined in the Harvest Strategy to define the management action that should occur in relation to the value of each ecological performance indicators compared to the reference level. HCRs are designed to maintain the resource above the threshold levels, and therefore t</w:t>
      </w:r>
      <w:r w:rsidRPr="00550EEA">
        <w:t>he extent of management action taken is determined by the extent to which a performance indicator has breached a reference point, increasing in line with an increasing risk to the resource.</w:t>
      </w:r>
    </w:p>
    <w:p w14:paraId="37DEA5BE" w14:textId="72CB9E50" w:rsidR="009C12CE" w:rsidRDefault="00BD7A90" w:rsidP="00CD1635">
      <w:r w:rsidRPr="00D96365">
        <w:t>Management objectives, performance indicators, reference levels and HCRs are detailed in the AIMWTMF Harvest Strategy</w:t>
      </w:r>
      <w:r w:rsidRPr="00082753">
        <w:t>.</w:t>
      </w:r>
      <w:r>
        <w:t xml:space="preserve">  </w:t>
      </w:r>
    </w:p>
    <w:p w14:paraId="251C8DA2" w14:textId="1EFEA5A8" w:rsidR="00BD7A90" w:rsidRDefault="007B37F0" w:rsidP="00CD1635">
      <w:r w:rsidRPr="00431292">
        <w:lastRenderedPageBreak/>
        <w:t>Central to th</w:t>
      </w:r>
      <w:r w:rsidR="009C12CE">
        <w:t>e AIMWTMF</w:t>
      </w:r>
      <w:r w:rsidRPr="00431292">
        <w:t xml:space="preserve"> </w:t>
      </w:r>
      <w:r w:rsidR="009C12CE">
        <w:t>H</w:t>
      </w:r>
      <w:r w:rsidRPr="00431292">
        <w:t xml:space="preserve">arvest </w:t>
      </w:r>
      <w:r w:rsidR="009C12CE">
        <w:t>S</w:t>
      </w:r>
      <w:r w:rsidRPr="00431292">
        <w:t xml:space="preserve">trategy is a co-management approach, whereby industry will </w:t>
      </w:r>
      <w:r>
        <w:t xml:space="preserve">work cooperatively to monitor fishing in areas both within and outside of the traditional trawl grounds. </w:t>
      </w:r>
      <w:r w:rsidR="00BD7A90">
        <w:t>Specifically, when operating in non-traditional fishing grounds, an e</w:t>
      </w:r>
      <w:r w:rsidR="00CF6212">
        <w:t xml:space="preserve">xploratory fishing </w:t>
      </w:r>
      <w:r w:rsidR="00BD7A90">
        <w:t xml:space="preserve">approach applies, as described in the Harvest Strategy (refer to </w:t>
      </w:r>
      <w:r w:rsidR="00646423">
        <w:fldChar w:fldCharType="begin"/>
      </w:r>
      <w:r w:rsidR="00646423">
        <w:instrText xml:space="preserve"> REF _Ref182398029 \h </w:instrText>
      </w:r>
      <w:r w:rsidR="00646423">
        <w:fldChar w:fldCharType="separate"/>
      </w:r>
      <w:r w:rsidR="00AB15B7">
        <w:t xml:space="preserve">Figure </w:t>
      </w:r>
      <w:r w:rsidR="00AB15B7">
        <w:rPr>
          <w:noProof/>
        </w:rPr>
        <w:t>2</w:t>
      </w:r>
      <w:r w:rsidR="00646423">
        <w:fldChar w:fldCharType="end"/>
      </w:r>
      <w:r w:rsidR="00646423">
        <w:t xml:space="preserve">) </w:t>
      </w:r>
      <w:r w:rsidR="00BD7A90">
        <w:t>and in the Code of Conduct, whereby o</w:t>
      </w:r>
      <w:r w:rsidR="00CF6212">
        <w:t xml:space="preserve">perators fish with </w:t>
      </w:r>
      <w:r>
        <w:t>try gear</w:t>
      </w:r>
      <w:r w:rsidR="00CF6212">
        <w:t xml:space="preserve"> and </w:t>
      </w:r>
      <w:r>
        <w:t>abide by a move on rule that is triggered when vessels encounter areas of juvenile scallops and sensitive habitats</w:t>
      </w:r>
      <w:r w:rsidR="00CF6212">
        <w:t xml:space="preserve">. </w:t>
      </w:r>
    </w:p>
    <w:p w14:paraId="5C27EA45" w14:textId="646372EB" w:rsidR="00BD7A90" w:rsidRDefault="00CF6212" w:rsidP="00CD1635">
      <w:r>
        <w:t>V</w:t>
      </w:r>
      <w:r w:rsidR="007B37F0">
        <w:t>essels will</w:t>
      </w:r>
      <w:r w:rsidR="007B37F0" w:rsidRPr="00431292">
        <w:t xml:space="preserve"> cease fishing in the</w:t>
      </w:r>
      <w:r>
        <w:t>se</w:t>
      </w:r>
      <w:r w:rsidR="007B37F0" w:rsidRPr="00431292">
        <w:t xml:space="preserve"> area</w:t>
      </w:r>
      <w:r w:rsidR="00BD7A90">
        <w:t>s</w:t>
      </w:r>
      <w:r w:rsidR="007B37F0" w:rsidRPr="00431292">
        <w:t xml:space="preserve"> and return to the cumulative trawl footprint</w:t>
      </w:r>
      <w:r w:rsidR="00BD7A90">
        <w:t xml:space="preserve"> and, under the cooperative framework, may also propose </w:t>
      </w:r>
      <w:r w:rsidR="00BD7A90" w:rsidRPr="00431292">
        <w:t xml:space="preserve">voluntary closures </w:t>
      </w:r>
      <w:r w:rsidR="00BD7A90">
        <w:t>to</w:t>
      </w:r>
      <w:r w:rsidR="00BD7A90" w:rsidRPr="00431292">
        <w:t xml:space="preserve"> minimise impacts on </w:t>
      </w:r>
      <w:r w:rsidR="00BD7A90">
        <w:t xml:space="preserve">small scallops and </w:t>
      </w:r>
      <w:r w:rsidR="00BD7A90" w:rsidRPr="00431292">
        <w:t>vulnerable habitats</w:t>
      </w:r>
      <w:r w:rsidR="00BD7A90">
        <w:t>.</w:t>
      </w:r>
    </w:p>
    <w:p w14:paraId="0E76B26A" w14:textId="3E5C23B4" w:rsidR="00CD1635" w:rsidRDefault="00CD1635" w:rsidP="00A3317F">
      <w:r>
        <w:t xml:space="preserve">Periodic reviews of the Harvest Strategy are scheduled to ensure the current arrangements remain fit for purpose. </w:t>
      </w:r>
      <w:r w:rsidR="00550EEA">
        <w:t xml:space="preserve">A review of the Harvest Strategy is also initiated when an indicator suggests that the Fishery’s impact on the resource is no longer acceptable. </w:t>
      </w:r>
    </w:p>
    <w:p w14:paraId="78E5E092" w14:textId="28D33E55" w:rsidR="000A6D5B" w:rsidRDefault="000A6D5B" w:rsidP="000A6D5B">
      <w:pPr>
        <w:pStyle w:val="Heading3"/>
      </w:pPr>
      <w:bookmarkStart w:id="37" w:name="_Toc183695811"/>
      <w:r>
        <w:t>South Coast Trawl Fishery</w:t>
      </w:r>
      <w:bookmarkEnd w:id="37"/>
      <w:r>
        <w:t xml:space="preserve"> </w:t>
      </w:r>
    </w:p>
    <w:p w14:paraId="16D28707" w14:textId="2102DF55" w:rsidR="00B56695" w:rsidRDefault="00B56695" w:rsidP="00B56695">
      <w:r>
        <w:t xml:space="preserve">No formal harvest strategy has been developed for the SCTF, although it is anticipated that one will be developed following the transition of this Fishery to </w:t>
      </w:r>
      <w:r w:rsidR="00F9349F">
        <w:t xml:space="preserve">a </w:t>
      </w:r>
      <w:r w:rsidR="00646423">
        <w:t>formal Management Plan</w:t>
      </w:r>
      <w:r>
        <w:t xml:space="preserve">. However, operators apply a similar harvesting approach to that in the AIMWTMF Harvest Strategy, whereby recommended catch rate cut offs and move-on rules apply to maintain a sustainable abundance of scallops and protect areas of juvenile scallops and </w:t>
      </w:r>
      <w:r w:rsidR="004C0B1F">
        <w:t xml:space="preserve">any identified </w:t>
      </w:r>
      <w:r>
        <w:t xml:space="preserve">sensitive habitat. </w:t>
      </w:r>
    </w:p>
    <w:p w14:paraId="46343C65" w14:textId="4D836252" w:rsidR="00684A42" w:rsidRDefault="00B56695" w:rsidP="00B56695">
      <w:r>
        <w:t xml:space="preserve">Based on the 2023 Weight of Evidence (WOE) stock assessment, the target species and other components of the ecosystem did not indicate that a shift in the existing management arrangements were required for the SCTF 2024 season. </w:t>
      </w:r>
    </w:p>
    <w:p w14:paraId="3F2B91C2" w14:textId="53B08309" w:rsidR="00106739" w:rsidRDefault="00106739" w:rsidP="00106739">
      <w:pPr>
        <w:pStyle w:val="Heading2"/>
      </w:pPr>
      <w:bookmarkStart w:id="38" w:name="_Toc183695812"/>
      <w:r>
        <w:t xml:space="preserve">Recovery </w:t>
      </w:r>
      <w:r w:rsidR="00BC4857">
        <w:t>Strategy</w:t>
      </w:r>
      <w:bookmarkEnd w:id="38"/>
      <w:r>
        <w:t xml:space="preserve"> </w:t>
      </w:r>
    </w:p>
    <w:p w14:paraId="05839EA4" w14:textId="77777777" w:rsidR="00106739" w:rsidRDefault="00106739" w:rsidP="00106739">
      <w:pPr>
        <w:pStyle w:val="Heading3"/>
      </w:pPr>
      <w:bookmarkStart w:id="39" w:name="_Toc183695813"/>
      <w:r>
        <w:t xml:space="preserve">Abrolhos Islands and </w:t>
      </w:r>
      <w:proofErr w:type="spellStart"/>
      <w:r>
        <w:t>Mid West</w:t>
      </w:r>
      <w:proofErr w:type="spellEnd"/>
      <w:r>
        <w:t xml:space="preserve"> Trawl Managed Fishery</w:t>
      </w:r>
      <w:bookmarkEnd w:id="39"/>
      <w:r>
        <w:t xml:space="preserve"> </w:t>
      </w:r>
    </w:p>
    <w:p w14:paraId="7FB8C4A9" w14:textId="1B31D7BB" w:rsidR="00EB4819" w:rsidRDefault="00904E47" w:rsidP="00646423">
      <w:r>
        <w:t xml:space="preserve">Considering the </w:t>
      </w:r>
      <w:r w:rsidR="00106739">
        <w:t xml:space="preserve">sensitivity of scallops to fluctuating environmental conditions, which effects recruitment and subsequent abundance, a precautionary management approach </w:t>
      </w:r>
      <w:r w:rsidR="00646423">
        <w:t>is applied to</w:t>
      </w:r>
      <w:r w:rsidR="00106739">
        <w:t xml:space="preserve"> WA scallop fisheries</w:t>
      </w:r>
      <w:r>
        <w:t xml:space="preserve"> </w:t>
      </w:r>
      <w:r w:rsidR="00106739">
        <w:t xml:space="preserve">to account for the ‘boom and bust’ nature of this species. </w:t>
      </w:r>
      <w:r w:rsidR="00646423">
        <w:t>As such, a</w:t>
      </w:r>
      <w:r w:rsidR="00106739">
        <w:t xml:space="preserve"> Recovery Strategy </w:t>
      </w:r>
      <w:r w:rsidR="00646423">
        <w:t>is provided</w:t>
      </w:r>
      <w:r w:rsidR="00106739">
        <w:t xml:space="preserve"> within the </w:t>
      </w:r>
      <w:r w:rsidR="00646423">
        <w:t xml:space="preserve">Appendix 2 of the </w:t>
      </w:r>
      <w:r w:rsidR="00EB4819">
        <w:t xml:space="preserve">AIMWTMF </w:t>
      </w:r>
      <w:r w:rsidR="00106739">
        <w:t>Harvest Strategy</w:t>
      </w:r>
      <w:r w:rsidR="00646423">
        <w:t xml:space="preserve">. The </w:t>
      </w:r>
      <w:r w:rsidR="00EB4819">
        <w:t xml:space="preserve">objective </w:t>
      </w:r>
      <w:r w:rsidR="00646423">
        <w:t xml:space="preserve">of the Recovery Strategy is to </w:t>
      </w:r>
      <w:r>
        <w:t>protect</w:t>
      </w:r>
      <w:r w:rsidR="00EB4819">
        <w:t xml:space="preserve"> the residual biomass of scallops to allow the stock to recover </w:t>
      </w:r>
      <w:r w:rsidR="00EC7D0C">
        <w:t xml:space="preserve">at an acceptable rate (within five years) when it has fallen below the threshold (or limit) reference level. </w:t>
      </w:r>
    </w:p>
    <w:p w14:paraId="109BDEDB" w14:textId="0BBE7377" w:rsidR="00106739" w:rsidRDefault="00EC7D0C" w:rsidP="00106739">
      <w:r>
        <w:t>The effectiveness of the Harvest Strategy and implementation of the Recovery Strategy was most recently demonstrated in</w:t>
      </w:r>
      <w:r w:rsidR="00106739">
        <w:t xml:space="preserve"> 2022,</w:t>
      </w:r>
      <w:r>
        <w:t xml:space="preserve"> when </w:t>
      </w:r>
      <w:r w:rsidR="00106739">
        <w:t xml:space="preserve">independent (and dependent) survey information indicated the AIMWTMF saucer scallop resource was environmentally </w:t>
      </w:r>
      <w:proofErr w:type="gramStart"/>
      <w:r w:rsidR="00106739">
        <w:t>limited;</w:t>
      </w:r>
      <w:proofErr w:type="gramEnd"/>
      <w:r w:rsidR="00106739">
        <w:t xml:space="preserve"> leading to poor recruitment and low abundance, i.e. 45 </w:t>
      </w:r>
      <w:proofErr w:type="spellStart"/>
      <w:r w:rsidR="00106739">
        <w:t>sc</w:t>
      </w:r>
      <w:proofErr w:type="spellEnd"/>
      <w:r w:rsidR="00106739">
        <w:t>/nm, well below the limit reference level. As such,</w:t>
      </w:r>
      <w:r>
        <w:t xml:space="preserve"> in accordance with the Harvest Strategy,</w:t>
      </w:r>
      <w:r w:rsidR="00106739">
        <w:t xml:space="preserve"> the Fishery was closed for the 2022 season. Scallop abundance improved throughout 2022 and survey results </w:t>
      </w:r>
      <w:r>
        <w:t>in early</w:t>
      </w:r>
      <w:r w:rsidR="00106739">
        <w:t xml:space="preserve"> 2023 indicated that fishing</w:t>
      </w:r>
      <w:r w:rsidR="00F2354B">
        <w:t xml:space="preserve"> under </w:t>
      </w:r>
      <w:r w:rsidR="00F2354B">
        <w:lastRenderedPageBreak/>
        <w:t>precautionary arrangement</w:t>
      </w:r>
      <w:r w:rsidR="00F9349F">
        <w:t>s</w:t>
      </w:r>
      <w:r w:rsidR="00F2354B">
        <w:t>,</w:t>
      </w:r>
      <w:r w:rsidR="00106739">
        <w:t xml:space="preserve"> in accordance with the Recovery </w:t>
      </w:r>
      <w:r>
        <w:t>Strategy</w:t>
      </w:r>
      <w:r w:rsidR="00106739">
        <w:t>,</w:t>
      </w:r>
      <w:r w:rsidR="00F2354B">
        <w:t xml:space="preserve"> could comme</w:t>
      </w:r>
      <w:r w:rsidR="00F9349F">
        <w:t>n</w:t>
      </w:r>
      <w:r w:rsidR="00F2354B">
        <w:t xml:space="preserve">ce. </w:t>
      </w:r>
      <w:r w:rsidR="00966957">
        <w:t>Fishing has continued in 2024</w:t>
      </w:r>
      <w:r>
        <w:t>, indicating a positive response to the management arrangements used to recover the AIMWTMF stock.</w:t>
      </w:r>
      <w:r w:rsidR="00966957">
        <w:t xml:space="preserve"> </w:t>
      </w:r>
    </w:p>
    <w:p w14:paraId="7B5D8CC9" w14:textId="77777777" w:rsidR="00106739" w:rsidRDefault="00106739" w:rsidP="00106739">
      <w:pPr>
        <w:pStyle w:val="Heading3"/>
      </w:pPr>
      <w:bookmarkStart w:id="40" w:name="_Toc183695814"/>
      <w:r>
        <w:t>South Coast Trawl Fishery</w:t>
      </w:r>
      <w:bookmarkEnd w:id="40"/>
      <w:r>
        <w:t xml:space="preserve"> </w:t>
      </w:r>
    </w:p>
    <w:p w14:paraId="603DFBB2" w14:textId="078F5D85" w:rsidR="00106739" w:rsidRDefault="00106739" w:rsidP="00B56695">
      <w:r>
        <w:t xml:space="preserve">No formal Recovery </w:t>
      </w:r>
      <w:r w:rsidR="00646423">
        <w:t xml:space="preserve">Strategy </w:t>
      </w:r>
      <w:r>
        <w:t xml:space="preserve">is in place for the SCTF, however, as this Fishery is effectively co-managed between DPIRD and industry, fishing will only occur where catch-rates indicate that there is available/sustainable stock. </w:t>
      </w:r>
      <w:r w:rsidR="007449D0">
        <w:t xml:space="preserve">One may be developed with development of the Harvest Strategy following transition to a Management Plan. </w:t>
      </w:r>
    </w:p>
    <w:p w14:paraId="4E57AA3D" w14:textId="77777777" w:rsidR="006803FE" w:rsidRDefault="006803FE" w:rsidP="006803FE">
      <w:pPr>
        <w:pStyle w:val="Heading2"/>
      </w:pPr>
      <w:bookmarkStart w:id="41" w:name="_Toc183695815"/>
      <w:r>
        <w:t>Performance against objectives, performance indicators and performance measures</w:t>
      </w:r>
      <w:bookmarkEnd w:id="41"/>
      <w:r>
        <w:t xml:space="preserve"> </w:t>
      </w:r>
    </w:p>
    <w:p w14:paraId="562D7D1C" w14:textId="77777777" w:rsidR="005D09CA" w:rsidRDefault="005D09CA" w:rsidP="00D6156E">
      <w:pPr>
        <w:pStyle w:val="Heading3"/>
      </w:pPr>
      <w:bookmarkStart w:id="42" w:name="_Toc183695816"/>
      <w:r w:rsidRPr="00FA131D">
        <w:t xml:space="preserve">Status Report of the Fisheries and Aquatic Resource </w:t>
      </w:r>
      <w:r>
        <w:t>(SRFR)</w:t>
      </w:r>
      <w:bookmarkEnd w:id="42"/>
    </w:p>
    <w:p w14:paraId="2A257DDB" w14:textId="20A42DE5" w:rsidR="005D09CA" w:rsidRDefault="005D09CA" w:rsidP="005D09CA">
      <w:r>
        <w:t xml:space="preserve">DPIRD </w:t>
      </w:r>
      <w:r w:rsidR="002017FB">
        <w:t xml:space="preserve">conducts a formal, resource-level review to assess the status of target stocks and performance in relation to </w:t>
      </w:r>
      <w:r w:rsidR="00C00DF7">
        <w:t>ecological objectives. T</w:t>
      </w:r>
      <w:r>
        <w:t>he status of the AIMWTMF and SCTF i</w:t>
      </w:r>
      <w:r w:rsidR="00C00DF7">
        <w:t>s reported i</w:t>
      </w:r>
      <w:r>
        <w:t xml:space="preserve">n the annual SRFAR. DPIRD has finalised and published the 2022/23 SRFAR, which includes stock status information up to, and including, that years’ fishing season. Key conclusions of this report regarding the status of saucer scallops taken by WA scallop trawl fisheries, including the AIMWTMF and SCTF, in 2022-23 are </w:t>
      </w:r>
      <w:r w:rsidRPr="001825BA">
        <w:t>as follows:</w:t>
      </w:r>
      <w:r>
        <w:t xml:space="preserve"> </w:t>
      </w:r>
    </w:p>
    <w:p w14:paraId="7B59F67F" w14:textId="77777777" w:rsidR="005D09CA" w:rsidRDefault="005D09CA" w:rsidP="005D09CA">
      <w:pPr>
        <w:pStyle w:val="ListParagraph"/>
        <w:numPr>
          <w:ilvl w:val="0"/>
          <w:numId w:val="10"/>
        </w:numPr>
      </w:pPr>
      <w:r>
        <w:rPr>
          <w:b/>
          <w:bCs/>
        </w:rPr>
        <w:t xml:space="preserve">AIMWTMF </w:t>
      </w:r>
      <w:r w:rsidRPr="00FE22B3">
        <w:t>–</w:t>
      </w:r>
      <w:r>
        <w:rPr>
          <w:b/>
          <w:bCs/>
        </w:rPr>
        <w:t xml:space="preserve"> </w:t>
      </w:r>
      <w:r>
        <w:t xml:space="preserve">Commercial scallop catch was 0 t, due to the fishery being closed for the 2022 season. The stock was assessed as </w:t>
      </w:r>
      <w:r w:rsidRPr="00AE2708">
        <w:rPr>
          <w:b/>
          <w:bCs/>
        </w:rPr>
        <w:t>inadequate</w:t>
      </w:r>
      <w:r>
        <w:t>, due to being environmentally limited.</w:t>
      </w:r>
    </w:p>
    <w:p w14:paraId="45527254" w14:textId="77777777" w:rsidR="005D09CA" w:rsidRDefault="005D09CA" w:rsidP="005D09CA">
      <w:pPr>
        <w:pStyle w:val="ListParagraph"/>
        <w:numPr>
          <w:ilvl w:val="0"/>
          <w:numId w:val="10"/>
        </w:numPr>
      </w:pPr>
      <w:r>
        <w:rPr>
          <w:b/>
          <w:bCs/>
        </w:rPr>
        <w:t xml:space="preserve">SCT </w:t>
      </w:r>
      <w:r>
        <w:t xml:space="preserve">– The commercial scallop stock was assessed as </w:t>
      </w:r>
      <w:r w:rsidRPr="00AE2708">
        <w:rPr>
          <w:b/>
          <w:bCs/>
        </w:rPr>
        <w:t>adequate</w:t>
      </w:r>
      <w:r>
        <w:rPr>
          <w:b/>
          <w:bCs/>
        </w:rPr>
        <w:t xml:space="preserve"> </w:t>
      </w:r>
      <w:r w:rsidRPr="00AE2708">
        <w:t>(sustainable),</w:t>
      </w:r>
      <w:r>
        <w:t xml:space="preserve"> with a catch of 29 t (caught over 57 days). </w:t>
      </w:r>
    </w:p>
    <w:p w14:paraId="06F8D4AA" w14:textId="77777777" w:rsidR="005D09CA" w:rsidRPr="00FE22B3" w:rsidRDefault="005D09CA" w:rsidP="005D09CA">
      <w:pPr>
        <w:pStyle w:val="ListParagraph"/>
        <w:numPr>
          <w:ilvl w:val="0"/>
          <w:numId w:val="10"/>
        </w:numPr>
      </w:pPr>
      <w:r>
        <w:t xml:space="preserve">WA saucer scallop catch, which includes all WA scallop fisheries (including SBSMF and the </w:t>
      </w:r>
      <w:proofErr w:type="gramStart"/>
      <w:r>
        <w:t>South West</w:t>
      </w:r>
      <w:proofErr w:type="gramEnd"/>
      <w:r>
        <w:t xml:space="preserve"> Trawl Managed Fishery) was assessed as </w:t>
      </w:r>
      <w:r w:rsidRPr="005C43B3">
        <w:rPr>
          <w:b/>
          <w:bCs/>
        </w:rPr>
        <w:t>adequate</w:t>
      </w:r>
      <w:r>
        <w:t xml:space="preserve">. </w:t>
      </w:r>
    </w:p>
    <w:p w14:paraId="13033090" w14:textId="56C3D290" w:rsidR="005D09CA" w:rsidRPr="00394D69" w:rsidRDefault="005D09CA" w:rsidP="005D09CA">
      <w:r>
        <w:t xml:space="preserve">Further information can be found in the </w:t>
      </w:r>
      <w:hyperlink r:id="rId37" w:history="1">
        <w:r w:rsidRPr="00F30296">
          <w:rPr>
            <w:rStyle w:val="Hyperlink"/>
            <w:i/>
            <w:iCs/>
          </w:rPr>
          <w:t>Status Reports of the Fisheries and Aquatic Resources of Western Australia 2022/2023</w:t>
        </w:r>
      </w:hyperlink>
      <w:r>
        <w:rPr>
          <w:rStyle w:val="Hyperlink"/>
          <w:u w:val="none"/>
        </w:rPr>
        <w:t xml:space="preserve"> and at </w:t>
      </w:r>
      <w:hyperlink r:id="rId38" w:history="1">
        <w:r w:rsidRPr="00AE2708">
          <w:rPr>
            <w:rStyle w:val="Hyperlink"/>
          </w:rPr>
          <w:t>resource_assessment_report_003.pdf (fish.wa.gov.au)</w:t>
        </w:r>
      </w:hyperlink>
      <w:r>
        <w:rPr>
          <w:color w:val="000000" w:themeColor="hyperlink"/>
        </w:rPr>
        <w:t xml:space="preserve">. </w:t>
      </w:r>
    </w:p>
    <w:p w14:paraId="2E3E53D3" w14:textId="682B2ADC" w:rsidR="009D2D05" w:rsidRDefault="00A232A3" w:rsidP="00D6156E">
      <w:pPr>
        <w:pStyle w:val="Heading3"/>
      </w:pPr>
      <w:bookmarkStart w:id="43" w:name="_Toc183695817"/>
      <w:r>
        <w:t>Annual fishery performance</w:t>
      </w:r>
      <w:bookmarkEnd w:id="43"/>
      <w:r>
        <w:t xml:space="preserve"> </w:t>
      </w:r>
    </w:p>
    <w:p w14:paraId="17150CF3" w14:textId="23B79429" w:rsidR="001A710E" w:rsidRDefault="001A710E" w:rsidP="00B56695">
      <w:r>
        <w:t xml:space="preserve">A broad catch tolerance range </w:t>
      </w:r>
      <w:r w:rsidR="0047662C">
        <w:t xml:space="preserve">of 95-1,830 t whole weight has been set for the AIMWTMF </w:t>
      </w:r>
      <w:r>
        <w:t xml:space="preserve">based on the historical catch range (1990-1998). </w:t>
      </w:r>
      <w:r w:rsidR="00B56695" w:rsidRPr="00D26D3E">
        <w:t xml:space="preserve">Defining </w:t>
      </w:r>
      <w:r>
        <w:t xml:space="preserve">this </w:t>
      </w:r>
      <w:r w:rsidR="00B56695" w:rsidRPr="00D26D3E">
        <w:t xml:space="preserve">annual tolerance </w:t>
      </w:r>
      <w:r w:rsidR="0047662C">
        <w:t xml:space="preserve">range </w:t>
      </w:r>
      <w:r w:rsidR="00B56695" w:rsidRPr="00D26D3E">
        <w:t>provides a formal but efficient basis to evaluate the effectiveness of current management arrangements in delivering the levels of catch and/or effort specified by the HCRs and</w:t>
      </w:r>
      <w:r>
        <w:t xml:space="preserve"> </w:t>
      </w:r>
      <w:r w:rsidR="00B56695" w:rsidRPr="00D26D3E">
        <w:t>any sectoral allocation decisions</w:t>
      </w:r>
      <w:r>
        <w:t xml:space="preserve">, </w:t>
      </w:r>
      <w:r w:rsidRPr="00D26D3E">
        <w:t>where relevant</w:t>
      </w:r>
      <w:r w:rsidR="00B56695" w:rsidRPr="00D26D3E">
        <w:t xml:space="preserve"> (Fletcher et al. 2016). </w:t>
      </w:r>
    </w:p>
    <w:p w14:paraId="7E1B231B" w14:textId="1DE7031E" w:rsidR="001A710E" w:rsidRDefault="001A710E" w:rsidP="001A710E">
      <w:r w:rsidRPr="00D26D3E">
        <w:t>The</w:t>
      </w:r>
      <w:r>
        <w:t xml:space="preserve"> </w:t>
      </w:r>
      <w:r w:rsidRPr="00D26D3E">
        <w:t xml:space="preserve">tolerance levels are reviewed annually and published in the State of Fisheries and Aquatic Resources Report. If the annual catch/effort (or any other indicator specified to measure performance against the economic and social objectives) </w:t>
      </w:r>
      <w:r w:rsidRPr="00D26D3E">
        <w:lastRenderedPageBreak/>
        <w:t>remains within the tolerance range, the fishery is operating ‘acceptably’ with no need to review the management settings. If any fishery performance indicator falls outside of the tolerance range and this cannot be adequately explained (e.g. documented evidence of environmental or market-induced impacts), this will result in a review of the cause and re-assessment of the resource status against the performance indicators and HCRs. This could potentially lead to a change in management settings and therefore a revision of the tolerance levels</w:t>
      </w:r>
      <w:r>
        <w:t xml:space="preserve">. </w:t>
      </w:r>
    </w:p>
    <w:p w14:paraId="3E4D7308" w14:textId="77777777" w:rsidR="001A710E" w:rsidRDefault="001A710E" w:rsidP="001A710E">
      <w:r>
        <w:t>Additionally, i</w:t>
      </w:r>
      <w:r w:rsidRPr="00D26D3E">
        <w:t xml:space="preserve">n line with the principles of ESD, this fishery level review process also considers performance against any objectives relating to the economic and social amenity benefits of fishing. Where possible, and in due consideration of ecological sustainability, fisheries management arrangements can be adjusted or reformed to help meet these economic and/or social objectives. </w:t>
      </w:r>
    </w:p>
    <w:p w14:paraId="63B7168D" w14:textId="524B7A8B" w:rsidR="001A710E" w:rsidRDefault="001A710E" w:rsidP="00B56695">
      <w:r w:rsidRPr="00D26D3E">
        <w:t>The economic and social objective for the scallop fishery does not currently have explicit performance measures. Rather it is through formal consultation processes that regulatory impediment to maintaining or enhancing economic return, and maximising social benefits of fishing, are discussed. This broadly considers the ability of fishers to retain scallops at times when it is most economically favourable based on the size and quality of scallops.</w:t>
      </w:r>
    </w:p>
    <w:p w14:paraId="5BA77A98" w14:textId="44B5869E" w:rsidR="00413673" w:rsidRDefault="00413673" w:rsidP="00413673">
      <w:pPr>
        <w:pStyle w:val="Heading1"/>
        <w:pageBreakBefore w:val="0"/>
      </w:pPr>
      <w:bookmarkStart w:id="44" w:name="_Toc183695818"/>
      <w:r>
        <w:t>Stock Assessments</w:t>
      </w:r>
      <w:bookmarkEnd w:id="44"/>
      <w:r>
        <w:t xml:space="preserve"> </w:t>
      </w:r>
    </w:p>
    <w:p w14:paraId="6D8DC59B" w14:textId="53D123D5" w:rsidR="00A50359" w:rsidRDefault="00A50359" w:rsidP="00E518FB">
      <w:pPr>
        <w:pStyle w:val="Heading2"/>
      </w:pPr>
      <w:bookmarkStart w:id="45" w:name="_Toc183695819"/>
      <w:r>
        <w:t>Principles</w:t>
      </w:r>
      <w:bookmarkEnd w:id="45"/>
    </w:p>
    <w:p w14:paraId="5C633BDD" w14:textId="40DDA313" w:rsidR="00B56695" w:rsidRDefault="00B56695" w:rsidP="00B56695">
      <w:r w:rsidRPr="000829E0">
        <w:t xml:space="preserve">All </w:t>
      </w:r>
      <w:r>
        <w:t xml:space="preserve">DPIRD </w:t>
      </w:r>
      <w:r w:rsidRPr="000829E0">
        <w:t>stock assessments take a weight-of-evidence, risk-based</w:t>
      </w:r>
      <w:r>
        <w:t xml:space="preserve"> </w:t>
      </w:r>
      <w:r w:rsidRPr="000829E0">
        <w:t>approach. This requires consideration of each available line of evidence, both</w:t>
      </w:r>
      <w:r>
        <w:t xml:space="preserve"> </w:t>
      </w:r>
      <w:r w:rsidRPr="000829E0">
        <w:t>individually and collectively, to generate the most appropriate overall assessment</w:t>
      </w:r>
      <w:r>
        <w:t xml:space="preserve"> </w:t>
      </w:r>
      <w:r w:rsidRPr="000829E0">
        <w:t>conclusion</w:t>
      </w:r>
      <w:r>
        <w:t xml:space="preserve"> of the status of the stock, and the risk of future depletion</w:t>
      </w:r>
      <w:r w:rsidRPr="000829E0">
        <w:t xml:space="preserve">. </w:t>
      </w:r>
      <w:r w:rsidR="0047662C">
        <w:t>L</w:t>
      </w:r>
      <w:r w:rsidRPr="000829E0">
        <w:t>ines of evidence include outputs that are generated from each</w:t>
      </w:r>
      <w:r>
        <w:t xml:space="preserve"> </w:t>
      </w:r>
      <w:r w:rsidRPr="000829E0">
        <w:t>available quantitative</w:t>
      </w:r>
      <w:r w:rsidRPr="000B7344">
        <w:t xml:space="preserve"> method, plus any qualitative lines of evidence such as biological and fishery information that describe the productivity and vulnerability of the species/stock, and information from fishers, stakeholders</w:t>
      </w:r>
      <w:r>
        <w:t>,</w:t>
      </w:r>
      <w:r w:rsidRPr="000B7344">
        <w:t xml:space="preserve"> and other sources.</w:t>
      </w:r>
      <w:r>
        <w:t xml:space="preserve"> In the case of the AIMWTMF, the information is also reviewed against the Harvest Strategy to inform the required management response to manage sustainability.</w:t>
      </w:r>
    </w:p>
    <w:p w14:paraId="65FC6D57" w14:textId="77777777" w:rsidR="00B56695" w:rsidRPr="008E2321" w:rsidRDefault="00B56695" w:rsidP="00B56695">
      <w:pPr>
        <w:rPr>
          <w:b/>
          <w:bCs/>
        </w:rPr>
      </w:pPr>
      <w:r w:rsidRPr="00AB5B89">
        <w:t>Stock assessmen</w:t>
      </w:r>
      <w:r>
        <w:t>t</w:t>
      </w:r>
      <w:r w:rsidRPr="00AB5B89">
        <w:t>s for the AIMWTMF and SCTF</w:t>
      </w:r>
      <w:r>
        <w:t xml:space="preserve"> </w:t>
      </w:r>
      <w:r w:rsidRPr="00AB5B89">
        <w:t>consider:</w:t>
      </w:r>
      <w:r>
        <w:t xml:space="preserve"> </w:t>
      </w:r>
    </w:p>
    <w:p w14:paraId="1FFB9D91" w14:textId="77777777" w:rsidR="00B56695" w:rsidRDefault="00B56695" w:rsidP="00B56695">
      <w:pPr>
        <w:pStyle w:val="ListParagraph"/>
        <w:numPr>
          <w:ilvl w:val="0"/>
          <w:numId w:val="10"/>
        </w:numPr>
      </w:pPr>
      <w:r>
        <w:t xml:space="preserve">Commercial catch and catch per unit effort (CPUE) </w:t>
      </w:r>
      <w:proofErr w:type="gramStart"/>
      <w:r>
        <w:t>standardisation;</w:t>
      </w:r>
      <w:proofErr w:type="gramEnd"/>
      <w:r>
        <w:t xml:space="preserve">  </w:t>
      </w:r>
    </w:p>
    <w:p w14:paraId="12D879ED" w14:textId="77777777" w:rsidR="00B56695" w:rsidRDefault="00B56695" w:rsidP="00B56695">
      <w:pPr>
        <w:pStyle w:val="ListParagraph"/>
        <w:numPr>
          <w:ilvl w:val="0"/>
          <w:numId w:val="10"/>
        </w:numPr>
      </w:pPr>
      <w:r>
        <w:t xml:space="preserve">Analysis of biological information collected from fishing-independent (research) </w:t>
      </w:r>
      <w:proofErr w:type="gramStart"/>
      <w:r>
        <w:t>sampling;</w:t>
      </w:r>
      <w:proofErr w:type="gramEnd"/>
      <w:r>
        <w:t xml:space="preserve"> </w:t>
      </w:r>
    </w:p>
    <w:p w14:paraId="15CA400F" w14:textId="77777777" w:rsidR="00B56695" w:rsidRDefault="00B56695" w:rsidP="00B56695">
      <w:pPr>
        <w:pStyle w:val="ListParagraph"/>
        <w:numPr>
          <w:ilvl w:val="0"/>
          <w:numId w:val="10"/>
        </w:numPr>
      </w:pPr>
      <w:r>
        <w:t>Fishery independent indices of stock levels (AIMWTMF only).</w:t>
      </w:r>
    </w:p>
    <w:p w14:paraId="74281029" w14:textId="0C372BA7" w:rsidR="00210446" w:rsidRPr="00210446" w:rsidRDefault="00210446" w:rsidP="00210446">
      <w:pPr>
        <w:pStyle w:val="Heading3"/>
      </w:pPr>
      <w:bookmarkStart w:id="46" w:name="_Toc183695820"/>
      <w:bookmarkStart w:id="47" w:name="_Toc179449987"/>
      <w:r>
        <w:t>Weight of evidence reports and annual season review</w:t>
      </w:r>
      <w:bookmarkEnd w:id="46"/>
      <w:r>
        <w:t xml:space="preserve"> </w:t>
      </w:r>
      <w:bookmarkEnd w:id="47"/>
    </w:p>
    <w:p w14:paraId="125C1728" w14:textId="43760B7F" w:rsidR="00E079A4" w:rsidRDefault="00E079A4" w:rsidP="00E079A4">
      <w:r>
        <w:t xml:space="preserve">Annual weight of evidence reports </w:t>
      </w:r>
      <w:proofErr w:type="gramStart"/>
      <w:r>
        <w:t>are</w:t>
      </w:r>
      <w:proofErr w:type="gramEnd"/>
      <w:r>
        <w:t xml:space="preserve"> produced for each fishery following conclusion of the season. The respective Fishery’s 2023/24 stock assessment weight of evidence reports have been provided at </w:t>
      </w:r>
      <w:r w:rsidRPr="005B1C49">
        <w:rPr>
          <w:b/>
          <w:bCs/>
        </w:rPr>
        <w:t>A</w:t>
      </w:r>
      <w:r w:rsidR="009337DF">
        <w:rPr>
          <w:b/>
          <w:bCs/>
        </w:rPr>
        <w:t>ppendix</w:t>
      </w:r>
      <w:r w:rsidRPr="005B1C49">
        <w:rPr>
          <w:b/>
          <w:bCs/>
        </w:rPr>
        <w:t xml:space="preserve"> 4 and 5</w:t>
      </w:r>
      <w:r>
        <w:t xml:space="preserve">. These reports </w:t>
      </w:r>
      <w:r>
        <w:lastRenderedPageBreak/>
        <w:t xml:space="preserve">summarise fishery performance and are provided to industry and discussed during annual season review meetings, with results used to set season arrangements for the coming season in accordance with HCRs within respective harvest strategies, as applicable. </w:t>
      </w:r>
    </w:p>
    <w:p w14:paraId="7B6221CF" w14:textId="0F63F8FE" w:rsidR="00032DE0" w:rsidRPr="00032DE0" w:rsidRDefault="001A710E" w:rsidP="00B56695">
      <w:r>
        <w:t>Assessments of the AIMWTMF target stock use performance indicators,</w:t>
      </w:r>
      <w:r w:rsidR="00032DE0">
        <w:t xml:space="preserve"> derived from fishery dependent and independent information including annual surveys, catch/effort data, and other performance indicators applied to measure social and economic objectives,</w:t>
      </w:r>
      <w:r>
        <w:t xml:space="preserve"> to determine the status of the stock</w:t>
      </w:r>
      <w:r w:rsidR="00032DE0">
        <w:t xml:space="preserve"> and whether the </w:t>
      </w:r>
      <w:r w:rsidR="00E079A4">
        <w:t xml:space="preserve">AIMWTMF is operating ‘acceptably’. </w:t>
      </w:r>
      <w:r w:rsidR="00032DE0">
        <w:t xml:space="preserve">Further information regarding the assessment of the AIMWTMF is provided in section </w:t>
      </w:r>
      <w:r w:rsidR="00032DE0">
        <w:rPr>
          <w:i/>
          <w:iCs/>
        </w:rPr>
        <w:t xml:space="preserve">3.4.1 </w:t>
      </w:r>
      <w:r w:rsidR="00032DE0">
        <w:t>of the Harvest Strategy.</w:t>
      </w:r>
    </w:p>
    <w:p w14:paraId="716A114B" w14:textId="536240F0" w:rsidR="00E079A4" w:rsidRDefault="00E079A4" w:rsidP="00B56695">
      <w:r>
        <w:t xml:space="preserve">If any indicator specified to measure performance falls outside of the tolerance range and cannot be adequately explained (i.e. environmental or market-induced impacts) this will result in a review and re-assessment of the resource status against the Harvest Strategy, with additional management adjustments being made accordingly. </w:t>
      </w:r>
    </w:p>
    <w:p w14:paraId="70F8B5CF" w14:textId="55CBD089" w:rsidR="00210446" w:rsidRPr="00210446" w:rsidRDefault="00210446" w:rsidP="00210446">
      <w:pPr>
        <w:pStyle w:val="Heading4"/>
      </w:pPr>
      <w:r>
        <w:t xml:space="preserve">2023 stock assessment </w:t>
      </w:r>
    </w:p>
    <w:p w14:paraId="6BD1AF49" w14:textId="151B7A11" w:rsidR="00B56695" w:rsidRPr="00956AF4" w:rsidRDefault="00454B5A" w:rsidP="00B56695">
      <w:r>
        <w:t>2023 w</w:t>
      </w:r>
      <w:r w:rsidR="00B56695">
        <w:t xml:space="preserve">eight-of-evidence stock assessments of the saucer scallop resource accessed by operators in the AIMWTMF and SCTF indicated the following: </w:t>
      </w:r>
    </w:p>
    <w:p w14:paraId="663E71F6" w14:textId="77777777" w:rsidR="00B56695" w:rsidRPr="00956AF4" w:rsidRDefault="00B56695" w:rsidP="00972AC9">
      <w:pPr>
        <w:pStyle w:val="ListParagraph"/>
        <w:numPr>
          <w:ilvl w:val="0"/>
          <w:numId w:val="15"/>
        </w:numPr>
      </w:pPr>
      <w:r>
        <w:t xml:space="preserve">AIMWTMF - </w:t>
      </w:r>
      <w:r w:rsidRPr="00E518FB">
        <w:rPr>
          <w:i/>
          <w:iCs/>
        </w:rPr>
        <w:t>High (Above Limit, below Threshold): It is POSSIBLE (20-50%) that the stock is below the Threshold and above the Limit. The February index breached the threshold and there was a lower level of recruitment. This may be a result of poor scallop quality reducing reproductive output and hence lower than expected recruitment.</w:t>
      </w:r>
    </w:p>
    <w:p w14:paraId="24E88D05" w14:textId="4F85B4A0" w:rsidR="00A9135A" w:rsidRDefault="00B56695" w:rsidP="00972AC9">
      <w:pPr>
        <w:pStyle w:val="ListParagraph"/>
        <w:numPr>
          <w:ilvl w:val="0"/>
          <w:numId w:val="15"/>
        </w:numPr>
        <w:rPr>
          <w:i/>
          <w:iCs/>
        </w:rPr>
      </w:pPr>
      <w:r w:rsidRPr="003A45A7">
        <w:t>SCT -</w:t>
      </w:r>
      <w:r w:rsidRPr="00583A1F">
        <w:rPr>
          <w:u w:val="single"/>
        </w:rPr>
        <w:t xml:space="preserve"> </w:t>
      </w:r>
      <w:r w:rsidRPr="00E518FB">
        <w:rPr>
          <w:i/>
          <w:iCs/>
          <w:u w:val="single"/>
        </w:rPr>
        <w:t>Moderate (Above Threshold, below Target):</w:t>
      </w:r>
      <w:r w:rsidRPr="00E518FB">
        <w:rPr>
          <w:i/>
          <w:iCs/>
        </w:rPr>
        <w:t xml:space="preserve"> It is LIKELY (&gt;50%) that the stock is above the threshold level. Recent catch levels were obtained with reduced effort in 2023, resulting in improved catch rates, from traditional fishing grounds.</w:t>
      </w:r>
    </w:p>
    <w:p w14:paraId="756E3044" w14:textId="2FF70827" w:rsidR="00A50359" w:rsidRDefault="00A50359" w:rsidP="00A50359">
      <w:pPr>
        <w:pStyle w:val="Heading1"/>
        <w:pageBreakBefore w:val="0"/>
      </w:pPr>
      <w:bookmarkStart w:id="48" w:name="_Toc183695821"/>
      <w:r>
        <w:t>Monitoring</w:t>
      </w:r>
      <w:r w:rsidR="003545B0">
        <w:t>,</w:t>
      </w:r>
      <w:r>
        <w:t xml:space="preserve"> data collection </w:t>
      </w:r>
      <w:r w:rsidR="003545B0">
        <w:t>and validation</w:t>
      </w:r>
      <w:bookmarkEnd w:id="48"/>
    </w:p>
    <w:p w14:paraId="147F6DBB" w14:textId="77777777" w:rsidR="003D6196" w:rsidRDefault="003D6196" w:rsidP="003D6196">
      <w:pPr>
        <w:pStyle w:val="Heading2"/>
      </w:pPr>
      <w:bookmarkStart w:id="49" w:name="_Toc183695822"/>
      <w:r>
        <w:t>Fishery-independent monitoring</w:t>
      </w:r>
      <w:bookmarkEnd w:id="49"/>
      <w:r>
        <w:t xml:space="preserve"> </w:t>
      </w:r>
    </w:p>
    <w:p w14:paraId="77A16B0F" w14:textId="77777777" w:rsidR="003D6196" w:rsidRDefault="003D6196" w:rsidP="003D6196">
      <w:r>
        <w:t xml:space="preserve">Scallop surveys in the Abrolhos Islands have been undertaken annually in November since 1997. An additional February/March survey was introduced in 2014 and has been undertaken regularly since 2016. Scallop surveys are used to estimate scallop abundance, as well as overall size composition and meat size/quality within standard sites in each major fishing ground (i.e. traditional trawl grounds). </w:t>
      </w:r>
    </w:p>
    <w:p w14:paraId="34D728B2" w14:textId="3ACC3688" w:rsidR="00BA4A25" w:rsidRDefault="00BA4A25" w:rsidP="003D6196">
      <w:r>
        <w:t xml:space="preserve">Further information regarding fishery-independent monitoring is available in </w:t>
      </w:r>
      <w:r w:rsidRPr="00BA4A25">
        <w:rPr>
          <w:i/>
          <w:iCs/>
        </w:rPr>
        <w:t>section 3.6.1.3</w:t>
      </w:r>
      <w:r>
        <w:t xml:space="preserve"> of the AIMWTMF Harvest Strategy. </w:t>
      </w:r>
    </w:p>
    <w:p w14:paraId="7FCC07B5" w14:textId="77777777" w:rsidR="003D6196" w:rsidRDefault="003D6196" w:rsidP="003D6196">
      <w:r w:rsidRPr="00247564">
        <w:t>There</w:t>
      </w:r>
      <w:r>
        <w:t xml:space="preserve"> are no fishery dependent or independent survey regimes currently in place for the SCTF. Therefore, logbook </w:t>
      </w:r>
      <w:proofErr w:type="gramStart"/>
      <w:r>
        <w:t>catch</w:t>
      </w:r>
      <w:proofErr w:type="gramEnd"/>
      <w:r>
        <w:t xml:space="preserve"> and effort data is used to assess the status and management of the South Coast scallop stock. </w:t>
      </w:r>
    </w:p>
    <w:p w14:paraId="742B3D36" w14:textId="2AB39599" w:rsidR="00BA4A25" w:rsidRDefault="00BA4A25" w:rsidP="00BA4A25">
      <w:r>
        <w:lastRenderedPageBreak/>
        <w:t xml:space="preserve">For these two scallop-based fisheries, environmental information, including depth, water temperature and sea conditions, and climate data, are collected and </w:t>
      </w:r>
      <w:r w:rsidRPr="0059394E">
        <w:t>used to assess potential spawning and/or recruitment impairment, which is driven by temperature fluctuations.</w:t>
      </w:r>
      <w:r>
        <w:t xml:space="preserve">   </w:t>
      </w:r>
    </w:p>
    <w:p w14:paraId="29170BC5" w14:textId="4A12039B" w:rsidR="00BA4A25" w:rsidRDefault="00BA4A25" w:rsidP="003D6196">
      <w:r>
        <w:t xml:space="preserve">Spatial data validation is undertaken by plotting maps of logbook effort and using VMS to monitor fishing activities. Refer to </w:t>
      </w:r>
      <w:r>
        <w:rPr>
          <w:i/>
          <w:iCs/>
        </w:rPr>
        <w:t xml:space="preserve">Vessel Monitoring System </w:t>
      </w:r>
      <w:r>
        <w:t>section for more information.</w:t>
      </w:r>
    </w:p>
    <w:p w14:paraId="6CFBA578" w14:textId="1352059D" w:rsidR="003545B0" w:rsidRPr="003545B0" w:rsidRDefault="00A50359" w:rsidP="003545B0">
      <w:pPr>
        <w:pStyle w:val="Heading2"/>
      </w:pPr>
      <w:bookmarkStart w:id="50" w:name="_Toc183695823"/>
      <w:r w:rsidRPr="003545B0">
        <w:t>Statutory logbook reporting</w:t>
      </w:r>
      <w:bookmarkEnd w:id="50"/>
      <w:r w:rsidRPr="003545B0">
        <w:t xml:space="preserve"> </w:t>
      </w:r>
    </w:p>
    <w:p w14:paraId="5BD39579" w14:textId="574D4B8B" w:rsidR="00B56695" w:rsidRDefault="00B56695" w:rsidP="00B56695">
      <w:bookmarkStart w:id="51" w:name="_Hlk179291180"/>
      <w:r>
        <w:t xml:space="preserve">Commercial catch and effort data in the AIMWTMF and SCTF is monitored using statutory daily logbooks. </w:t>
      </w:r>
      <w:bookmarkEnd w:id="51"/>
      <w:r w:rsidRPr="00CC39DD">
        <w:t>A voluntary daily logbook program was introduced in the AIMWTMF in 1998, with all vessels complet</w:t>
      </w:r>
      <w:r>
        <w:t>ing</w:t>
      </w:r>
      <w:r w:rsidRPr="00CC39DD">
        <w:t xml:space="preserve"> these since 2000</w:t>
      </w:r>
      <w:r>
        <w:t xml:space="preserve">. In 2008, the provision of daily logbook records of catch (in weight and numbers) and effort (trawl start time and duration) became </w:t>
      </w:r>
      <w:r w:rsidRPr="008C42FC">
        <w:t xml:space="preserve">a statutory requirement in the AIMWTMF. </w:t>
      </w:r>
      <w:r w:rsidR="008C42FC" w:rsidRPr="008C42FC">
        <w:t>In the SCTF, active vessels provide fishery-dependent information to DPIRD, which is validated against processor unload records.</w:t>
      </w:r>
    </w:p>
    <w:p w14:paraId="5F1A32F9" w14:textId="77777777" w:rsidR="00B56695" w:rsidRPr="00CC39DD" w:rsidRDefault="00B56695" w:rsidP="00B56695">
      <w:r>
        <w:t xml:space="preserve">Noting that most catches have typically been shucked at sea, skippers record an estimate of the meat weight (on average approximately 20% of the whole weight) together with the number of baskets of whole scallops caught. DPIRD staff check, enter and validate the logbook data against processor unload records monthly and any potentially erroneous entries or gaps are checked with skippers and possibly adjusted, if required. </w:t>
      </w:r>
    </w:p>
    <w:p w14:paraId="348FE79B" w14:textId="324D7EA8" w:rsidR="00B56695" w:rsidRDefault="00B56695" w:rsidP="00B56695">
      <w:r>
        <w:t>As part of catch and effort logbook reporting, fishers are required to report all retained species caught and any Endangered, Threatened and Protected (ETP) species interactions, including release condition.</w:t>
      </w:r>
      <w:r w:rsidR="0042156A">
        <w:t xml:space="preserve"> </w:t>
      </w:r>
      <w:r w:rsidRPr="00BE5389">
        <w:t>Further information on species retained by the AIMWTMF and SCTF are reported in annual stock assessment reports and in the annual SRFAR.</w:t>
      </w:r>
      <w:r>
        <w:t xml:space="preserve"> </w:t>
      </w:r>
    </w:p>
    <w:p w14:paraId="6A25BAFB" w14:textId="219B18E8" w:rsidR="00A50359" w:rsidRPr="004D336D" w:rsidRDefault="00A50359" w:rsidP="00A50359">
      <w:pPr>
        <w:pStyle w:val="Heading2"/>
      </w:pPr>
      <w:bookmarkStart w:id="52" w:name="_Toc183695824"/>
      <w:r>
        <w:t>Vessel monitoring system</w:t>
      </w:r>
      <w:bookmarkEnd w:id="52"/>
      <w:r>
        <w:t xml:space="preserve"> </w:t>
      </w:r>
    </w:p>
    <w:p w14:paraId="0576B567" w14:textId="77777777" w:rsidR="00B56695" w:rsidRDefault="00B56695" w:rsidP="00B56695">
      <w:bookmarkStart w:id="53" w:name="_Hlk179291235"/>
      <w:r>
        <w:t>A Vessel Monitoring System (</w:t>
      </w:r>
      <w:r w:rsidRPr="005C43B3">
        <w:t>VMS</w:t>
      </w:r>
      <w:r>
        <w:t>)</w:t>
      </w:r>
      <w:r w:rsidRPr="005C43B3">
        <w:t xml:space="preserve"> is used</w:t>
      </w:r>
      <w:r>
        <w:t xml:space="preserve"> in the AIMWTMF and SCTF to monitor effort levels and ensure compliance with management arrangements. </w:t>
      </w:r>
    </w:p>
    <w:p w14:paraId="3619F37B" w14:textId="77777777" w:rsidR="00B56695" w:rsidRDefault="00B56695" w:rsidP="00B56695">
      <w:r>
        <w:t xml:space="preserve">For more information regarding VMS in these Fisheries, see </w:t>
      </w:r>
      <w:r>
        <w:rPr>
          <w:i/>
          <w:iCs/>
        </w:rPr>
        <w:t xml:space="preserve">Enforcement of management arrangements </w:t>
      </w:r>
      <w:r>
        <w:t xml:space="preserve">section. </w:t>
      </w:r>
    </w:p>
    <w:p w14:paraId="2E39BB29" w14:textId="59911FDE" w:rsidR="00AD3629" w:rsidRPr="0038399B" w:rsidRDefault="00AD3629" w:rsidP="00AD3629">
      <w:pPr>
        <w:pStyle w:val="Heading1"/>
        <w:pageBreakBefore w:val="0"/>
      </w:pPr>
      <w:bookmarkStart w:id="54" w:name="_Toc183695825"/>
      <w:bookmarkEnd w:id="53"/>
      <w:r w:rsidRPr="0038399B">
        <w:t>Ecosystem</w:t>
      </w:r>
      <w:bookmarkEnd w:id="54"/>
      <w:r w:rsidRPr="0038399B">
        <w:t xml:space="preserve"> </w:t>
      </w:r>
    </w:p>
    <w:p w14:paraId="12F3CC38" w14:textId="3C1C2BD1" w:rsidR="00DF2A0E" w:rsidRPr="007F1EC3" w:rsidRDefault="00DF2A0E" w:rsidP="00DF2A0E">
      <w:pPr>
        <w:pStyle w:val="Heading2"/>
      </w:pPr>
      <w:bookmarkStart w:id="55" w:name="_Toc183695826"/>
      <w:r w:rsidRPr="00413673">
        <w:t>M</w:t>
      </w:r>
      <w:r w:rsidR="00413673">
        <w:t xml:space="preserve">arine </w:t>
      </w:r>
      <w:r w:rsidRPr="00413673">
        <w:t>S</w:t>
      </w:r>
      <w:r w:rsidR="00413673">
        <w:t xml:space="preserve">tewardship </w:t>
      </w:r>
      <w:r w:rsidRPr="00413673">
        <w:t>C</w:t>
      </w:r>
      <w:r w:rsidR="00413673">
        <w:t>ouncil (MSC) accreditation</w:t>
      </w:r>
      <w:bookmarkEnd w:id="55"/>
      <w:r w:rsidR="00413673">
        <w:t xml:space="preserve"> </w:t>
      </w:r>
    </w:p>
    <w:p w14:paraId="1A343EF4" w14:textId="77777777" w:rsidR="00B56695" w:rsidRDefault="00B56695" w:rsidP="00B56695">
      <w:r w:rsidRPr="007F1EC3">
        <w:t xml:space="preserve">The </w:t>
      </w:r>
      <w:r>
        <w:t>AIMWTMF</w:t>
      </w:r>
      <w:r w:rsidRPr="007F1EC3">
        <w:t xml:space="preserve"> received third party MSC accreditation in 20</w:t>
      </w:r>
      <w:r>
        <w:t>21</w:t>
      </w:r>
      <w:r w:rsidRPr="007F1EC3">
        <w:t>, demonstrating its achievement of high standards in relation to sustainability of fish stocks, the minimisation of environmental impacts</w:t>
      </w:r>
      <w:r>
        <w:t xml:space="preserve"> resulting from fishing activities,</w:t>
      </w:r>
      <w:r w:rsidRPr="007F1EC3">
        <w:t xml:space="preserve"> and effective </w:t>
      </w:r>
      <w:r w:rsidRPr="007F1EC3">
        <w:lastRenderedPageBreak/>
        <w:t>management</w:t>
      </w:r>
      <w:r>
        <w:t xml:space="preserve"> of the Fishery</w:t>
      </w:r>
      <w:r w:rsidRPr="007F1EC3">
        <w:t xml:space="preserve">. </w:t>
      </w:r>
      <w:r>
        <w:t xml:space="preserve">The AIMWTMF is scheduled to be reassessed under the MSC accreditation system in 2026. </w:t>
      </w:r>
    </w:p>
    <w:p w14:paraId="615FCE76" w14:textId="77777777" w:rsidR="00B56695" w:rsidRDefault="00B56695" w:rsidP="00B56695">
      <w:r>
        <w:t xml:space="preserve">Based on this assessment of the Fishery, no conditions were set at certification for any of the following ecosystem components: target species, non-target retained species (byproduct), non-retained species (bycatch), endangered species, habitat, and the ecosystem overall. </w:t>
      </w:r>
    </w:p>
    <w:p w14:paraId="33806B12" w14:textId="77777777" w:rsidR="00B56695" w:rsidRPr="007F1EC3" w:rsidRDefault="00B56695" w:rsidP="00B56695">
      <w:r>
        <w:t xml:space="preserve">Further information regarding the current status of the AIMWTMF MSC certification is available in the 2024 </w:t>
      </w:r>
      <w:hyperlink r:id="rId39" w:history="1">
        <w:r w:rsidRPr="002F5592">
          <w:rPr>
            <w:rStyle w:val="Hyperlink"/>
          </w:rPr>
          <w:t>Surveillance Audit Report</w:t>
        </w:r>
      </w:hyperlink>
      <w:r>
        <w:t>.</w:t>
      </w:r>
    </w:p>
    <w:p w14:paraId="77CDCFC2" w14:textId="74CA471E" w:rsidR="00AD3629" w:rsidRPr="006A045C" w:rsidRDefault="00AD3629" w:rsidP="00AD3629">
      <w:pPr>
        <w:pStyle w:val="Heading2"/>
      </w:pPr>
      <w:bookmarkStart w:id="56" w:name="_Toc183695827"/>
      <w:r w:rsidRPr="006A045C">
        <w:t>Mitigating impacts of the wider ecosystem</w:t>
      </w:r>
      <w:bookmarkEnd w:id="56"/>
      <w:r w:rsidRPr="006A045C">
        <w:t xml:space="preserve"> </w:t>
      </w:r>
    </w:p>
    <w:p w14:paraId="6B74FBB2" w14:textId="6958601F" w:rsidR="00B56695" w:rsidRDefault="00B56695" w:rsidP="00B56695">
      <w:r w:rsidRPr="006A045C">
        <w:t xml:space="preserve">DPIRD adopts an integrated Ecosystem Based Fisheries Management (EBFM) approach to manage WA fisheries. </w:t>
      </w:r>
      <w:r>
        <w:t xml:space="preserve">EBFM framework involves a risk-based monitoring and assessment approach to determine the cumulative impacts of all fishing activities (commercial, recreational and customary) on the overall ecosystems in which fishing occurs. In line with the principles of Ecologically Sustainable Development (ESD), the EBFM approach also recognises that the economic and social benefits of fishing to all users must be considered. </w:t>
      </w:r>
    </w:p>
    <w:p w14:paraId="01E8C34B" w14:textId="0101B589" w:rsidR="00B56695" w:rsidRDefault="00B56695" w:rsidP="00B56695">
      <w:r>
        <w:t>EBFM is applied across all fisheries, and aquatic resources, operating at a regional or ecosystem level. The level of risk to each resource is used as a key input to the DPIRD Risk Register, which is an integral component of the annual planning cycle for assigning activity priorities (research, management, compliance, education, etc.) across each bioregion. Outcomes of each assessment contribute to developing and implementing appropriate and sustainable management arrangements.</w:t>
      </w:r>
    </w:p>
    <w:p w14:paraId="526347F1" w14:textId="5C3A9FD4" w:rsidR="00AD3629" w:rsidRPr="0038399B" w:rsidRDefault="00AD3629" w:rsidP="00AD3629">
      <w:pPr>
        <w:pStyle w:val="Heading2"/>
      </w:pPr>
      <w:bookmarkStart w:id="57" w:name="_Toc183695828"/>
      <w:r w:rsidRPr="0038399B">
        <w:t>Ecological Risk Assessments</w:t>
      </w:r>
      <w:bookmarkEnd w:id="57"/>
      <w:r w:rsidRPr="0038399B">
        <w:t xml:space="preserve"> </w:t>
      </w:r>
    </w:p>
    <w:p w14:paraId="5B8A5D01" w14:textId="77777777" w:rsidR="00B56695" w:rsidRDefault="00B56695" w:rsidP="00B56695">
      <w:r>
        <w:t xml:space="preserve">Ecological Risk Assessments (ERAs) are undertaken periodically to assess the impacts of fisheries on all components of the aquatic environments in which they operate. The risk assessment methodology (utilised at the time of the AIMWTMF ERA, 2019) is based on the global standard for risk assessment and risk management (AS/NZS ISO 31000). This methodology applied a consequence-likelihood analysis, which involves the examination of the magnitude of potential consequences from fishing activities and the likelihood that those consequences will occur given (current) management controls. </w:t>
      </w:r>
    </w:p>
    <w:p w14:paraId="661EE05A" w14:textId="66F40718" w:rsidR="00B56695" w:rsidRDefault="00B56695" w:rsidP="00B56695">
      <w:r>
        <w:t>An ERA was convened by DPIRD for t</w:t>
      </w:r>
      <w:r w:rsidRPr="00D91D53">
        <w:t xml:space="preserve">he AIMWTMF </w:t>
      </w:r>
      <w:r>
        <w:t>in 2019, with a final report published in February 2020 (</w:t>
      </w:r>
      <w:hyperlink r:id="rId40" w:history="1">
        <w:r w:rsidRPr="001C51BB">
          <w:rPr>
            <w:rStyle w:val="Hyperlink"/>
          </w:rPr>
          <w:t>AIMWTMF ERA 2019</w:t>
        </w:r>
      </w:hyperlink>
      <w:r>
        <w:t xml:space="preserve">). All risks were assessed using a consultative and structured workshop, held in September 2019, and focused on evaluation the ecological impact of the scallop trawl component of this fishery (i.e. excluding the Port Gregory prawn fishery) on all retained species, bycatch, ETP species, habitats and the broader </w:t>
      </w:r>
      <w:r w:rsidRPr="00CF6D61">
        <w:t>ecosystem. Workshop participants included subject matter experts, DPIRD management, compliance and research staff, and representatives from the commercial fishing industry.</w:t>
      </w:r>
      <w:r>
        <w:t xml:space="preserve"> </w:t>
      </w:r>
    </w:p>
    <w:p w14:paraId="4991D99A" w14:textId="77777777" w:rsidR="00B56695" w:rsidRDefault="00B56695" w:rsidP="00B56695">
      <w:r>
        <w:lastRenderedPageBreak/>
        <w:t xml:space="preserve">Risks assessed during the 2019 ERA workshop were scored as medium, low or negligible risks using the adopted methodology. Risk rankings of medium or less are considered acceptable for a well-managed fishery, subject to ongoing management practices and performance monitoring. </w:t>
      </w:r>
    </w:p>
    <w:p w14:paraId="247C2631" w14:textId="77777777" w:rsidR="00104DB5" w:rsidRDefault="00B56695" w:rsidP="00B56695">
      <w:r>
        <w:t>Ongoing performance of the AIMWTMF indicates that the risk of fishing interactions to ecological assessed components remains acceptably low.</w:t>
      </w:r>
      <w:r w:rsidR="00104DB5">
        <w:t xml:space="preserve"> </w:t>
      </w:r>
    </w:p>
    <w:p w14:paraId="22F09846" w14:textId="615F6A41" w:rsidR="00B56695" w:rsidRPr="00D91D53" w:rsidRDefault="00B56695" w:rsidP="00B56695">
      <w:r>
        <w:t xml:space="preserve">The next periodic ERA for the WA saucer scallop resource, which includes the AIMWTMF and SCTF, is scheduled for 2025. </w:t>
      </w:r>
    </w:p>
    <w:p w14:paraId="59C8CF27" w14:textId="77777777" w:rsidR="00AD3629" w:rsidRDefault="00AD3629" w:rsidP="00AD3629">
      <w:pPr>
        <w:pStyle w:val="Heading2"/>
      </w:pPr>
      <w:bookmarkStart w:id="58" w:name="_Toc183695829"/>
      <w:r w:rsidRPr="009838E7">
        <w:t>Bycatch and protected species interactions</w:t>
      </w:r>
      <w:bookmarkEnd w:id="58"/>
      <w:r>
        <w:t xml:space="preserve"> </w:t>
      </w:r>
    </w:p>
    <w:p w14:paraId="05C19A19" w14:textId="7E6C7281" w:rsidR="00B56695" w:rsidRDefault="00B56695" w:rsidP="00B56695">
      <w:r>
        <w:t xml:space="preserve">Several ETP species are listed under the EPBC Act for the West Coast and South Coast regions where the AIMWTMF and SCTF operate. These ETP species mostly comprise of elasmobranchs, cetaceans, turtles and migratory seabirds. </w:t>
      </w:r>
    </w:p>
    <w:p w14:paraId="6F416EBF" w14:textId="2171B8A0" w:rsidR="00B56695" w:rsidRDefault="00B56695" w:rsidP="00B56695">
      <w:r>
        <w:t xml:space="preserve">It is a statutory requirement for commercial fishers to report interactions of ETP species in logbooks. Owning to the larger mesh size of scallop otter trawl nets (being not less than 100mm), the main ETP species at risk or interacting with boats and fishing gear in these fisheries are cetaceans, marine turtles, </w:t>
      </w:r>
      <w:proofErr w:type="spellStart"/>
      <w:r>
        <w:t>sygnathids</w:t>
      </w:r>
      <w:proofErr w:type="spellEnd"/>
      <w:r>
        <w:t xml:space="preserve">, sea snakes and Australian sea lions. No interactions of ETP species have been recorded by the Fisheries since 2008 and, given trawl speed is slow (2-3 knots while trawling and up to 9 knots while streaming), it is highly unlikely that wildlife would be struck by vessels.  </w:t>
      </w:r>
    </w:p>
    <w:p w14:paraId="3C428209" w14:textId="77777777" w:rsidR="00B56695" w:rsidRDefault="00B56695" w:rsidP="00B56695">
      <w:r>
        <w:t xml:space="preserve">Further, the implementation of BRDs in both the AIMWTMF and SCTF has reduced the capture of larger animals, while other species, such as </w:t>
      </w:r>
      <w:proofErr w:type="spellStart"/>
      <w:r>
        <w:t>Sygnathids</w:t>
      </w:r>
      <w:proofErr w:type="spellEnd"/>
      <w:r>
        <w:t xml:space="preserve">, which are typically associated with seagrass and macroalgal habitats, are not often encountered due to large components of the nearshore waters, specifically in the Abrolhos Islands, being closed to scallop trawling. </w:t>
      </w:r>
    </w:p>
    <w:p w14:paraId="51FD0CFD" w14:textId="36908609" w:rsidR="0042156A" w:rsidRDefault="00B56695" w:rsidP="00B56695">
      <w:r>
        <w:t xml:space="preserve">Fishery independent and dependent bycatch sampling programs have been established in the AIMWTMF and SCTF to provide information to DPIRD </w:t>
      </w:r>
      <w:r w:rsidR="008C42FC">
        <w:t>regarding</w:t>
      </w:r>
      <w:r>
        <w:t xml:space="preserve"> species interactions resulting from fishing activities. Bycatch sampling was undertaken by DPIRD in the AIMTMF in January 2023, with results confirming that while the bycatch composition was </w:t>
      </w:r>
      <w:r w:rsidRPr="008C42FC">
        <w:t>diverse (180 species), each species was &lt;1% in total weight (</w:t>
      </w:r>
      <w:r w:rsidR="00116F70" w:rsidRPr="008C42FC">
        <w:fldChar w:fldCharType="begin"/>
      </w:r>
      <w:r w:rsidR="00116F70" w:rsidRPr="008C42FC">
        <w:instrText xml:space="preserve"> REF _Ref181964085 \h </w:instrText>
      </w:r>
      <w:r w:rsidR="008C42FC">
        <w:instrText xml:space="preserve"> \* MERGEFORMAT </w:instrText>
      </w:r>
      <w:r w:rsidR="00116F70" w:rsidRPr="008C42FC">
        <w:fldChar w:fldCharType="separate"/>
      </w:r>
      <w:r w:rsidR="00AB15B7" w:rsidRPr="00AB15B7">
        <w:rPr>
          <w:lang w:val="en-US"/>
        </w:rPr>
        <w:t>Appendix 2 – Bycatch data (2023) in the AIMWTMF</w:t>
      </w:r>
      <w:r w:rsidR="00116F70" w:rsidRPr="008C42FC">
        <w:fldChar w:fldCharType="end"/>
      </w:r>
      <w:r w:rsidRPr="008C42FC">
        <w:t xml:space="preserve">). </w:t>
      </w:r>
      <w:r w:rsidR="008C42FC" w:rsidRPr="008C42FC">
        <w:t xml:space="preserve">On behalf of DPIRD, one </w:t>
      </w:r>
      <w:r w:rsidR="0042156A" w:rsidRPr="008C42FC">
        <w:t xml:space="preserve">designated vessel </w:t>
      </w:r>
      <w:r w:rsidR="008C42FC" w:rsidRPr="008C42FC">
        <w:t>undertook</w:t>
      </w:r>
      <w:r w:rsidR="0042156A" w:rsidRPr="008C42FC">
        <w:t xml:space="preserve"> bycatch sampling surveys </w:t>
      </w:r>
      <w:r w:rsidR="008C42FC" w:rsidRPr="008C42FC">
        <w:t>in the SCTF in 2023 and 2024.</w:t>
      </w:r>
      <w:r w:rsidR="0042156A" w:rsidRPr="008C42FC">
        <w:t xml:space="preserve"> Fishery managers, research and industry worked collaboratively to develop sampling protocols, including specific sampling sites and the number of shots/samples, etc. Bycatch samples have been provided to DPIRD Aquatic Science and Assessment for analysis</w:t>
      </w:r>
      <w:r w:rsidR="008C42FC" w:rsidRPr="008C42FC">
        <w:t xml:space="preserve"> and results will be reported on and assessed as part of the 2025 ERA.</w:t>
      </w:r>
      <w:r w:rsidR="008C42FC">
        <w:t xml:space="preserve"> </w:t>
      </w:r>
    </w:p>
    <w:p w14:paraId="07DD3D27" w14:textId="53AC28DC" w:rsidR="00B56695" w:rsidRPr="00D91D53" w:rsidRDefault="00B56695" w:rsidP="00B56695">
      <w:r>
        <w:t xml:space="preserve">DPIRD reports on protected and listed species interactions with WA fisheries, which </w:t>
      </w:r>
      <w:r w:rsidR="00D77002">
        <w:t>includes</w:t>
      </w:r>
      <w:r>
        <w:t xml:space="preserve"> publication of annual statistics to fishery and gear level (where not prohibited by confidentiality requirements). Interaction reports are published in the annual reports of the status of the fisheries and aquatic resources of Western Australia, which is available on DPIRD’s websi</w:t>
      </w:r>
      <w:r w:rsidRPr="00981979">
        <w:t>te (</w:t>
      </w:r>
      <w:hyperlink r:id="rId41" w:history="1">
        <w:r w:rsidRPr="00981979">
          <w:rPr>
            <w:rStyle w:val="Hyperlink"/>
          </w:rPr>
          <w:t>Status reports of the fisheries</w:t>
        </w:r>
      </w:hyperlink>
      <w:r>
        <w:t xml:space="preserve">). </w:t>
      </w:r>
      <w:r>
        <w:lastRenderedPageBreak/>
        <w:t>Recent fishery status reports for the AIMWTMF and SCTF have indicated no ETP species interactions. Further, the 2019 ERA reported that the risk of the Fishery to bycatch and byproduct species was negligible (</w:t>
      </w:r>
      <w:r w:rsidRPr="00E87B13">
        <w:t>ERA, 2020</w:t>
      </w:r>
      <w:r>
        <w:t xml:space="preserve">). </w:t>
      </w:r>
    </w:p>
    <w:p w14:paraId="742C98FD" w14:textId="716532E2" w:rsidR="00E14B56" w:rsidRDefault="00E14B56" w:rsidP="00E14B56">
      <w:pPr>
        <w:pStyle w:val="Heading2"/>
      </w:pPr>
      <w:bookmarkStart w:id="59" w:name="_Toc183695830"/>
      <w:r w:rsidRPr="00AB5B89">
        <w:t>Habitat</w:t>
      </w:r>
      <w:bookmarkEnd w:id="59"/>
    </w:p>
    <w:p w14:paraId="44D2B951" w14:textId="77777777" w:rsidR="00B56695" w:rsidRDefault="00B56695" w:rsidP="00B56695">
      <w:r>
        <w:t xml:space="preserve">Most fishing in the AIMWTMF and SCTF occurs in sandy habitat to target scallops and actively avoid areas that can damage fishing gear (e.g. reefs), whereby the impacts to these areas caused by scallop trawling activities are expected to be minor and short-lived (ERA, 2020). </w:t>
      </w:r>
    </w:p>
    <w:p w14:paraId="631C2B72" w14:textId="77777777" w:rsidR="00B56695" w:rsidRDefault="00B56695" w:rsidP="00B56695">
      <w:r>
        <w:t xml:space="preserve">While research regarding otter trawl systems has demonstrated that these have the least impact of all forms of trawling on marine ecosystems (ERA 2020), there is potential for these fisheries to interact with other benthic habitats which may be vulnerable to trawl fishing, such as sponges, seagrasses and soft corals. </w:t>
      </w:r>
    </w:p>
    <w:p w14:paraId="4ABB9825" w14:textId="45519575" w:rsidR="00B56695" w:rsidRDefault="00B56695" w:rsidP="00B56695">
      <w:r>
        <w:t>The impact of scallop trawling on habitats is monitored by estimating the annual spatial trawl footprint of the AIMWTMF and ensuring it does not extend across more than 20% of the entire Fishery (</w:t>
      </w:r>
      <w:hyperlink r:id="rId42" w:history="1">
        <w:r w:rsidRPr="00BD7FB4">
          <w:rPr>
            <w:rStyle w:val="Hyperlink"/>
          </w:rPr>
          <w:t>AIMWTMF Harvest Strategy</w:t>
        </w:r>
      </w:hyperlink>
      <w:r>
        <w:t xml:space="preserve">). Quantitative studies suggest that sand and silt habitats are relatively resilient to trawl fishing (ERA, 2020). </w:t>
      </w:r>
      <w:r w:rsidR="00D77002">
        <w:t>R</w:t>
      </w:r>
      <w:r>
        <w:t xml:space="preserve">epeat trawling over the same ground is limited. </w:t>
      </w:r>
    </w:p>
    <w:p w14:paraId="19C89437" w14:textId="77777777" w:rsidR="00B56695" w:rsidRDefault="00B56695" w:rsidP="00B56695">
      <w:r>
        <w:t xml:space="preserve">Management controls within the Harvest Strategy aim to minimise the potential impacts on sensitive and/or vulnerable habitats in the AIMWTMF. A move on rule is triggered when vulnerable habitat bycatch exceeds a specified amount (refer to Table 1 of the AIMWTMF Harvest Strategy). Additionally, an exploratory fishing approach is in place for fishing in unknown or non-traditional fishing areas, which requires the use of try gear to minimise adverse interactions with habitats. </w:t>
      </w:r>
    </w:p>
    <w:p w14:paraId="3EEAD47A" w14:textId="77777777" w:rsidR="00B56695" w:rsidRDefault="00B56695" w:rsidP="00B56695">
      <w:r>
        <w:t xml:space="preserve">The interaction of trawl gear with benthic habitats in the AIMWTMF was assessed as posing a low risk in the 2020 ERA and 2024 Stock Assessment. </w:t>
      </w:r>
    </w:p>
    <w:p w14:paraId="51E625A2" w14:textId="77777777" w:rsidR="00B56695" w:rsidRDefault="00B56695" w:rsidP="00B56695">
      <w:pPr>
        <w:spacing w:before="240"/>
      </w:pPr>
      <w:r>
        <w:t xml:space="preserve">Noting the sporadic fishing activity that occurs in the SCTF, formal arrangements that apply in the AIMWTMF to manage the harvest of scallop stocks, such as catch rate thresholds and ‘move on’ rules, have not been applied at this time. However, operators have adopted a (voluntary) precautionary harvest approach, whereby if a vessel encounters an area of small scallops and/or low levels of scallop abundance, commercial vessels will avoid the area and advise other fishing vessels to also avoid the area. This also applies to areas of vulnerable and sensitive habitats. </w:t>
      </w:r>
    </w:p>
    <w:p w14:paraId="36A14605" w14:textId="7BBE54A4" w:rsidR="00AD3629" w:rsidRDefault="00AD3629" w:rsidP="00AD3629">
      <w:pPr>
        <w:pStyle w:val="Heading1"/>
        <w:pageBreakBefore w:val="0"/>
      </w:pPr>
      <w:bookmarkStart w:id="60" w:name="_Toc183695831"/>
      <w:r>
        <w:t>Enforcement of Management Arrangements</w:t>
      </w:r>
      <w:bookmarkEnd w:id="60"/>
      <w:r>
        <w:t xml:space="preserve"> </w:t>
      </w:r>
    </w:p>
    <w:p w14:paraId="70601EA0" w14:textId="793F3ADA" w:rsidR="008E5184" w:rsidRDefault="00581779" w:rsidP="000A7DD3">
      <w:pPr>
        <w:pStyle w:val="Heading2"/>
      </w:pPr>
      <w:bookmarkStart w:id="61" w:name="_Toc183695832"/>
      <w:bookmarkStart w:id="62" w:name="_Hlk181087559"/>
      <w:r>
        <w:t>Operations and Compliance</w:t>
      </w:r>
      <w:bookmarkEnd w:id="61"/>
      <w:r>
        <w:t xml:space="preserve"> </w:t>
      </w:r>
    </w:p>
    <w:p w14:paraId="609862AA" w14:textId="77777777" w:rsidR="00581779" w:rsidRDefault="00581779" w:rsidP="00581779">
      <w:pPr>
        <w:spacing w:after="100" w:afterAutospacing="1"/>
        <w:rPr>
          <w:rFonts w:ascii="Arial" w:hAnsi="Arial" w:cs="Arial"/>
          <w:szCs w:val="24"/>
        </w:rPr>
      </w:pPr>
      <w:r w:rsidRPr="009F49A5">
        <w:rPr>
          <w:rFonts w:ascii="Arial" w:hAnsi="Arial" w:cs="Arial"/>
          <w:szCs w:val="24"/>
        </w:rPr>
        <w:t xml:space="preserve">DPIRD has important statutory functions as a regulator. The contribution of regulatory compliance teams within DPIRD supports the development and implementation of quality legislation, policy and regulatory compliance services. DPIRD is committed to delivering a comprehensive awareness and education </w:t>
      </w:r>
      <w:r w:rsidRPr="009F49A5">
        <w:rPr>
          <w:rFonts w:ascii="Arial" w:hAnsi="Arial" w:cs="Arial"/>
          <w:szCs w:val="24"/>
        </w:rPr>
        <w:lastRenderedPageBreak/>
        <w:t xml:space="preserve">program to improve awareness of the legislation, and to increase people’s ability to willingly comply with the regulatory requirements. </w:t>
      </w:r>
    </w:p>
    <w:p w14:paraId="7DEFEBA0" w14:textId="77777777" w:rsidR="00581779" w:rsidRDefault="00581779" w:rsidP="00876558">
      <w:pPr>
        <w:pStyle w:val="Heading3"/>
      </w:pPr>
      <w:bookmarkStart w:id="63" w:name="_Toc183695833"/>
      <w:r>
        <w:t>Strategic Objectives</w:t>
      </w:r>
      <w:bookmarkEnd w:id="63"/>
      <w:r>
        <w:t xml:space="preserve"> </w:t>
      </w:r>
    </w:p>
    <w:p w14:paraId="00AB42B8" w14:textId="77777777" w:rsidR="00581779" w:rsidRDefault="00581779" w:rsidP="00581779">
      <w:pPr>
        <w:spacing w:after="100" w:afterAutospacing="1"/>
        <w:rPr>
          <w:rFonts w:ascii="Arial" w:hAnsi="Arial" w:cs="Arial"/>
          <w:szCs w:val="24"/>
        </w:rPr>
      </w:pPr>
      <w:r w:rsidRPr="009F49A5">
        <w:rPr>
          <w:rFonts w:ascii="Arial" w:hAnsi="Arial" w:cs="Arial"/>
          <w:szCs w:val="24"/>
        </w:rPr>
        <w:t>DPIRD’s regulatory approach</w:t>
      </w:r>
      <w:r>
        <w:rPr>
          <w:rStyle w:val="FootnoteReference"/>
          <w:rFonts w:ascii="Arial" w:hAnsi="Arial" w:cs="Arial"/>
          <w:szCs w:val="24"/>
        </w:rPr>
        <w:footnoteReference w:id="3"/>
      </w:r>
      <w:r w:rsidRPr="009F49A5">
        <w:rPr>
          <w:rFonts w:ascii="Arial" w:hAnsi="Arial" w:cs="Arial"/>
          <w:szCs w:val="24"/>
        </w:rPr>
        <w:t xml:space="preserve"> intends to provide international and national markets, primary industries, consumers and the Western Australian community</w:t>
      </w:r>
      <w:r>
        <w:rPr>
          <w:rFonts w:ascii="Arial" w:hAnsi="Arial" w:cs="Arial"/>
          <w:szCs w:val="24"/>
        </w:rPr>
        <w:t xml:space="preserve"> the</w:t>
      </w:r>
      <w:r w:rsidRPr="009F49A5">
        <w:rPr>
          <w:rFonts w:ascii="Arial" w:hAnsi="Arial" w:cs="Arial"/>
          <w:szCs w:val="24"/>
        </w:rPr>
        <w:t xml:space="preserve"> confidence </w:t>
      </w:r>
      <w:r>
        <w:rPr>
          <w:rFonts w:ascii="Arial" w:hAnsi="Arial" w:cs="Arial"/>
          <w:szCs w:val="24"/>
        </w:rPr>
        <w:t xml:space="preserve">that </w:t>
      </w:r>
      <w:r w:rsidRPr="009F49A5">
        <w:rPr>
          <w:rFonts w:ascii="Arial" w:hAnsi="Arial" w:cs="Arial"/>
          <w:szCs w:val="24"/>
        </w:rPr>
        <w:t>our aquatic resources are managed within sustainable limits</w:t>
      </w:r>
      <w:r>
        <w:rPr>
          <w:rFonts w:ascii="Arial" w:hAnsi="Arial" w:cs="Arial"/>
          <w:szCs w:val="24"/>
        </w:rPr>
        <w:t>.</w:t>
      </w:r>
    </w:p>
    <w:p w14:paraId="35B19642" w14:textId="77777777" w:rsidR="00581779" w:rsidRDefault="00581779" w:rsidP="00581779">
      <w:pPr>
        <w:spacing w:after="0"/>
        <w:rPr>
          <w:rFonts w:ascii="Arial" w:hAnsi="Arial" w:cs="Arial"/>
          <w:szCs w:val="24"/>
        </w:rPr>
      </w:pPr>
      <w:r w:rsidRPr="00D04748">
        <w:rPr>
          <w:rFonts w:ascii="Arial" w:hAnsi="Arial" w:cs="Arial"/>
          <w:szCs w:val="24"/>
        </w:rPr>
        <w:t xml:space="preserve">DPIRD’s strategic objective as it relates to </w:t>
      </w:r>
      <w:r>
        <w:rPr>
          <w:rFonts w:ascii="Arial" w:hAnsi="Arial" w:cs="Arial"/>
          <w:szCs w:val="24"/>
        </w:rPr>
        <w:t xml:space="preserve">fisheries </w:t>
      </w:r>
      <w:r w:rsidRPr="00D04748">
        <w:rPr>
          <w:rFonts w:ascii="Arial" w:hAnsi="Arial" w:cs="Arial"/>
          <w:szCs w:val="24"/>
        </w:rPr>
        <w:t>compliance is:</w:t>
      </w:r>
    </w:p>
    <w:p w14:paraId="256C7131" w14:textId="70A2EED7" w:rsidR="00581779" w:rsidRPr="00581779" w:rsidRDefault="00581779" w:rsidP="00581779">
      <w:pPr>
        <w:spacing w:after="0"/>
        <w:rPr>
          <w:rFonts w:ascii="Arial" w:hAnsi="Arial" w:cs="Arial"/>
          <w:szCs w:val="24"/>
        </w:rPr>
      </w:pPr>
      <w:r w:rsidRPr="00D04748">
        <w:rPr>
          <w:rFonts w:ascii="Arial" w:eastAsia="Arial" w:hAnsi="Arial" w:cs="Arial"/>
          <w:i/>
          <w:iCs/>
          <w:szCs w:val="24"/>
          <w:lang w:val="en-US"/>
        </w:rPr>
        <w:t xml:space="preserve">‘To serve the Western Australian community and promote sustainable and responsible fishing by promoting stewardship and compliance with relevant legislation, preventing offences, and monitoring, investigating and enforcing compliance with relevant legislation’. </w:t>
      </w:r>
    </w:p>
    <w:p w14:paraId="4C3F2517" w14:textId="77777777" w:rsidR="00581779" w:rsidRPr="00D04748" w:rsidRDefault="00581779" w:rsidP="00581779">
      <w:pPr>
        <w:spacing w:before="100" w:beforeAutospacing="1" w:after="100" w:afterAutospacing="1"/>
        <w:rPr>
          <w:rFonts w:ascii="Arial" w:eastAsia="Arial" w:hAnsi="Arial" w:cs="Arial"/>
          <w:szCs w:val="24"/>
          <w:lang w:val="en-US"/>
        </w:rPr>
      </w:pPr>
      <w:r w:rsidRPr="00D04748">
        <w:rPr>
          <w:rFonts w:ascii="Arial" w:eastAsia="Arial" w:hAnsi="Arial" w:cs="Arial"/>
          <w:szCs w:val="24"/>
          <w:lang w:val="en-US"/>
        </w:rPr>
        <w:t xml:space="preserve">DPIRD </w:t>
      </w:r>
      <w:r>
        <w:rPr>
          <w:rFonts w:ascii="Arial" w:eastAsia="Arial" w:hAnsi="Arial" w:cs="Arial"/>
          <w:szCs w:val="24"/>
          <w:lang w:val="en-US"/>
        </w:rPr>
        <w:t xml:space="preserve">also </w:t>
      </w:r>
      <w:r w:rsidRPr="00D04748">
        <w:rPr>
          <w:rFonts w:ascii="Arial" w:eastAsia="Arial" w:hAnsi="Arial" w:cs="Arial"/>
          <w:szCs w:val="24"/>
          <w:lang w:val="en-US"/>
        </w:rPr>
        <w:t>seeks to achieve the following outcome as provided in the</w:t>
      </w:r>
      <w:r w:rsidRPr="00D04748">
        <w:rPr>
          <w:rFonts w:ascii="Arial" w:hAnsi="Arial" w:cs="Arial"/>
          <w:i/>
          <w:iCs/>
          <w:szCs w:val="24"/>
          <w:lang w:val="en-US"/>
        </w:rPr>
        <w:t xml:space="preserve"> Australian Fisheries National Compliance Strategy 2022-2026 </w:t>
      </w:r>
      <w:r w:rsidRPr="00D04748">
        <w:rPr>
          <w:rFonts w:ascii="Arial" w:hAnsi="Arial" w:cs="Arial"/>
          <w:szCs w:val="24"/>
          <w:lang w:val="en-US"/>
        </w:rPr>
        <w:t>(the National Strategy)</w:t>
      </w:r>
      <w:r>
        <w:rPr>
          <w:rStyle w:val="FootnoteReference"/>
          <w:rFonts w:ascii="Arial" w:hAnsi="Arial" w:cs="Arial"/>
          <w:szCs w:val="24"/>
          <w:lang w:val="en-US"/>
        </w:rPr>
        <w:footnoteReference w:id="4"/>
      </w:r>
      <w:r w:rsidRPr="00D04748">
        <w:rPr>
          <w:rFonts w:ascii="Arial" w:eastAsia="Arial" w:hAnsi="Arial" w:cs="Arial"/>
          <w:szCs w:val="24"/>
          <w:lang w:val="en-US"/>
        </w:rPr>
        <w:t>:</w:t>
      </w:r>
    </w:p>
    <w:p w14:paraId="2D7EB75A" w14:textId="77777777" w:rsidR="00581779" w:rsidRPr="00D04748" w:rsidRDefault="00581779" w:rsidP="00581779">
      <w:pPr>
        <w:pStyle w:val="ListBullet"/>
        <w:numPr>
          <w:ilvl w:val="0"/>
          <w:numId w:val="0"/>
        </w:numPr>
        <w:spacing w:before="100" w:beforeAutospacing="1" w:after="100" w:afterAutospacing="1"/>
        <w:contextualSpacing w:val="0"/>
        <w:rPr>
          <w:rFonts w:ascii="Arial" w:hAnsi="Arial" w:cs="Arial"/>
          <w:szCs w:val="24"/>
        </w:rPr>
      </w:pPr>
      <w:r w:rsidRPr="00D04748">
        <w:rPr>
          <w:rFonts w:ascii="Arial" w:eastAsia="Arial" w:hAnsi="Arial" w:cs="Arial"/>
          <w:szCs w:val="24"/>
          <w:lang w:val="en-US"/>
        </w:rPr>
        <w:t xml:space="preserve">An </w:t>
      </w:r>
      <w:r w:rsidRPr="00D04748">
        <w:rPr>
          <w:rFonts w:ascii="Arial" w:eastAsia="Arial" w:hAnsi="Arial" w:cs="Arial"/>
          <w:i/>
          <w:iCs/>
          <w:szCs w:val="24"/>
          <w:lang w:val="en-US"/>
        </w:rPr>
        <w:t>Optimal Level of Compliance</w:t>
      </w:r>
      <w:r w:rsidRPr="00D04748">
        <w:rPr>
          <w:rFonts w:ascii="Arial" w:eastAsia="Arial" w:hAnsi="Arial" w:cs="Arial"/>
          <w:szCs w:val="24"/>
          <w:lang w:val="en-US"/>
        </w:rPr>
        <w:t xml:space="preserve">, which can be described as, </w:t>
      </w:r>
      <w:r w:rsidRPr="00D04748">
        <w:rPr>
          <w:rFonts w:ascii="Arial" w:eastAsia="Arial" w:hAnsi="Arial" w:cs="Arial"/>
          <w:i/>
          <w:iCs/>
          <w:szCs w:val="24"/>
          <w:lang w:val="en-US"/>
        </w:rPr>
        <w:t xml:space="preserve">‘that which holds the level of non-compliance at an acceptable level, which can be maintained at a reasonable cost while not compromising the integrity of fisheries management or ecological sustainability and ensuring ongoing social </w:t>
      </w:r>
      <w:proofErr w:type="spellStart"/>
      <w:r w:rsidRPr="00D04748">
        <w:rPr>
          <w:rFonts w:ascii="Arial" w:eastAsia="Arial" w:hAnsi="Arial" w:cs="Arial"/>
          <w:i/>
          <w:iCs/>
          <w:szCs w:val="24"/>
          <w:lang w:val="en-US"/>
        </w:rPr>
        <w:t>licence</w:t>
      </w:r>
      <w:proofErr w:type="spellEnd"/>
      <w:r w:rsidRPr="00D04748">
        <w:rPr>
          <w:rFonts w:ascii="Arial" w:eastAsia="Arial" w:hAnsi="Arial" w:cs="Arial"/>
          <w:i/>
          <w:iCs/>
          <w:szCs w:val="24"/>
          <w:lang w:val="en-US"/>
        </w:rPr>
        <w:t xml:space="preserve"> and legitimacy’</w:t>
      </w:r>
      <w:r w:rsidRPr="00D04748">
        <w:rPr>
          <w:rFonts w:ascii="Arial" w:eastAsia="Arial" w:hAnsi="Arial" w:cs="Arial"/>
          <w:szCs w:val="24"/>
          <w:lang w:val="en-US"/>
        </w:rPr>
        <w:t xml:space="preserve">. </w:t>
      </w:r>
    </w:p>
    <w:p w14:paraId="714CC2EC" w14:textId="77777777" w:rsidR="00581779" w:rsidRDefault="00581779" w:rsidP="00581779">
      <w:pPr>
        <w:widowControl w:val="0"/>
        <w:autoSpaceDE w:val="0"/>
        <w:autoSpaceDN w:val="0"/>
        <w:spacing w:before="100" w:beforeAutospacing="1" w:after="100" w:afterAutospacing="1"/>
        <w:ind w:right="103"/>
        <w:rPr>
          <w:rFonts w:ascii="Arial" w:eastAsia="Arial" w:hAnsi="Arial" w:cs="Arial"/>
          <w:szCs w:val="24"/>
          <w:lang w:val="en-US"/>
        </w:rPr>
      </w:pPr>
      <w:r>
        <w:rPr>
          <w:rFonts w:ascii="Arial" w:eastAsia="Arial" w:hAnsi="Arial" w:cs="Arial"/>
          <w:szCs w:val="24"/>
          <w:lang w:val="en-US"/>
        </w:rPr>
        <w:t>The Department’s regulatory approach is shaped by the</w:t>
      </w:r>
      <w:r w:rsidRPr="00CC74DC">
        <w:rPr>
          <w:rFonts w:ascii="Arial" w:eastAsia="Arial" w:hAnsi="Arial" w:cs="Arial"/>
          <w:szCs w:val="24"/>
          <w:lang w:val="en-US"/>
        </w:rPr>
        <w:t xml:space="preserve"> three key compliance strategies recommended by the National Strategy: </w:t>
      </w:r>
    </w:p>
    <w:p w14:paraId="28DEBFA9" w14:textId="4292C79B" w:rsidR="00581779" w:rsidRPr="008233D5" w:rsidRDefault="00A9135A" w:rsidP="00972AC9">
      <w:pPr>
        <w:pStyle w:val="ListParagraph"/>
        <w:widowControl w:val="0"/>
        <w:numPr>
          <w:ilvl w:val="0"/>
          <w:numId w:val="16"/>
        </w:numPr>
        <w:autoSpaceDE w:val="0"/>
        <w:autoSpaceDN w:val="0"/>
        <w:spacing w:before="100" w:beforeAutospacing="1" w:after="100" w:afterAutospacing="1" w:line="240" w:lineRule="auto"/>
        <w:ind w:right="103"/>
        <w:contextualSpacing w:val="0"/>
        <w:rPr>
          <w:rFonts w:ascii="Arial" w:eastAsia="Arial" w:hAnsi="Arial" w:cs="Arial"/>
          <w:szCs w:val="24"/>
          <w:lang w:val="en-US"/>
        </w:rPr>
      </w:pPr>
      <w:r>
        <w:rPr>
          <w:rFonts w:ascii="Arial" w:eastAsia="Arial" w:hAnsi="Arial" w:cs="Arial"/>
          <w:szCs w:val="24"/>
          <w:lang w:val="en-US"/>
        </w:rPr>
        <w:t>E</w:t>
      </w:r>
      <w:r w:rsidR="00581779" w:rsidRPr="008233D5">
        <w:rPr>
          <w:rFonts w:ascii="Arial" w:eastAsia="Arial" w:hAnsi="Arial" w:cs="Arial"/>
          <w:szCs w:val="24"/>
          <w:lang w:val="en-US"/>
        </w:rPr>
        <w:t>ffective deterrence</w:t>
      </w:r>
      <w:r>
        <w:rPr>
          <w:rFonts w:ascii="Arial" w:eastAsia="Arial" w:hAnsi="Arial" w:cs="Arial"/>
          <w:szCs w:val="24"/>
          <w:lang w:val="en-US"/>
        </w:rPr>
        <w:t>.</w:t>
      </w:r>
    </w:p>
    <w:p w14:paraId="046B8DD7" w14:textId="4787B93A" w:rsidR="00581779" w:rsidRPr="008233D5" w:rsidRDefault="00A9135A" w:rsidP="00972AC9">
      <w:pPr>
        <w:pStyle w:val="ListParagraph"/>
        <w:widowControl w:val="0"/>
        <w:numPr>
          <w:ilvl w:val="0"/>
          <w:numId w:val="16"/>
        </w:numPr>
        <w:autoSpaceDE w:val="0"/>
        <w:autoSpaceDN w:val="0"/>
        <w:spacing w:before="100" w:beforeAutospacing="1" w:after="100" w:afterAutospacing="1" w:line="240" w:lineRule="auto"/>
        <w:ind w:right="103"/>
        <w:contextualSpacing w:val="0"/>
        <w:rPr>
          <w:rFonts w:ascii="Arial" w:eastAsia="Arial" w:hAnsi="Arial" w:cs="Arial"/>
          <w:szCs w:val="24"/>
          <w:lang w:val="en-US"/>
        </w:rPr>
      </w:pPr>
      <w:proofErr w:type="spellStart"/>
      <w:r>
        <w:rPr>
          <w:rFonts w:ascii="Arial" w:eastAsia="Arial" w:hAnsi="Arial" w:cs="Arial"/>
          <w:szCs w:val="24"/>
          <w:lang w:val="en-US"/>
        </w:rPr>
        <w:t>O</w:t>
      </w:r>
      <w:r w:rsidR="00581779" w:rsidRPr="008233D5">
        <w:rPr>
          <w:rFonts w:ascii="Arial" w:eastAsia="Arial" w:hAnsi="Arial" w:cs="Arial"/>
          <w:szCs w:val="24"/>
          <w:lang w:val="en-US"/>
        </w:rPr>
        <w:t>rganisational</w:t>
      </w:r>
      <w:proofErr w:type="spellEnd"/>
      <w:r w:rsidR="00581779" w:rsidRPr="008233D5">
        <w:rPr>
          <w:rFonts w:ascii="Arial" w:eastAsia="Arial" w:hAnsi="Arial" w:cs="Arial"/>
          <w:szCs w:val="24"/>
          <w:lang w:val="en-US"/>
        </w:rPr>
        <w:t xml:space="preserve"> capability and capacity</w:t>
      </w:r>
      <w:r>
        <w:rPr>
          <w:rFonts w:ascii="Arial" w:eastAsia="Arial" w:hAnsi="Arial" w:cs="Arial"/>
          <w:szCs w:val="24"/>
          <w:lang w:val="en-US"/>
        </w:rPr>
        <w:t>.</w:t>
      </w:r>
    </w:p>
    <w:p w14:paraId="2D2D239C" w14:textId="5B585EB0" w:rsidR="00581779" w:rsidRDefault="00A9135A" w:rsidP="00972AC9">
      <w:pPr>
        <w:pStyle w:val="ListParagraph"/>
        <w:widowControl w:val="0"/>
        <w:numPr>
          <w:ilvl w:val="0"/>
          <w:numId w:val="16"/>
        </w:numPr>
        <w:autoSpaceDE w:val="0"/>
        <w:autoSpaceDN w:val="0"/>
        <w:spacing w:before="100" w:beforeAutospacing="1" w:after="100" w:afterAutospacing="1" w:line="240" w:lineRule="auto"/>
        <w:ind w:right="103"/>
        <w:contextualSpacing w:val="0"/>
        <w:rPr>
          <w:rFonts w:ascii="Arial" w:eastAsia="Arial" w:hAnsi="Arial" w:cs="Arial"/>
          <w:szCs w:val="24"/>
          <w:lang w:val="en-US"/>
        </w:rPr>
      </w:pPr>
      <w:proofErr w:type="spellStart"/>
      <w:r>
        <w:rPr>
          <w:rFonts w:ascii="Arial" w:eastAsia="Arial" w:hAnsi="Arial" w:cs="Arial"/>
          <w:szCs w:val="24"/>
          <w:lang w:val="en-US"/>
        </w:rPr>
        <w:t>M</w:t>
      </w:r>
      <w:r w:rsidR="00581779" w:rsidRPr="008233D5">
        <w:rPr>
          <w:rFonts w:ascii="Arial" w:eastAsia="Arial" w:hAnsi="Arial" w:cs="Arial"/>
          <w:szCs w:val="24"/>
          <w:lang w:val="en-US"/>
        </w:rPr>
        <w:t>aximising</w:t>
      </w:r>
      <w:proofErr w:type="spellEnd"/>
      <w:r w:rsidR="00581779" w:rsidRPr="008233D5">
        <w:rPr>
          <w:rFonts w:ascii="Arial" w:eastAsia="Arial" w:hAnsi="Arial" w:cs="Arial"/>
          <w:szCs w:val="24"/>
          <w:lang w:val="en-US"/>
        </w:rPr>
        <w:t xml:space="preserve"> willing compliance</w:t>
      </w:r>
      <w:r>
        <w:rPr>
          <w:rFonts w:ascii="Arial" w:eastAsia="Arial" w:hAnsi="Arial" w:cs="Arial"/>
          <w:szCs w:val="24"/>
          <w:lang w:val="en-US"/>
        </w:rPr>
        <w:t>.</w:t>
      </w:r>
    </w:p>
    <w:p w14:paraId="1789C46C" w14:textId="2862A470" w:rsidR="00581779" w:rsidRDefault="00581779" w:rsidP="00876558">
      <w:pPr>
        <w:pStyle w:val="Heading3"/>
      </w:pPr>
      <w:bookmarkStart w:id="64" w:name="_Toc183695834"/>
      <w:r>
        <w:t>Compliance Operations</w:t>
      </w:r>
      <w:bookmarkEnd w:id="64"/>
      <w:r>
        <w:t xml:space="preserve">  </w:t>
      </w:r>
    </w:p>
    <w:p w14:paraId="6CF95A2A" w14:textId="77777777" w:rsidR="00581779" w:rsidRDefault="00581779" w:rsidP="00581779">
      <w:pPr>
        <w:spacing w:after="100" w:afterAutospacing="1"/>
        <w:rPr>
          <w:rFonts w:ascii="Arial" w:hAnsi="Arial" w:cs="Arial"/>
          <w:szCs w:val="24"/>
        </w:rPr>
      </w:pPr>
      <w:r w:rsidRPr="00D04748">
        <w:rPr>
          <w:rFonts w:ascii="Arial" w:hAnsi="Arial" w:cs="Arial"/>
          <w:szCs w:val="24"/>
        </w:rPr>
        <w:t xml:space="preserve">During 2023, the Department developed and implemented a new annual risk-based management framework for commercial fishing and aquaculture compliance programs in WA. </w:t>
      </w:r>
    </w:p>
    <w:p w14:paraId="3505003C" w14:textId="77777777" w:rsidR="00581779" w:rsidRPr="00D04748" w:rsidRDefault="00581779" w:rsidP="00581779">
      <w:pPr>
        <w:spacing w:before="100" w:beforeAutospacing="1" w:after="0"/>
        <w:rPr>
          <w:rFonts w:ascii="Arial" w:hAnsi="Arial" w:cs="Arial"/>
          <w:szCs w:val="24"/>
        </w:rPr>
      </w:pPr>
      <w:r w:rsidRPr="00D04748">
        <w:rPr>
          <w:rFonts w:ascii="Arial" w:hAnsi="Arial" w:cs="Arial"/>
          <w:szCs w:val="24"/>
        </w:rPr>
        <w:t>The new framework ensures that:</w:t>
      </w:r>
    </w:p>
    <w:p w14:paraId="1BE6C4C2" w14:textId="1CF530F2" w:rsidR="00581779" w:rsidRPr="00D04748" w:rsidRDefault="00581779" w:rsidP="00972AC9">
      <w:pPr>
        <w:pStyle w:val="ListParagraph"/>
        <w:numPr>
          <w:ilvl w:val="0"/>
          <w:numId w:val="17"/>
        </w:numPr>
        <w:spacing w:before="100" w:beforeAutospacing="1" w:after="100" w:afterAutospacing="1" w:line="240" w:lineRule="auto"/>
        <w:contextualSpacing w:val="0"/>
        <w:rPr>
          <w:rFonts w:ascii="Arial" w:hAnsi="Arial" w:cs="Arial"/>
          <w:szCs w:val="24"/>
        </w:rPr>
      </w:pPr>
      <w:r w:rsidRPr="00D04748">
        <w:rPr>
          <w:rFonts w:ascii="Arial" w:hAnsi="Arial" w:cs="Arial"/>
          <w:szCs w:val="24"/>
          <w:lang w:val="en-US"/>
        </w:rPr>
        <w:t>a consistent risk assessment, planning, monitoring and reporting process for commercial fisheries and aquaculture compliance programs statewide is completed on an annual basis</w:t>
      </w:r>
      <w:r w:rsidR="00A9135A">
        <w:rPr>
          <w:rFonts w:ascii="Arial" w:hAnsi="Arial" w:cs="Arial"/>
          <w:szCs w:val="24"/>
          <w:lang w:val="en-US"/>
        </w:rPr>
        <w:t>.</w:t>
      </w:r>
      <w:r w:rsidRPr="00D04748">
        <w:rPr>
          <w:rFonts w:ascii="Arial" w:hAnsi="Arial" w:cs="Arial"/>
          <w:szCs w:val="24"/>
          <w:lang w:val="en-US"/>
        </w:rPr>
        <w:t xml:space="preserve"> </w:t>
      </w:r>
    </w:p>
    <w:p w14:paraId="7F16FA79" w14:textId="3C86ED6F" w:rsidR="00581779" w:rsidRPr="00D04748" w:rsidRDefault="00581779" w:rsidP="00972AC9">
      <w:pPr>
        <w:pStyle w:val="ListParagraph"/>
        <w:numPr>
          <w:ilvl w:val="0"/>
          <w:numId w:val="17"/>
        </w:numPr>
        <w:spacing w:before="100" w:beforeAutospacing="1" w:after="100" w:afterAutospacing="1" w:line="240" w:lineRule="auto"/>
        <w:contextualSpacing w:val="0"/>
        <w:rPr>
          <w:rFonts w:ascii="Arial" w:hAnsi="Arial" w:cs="Arial"/>
          <w:szCs w:val="24"/>
        </w:rPr>
      </w:pPr>
      <w:r w:rsidRPr="00D04748">
        <w:rPr>
          <w:rFonts w:ascii="Arial" w:hAnsi="Arial" w:cs="Arial"/>
          <w:szCs w:val="24"/>
        </w:rPr>
        <w:t>fair, reasonable, and cost-effective compliance approaches are implemented with a focus on outcomes</w:t>
      </w:r>
      <w:r w:rsidR="00A9135A">
        <w:rPr>
          <w:rFonts w:ascii="Arial" w:hAnsi="Arial" w:cs="Arial"/>
          <w:szCs w:val="24"/>
        </w:rPr>
        <w:t>.</w:t>
      </w:r>
    </w:p>
    <w:p w14:paraId="2F93F669" w14:textId="75F9E49B" w:rsidR="00581779" w:rsidRPr="00D04748" w:rsidRDefault="00581779" w:rsidP="00972AC9">
      <w:pPr>
        <w:pStyle w:val="ListParagraph"/>
        <w:numPr>
          <w:ilvl w:val="0"/>
          <w:numId w:val="17"/>
        </w:numPr>
        <w:spacing w:before="100" w:beforeAutospacing="1" w:after="100" w:afterAutospacing="1" w:line="240" w:lineRule="auto"/>
        <w:contextualSpacing w:val="0"/>
        <w:rPr>
          <w:rFonts w:ascii="Arial" w:hAnsi="Arial" w:cs="Arial"/>
          <w:szCs w:val="24"/>
        </w:rPr>
      </w:pPr>
      <w:r w:rsidRPr="00D04748">
        <w:rPr>
          <w:rFonts w:ascii="Arial" w:hAnsi="Arial" w:cs="Arial"/>
          <w:szCs w:val="24"/>
          <w:lang w:val="en-US"/>
        </w:rPr>
        <w:t>both inward and outward facing compliance reporting is greatly improved</w:t>
      </w:r>
      <w:r w:rsidR="00A9135A">
        <w:rPr>
          <w:rFonts w:ascii="Arial" w:hAnsi="Arial" w:cs="Arial"/>
          <w:szCs w:val="24"/>
          <w:lang w:val="en-US"/>
        </w:rPr>
        <w:t>.</w:t>
      </w:r>
      <w:r w:rsidRPr="00D04748">
        <w:rPr>
          <w:rFonts w:ascii="Arial" w:hAnsi="Arial" w:cs="Arial"/>
          <w:szCs w:val="24"/>
          <w:lang w:val="en-US"/>
        </w:rPr>
        <w:t xml:space="preserve"> </w:t>
      </w:r>
    </w:p>
    <w:p w14:paraId="5A60D6C3" w14:textId="77777777" w:rsidR="00581779" w:rsidRPr="00D04748" w:rsidRDefault="00581779" w:rsidP="00972AC9">
      <w:pPr>
        <w:pStyle w:val="ListParagraph"/>
        <w:numPr>
          <w:ilvl w:val="0"/>
          <w:numId w:val="17"/>
        </w:numPr>
        <w:spacing w:before="100" w:beforeAutospacing="1" w:after="100" w:afterAutospacing="1" w:line="240" w:lineRule="auto"/>
        <w:contextualSpacing w:val="0"/>
        <w:rPr>
          <w:rFonts w:ascii="Arial" w:hAnsi="Arial" w:cs="Arial"/>
          <w:szCs w:val="24"/>
        </w:rPr>
      </w:pPr>
      <w:r w:rsidRPr="00D04748">
        <w:rPr>
          <w:rFonts w:ascii="Arial" w:hAnsi="Arial" w:cs="Arial"/>
          <w:szCs w:val="24"/>
        </w:rPr>
        <w:lastRenderedPageBreak/>
        <w:t>relationships continue to strengthen</w:t>
      </w:r>
      <w:r w:rsidRPr="00D04748">
        <w:rPr>
          <w:rFonts w:ascii="Arial" w:hAnsi="Arial" w:cs="Arial"/>
          <w:szCs w:val="24"/>
          <w:lang w:val="en-US"/>
        </w:rPr>
        <w:t xml:space="preserve"> between Management, Science, and Compliance, including improving communication with a two-way flow of information.</w:t>
      </w:r>
    </w:p>
    <w:p w14:paraId="501BCEA8" w14:textId="77777777" w:rsidR="00581779" w:rsidRPr="00D04748" w:rsidRDefault="00581779" w:rsidP="00581779">
      <w:pPr>
        <w:spacing w:before="100" w:beforeAutospacing="1" w:after="0"/>
        <w:rPr>
          <w:rFonts w:ascii="Arial" w:hAnsi="Arial" w:cs="Arial"/>
          <w:szCs w:val="24"/>
        </w:rPr>
      </w:pPr>
      <w:r w:rsidRPr="009F49A5">
        <w:rPr>
          <w:rFonts w:ascii="Arial" w:hAnsi="Arial" w:cs="Arial"/>
          <w:szCs w:val="24"/>
        </w:rPr>
        <w:t>DPIRD delivers a range of monitoring, surveillance, inspection, and investigation services. This regulatory compliance program plays an important role in general deterrence to non</w:t>
      </w:r>
      <w:r>
        <w:rPr>
          <w:rFonts w:ascii="Arial" w:hAnsi="Arial" w:cs="Arial"/>
          <w:szCs w:val="24"/>
        </w:rPr>
        <w:t>-</w:t>
      </w:r>
      <w:r w:rsidRPr="009F49A5">
        <w:rPr>
          <w:rFonts w:ascii="Arial" w:hAnsi="Arial" w:cs="Arial"/>
          <w:szCs w:val="24"/>
        </w:rPr>
        <w:t xml:space="preserve">compliance with the legislation and provides confidence to the community that offences will be detected and appropriate sanctions imposed on those who commit the offences. </w:t>
      </w:r>
      <w:r w:rsidRPr="00D04748">
        <w:rPr>
          <w:rFonts w:ascii="Arial" w:hAnsi="Arial" w:cs="Arial"/>
          <w:szCs w:val="24"/>
        </w:rPr>
        <w:t xml:space="preserve">Compliance activities that are used in </w:t>
      </w:r>
      <w:r>
        <w:rPr>
          <w:rFonts w:ascii="Arial" w:hAnsi="Arial" w:cs="Arial"/>
          <w:szCs w:val="24"/>
        </w:rPr>
        <w:t>commercial fisheries</w:t>
      </w:r>
      <w:r w:rsidRPr="00D04748">
        <w:rPr>
          <w:rFonts w:ascii="Arial" w:hAnsi="Arial" w:cs="Arial"/>
          <w:szCs w:val="24"/>
        </w:rPr>
        <w:t xml:space="preserve"> include:</w:t>
      </w:r>
    </w:p>
    <w:p w14:paraId="55D3D860" w14:textId="364E78B5" w:rsidR="00581779" w:rsidRPr="00D04748" w:rsidRDefault="00581779" w:rsidP="00972AC9">
      <w:pPr>
        <w:numPr>
          <w:ilvl w:val="0"/>
          <w:numId w:val="18"/>
        </w:numPr>
        <w:spacing w:before="100" w:beforeAutospacing="1" w:after="100" w:afterAutospacing="1" w:line="240" w:lineRule="auto"/>
        <w:ind w:left="709" w:hanging="425"/>
        <w:rPr>
          <w:rFonts w:ascii="Arial" w:hAnsi="Arial" w:cs="Arial"/>
          <w:szCs w:val="24"/>
        </w:rPr>
      </w:pPr>
      <w:r w:rsidRPr="00D04748">
        <w:rPr>
          <w:rFonts w:ascii="Arial" w:hAnsi="Arial" w:cs="Arial"/>
          <w:szCs w:val="24"/>
        </w:rPr>
        <w:t>Land and sea patrols</w:t>
      </w:r>
      <w:r w:rsidR="00A9135A">
        <w:rPr>
          <w:rFonts w:ascii="Arial" w:hAnsi="Arial" w:cs="Arial"/>
          <w:szCs w:val="24"/>
        </w:rPr>
        <w:t>.</w:t>
      </w:r>
    </w:p>
    <w:p w14:paraId="3B20B072" w14:textId="005F8B2C" w:rsidR="00581779" w:rsidRPr="00D04748" w:rsidRDefault="00581779" w:rsidP="00972AC9">
      <w:pPr>
        <w:numPr>
          <w:ilvl w:val="0"/>
          <w:numId w:val="18"/>
        </w:numPr>
        <w:spacing w:before="100" w:beforeAutospacing="1" w:after="100" w:afterAutospacing="1" w:line="240" w:lineRule="auto"/>
        <w:ind w:left="709" w:hanging="425"/>
        <w:rPr>
          <w:rFonts w:ascii="Arial" w:hAnsi="Arial" w:cs="Arial"/>
          <w:szCs w:val="24"/>
        </w:rPr>
      </w:pPr>
      <w:r w:rsidRPr="00D04748">
        <w:rPr>
          <w:rFonts w:ascii="Arial" w:hAnsi="Arial" w:cs="Arial"/>
          <w:szCs w:val="24"/>
        </w:rPr>
        <w:t>Catch validation against managed fishery licences</w:t>
      </w:r>
      <w:r w:rsidR="00A9135A">
        <w:rPr>
          <w:rFonts w:ascii="Arial" w:hAnsi="Arial" w:cs="Arial"/>
          <w:szCs w:val="24"/>
        </w:rPr>
        <w:t>.</w:t>
      </w:r>
    </w:p>
    <w:p w14:paraId="701DC985" w14:textId="681DE192" w:rsidR="00581779" w:rsidRPr="00D04748" w:rsidRDefault="00581779" w:rsidP="00972AC9">
      <w:pPr>
        <w:numPr>
          <w:ilvl w:val="0"/>
          <w:numId w:val="18"/>
        </w:numPr>
        <w:spacing w:before="100" w:beforeAutospacing="1" w:after="100" w:afterAutospacing="1" w:line="240" w:lineRule="auto"/>
        <w:ind w:left="709" w:hanging="425"/>
        <w:rPr>
          <w:rFonts w:ascii="Arial" w:hAnsi="Arial" w:cs="Arial"/>
          <w:szCs w:val="24"/>
        </w:rPr>
      </w:pPr>
      <w:r w:rsidRPr="00D04748">
        <w:rPr>
          <w:rFonts w:ascii="Arial" w:hAnsi="Arial" w:cs="Arial"/>
          <w:szCs w:val="24"/>
        </w:rPr>
        <w:t>Inspections of wholesale and retail outlets</w:t>
      </w:r>
      <w:r w:rsidR="00A9135A">
        <w:rPr>
          <w:rFonts w:ascii="Arial" w:hAnsi="Arial" w:cs="Arial"/>
          <w:szCs w:val="24"/>
        </w:rPr>
        <w:t>.</w:t>
      </w:r>
    </w:p>
    <w:p w14:paraId="41C8F7CA" w14:textId="28235F96" w:rsidR="00581779" w:rsidRPr="00D04748" w:rsidRDefault="00581779" w:rsidP="00972AC9">
      <w:pPr>
        <w:numPr>
          <w:ilvl w:val="0"/>
          <w:numId w:val="18"/>
        </w:numPr>
        <w:spacing w:before="100" w:beforeAutospacing="1" w:after="100" w:afterAutospacing="1" w:line="240" w:lineRule="auto"/>
        <w:ind w:left="709" w:hanging="425"/>
        <w:rPr>
          <w:rFonts w:ascii="Arial" w:hAnsi="Arial" w:cs="Arial"/>
          <w:szCs w:val="24"/>
        </w:rPr>
      </w:pPr>
      <w:r w:rsidRPr="00D04748">
        <w:rPr>
          <w:rFonts w:ascii="Arial" w:hAnsi="Arial" w:cs="Arial"/>
          <w:szCs w:val="24"/>
        </w:rPr>
        <w:t>Inspections at processing facilities</w:t>
      </w:r>
      <w:r w:rsidR="00A9135A">
        <w:rPr>
          <w:rFonts w:ascii="Arial" w:hAnsi="Arial" w:cs="Arial"/>
          <w:szCs w:val="24"/>
        </w:rPr>
        <w:t>.</w:t>
      </w:r>
    </w:p>
    <w:p w14:paraId="55D6DF9E" w14:textId="18B31787" w:rsidR="00581779" w:rsidRPr="00D04748" w:rsidRDefault="00581779" w:rsidP="00972AC9">
      <w:pPr>
        <w:numPr>
          <w:ilvl w:val="0"/>
          <w:numId w:val="18"/>
        </w:numPr>
        <w:spacing w:before="100" w:beforeAutospacing="1" w:after="100" w:afterAutospacing="1" w:line="240" w:lineRule="auto"/>
        <w:ind w:left="709" w:hanging="425"/>
        <w:rPr>
          <w:rFonts w:ascii="Arial" w:hAnsi="Arial" w:cs="Arial"/>
          <w:szCs w:val="24"/>
        </w:rPr>
      </w:pPr>
      <w:r w:rsidRPr="00D04748">
        <w:rPr>
          <w:rFonts w:ascii="Arial" w:hAnsi="Arial" w:cs="Arial"/>
          <w:szCs w:val="24"/>
        </w:rPr>
        <w:t>Inspections of vessels in port and pre-season briefings</w:t>
      </w:r>
      <w:r w:rsidR="00A9135A">
        <w:rPr>
          <w:rFonts w:ascii="Arial" w:hAnsi="Arial" w:cs="Arial"/>
          <w:szCs w:val="24"/>
        </w:rPr>
        <w:t>.</w:t>
      </w:r>
    </w:p>
    <w:p w14:paraId="2F4D8512" w14:textId="4427A1FA" w:rsidR="00581779" w:rsidRPr="00D04748" w:rsidRDefault="00581779" w:rsidP="00972AC9">
      <w:pPr>
        <w:numPr>
          <w:ilvl w:val="0"/>
          <w:numId w:val="18"/>
        </w:numPr>
        <w:spacing w:before="100" w:beforeAutospacing="1" w:after="100" w:afterAutospacing="1" w:line="240" w:lineRule="auto"/>
        <w:ind w:left="709" w:hanging="425"/>
        <w:rPr>
          <w:rFonts w:ascii="Arial" w:hAnsi="Arial" w:cs="Arial"/>
          <w:szCs w:val="24"/>
        </w:rPr>
      </w:pPr>
      <w:r w:rsidRPr="00D04748">
        <w:rPr>
          <w:rFonts w:ascii="Arial" w:hAnsi="Arial" w:cs="Arial"/>
          <w:szCs w:val="24"/>
        </w:rPr>
        <w:t>At sea inspections of fishing boats</w:t>
      </w:r>
      <w:r w:rsidR="00A9135A">
        <w:rPr>
          <w:rFonts w:ascii="Arial" w:hAnsi="Arial" w:cs="Arial"/>
          <w:szCs w:val="24"/>
        </w:rPr>
        <w:t>.</w:t>
      </w:r>
    </w:p>
    <w:p w14:paraId="4BF6C0C1" w14:textId="0B08B29C" w:rsidR="00581779" w:rsidRDefault="00581779" w:rsidP="00972AC9">
      <w:pPr>
        <w:numPr>
          <w:ilvl w:val="0"/>
          <w:numId w:val="18"/>
        </w:numPr>
        <w:spacing w:before="100" w:beforeAutospacing="1" w:after="100" w:afterAutospacing="1" w:line="240" w:lineRule="auto"/>
        <w:ind w:left="709" w:hanging="425"/>
        <w:rPr>
          <w:rFonts w:ascii="Arial" w:hAnsi="Arial" w:cs="Arial"/>
          <w:szCs w:val="24"/>
        </w:rPr>
      </w:pPr>
      <w:r w:rsidRPr="00D04748">
        <w:rPr>
          <w:rFonts w:ascii="Arial" w:hAnsi="Arial" w:cs="Arial"/>
          <w:szCs w:val="24"/>
        </w:rPr>
        <w:t>Closed area/season monitoring via VMS</w:t>
      </w:r>
      <w:r w:rsidR="00A9135A">
        <w:rPr>
          <w:rFonts w:ascii="Arial" w:hAnsi="Arial" w:cs="Arial"/>
          <w:szCs w:val="24"/>
        </w:rPr>
        <w:t>.</w:t>
      </w:r>
    </w:p>
    <w:p w14:paraId="544D9550" w14:textId="1D952FC4" w:rsidR="00581779" w:rsidRPr="00D04748" w:rsidRDefault="00581779" w:rsidP="00972AC9">
      <w:pPr>
        <w:numPr>
          <w:ilvl w:val="0"/>
          <w:numId w:val="18"/>
        </w:numPr>
        <w:spacing w:before="100" w:beforeAutospacing="1" w:after="100" w:afterAutospacing="1" w:line="240" w:lineRule="auto"/>
        <w:ind w:left="709" w:hanging="425"/>
        <w:rPr>
          <w:rFonts w:ascii="Arial" w:hAnsi="Arial" w:cs="Arial"/>
          <w:szCs w:val="24"/>
        </w:rPr>
      </w:pPr>
      <w:r>
        <w:rPr>
          <w:rFonts w:ascii="Arial" w:hAnsi="Arial" w:cs="Arial"/>
          <w:szCs w:val="24"/>
        </w:rPr>
        <w:t>Aerial surveillance</w:t>
      </w:r>
      <w:r w:rsidR="00A9135A">
        <w:rPr>
          <w:rFonts w:ascii="Arial" w:hAnsi="Arial" w:cs="Arial"/>
          <w:szCs w:val="24"/>
        </w:rPr>
        <w:t>.</w:t>
      </w:r>
    </w:p>
    <w:p w14:paraId="3F65F8CD" w14:textId="77777777" w:rsidR="00581779" w:rsidRPr="00D04748" w:rsidRDefault="00581779" w:rsidP="00581779">
      <w:pPr>
        <w:spacing w:before="100" w:beforeAutospacing="1" w:after="0"/>
        <w:rPr>
          <w:rFonts w:ascii="Arial" w:hAnsi="Arial" w:cs="Arial"/>
          <w:szCs w:val="24"/>
        </w:rPr>
      </w:pPr>
      <w:r w:rsidRPr="00D04748">
        <w:rPr>
          <w:rFonts w:ascii="Arial" w:hAnsi="Arial" w:cs="Arial"/>
          <w:szCs w:val="24"/>
        </w:rPr>
        <w:t>Inspections may involve inspection of:</w:t>
      </w:r>
    </w:p>
    <w:p w14:paraId="4606A90A" w14:textId="408EC6CE" w:rsidR="00581779" w:rsidRPr="00D04748" w:rsidRDefault="00581779" w:rsidP="00972AC9">
      <w:pPr>
        <w:numPr>
          <w:ilvl w:val="0"/>
          <w:numId w:val="19"/>
        </w:numPr>
        <w:spacing w:before="100" w:beforeAutospacing="1" w:after="100" w:afterAutospacing="1" w:line="240" w:lineRule="auto"/>
        <w:rPr>
          <w:rFonts w:ascii="Arial" w:hAnsi="Arial" w:cs="Arial"/>
          <w:szCs w:val="24"/>
        </w:rPr>
      </w:pPr>
      <w:r w:rsidRPr="00D04748">
        <w:rPr>
          <w:rFonts w:ascii="Arial" w:hAnsi="Arial" w:cs="Arial"/>
          <w:szCs w:val="24"/>
        </w:rPr>
        <w:t>All compartments on board the vessels</w:t>
      </w:r>
      <w:r w:rsidR="00A9135A">
        <w:rPr>
          <w:rFonts w:ascii="Arial" w:hAnsi="Arial" w:cs="Arial"/>
          <w:szCs w:val="24"/>
        </w:rPr>
        <w:t>.</w:t>
      </w:r>
    </w:p>
    <w:p w14:paraId="088FB2F0" w14:textId="38220BC9" w:rsidR="00581779" w:rsidRPr="00D04748" w:rsidRDefault="00581779" w:rsidP="00972AC9">
      <w:pPr>
        <w:numPr>
          <w:ilvl w:val="0"/>
          <w:numId w:val="19"/>
        </w:numPr>
        <w:spacing w:before="100" w:beforeAutospacing="1" w:after="100" w:afterAutospacing="1" w:line="240" w:lineRule="auto"/>
        <w:rPr>
          <w:rFonts w:ascii="Arial" w:hAnsi="Arial" w:cs="Arial"/>
          <w:szCs w:val="24"/>
        </w:rPr>
      </w:pPr>
      <w:r w:rsidRPr="00D04748">
        <w:rPr>
          <w:rFonts w:ascii="Arial" w:hAnsi="Arial" w:cs="Arial"/>
          <w:szCs w:val="24"/>
        </w:rPr>
        <w:t>All authorisations</w:t>
      </w:r>
      <w:r w:rsidR="00A9135A">
        <w:rPr>
          <w:rFonts w:ascii="Arial" w:hAnsi="Arial" w:cs="Arial"/>
          <w:szCs w:val="24"/>
        </w:rPr>
        <w:t>.</w:t>
      </w:r>
    </w:p>
    <w:p w14:paraId="0BD04D8C" w14:textId="0EC5D874" w:rsidR="00581779" w:rsidRPr="00D04748" w:rsidRDefault="00581779" w:rsidP="00972AC9">
      <w:pPr>
        <w:numPr>
          <w:ilvl w:val="0"/>
          <w:numId w:val="19"/>
        </w:numPr>
        <w:spacing w:before="100" w:beforeAutospacing="1" w:after="100" w:afterAutospacing="1" w:line="240" w:lineRule="auto"/>
        <w:rPr>
          <w:rFonts w:ascii="Arial" w:hAnsi="Arial" w:cs="Arial"/>
          <w:szCs w:val="24"/>
        </w:rPr>
      </w:pPr>
      <w:r w:rsidRPr="00D04748">
        <w:rPr>
          <w:rFonts w:ascii="Arial" w:hAnsi="Arial" w:cs="Arial"/>
          <w:szCs w:val="24"/>
        </w:rPr>
        <w:t>Logbooks</w:t>
      </w:r>
      <w:r w:rsidR="00A9135A">
        <w:rPr>
          <w:rFonts w:ascii="Arial" w:hAnsi="Arial" w:cs="Arial"/>
          <w:szCs w:val="24"/>
        </w:rPr>
        <w:t>.</w:t>
      </w:r>
    </w:p>
    <w:p w14:paraId="4861CBB8" w14:textId="6A75F32A" w:rsidR="00581779" w:rsidRPr="00581779" w:rsidRDefault="00581779" w:rsidP="00972AC9">
      <w:pPr>
        <w:numPr>
          <w:ilvl w:val="0"/>
          <w:numId w:val="19"/>
        </w:numPr>
        <w:spacing w:before="100" w:beforeAutospacing="1" w:after="100" w:afterAutospacing="1" w:line="240" w:lineRule="auto"/>
        <w:rPr>
          <w:rFonts w:ascii="Arial" w:hAnsi="Arial" w:cs="Arial"/>
          <w:szCs w:val="24"/>
        </w:rPr>
      </w:pPr>
      <w:r w:rsidRPr="00D04748">
        <w:rPr>
          <w:rFonts w:ascii="Arial" w:hAnsi="Arial" w:cs="Arial"/>
          <w:szCs w:val="24"/>
        </w:rPr>
        <w:t>Catch on board the boat</w:t>
      </w:r>
      <w:r>
        <w:rPr>
          <w:rFonts w:ascii="Arial" w:hAnsi="Arial" w:cs="Arial"/>
          <w:szCs w:val="24"/>
        </w:rPr>
        <w:t xml:space="preserve">. </w:t>
      </w:r>
    </w:p>
    <w:p w14:paraId="3E154F44" w14:textId="593B95A9" w:rsidR="00835E3A" w:rsidRDefault="00AD3629" w:rsidP="00AD3629">
      <w:pPr>
        <w:pStyle w:val="Heading2"/>
      </w:pPr>
      <w:bookmarkStart w:id="65" w:name="_Toc183695835"/>
      <w:bookmarkEnd w:id="62"/>
      <w:r>
        <w:t>Vessel Monitoring System</w:t>
      </w:r>
      <w:bookmarkEnd w:id="65"/>
      <w:r>
        <w:t xml:space="preserve"> </w:t>
      </w:r>
    </w:p>
    <w:p w14:paraId="4C91DB92" w14:textId="77777777" w:rsidR="00B56695" w:rsidRDefault="00B56695" w:rsidP="00B56695">
      <w:bookmarkStart w:id="66" w:name="_Hlk179291461"/>
      <w:r w:rsidRPr="00C57FEF">
        <w:t xml:space="preserve">There are no formal (legislated) nomination requirements in either the AIMWTMF or SCTF. However, authorised operators (voluntarily) advise </w:t>
      </w:r>
      <w:r>
        <w:t>DPIRD staff</w:t>
      </w:r>
      <w:r w:rsidRPr="00C57FEF">
        <w:t xml:space="preserve"> when intending to </w:t>
      </w:r>
      <w:r>
        <w:t>access</w:t>
      </w:r>
      <w:r w:rsidRPr="00C57FEF">
        <w:t xml:space="preserve"> these fisheries; providing details regarding proposed fishing activities, the number of vessels that will be operating, the estimated duration of fishing, and proposed areas that will be fished within the </w:t>
      </w:r>
      <w:r>
        <w:t>waters of the F</w:t>
      </w:r>
      <w:r w:rsidRPr="00C57FEF">
        <w:t>ishery.</w:t>
      </w:r>
      <w:r>
        <w:t xml:space="preserve"> </w:t>
      </w:r>
    </w:p>
    <w:p w14:paraId="12A15844" w14:textId="77777777" w:rsidR="00B56695" w:rsidRDefault="00B56695" w:rsidP="00B56695">
      <w:pPr>
        <w:rPr>
          <w:lang w:val="en-GB"/>
        </w:rPr>
      </w:pPr>
      <w:r>
        <w:rPr>
          <w:lang w:val="en-GB"/>
        </w:rPr>
        <w:t xml:space="preserve">VMS is a mandatory requirement to enable real-time monitoring of fishery operations and activities to ensure fishers are operating within the legislated permitted fishing areas during designated fishing times. </w:t>
      </w:r>
    </w:p>
    <w:p w14:paraId="52C3F594" w14:textId="77777777" w:rsidR="00B56695" w:rsidRDefault="00B56695" w:rsidP="00B56695">
      <w:pPr>
        <w:rPr>
          <w:lang w:val="en-GB"/>
        </w:rPr>
      </w:pPr>
      <w:r>
        <w:rPr>
          <w:lang w:val="en-GB"/>
        </w:rPr>
        <w:t xml:space="preserve">All vessels operating in the AIMWTMF and SCTF are fitted with an automatic location communicator (ALC), which is used to track the location of boats by transmitting information such as the geographical position, course, and speed. Information from the ALC is submitted to DPIRD via satellite and is processed by specialised software designed to receive, analyse, display and record position reports and messaging via satellite. </w:t>
      </w:r>
    </w:p>
    <w:p w14:paraId="42B1168B" w14:textId="77777777" w:rsidR="00B56695" w:rsidRDefault="00B56695" w:rsidP="00B56695">
      <w:bookmarkStart w:id="67" w:name="_Hlk179291434"/>
      <w:bookmarkEnd w:id="66"/>
      <w:r>
        <w:t xml:space="preserve">Fishers must ensure that all operational ALC requirements are carried out in accordance with the relevant Approved Directions. </w:t>
      </w:r>
    </w:p>
    <w:bookmarkEnd w:id="67"/>
    <w:p w14:paraId="1EBA9BEE" w14:textId="77777777" w:rsidR="00B56695" w:rsidRDefault="00B56695" w:rsidP="00B56695">
      <w:pPr>
        <w:pStyle w:val="ListParagraph"/>
        <w:numPr>
          <w:ilvl w:val="0"/>
          <w:numId w:val="10"/>
        </w:numPr>
      </w:pPr>
      <w:r>
        <w:lastRenderedPageBreak/>
        <w:t xml:space="preserve">Abrolhos Islands and </w:t>
      </w:r>
      <w:proofErr w:type="spellStart"/>
      <w:r>
        <w:t>Mid West</w:t>
      </w:r>
      <w:proofErr w:type="spellEnd"/>
      <w:r>
        <w:t xml:space="preserve"> Trawl Managed Fishery Approved Directions (</w:t>
      </w:r>
      <w:hyperlink r:id="rId43" w:history="1">
        <w:r w:rsidRPr="0038399B">
          <w:rPr>
            <w:rStyle w:val="Hyperlink"/>
          </w:rPr>
          <w:t>abrolhos_island_midwest_trawl_ap_directions.pdf (fish.wa.gov.au)</w:t>
        </w:r>
      </w:hyperlink>
      <w:r>
        <w:t xml:space="preserve">. </w:t>
      </w:r>
    </w:p>
    <w:p w14:paraId="77FCAD3C" w14:textId="77777777" w:rsidR="00B56695" w:rsidRDefault="00B56695" w:rsidP="00B56695">
      <w:pPr>
        <w:pStyle w:val="ListParagraph"/>
        <w:numPr>
          <w:ilvl w:val="0"/>
          <w:numId w:val="10"/>
        </w:numPr>
      </w:pPr>
      <w:r>
        <w:t>South Coast Trawl Fishery Approved Directions (</w:t>
      </w:r>
      <w:hyperlink r:id="rId44" w:history="1">
        <w:r w:rsidRPr="0038399B">
          <w:rPr>
            <w:rStyle w:val="Hyperlink"/>
          </w:rPr>
          <w:t>south_coast_trawl_ap_directions.pdf (fish.wa.gov.au)</w:t>
        </w:r>
      </w:hyperlink>
      <w:r>
        <w:t xml:space="preserve">. </w:t>
      </w:r>
    </w:p>
    <w:p w14:paraId="338EC458" w14:textId="77777777" w:rsidR="00B56695" w:rsidRDefault="00B56695" w:rsidP="00B56695">
      <w:bookmarkStart w:id="68" w:name="_Hlk179291569"/>
      <w:r>
        <w:t xml:space="preserve">DPIRD uses VMS to monitor fishery compliance with operational ALC requirements and spatial closures. VMS information is also used to monitor fishing activities and effort, which is then used to assist with reporting on compliance, evaluating management arrangements and verifying research data. VMS information is presented to fishery operators by DPIRD staff during management meetings. </w:t>
      </w:r>
    </w:p>
    <w:p w14:paraId="1FBDEB50" w14:textId="05425DB1" w:rsidR="00AD3629" w:rsidRPr="004D336D" w:rsidRDefault="000363F1" w:rsidP="00AD3629">
      <w:pPr>
        <w:pStyle w:val="Heading2"/>
      </w:pPr>
      <w:bookmarkStart w:id="69" w:name="_Toc183695836"/>
      <w:bookmarkEnd w:id="68"/>
      <w:r>
        <w:t>Operations</w:t>
      </w:r>
      <w:r w:rsidR="00AD3629">
        <w:t xml:space="preserve"> and Communications Procedure</w:t>
      </w:r>
      <w:bookmarkEnd w:id="69"/>
      <w:r w:rsidR="00AD3629">
        <w:t xml:space="preserve"> </w:t>
      </w:r>
    </w:p>
    <w:p w14:paraId="759C106B" w14:textId="7E89FC65" w:rsidR="00B56695" w:rsidRDefault="00B56695" w:rsidP="00B56695">
      <w:r>
        <w:t xml:space="preserve">In 2021, the SCTF Operations and Communications Procedure (OCP) was developed collaboratively with DPIRD, authorised operators, and other relevant stakeholders. The OCP requires that authorised vessels within the Fishery </w:t>
      </w:r>
      <w:r>
        <w:rPr>
          <w:lang w:val="en-GB"/>
        </w:rPr>
        <w:t xml:space="preserve">notify DPIRD via an ALC nomination prior to entering specific areas to fish. </w:t>
      </w:r>
      <w:r>
        <w:t xml:space="preserve">The objective of the OCP is to support information sharing between SCTF operators and relevant stakeholders when occupying specified waters off the South Coast to communicate fishing locations, operations and scheduled duration/s of fishing activities to enable stakeholders to respond appropriately to potential community and media enquiries regarding vessels/fishing activities. </w:t>
      </w:r>
    </w:p>
    <w:p w14:paraId="7F2EE19D" w14:textId="77777777" w:rsidR="00B56695" w:rsidRDefault="00B56695" w:rsidP="00B56695">
      <w:pPr>
        <w:rPr>
          <w:lang w:val="en-GB"/>
        </w:rPr>
      </w:pPr>
      <w:r>
        <w:t xml:space="preserve">The OCP applies to two popular tourist destinations on the South </w:t>
      </w:r>
      <w:proofErr w:type="gramStart"/>
      <w:r>
        <w:t>Coast;</w:t>
      </w:r>
      <w:proofErr w:type="gramEnd"/>
      <w:r>
        <w:t xml:space="preserve"> </w:t>
      </w:r>
      <w:proofErr w:type="spellStart"/>
      <w:r>
        <w:t>Cheynes</w:t>
      </w:r>
      <w:proofErr w:type="spellEnd"/>
      <w:r>
        <w:t xml:space="preserve"> Beach and Bremer Bay. </w:t>
      </w:r>
      <w:r>
        <w:rPr>
          <w:lang w:val="en-GB"/>
        </w:rPr>
        <w:t xml:space="preserve">In accordance with the OCP, one authorised vessel may enter the area/s to undertake surveys and determine whether commercial quantities of scallops are sufficient to continue fishing. No trawling occurs in or near the Bremer Canyon, or in Commonwealth Marine Parks.  </w:t>
      </w:r>
    </w:p>
    <w:p w14:paraId="449230E8" w14:textId="279155AA" w:rsidR="00B56695" w:rsidRPr="008E1D08" w:rsidRDefault="00B56695" w:rsidP="00B56695">
      <w:r w:rsidRPr="00BD7FB4">
        <w:t xml:space="preserve">Recent compliance risk assessments </w:t>
      </w:r>
      <w:r>
        <w:t xml:space="preserve">of WA invertebrate trawl fisheries have identified the need to formalise nomination requirements under management plans to ensure DPIRD can adequately monitor fishing activities. Nomination requirements, as specified under the OCP, are proposed to transition to the new SCTF Management Plan, currently in development. Similar amendments will be applied to the AIMWTMF Management Plan. Maintaining communication and collaboration with fishery operators allows DPIRD to effectively discuss and propose management action or change more efficiently, if required, such as implementing temporal or spatial closures to manage stock sustainability or including additional scientific survey regimes in the SCTF to support data collection and inform harvesting strategies and management frameworks. </w:t>
      </w:r>
    </w:p>
    <w:p w14:paraId="43EC584B" w14:textId="77777777" w:rsidR="00AD3629" w:rsidRDefault="00AD3629" w:rsidP="00AD3629">
      <w:pPr>
        <w:pStyle w:val="Heading1"/>
        <w:pageBreakBefore w:val="0"/>
      </w:pPr>
      <w:bookmarkStart w:id="70" w:name="_Toc183695837"/>
      <w:r w:rsidRPr="00A620B4">
        <w:t>Consultation Process</w:t>
      </w:r>
      <w:bookmarkEnd w:id="70"/>
      <w:r>
        <w:t xml:space="preserve"> </w:t>
      </w:r>
    </w:p>
    <w:p w14:paraId="007801B0" w14:textId="77777777" w:rsidR="00B56695" w:rsidRDefault="00B56695" w:rsidP="00B56695">
      <w:bookmarkStart w:id="71" w:name="_Hlk179291720"/>
      <w:r>
        <w:t xml:space="preserve">Management changes are given effect through amendments to legislation, including the AIMWTMF Management Plan, FRMR, exemptions and CEO determinations, orders and/or notices. These changes require consultation with all affected parities (or interested persons in the case of management plan amendments) and the approval of the Minister for Fisheries and/or DPIRD’s Director General (or </w:t>
      </w:r>
      <w:r>
        <w:lastRenderedPageBreak/>
        <w:t xml:space="preserve">appropriate delegates). In making decisions relevant to fisheries, the Minister for Fishery may choose to receive advice from any source, although has indicated that: </w:t>
      </w:r>
    </w:p>
    <w:p w14:paraId="16E576B6" w14:textId="60B5AF40" w:rsidR="00B56695" w:rsidRDefault="00B56695" w:rsidP="00972AC9">
      <w:pPr>
        <w:pStyle w:val="ListParagraph"/>
        <w:numPr>
          <w:ilvl w:val="0"/>
          <w:numId w:val="20"/>
        </w:numPr>
      </w:pPr>
      <w:r>
        <w:t>DPIRD is the primary source of management advice; and</w:t>
      </w:r>
    </w:p>
    <w:p w14:paraId="7C07D950" w14:textId="06BD5B64" w:rsidR="00B56695" w:rsidRDefault="00A9135A" w:rsidP="00972AC9">
      <w:pPr>
        <w:pStyle w:val="ListParagraph"/>
        <w:numPr>
          <w:ilvl w:val="0"/>
          <w:numId w:val="20"/>
        </w:numPr>
      </w:pPr>
      <w:r>
        <w:t>t</w:t>
      </w:r>
      <w:r w:rsidR="00B56695">
        <w:t xml:space="preserve">he peak body, WAFIC, is the primary source of advice and representation from the commercial fishing sector. </w:t>
      </w:r>
    </w:p>
    <w:p w14:paraId="230BCC3B" w14:textId="7513988B" w:rsidR="008E5184" w:rsidRPr="008E5184" w:rsidRDefault="008E5184" w:rsidP="008E5184">
      <w:pPr>
        <w:pStyle w:val="Heading2"/>
      </w:pPr>
      <w:bookmarkStart w:id="72" w:name="_Toc183695838"/>
      <w:bookmarkEnd w:id="71"/>
      <w:r>
        <w:t xml:space="preserve">Commercial sector consultation </w:t>
      </w:r>
      <w:r w:rsidR="004724DB">
        <w:t>and decision-making</w:t>
      </w:r>
      <w:bookmarkEnd w:id="72"/>
      <w:r w:rsidR="004724DB">
        <w:t xml:space="preserve"> </w:t>
      </w:r>
    </w:p>
    <w:p w14:paraId="00997962" w14:textId="77777777" w:rsidR="00B56695" w:rsidRPr="00F93954" w:rsidRDefault="00B56695" w:rsidP="00B56695">
      <w:r>
        <w:t xml:space="preserve">WAFIC is funded by the WA State Government under a Service Level Agreement (SLA) to undertake their representation/advisory and consultation roles. Under the SLA WAFIC is required to undertake statutory consultation functions related to the management of the AIMWTMF </w:t>
      </w:r>
      <w:r w:rsidRPr="003D765A">
        <w:t>and SCTF</w:t>
      </w:r>
      <w:r w:rsidRPr="006F333D">
        <w:t>.</w:t>
      </w:r>
      <w:r>
        <w:t xml:space="preserve"> Further, WAFIC are responsible for facilitating management meetings between DPIRD, authorised operators in the AIMWTMF and SCTF and WAFIC. These meetings are generally held each year and are important forums to consult on the management of the Fishery, as well as other relevant updates to DPIRD activities and priorities. During these meetings, DPIRD (science, management, and compliance) staff, licence holders and WAFIC discuss current and future management issues</w:t>
      </w:r>
      <w:r w:rsidRPr="00FA7324">
        <w:t xml:space="preserve">. </w:t>
      </w:r>
      <w:r>
        <w:t xml:space="preserve">DPIRD </w:t>
      </w:r>
      <w:r w:rsidRPr="00FA7324">
        <w:t>also consults directly with industry, where relevant, on specific management and operational issues</w:t>
      </w:r>
      <w:r>
        <w:t>.</w:t>
      </w:r>
    </w:p>
    <w:p w14:paraId="1AD26245" w14:textId="27502938" w:rsidR="00B56695" w:rsidRDefault="00B56695" w:rsidP="00B56695">
      <w:r>
        <w:t xml:space="preserve">Management of the SCTF is currently regulated under an Instrument of Exemption (No. 3659). There is no requirement for statutory (external) consultation when amending or renewing this exemption, although relevant stakeholders, including SCTF operators, are involved in discussions when the exemption is renewed every two to three years. DPIRD’s science, management and compliance staff are also consulted on exemption conditions prior to it being approved. </w:t>
      </w:r>
    </w:p>
    <w:p w14:paraId="1410B75A" w14:textId="77777777" w:rsidR="00B56695" w:rsidRDefault="00B56695" w:rsidP="00B56695">
      <w:pPr>
        <w:pStyle w:val="Heading3"/>
      </w:pPr>
      <w:bookmarkStart w:id="73" w:name="_Toc179450003"/>
      <w:bookmarkStart w:id="74" w:name="_Toc183695839"/>
      <w:bookmarkStart w:id="75" w:name="_Hlk179291952"/>
      <w:r>
        <w:t>Communication of season arrangements</w:t>
      </w:r>
      <w:bookmarkEnd w:id="73"/>
      <w:bookmarkEnd w:id="74"/>
      <w:r>
        <w:t xml:space="preserve"> </w:t>
      </w:r>
    </w:p>
    <w:p w14:paraId="6056C535" w14:textId="77777777" w:rsidR="00B56695" w:rsidRDefault="00B56695" w:rsidP="00B56695">
      <w:pPr>
        <w:rPr>
          <w:lang w:val="en-US"/>
        </w:rPr>
      </w:pPr>
      <w:bookmarkStart w:id="76" w:name="_Hlk179291963"/>
      <w:bookmarkEnd w:id="75"/>
      <w:r>
        <w:t xml:space="preserve">Annual management meetings, held with DPIRD, WAFIC and licence holders in the AWIMMF and SCTF provide a forum to discuss </w:t>
      </w:r>
      <w:r>
        <w:rPr>
          <w:lang w:val="en-US"/>
        </w:rPr>
        <w:t xml:space="preserve">and consult on the current and future management of the fisheries. Any issues that have arisen during the previous fishing season and proposed changes to the management arrangements for the upcoming fishing season are discussed. </w:t>
      </w:r>
    </w:p>
    <w:bookmarkEnd w:id="76"/>
    <w:p w14:paraId="7BD86BB6" w14:textId="77777777" w:rsidR="00B56695" w:rsidRDefault="00B56695" w:rsidP="00B56695">
      <w:pPr>
        <w:rPr>
          <w:lang w:val="en-US"/>
        </w:rPr>
      </w:pPr>
      <w:r>
        <w:rPr>
          <w:lang w:val="en-US"/>
        </w:rPr>
        <w:t xml:space="preserve">Follow-up meetings may be held, when necessary, following the November and February/March fishery independent surveys, to discuss appropriate season arrangements informed by the survey results prior to the commencement of the fishing season. </w:t>
      </w:r>
    </w:p>
    <w:p w14:paraId="38A92B64" w14:textId="77777777" w:rsidR="00B56695" w:rsidRPr="00EA26BC" w:rsidRDefault="00B56695" w:rsidP="00B56695">
      <w:pPr>
        <w:rPr>
          <w:lang w:val="en-US"/>
        </w:rPr>
      </w:pPr>
      <w:bookmarkStart w:id="77" w:name="_Hlk179291975"/>
      <w:r>
        <w:rPr>
          <w:lang w:val="en-US"/>
        </w:rPr>
        <w:t xml:space="preserve">Skipper’s briefings are also conducted with those skippers operating </w:t>
      </w:r>
      <w:proofErr w:type="spellStart"/>
      <w:r>
        <w:rPr>
          <w:lang w:val="en-US"/>
        </w:rPr>
        <w:t>authorised</w:t>
      </w:r>
      <w:proofErr w:type="spellEnd"/>
      <w:r>
        <w:rPr>
          <w:lang w:val="en-US"/>
        </w:rPr>
        <w:t xml:space="preserve"> vessels for that season to ensure all management arrangements, particularly any voluntary agreements and reporting requirements, are understood. </w:t>
      </w:r>
    </w:p>
    <w:p w14:paraId="4CF261FC" w14:textId="77777777" w:rsidR="00B56695" w:rsidRPr="004724DB" w:rsidRDefault="00B56695" w:rsidP="00B56695">
      <w:pPr>
        <w:rPr>
          <w:lang w:val="en-US"/>
        </w:rPr>
      </w:pPr>
      <w:r w:rsidRPr="00D71E71">
        <w:t>VMS messaging may also be used to provide information directly to skippers</w:t>
      </w:r>
      <w:r>
        <w:t>,</w:t>
      </w:r>
      <w:r w:rsidRPr="00D71E71">
        <w:t xml:space="preserve"> as required. </w:t>
      </w:r>
    </w:p>
    <w:p w14:paraId="09A5E567" w14:textId="77777777" w:rsidR="00B56695" w:rsidRDefault="00B56695" w:rsidP="00B56695">
      <w:pPr>
        <w:pStyle w:val="Heading3"/>
      </w:pPr>
      <w:bookmarkStart w:id="78" w:name="_Toc179450004"/>
      <w:bookmarkStart w:id="79" w:name="_Toc183695840"/>
      <w:bookmarkEnd w:id="77"/>
      <w:r>
        <w:lastRenderedPageBreak/>
        <w:t>Voluntary closures</w:t>
      </w:r>
      <w:bookmarkEnd w:id="78"/>
      <w:bookmarkEnd w:id="79"/>
      <w:r>
        <w:t xml:space="preserve"> </w:t>
      </w:r>
    </w:p>
    <w:p w14:paraId="3C5E66A0" w14:textId="77777777" w:rsidR="00B56695" w:rsidRDefault="00B56695" w:rsidP="00B56695">
      <w:pPr>
        <w:rPr>
          <w:lang w:val="en-US"/>
        </w:rPr>
      </w:pPr>
      <w:r w:rsidRPr="00D71E71">
        <w:t xml:space="preserve">Voluntary arrangements (non-statutory) may be used </w:t>
      </w:r>
      <w:r>
        <w:t xml:space="preserve">to implement area openings and closures, creating a more responsive management approach through facilitating rapid decision making in response to survey results and other available information. </w:t>
      </w:r>
      <w:r>
        <w:rPr>
          <w:lang w:val="en-US"/>
        </w:rPr>
        <w:t xml:space="preserve">DPIRD consults directly with industry on these specific management and operational issues, as required. </w:t>
      </w:r>
    </w:p>
    <w:p w14:paraId="0C93E989" w14:textId="77777777" w:rsidR="00B56695" w:rsidRPr="00971A2D" w:rsidRDefault="00B56695" w:rsidP="00B56695">
      <w:r>
        <w:rPr>
          <w:lang w:val="en-US"/>
        </w:rPr>
        <w:t xml:space="preserve">Such issues may include the need for area closures to protect discrete areas of scallops due to low abundance, small size or poor quality. These arrangements are implemented voluntarily under the cooperative, co-management framework, whereby DPIRD management, ASA and Compliance work with industry to determine </w:t>
      </w:r>
      <w:r>
        <w:t xml:space="preserve">the timing, extent and criteria of voluntary spatial arrangements considering all available information. </w:t>
      </w:r>
    </w:p>
    <w:p w14:paraId="61A22365" w14:textId="77777777" w:rsidR="008E5184" w:rsidRDefault="008E5184" w:rsidP="008E5184">
      <w:pPr>
        <w:pStyle w:val="Heading2"/>
      </w:pPr>
      <w:bookmarkStart w:id="80" w:name="_Toc183695841"/>
      <w:r w:rsidRPr="00D71E71">
        <w:t xml:space="preserve">Consultation with </w:t>
      </w:r>
      <w:r>
        <w:t>o</w:t>
      </w:r>
      <w:r w:rsidRPr="00D71E71">
        <w:t xml:space="preserve">ther </w:t>
      </w:r>
      <w:r>
        <w:t>g</w:t>
      </w:r>
      <w:r w:rsidRPr="00D71E71">
        <w:t>roups</w:t>
      </w:r>
      <w:bookmarkEnd w:id="80"/>
      <w:r w:rsidRPr="00D71E71">
        <w:t xml:space="preserve"> </w:t>
      </w:r>
    </w:p>
    <w:p w14:paraId="4A4E538E" w14:textId="77777777" w:rsidR="00B56695" w:rsidRDefault="00B56695" w:rsidP="00B56695">
      <w:pPr>
        <w:rPr>
          <w:lang w:val="en-US"/>
        </w:rPr>
      </w:pPr>
      <w:r>
        <w:rPr>
          <w:lang w:val="en-US"/>
        </w:rPr>
        <w:t xml:space="preserve">Consultation on scallop management with the recreational sector is undertaken in accordance with the SLA between DPIRD and </w:t>
      </w:r>
      <w:proofErr w:type="spellStart"/>
      <w:r>
        <w:rPr>
          <w:lang w:val="en-US"/>
        </w:rPr>
        <w:t>Recfishwest</w:t>
      </w:r>
      <w:proofErr w:type="spellEnd"/>
      <w:r>
        <w:rPr>
          <w:lang w:val="en-US"/>
        </w:rPr>
        <w:t xml:space="preserve">, as the </w:t>
      </w:r>
      <w:proofErr w:type="spellStart"/>
      <w:r>
        <w:rPr>
          <w:lang w:val="en-US"/>
        </w:rPr>
        <w:t>recognised</w:t>
      </w:r>
      <w:proofErr w:type="spellEnd"/>
      <w:r>
        <w:rPr>
          <w:lang w:val="en-US"/>
        </w:rPr>
        <w:t xml:space="preserve"> peak sector body for the recreational fishing sector. </w:t>
      </w:r>
      <w:proofErr w:type="spellStart"/>
      <w:r>
        <w:t>Recfishwest</w:t>
      </w:r>
      <w:proofErr w:type="spellEnd"/>
      <w:r>
        <w:t xml:space="preserve"> is required to engage and consult with recreational fishers as necessary to meet its obligations.</w:t>
      </w:r>
    </w:p>
    <w:p w14:paraId="39E851B7" w14:textId="3954631E" w:rsidR="00B56695" w:rsidRDefault="00B56695" w:rsidP="00B56695">
      <w:pPr>
        <w:rPr>
          <w:lang w:val="en-US"/>
        </w:rPr>
      </w:pPr>
      <w:r>
        <w:rPr>
          <w:lang w:val="en-US"/>
        </w:rPr>
        <w:t>Consultation with other stakeholders, including customary fishers and non-fisher stakeholders, such as Government agencies, conservation sector non-Government organizations and other affected/interested parties, is undertaken consistent with DPIRD’s Stakeholder Engagement Guideline (SEG)</w:t>
      </w:r>
      <w:r w:rsidR="00A9135A">
        <w:rPr>
          <w:lang w:val="en-US"/>
        </w:rPr>
        <w:t>.</w:t>
      </w:r>
    </w:p>
    <w:p w14:paraId="2093BF3C" w14:textId="77777777" w:rsidR="00B56695" w:rsidRDefault="00B56695" w:rsidP="00B56695">
      <w:pPr>
        <w:rPr>
          <w:lang w:val="en-US"/>
        </w:rPr>
      </w:pPr>
      <w:r>
        <w:rPr>
          <w:lang w:val="en-US"/>
        </w:rPr>
        <w:t xml:space="preserve">The SEG apply a framework designed to assist with selecting the appropriate level of engagement for difference stakeholder groups and includes collaborating with and involving key stakeholders, seeking input from interested parties through a public consultation process and keeping all parties fully informed through the provision of balanced, objective and accurate information. </w:t>
      </w:r>
    </w:p>
    <w:p w14:paraId="5F1C2DE6" w14:textId="77777777" w:rsidR="00B56695" w:rsidRDefault="00B56695" w:rsidP="00B56695">
      <w:pPr>
        <w:rPr>
          <w:lang w:val="en-US"/>
        </w:rPr>
      </w:pPr>
      <w:r>
        <w:rPr>
          <w:lang w:val="en-US"/>
        </w:rPr>
        <w:t xml:space="preserve">Key fishery specific documents, such as harvest strategies, recovery plans and bycatch action plans, are subjected to both formal key stakeholder consultation and public consultation processes. </w:t>
      </w:r>
    </w:p>
    <w:p w14:paraId="5719A6DF" w14:textId="77777777" w:rsidR="00B56695" w:rsidRDefault="00B56695" w:rsidP="00B56695">
      <w:pPr>
        <w:rPr>
          <w:lang w:val="en-US"/>
        </w:rPr>
      </w:pPr>
      <w:r>
        <w:rPr>
          <w:lang w:val="en-US"/>
        </w:rPr>
        <w:t xml:space="preserve">Noting that parts of the AIMWTMF and SCTF are within (proposed) Marine Park boundaries, key stakeholders that have been identified in accordance with the SEG include the Department of Biodiversity, Conservation and Attractions.  </w:t>
      </w:r>
    </w:p>
    <w:p w14:paraId="0E239C72" w14:textId="6D6464BB" w:rsidR="00B56695" w:rsidRDefault="00B56695" w:rsidP="00B56695">
      <w:pPr>
        <w:rPr>
          <w:lang w:val="en-US"/>
        </w:rPr>
      </w:pPr>
      <w:r>
        <w:rPr>
          <w:lang w:val="en-US"/>
        </w:rPr>
        <w:t xml:space="preserve">A Code of Conduct has been developed for operators in the AIMWTMF to manage potential impacts between trawling activities and rock lobster fishing operations. </w:t>
      </w:r>
    </w:p>
    <w:p w14:paraId="07357651" w14:textId="77777777" w:rsidR="00B56695" w:rsidRPr="00391548" w:rsidRDefault="00B56695" w:rsidP="00B56695">
      <w:pPr>
        <w:rPr>
          <w:lang w:val="en-US"/>
        </w:rPr>
      </w:pPr>
      <w:r>
        <w:rPr>
          <w:lang w:val="en-US"/>
        </w:rPr>
        <w:t xml:space="preserve">An Operations and Communications Protocol (OCP) has been developed for the SCTF to support information sharing of fishing operations between DPIRD, industry, and key stakeholder groups.  </w:t>
      </w:r>
    </w:p>
    <w:p w14:paraId="25A9B331" w14:textId="4465A6FB" w:rsidR="00835E3A" w:rsidRDefault="00AD3629" w:rsidP="00AD3629">
      <w:pPr>
        <w:pStyle w:val="Heading1"/>
        <w:pageBreakBefore w:val="0"/>
      </w:pPr>
      <w:bookmarkStart w:id="81" w:name="_Toc183695842"/>
      <w:r>
        <w:lastRenderedPageBreak/>
        <w:t>Changes since the previous assessment</w:t>
      </w:r>
      <w:bookmarkEnd w:id="81"/>
      <w:r>
        <w:t xml:space="preserve"> </w:t>
      </w:r>
      <w:r w:rsidR="00835E3A">
        <w:t xml:space="preserve"> </w:t>
      </w:r>
    </w:p>
    <w:p w14:paraId="08AC56D5" w14:textId="77777777" w:rsidR="008E2185" w:rsidRDefault="008E2185" w:rsidP="008E2185">
      <w:r>
        <w:t xml:space="preserve">In 2015, the AIMWTMF was assessed by DCCEEW against the Guidelines, under Part 13 and Part 13A of the EPBC Act. DCCEEW assessed the SCTF </w:t>
      </w:r>
      <w:r w:rsidRPr="00C812B5">
        <w:t>in 2017.</w:t>
      </w:r>
      <w:r>
        <w:t xml:space="preserve"> </w:t>
      </w:r>
    </w:p>
    <w:p w14:paraId="568BEE63" w14:textId="3A47001A" w:rsidR="008E2185" w:rsidRDefault="008E2185" w:rsidP="008E2185">
      <w:r>
        <w:t xml:space="preserve">Assessments determined the AIMWTMF and SCTF posed a low environmental risk and as a result, the Australian Government Minister for the Environment declared LENS export approval to both Fisheries. </w:t>
      </w:r>
    </w:p>
    <w:p w14:paraId="6BB46CD4" w14:textId="5683358E" w:rsidR="00A96058" w:rsidRDefault="008E2185" w:rsidP="006C1D8D">
      <w:r w:rsidRPr="00C812B5">
        <w:t xml:space="preserve">A copy of DCCEEW’s assessment reports and letters of approval are available on the DCCEEW website (AIMWTMF: </w:t>
      </w:r>
      <w:hyperlink r:id="rId45" w:history="1">
        <w:r w:rsidRPr="00C812B5">
          <w:rPr>
            <w:rStyle w:val="Hyperlink"/>
          </w:rPr>
          <w:t xml:space="preserve">Abrolhos Island and </w:t>
        </w:r>
        <w:proofErr w:type="spellStart"/>
        <w:r w:rsidRPr="00C812B5">
          <w:rPr>
            <w:rStyle w:val="Hyperlink"/>
          </w:rPr>
          <w:t>Mid West</w:t>
        </w:r>
        <w:proofErr w:type="spellEnd"/>
        <w:r w:rsidRPr="00C812B5">
          <w:rPr>
            <w:rStyle w:val="Hyperlink"/>
          </w:rPr>
          <w:t xml:space="preserve"> Trawl Managed Fishery - DCCEEW</w:t>
        </w:r>
      </w:hyperlink>
      <w:r w:rsidRPr="00C812B5">
        <w:t xml:space="preserve">; SCT: </w:t>
      </w:r>
      <w:hyperlink r:id="rId46" w:history="1">
        <w:r w:rsidRPr="00C812B5">
          <w:rPr>
            <w:rStyle w:val="Hyperlink"/>
          </w:rPr>
          <w:t>Western Australian South Coast Trawl Fishery - DCCEEW</w:t>
        </w:r>
      </w:hyperlink>
      <w:r w:rsidRPr="00C812B5">
        <w:t>)</w:t>
      </w:r>
      <w:r>
        <w:t xml:space="preserve"> and an analysis of changes to each fishery since the previous assessment is provided in</w:t>
      </w:r>
      <w:r w:rsidR="00A96058">
        <w:t xml:space="preserve"> Table 1.</w:t>
      </w:r>
      <w:r>
        <w:t xml:space="preserve"> </w:t>
      </w:r>
    </w:p>
    <w:p w14:paraId="3FF738F5" w14:textId="1202B907" w:rsidR="006F333D" w:rsidRPr="00A96058" w:rsidRDefault="005A62ED" w:rsidP="006C1D8D">
      <w:r w:rsidRPr="005A62ED">
        <w:rPr>
          <w:i/>
          <w:iCs/>
        </w:rPr>
        <w:t>Table 1: Level of change since previous assessments of the AIMWTMF and SCTF.</w:t>
      </w:r>
    </w:p>
    <w:tbl>
      <w:tblPr>
        <w:tblStyle w:val="DepartmentofPrimaryIndustries-default"/>
        <w:tblW w:w="0" w:type="auto"/>
        <w:tblLayout w:type="fixed"/>
        <w:tblLook w:val="04A0" w:firstRow="1" w:lastRow="0" w:firstColumn="1" w:lastColumn="0" w:noHBand="0" w:noVBand="1"/>
      </w:tblPr>
      <w:tblGrid>
        <w:gridCol w:w="2337"/>
        <w:gridCol w:w="4706"/>
        <w:gridCol w:w="709"/>
        <w:gridCol w:w="565"/>
        <w:gridCol w:w="528"/>
        <w:gridCol w:w="783"/>
      </w:tblGrid>
      <w:tr w:rsidR="008C0769" w14:paraId="3EBC156B" w14:textId="386C6BA4" w:rsidTr="003D765A">
        <w:trPr>
          <w:cnfStyle w:val="100000000000" w:firstRow="1" w:lastRow="0" w:firstColumn="0" w:lastColumn="0" w:oddVBand="0" w:evenVBand="0" w:oddHBand="0" w:evenHBand="0" w:firstRowFirstColumn="0" w:firstRowLastColumn="0" w:lastRowFirstColumn="0" w:lastRowLastColumn="0"/>
        </w:trPr>
        <w:tc>
          <w:tcPr>
            <w:tcW w:w="2337" w:type="dxa"/>
            <w:vMerge w:val="restart"/>
          </w:tcPr>
          <w:p w14:paraId="7218784C" w14:textId="4DC89B55" w:rsidR="008C0769" w:rsidRDefault="008C0769" w:rsidP="0071465F">
            <w:pPr>
              <w:pStyle w:val="NoSpacing"/>
            </w:pPr>
            <w:r>
              <w:t xml:space="preserve">Issue </w:t>
            </w:r>
          </w:p>
        </w:tc>
        <w:tc>
          <w:tcPr>
            <w:tcW w:w="4706" w:type="dxa"/>
            <w:vMerge w:val="restart"/>
          </w:tcPr>
          <w:p w14:paraId="2FCBF67E" w14:textId="2524B687" w:rsidR="008C0769" w:rsidRDefault="008C0769" w:rsidP="0071465F">
            <w:pPr>
              <w:pStyle w:val="NoSpacing"/>
            </w:pPr>
            <w:r>
              <w:t xml:space="preserve">Area of Interest </w:t>
            </w:r>
          </w:p>
        </w:tc>
        <w:tc>
          <w:tcPr>
            <w:tcW w:w="1274" w:type="dxa"/>
            <w:gridSpan w:val="2"/>
          </w:tcPr>
          <w:p w14:paraId="566FC02F" w14:textId="3509F222" w:rsidR="008C0769" w:rsidRDefault="008C0769" w:rsidP="0071465F">
            <w:pPr>
              <w:pStyle w:val="NoSpacing"/>
            </w:pPr>
            <w:r>
              <w:t>AIMWTMF</w:t>
            </w:r>
          </w:p>
        </w:tc>
        <w:tc>
          <w:tcPr>
            <w:tcW w:w="1311" w:type="dxa"/>
            <w:gridSpan w:val="2"/>
          </w:tcPr>
          <w:p w14:paraId="326A3950" w14:textId="66716400" w:rsidR="008C0769" w:rsidRDefault="008C0769" w:rsidP="0071465F">
            <w:pPr>
              <w:pStyle w:val="NoSpacing"/>
            </w:pPr>
            <w:r>
              <w:t>SCTMF</w:t>
            </w:r>
          </w:p>
        </w:tc>
      </w:tr>
      <w:tr w:rsidR="008C0769" w14:paraId="1E69731E" w14:textId="30257786" w:rsidTr="003D765A">
        <w:tc>
          <w:tcPr>
            <w:tcW w:w="2337" w:type="dxa"/>
            <w:vMerge/>
          </w:tcPr>
          <w:p w14:paraId="384EC7A8" w14:textId="77777777" w:rsidR="008C0769" w:rsidRDefault="008C0769" w:rsidP="008C0769">
            <w:pPr>
              <w:pStyle w:val="NoSpacing"/>
            </w:pPr>
          </w:p>
        </w:tc>
        <w:tc>
          <w:tcPr>
            <w:tcW w:w="4706" w:type="dxa"/>
            <w:vMerge/>
          </w:tcPr>
          <w:p w14:paraId="414E541E" w14:textId="77777777" w:rsidR="008C0769" w:rsidRDefault="008C0769" w:rsidP="008C0769">
            <w:pPr>
              <w:pStyle w:val="NoSpacing"/>
            </w:pPr>
          </w:p>
        </w:tc>
        <w:tc>
          <w:tcPr>
            <w:tcW w:w="709" w:type="dxa"/>
          </w:tcPr>
          <w:p w14:paraId="74FDE5CD" w14:textId="195FC603" w:rsidR="008C0769" w:rsidRDefault="008C0769" w:rsidP="008C0769">
            <w:pPr>
              <w:pStyle w:val="NoSpacing"/>
            </w:pPr>
            <w:r>
              <w:t xml:space="preserve">Yes </w:t>
            </w:r>
          </w:p>
        </w:tc>
        <w:tc>
          <w:tcPr>
            <w:tcW w:w="565" w:type="dxa"/>
          </w:tcPr>
          <w:p w14:paraId="061DFB65" w14:textId="46389F17" w:rsidR="008C0769" w:rsidRDefault="008C0769" w:rsidP="008C0769">
            <w:pPr>
              <w:pStyle w:val="NoSpacing"/>
            </w:pPr>
            <w:r>
              <w:t>No</w:t>
            </w:r>
          </w:p>
        </w:tc>
        <w:tc>
          <w:tcPr>
            <w:tcW w:w="528" w:type="dxa"/>
          </w:tcPr>
          <w:p w14:paraId="4B65E0AF" w14:textId="18930BA8" w:rsidR="008C0769" w:rsidRDefault="008C0769" w:rsidP="008C0769">
            <w:pPr>
              <w:pStyle w:val="NoSpacing"/>
            </w:pPr>
            <w:r>
              <w:t>Yes</w:t>
            </w:r>
          </w:p>
        </w:tc>
        <w:tc>
          <w:tcPr>
            <w:tcW w:w="783" w:type="dxa"/>
          </w:tcPr>
          <w:p w14:paraId="286711C5" w14:textId="3B71826A" w:rsidR="008C0769" w:rsidRDefault="008C0769" w:rsidP="008C0769">
            <w:pPr>
              <w:pStyle w:val="NoSpacing"/>
            </w:pPr>
            <w:r>
              <w:t>No</w:t>
            </w:r>
          </w:p>
        </w:tc>
      </w:tr>
      <w:tr w:rsidR="008C0769" w14:paraId="4391D850" w14:textId="15216DFD" w:rsidTr="003D765A">
        <w:tc>
          <w:tcPr>
            <w:tcW w:w="2337" w:type="dxa"/>
          </w:tcPr>
          <w:p w14:paraId="508E74F3" w14:textId="4E9848CA" w:rsidR="008C0769" w:rsidRDefault="008C0769" w:rsidP="008C0769">
            <w:pPr>
              <w:pStyle w:val="NoSpacing"/>
            </w:pPr>
            <w:r>
              <w:t xml:space="preserve">Fishery </w:t>
            </w:r>
          </w:p>
        </w:tc>
        <w:tc>
          <w:tcPr>
            <w:tcW w:w="4706" w:type="dxa"/>
          </w:tcPr>
          <w:p w14:paraId="04296845" w14:textId="39BB0152" w:rsidR="008C0769" w:rsidRDefault="008C0769" w:rsidP="008C0769">
            <w:pPr>
              <w:pStyle w:val="NoSpacing"/>
            </w:pPr>
            <w:r>
              <w:t>Has there been any change to management arrangements, and/or fishing practices?</w:t>
            </w:r>
          </w:p>
        </w:tc>
        <w:tc>
          <w:tcPr>
            <w:tcW w:w="709" w:type="dxa"/>
          </w:tcPr>
          <w:p w14:paraId="37DF656D" w14:textId="77777777" w:rsidR="008C0769" w:rsidRDefault="008C0769" w:rsidP="008C0769">
            <w:pPr>
              <w:pStyle w:val="NoSpacing"/>
            </w:pPr>
          </w:p>
        </w:tc>
        <w:tc>
          <w:tcPr>
            <w:tcW w:w="565" w:type="dxa"/>
          </w:tcPr>
          <w:p w14:paraId="4CA75EF4" w14:textId="40CB7B08" w:rsidR="008C0769" w:rsidRPr="008F5698" w:rsidRDefault="008C0769" w:rsidP="008C0769">
            <w:pPr>
              <w:pStyle w:val="NoSpacing"/>
              <w:rPr>
                <w:color w:val="000000" w:themeColor="text1"/>
              </w:rPr>
            </w:pPr>
            <w:r w:rsidRPr="008F5698">
              <w:rPr>
                <w:color w:val="000000" w:themeColor="text1"/>
              </w:rPr>
              <w:sym w:font="Wingdings" w:char="F0FC"/>
            </w:r>
          </w:p>
        </w:tc>
        <w:tc>
          <w:tcPr>
            <w:tcW w:w="528" w:type="dxa"/>
          </w:tcPr>
          <w:p w14:paraId="1E655BA6" w14:textId="58B20736" w:rsidR="008C0769" w:rsidRDefault="008C0769" w:rsidP="008C0769">
            <w:pPr>
              <w:pStyle w:val="NoSpacing"/>
            </w:pPr>
          </w:p>
        </w:tc>
        <w:tc>
          <w:tcPr>
            <w:tcW w:w="783" w:type="dxa"/>
          </w:tcPr>
          <w:p w14:paraId="3E8537F6" w14:textId="7A98C365" w:rsidR="008C0769" w:rsidRPr="008F5698" w:rsidRDefault="008C0769" w:rsidP="008C0769">
            <w:pPr>
              <w:pStyle w:val="NoSpacing"/>
              <w:rPr>
                <w:color w:val="000000" w:themeColor="text1"/>
              </w:rPr>
            </w:pPr>
            <w:r w:rsidRPr="008F5698">
              <w:rPr>
                <w:color w:val="000000" w:themeColor="text1"/>
              </w:rPr>
              <w:sym w:font="Wingdings" w:char="F0FC"/>
            </w:r>
          </w:p>
        </w:tc>
      </w:tr>
      <w:tr w:rsidR="008C0769" w14:paraId="1F080FEE" w14:textId="17C0A2EC" w:rsidTr="003D765A">
        <w:tc>
          <w:tcPr>
            <w:tcW w:w="2337" w:type="dxa"/>
          </w:tcPr>
          <w:p w14:paraId="4D244636" w14:textId="5E124B7C" w:rsidR="008C0769" w:rsidRDefault="008C0769" w:rsidP="008C0769">
            <w:pPr>
              <w:pStyle w:val="NoSpacing"/>
            </w:pPr>
            <w:r>
              <w:t xml:space="preserve">External influence </w:t>
            </w:r>
          </w:p>
        </w:tc>
        <w:tc>
          <w:tcPr>
            <w:tcW w:w="4706" w:type="dxa"/>
          </w:tcPr>
          <w:p w14:paraId="03A65498" w14:textId="7AF5C1BA" w:rsidR="008C0769" w:rsidRDefault="008C0769" w:rsidP="008C0769">
            <w:pPr>
              <w:pStyle w:val="NoSpacing"/>
              <w:keepNext/>
            </w:pPr>
            <w:r>
              <w:t>Has there been any change to an environmental issue/influence outside of the fishery management agency’s control?</w:t>
            </w:r>
          </w:p>
        </w:tc>
        <w:tc>
          <w:tcPr>
            <w:tcW w:w="709" w:type="dxa"/>
          </w:tcPr>
          <w:p w14:paraId="706C9D13" w14:textId="1323971F" w:rsidR="008C0769" w:rsidRDefault="008C0769" w:rsidP="008C0769">
            <w:pPr>
              <w:pStyle w:val="NoSpacing"/>
              <w:keepNext/>
            </w:pPr>
            <w:r w:rsidRPr="008F5698">
              <w:rPr>
                <w:color w:val="000000" w:themeColor="text1"/>
              </w:rPr>
              <w:sym w:font="Wingdings" w:char="F0FC"/>
            </w:r>
          </w:p>
        </w:tc>
        <w:tc>
          <w:tcPr>
            <w:tcW w:w="565" w:type="dxa"/>
          </w:tcPr>
          <w:p w14:paraId="35219EE6" w14:textId="77777777" w:rsidR="008C0769" w:rsidRDefault="008C0769" w:rsidP="008C0769">
            <w:pPr>
              <w:pStyle w:val="NoSpacing"/>
              <w:keepNext/>
            </w:pPr>
          </w:p>
        </w:tc>
        <w:tc>
          <w:tcPr>
            <w:tcW w:w="528" w:type="dxa"/>
          </w:tcPr>
          <w:p w14:paraId="232A1B89" w14:textId="353BD213" w:rsidR="008C0769" w:rsidRDefault="008C0769" w:rsidP="008C0769">
            <w:pPr>
              <w:pStyle w:val="NoSpacing"/>
              <w:keepNext/>
            </w:pPr>
            <w:r w:rsidRPr="008F5698">
              <w:rPr>
                <w:color w:val="000000" w:themeColor="text1"/>
              </w:rPr>
              <w:sym w:font="Wingdings" w:char="F0FC"/>
            </w:r>
          </w:p>
        </w:tc>
        <w:tc>
          <w:tcPr>
            <w:tcW w:w="783" w:type="dxa"/>
          </w:tcPr>
          <w:p w14:paraId="5437074F" w14:textId="77777777" w:rsidR="008C0769" w:rsidRDefault="008C0769" w:rsidP="008C0769">
            <w:pPr>
              <w:pStyle w:val="NoSpacing"/>
              <w:keepNext/>
            </w:pPr>
          </w:p>
        </w:tc>
      </w:tr>
      <w:tr w:rsidR="008C0769" w14:paraId="415AF6EE" w14:textId="5E2037CA" w:rsidTr="003D765A">
        <w:tc>
          <w:tcPr>
            <w:tcW w:w="2337" w:type="dxa"/>
          </w:tcPr>
          <w:p w14:paraId="070752FA" w14:textId="6187B720" w:rsidR="008C0769" w:rsidRDefault="008C0769" w:rsidP="008C0769">
            <w:pPr>
              <w:pStyle w:val="NoSpacing"/>
            </w:pPr>
            <w:r>
              <w:t xml:space="preserve">Interactions with protected species </w:t>
            </w:r>
          </w:p>
        </w:tc>
        <w:tc>
          <w:tcPr>
            <w:tcW w:w="4706" w:type="dxa"/>
          </w:tcPr>
          <w:p w14:paraId="3F06EAA1" w14:textId="2CC5AA11" w:rsidR="008C0769" w:rsidRDefault="008C0769" w:rsidP="008C0769">
            <w:pPr>
              <w:pStyle w:val="NoSpacing"/>
              <w:keepNext/>
            </w:pPr>
            <w:r>
              <w:t>Has there been any change in the nature, scale, or intensity of impact and/or management response?</w:t>
            </w:r>
          </w:p>
        </w:tc>
        <w:tc>
          <w:tcPr>
            <w:tcW w:w="709" w:type="dxa"/>
          </w:tcPr>
          <w:p w14:paraId="076409F8" w14:textId="77777777" w:rsidR="008C0769" w:rsidRDefault="008C0769" w:rsidP="008C0769">
            <w:pPr>
              <w:pStyle w:val="NoSpacing"/>
              <w:keepNext/>
            </w:pPr>
          </w:p>
        </w:tc>
        <w:tc>
          <w:tcPr>
            <w:tcW w:w="565" w:type="dxa"/>
          </w:tcPr>
          <w:p w14:paraId="69697160" w14:textId="361A1A4E" w:rsidR="008C0769" w:rsidRDefault="008C0769" w:rsidP="008C0769">
            <w:pPr>
              <w:pStyle w:val="NoSpacing"/>
              <w:keepNext/>
            </w:pPr>
            <w:r w:rsidRPr="008F5698">
              <w:rPr>
                <w:color w:val="000000" w:themeColor="text1"/>
              </w:rPr>
              <w:sym w:font="Wingdings" w:char="F0FC"/>
            </w:r>
          </w:p>
        </w:tc>
        <w:tc>
          <w:tcPr>
            <w:tcW w:w="528" w:type="dxa"/>
          </w:tcPr>
          <w:p w14:paraId="23DF1CA7" w14:textId="65D9A3B0" w:rsidR="008C0769" w:rsidRDefault="008C0769" w:rsidP="008C0769">
            <w:pPr>
              <w:pStyle w:val="NoSpacing"/>
              <w:keepNext/>
            </w:pPr>
          </w:p>
        </w:tc>
        <w:tc>
          <w:tcPr>
            <w:tcW w:w="783" w:type="dxa"/>
          </w:tcPr>
          <w:p w14:paraId="15093546" w14:textId="7BF9AA3F" w:rsidR="008C0769" w:rsidRDefault="008C0769" w:rsidP="008C0769">
            <w:pPr>
              <w:pStyle w:val="NoSpacing"/>
              <w:keepNext/>
            </w:pPr>
            <w:r w:rsidRPr="008F5698">
              <w:rPr>
                <w:color w:val="000000" w:themeColor="text1"/>
              </w:rPr>
              <w:sym w:font="Wingdings" w:char="F0FC"/>
            </w:r>
          </w:p>
        </w:tc>
      </w:tr>
      <w:tr w:rsidR="008C0769" w14:paraId="742F1704" w14:textId="1D4D7FB2" w:rsidTr="003D765A">
        <w:tc>
          <w:tcPr>
            <w:tcW w:w="2337" w:type="dxa"/>
          </w:tcPr>
          <w:p w14:paraId="73F264CF" w14:textId="1BC0A8C7" w:rsidR="008C0769" w:rsidRDefault="008C0769" w:rsidP="008C0769">
            <w:pPr>
              <w:pStyle w:val="NoSpacing"/>
            </w:pPr>
            <w:r>
              <w:t>Ecosystem impacts (</w:t>
            </w:r>
            <w:r w:rsidR="00FB7650">
              <w:t>e.g.</w:t>
            </w:r>
            <w:r>
              <w:t xml:space="preserve"> habitat, food chains, etc.) </w:t>
            </w:r>
          </w:p>
        </w:tc>
        <w:tc>
          <w:tcPr>
            <w:tcW w:w="4706" w:type="dxa"/>
          </w:tcPr>
          <w:p w14:paraId="3512494B" w14:textId="092C9854" w:rsidR="008C0769" w:rsidRDefault="008C0769" w:rsidP="008C0769">
            <w:pPr>
              <w:pStyle w:val="NoSpacing"/>
              <w:keepNext/>
            </w:pPr>
            <w:r>
              <w:t xml:space="preserve">Has there been any change in nature, scale, or intensity of impact and/or subsequent management response? </w:t>
            </w:r>
          </w:p>
        </w:tc>
        <w:tc>
          <w:tcPr>
            <w:tcW w:w="709" w:type="dxa"/>
          </w:tcPr>
          <w:p w14:paraId="199291E6" w14:textId="77777777" w:rsidR="008C0769" w:rsidRDefault="008C0769" w:rsidP="008C0769">
            <w:pPr>
              <w:pStyle w:val="NoSpacing"/>
              <w:keepNext/>
            </w:pPr>
          </w:p>
        </w:tc>
        <w:tc>
          <w:tcPr>
            <w:tcW w:w="565" w:type="dxa"/>
          </w:tcPr>
          <w:p w14:paraId="6B8D533E" w14:textId="60CCEB26" w:rsidR="008C0769" w:rsidRDefault="008C0769" w:rsidP="008C0769">
            <w:pPr>
              <w:pStyle w:val="NoSpacing"/>
              <w:keepNext/>
            </w:pPr>
            <w:r w:rsidRPr="008F5698">
              <w:rPr>
                <w:color w:val="000000" w:themeColor="text1"/>
              </w:rPr>
              <w:sym w:font="Wingdings" w:char="F0FC"/>
            </w:r>
          </w:p>
        </w:tc>
        <w:tc>
          <w:tcPr>
            <w:tcW w:w="528" w:type="dxa"/>
          </w:tcPr>
          <w:p w14:paraId="26F3DB41" w14:textId="0D2F52EF" w:rsidR="008C0769" w:rsidRDefault="008C0769" w:rsidP="008C0769">
            <w:pPr>
              <w:pStyle w:val="NoSpacing"/>
              <w:keepNext/>
            </w:pPr>
          </w:p>
        </w:tc>
        <w:tc>
          <w:tcPr>
            <w:tcW w:w="783" w:type="dxa"/>
          </w:tcPr>
          <w:p w14:paraId="41288B28" w14:textId="4558F683" w:rsidR="008C0769" w:rsidRDefault="008C0769" w:rsidP="008C0769">
            <w:pPr>
              <w:pStyle w:val="NoSpacing"/>
              <w:keepNext/>
            </w:pPr>
            <w:r w:rsidRPr="008F5698">
              <w:rPr>
                <w:color w:val="000000" w:themeColor="text1"/>
              </w:rPr>
              <w:sym w:font="Wingdings" w:char="F0FC"/>
            </w:r>
          </w:p>
        </w:tc>
      </w:tr>
      <w:tr w:rsidR="008C0769" w14:paraId="550053D3" w14:textId="4B6F5FE9" w:rsidTr="003D765A">
        <w:tc>
          <w:tcPr>
            <w:tcW w:w="2337" w:type="dxa"/>
          </w:tcPr>
          <w:p w14:paraId="6A992EBC" w14:textId="6C43B3AE" w:rsidR="008C0769" w:rsidRDefault="008C0769" w:rsidP="008C0769">
            <w:pPr>
              <w:pStyle w:val="NoSpacing"/>
            </w:pPr>
            <w:r>
              <w:t xml:space="preserve">Target stock status </w:t>
            </w:r>
          </w:p>
        </w:tc>
        <w:tc>
          <w:tcPr>
            <w:tcW w:w="4706" w:type="dxa"/>
          </w:tcPr>
          <w:p w14:paraId="11A2DB02" w14:textId="4EE67E07" w:rsidR="008C0769" w:rsidRDefault="008C0769" w:rsidP="008C0769">
            <w:pPr>
              <w:pStyle w:val="NoSpacing"/>
              <w:keepNext/>
            </w:pPr>
            <w:r w:rsidRPr="008F5698">
              <w:rPr>
                <w:color w:val="000000" w:themeColor="text1"/>
              </w:rPr>
              <w:t>Has there been any change in the target stock status? e.g., Increase or decrease in number of overfished or uncertain stocks, limit reference points of performance indicators have been triggered.</w:t>
            </w:r>
          </w:p>
        </w:tc>
        <w:tc>
          <w:tcPr>
            <w:tcW w:w="709" w:type="dxa"/>
          </w:tcPr>
          <w:p w14:paraId="2FB8A71B" w14:textId="27806FF7" w:rsidR="008C0769" w:rsidRPr="007C3138" w:rsidRDefault="007C3138" w:rsidP="008C0769">
            <w:pPr>
              <w:pStyle w:val="NoSpacing"/>
              <w:keepNext/>
            </w:pPr>
            <w:r w:rsidRPr="007C3138">
              <w:rPr>
                <w:color w:val="000000" w:themeColor="text1"/>
              </w:rPr>
              <w:sym w:font="Wingdings" w:char="F0FC"/>
            </w:r>
            <w:r>
              <w:rPr>
                <w:color w:val="000000" w:themeColor="text1"/>
              </w:rPr>
              <w:t xml:space="preserve"> </w:t>
            </w:r>
          </w:p>
        </w:tc>
        <w:tc>
          <w:tcPr>
            <w:tcW w:w="565" w:type="dxa"/>
          </w:tcPr>
          <w:p w14:paraId="75302D1D" w14:textId="2A57BFD5" w:rsidR="008C0769" w:rsidRDefault="008C0769" w:rsidP="008C0769">
            <w:pPr>
              <w:pStyle w:val="NoSpacing"/>
              <w:keepNext/>
            </w:pPr>
          </w:p>
        </w:tc>
        <w:tc>
          <w:tcPr>
            <w:tcW w:w="528" w:type="dxa"/>
          </w:tcPr>
          <w:p w14:paraId="59EF864E" w14:textId="27BF691C" w:rsidR="008C0769" w:rsidRDefault="008C0769" w:rsidP="008C0769">
            <w:pPr>
              <w:pStyle w:val="NoSpacing"/>
              <w:keepNext/>
            </w:pPr>
          </w:p>
        </w:tc>
        <w:tc>
          <w:tcPr>
            <w:tcW w:w="783" w:type="dxa"/>
          </w:tcPr>
          <w:p w14:paraId="0ABF5A72" w14:textId="192B45EA" w:rsidR="008C0769" w:rsidRDefault="008C0769" w:rsidP="008C0769">
            <w:pPr>
              <w:pStyle w:val="NoSpacing"/>
              <w:keepNext/>
            </w:pPr>
            <w:r w:rsidRPr="008F5698">
              <w:rPr>
                <w:color w:val="000000" w:themeColor="text1"/>
              </w:rPr>
              <w:sym w:font="Wingdings" w:char="F0FC"/>
            </w:r>
          </w:p>
        </w:tc>
      </w:tr>
      <w:tr w:rsidR="008C0769" w14:paraId="763686A5" w14:textId="69FD70FF" w:rsidTr="003D765A">
        <w:tc>
          <w:tcPr>
            <w:tcW w:w="2337" w:type="dxa"/>
          </w:tcPr>
          <w:p w14:paraId="7F1CEF07" w14:textId="2E8ABAFB" w:rsidR="008C0769" w:rsidRDefault="008C0769" w:rsidP="008C0769">
            <w:pPr>
              <w:pStyle w:val="NoSpacing"/>
            </w:pPr>
            <w:r>
              <w:t xml:space="preserve">By-product/bycatch stock status </w:t>
            </w:r>
          </w:p>
        </w:tc>
        <w:tc>
          <w:tcPr>
            <w:tcW w:w="4706" w:type="dxa"/>
          </w:tcPr>
          <w:p w14:paraId="140AD9FB" w14:textId="523F8A73" w:rsidR="008C0769" w:rsidRDefault="008C0769" w:rsidP="008C0769">
            <w:pPr>
              <w:pStyle w:val="NoSpacing"/>
              <w:keepNext/>
            </w:pPr>
            <w:r w:rsidRPr="008F5698">
              <w:rPr>
                <w:color w:val="000000" w:themeColor="text1"/>
              </w:rPr>
              <w:t>Has there been any change in the by-product and/or bycatch stock status? e.g., performance indicators triggered, or risk assessment outcomes show risk levels have changed.</w:t>
            </w:r>
          </w:p>
        </w:tc>
        <w:tc>
          <w:tcPr>
            <w:tcW w:w="709" w:type="dxa"/>
          </w:tcPr>
          <w:p w14:paraId="7F591E2A" w14:textId="77777777" w:rsidR="008C0769" w:rsidRDefault="008C0769" w:rsidP="008C0769">
            <w:pPr>
              <w:pStyle w:val="NoSpacing"/>
              <w:keepNext/>
            </w:pPr>
          </w:p>
        </w:tc>
        <w:tc>
          <w:tcPr>
            <w:tcW w:w="565" w:type="dxa"/>
          </w:tcPr>
          <w:p w14:paraId="26C9BD11" w14:textId="0DBAF3F8" w:rsidR="008C0769" w:rsidRDefault="008C0769" w:rsidP="008C0769">
            <w:pPr>
              <w:pStyle w:val="NoSpacing"/>
              <w:keepNext/>
            </w:pPr>
            <w:r w:rsidRPr="008F5698">
              <w:rPr>
                <w:color w:val="000000" w:themeColor="text1"/>
              </w:rPr>
              <w:sym w:font="Wingdings" w:char="F0FC"/>
            </w:r>
          </w:p>
        </w:tc>
        <w:tc>
          <w:tcPr>
            <w:tcW w:w="528" w:type="dxa"/>
          </w:tcPr>
          <w:p w14:paraId="18E72300" w14:textId="543F987C" w:rsidR="008C0769" w:rsidRDefault="008C0769" w:rsidP="008C0769">
            <w:pPr>
              <w:pStyle w:val="NoSpacing"/>
              <w:keepNext/>
            </w:pPr>
          </w:p>
        </w:tc>
        <w:tc>
          <w:tcPr>
            <w:tcW w:w="783" w:type="dxa"/>
          </w:tcPr>
          <w:p w14:paraId="3AE4DF92" w14:textId="06CA1229" w:rsidR="008C0769" w:rsidRDefault="008C0769" w:rsidP="008C0769">
            <w:pPr>
              <w:pStyle w:val="NoSpacing"/>
              <w:keepNext/>
            </w:pPr>
            <w:r w:rsidRPr="008F5698">
              <w:rPr>
                <w:color w:val="000000" w:themeColor="text1"/>
              </w:rPr>
              <w:sym w:font="Wingdings" w:char="F0FC"/>
            </w:r>
          </w:p>
        </w:tc>
      </w:tr>
    </w:tbl>
    <w:p w14:paraId="635DDFD4" w14:textId="39C60A62" w:rsidR="00D77002" w:rsidRDefault="00D77002" w:rsidP="00D77002">
      <w:pPr>
        <w:pStyle w:val="Heading2"/>
      </w:pPr>
      <w:bookmarkStart w:id="82" w:name="_Toc183695843"/>
      <w:r>
        <w:t xml:space="preserve">Abrolhos Islands and </w:t>
      </w:r>
      <w:proofErr w:type="spellStart"/>
      <w:r>
        <w:t>Mid West</w:t>
      </w:r>
      <w:proofErr w:type="spellEnd"/>
      <w:r>
        <w:t xml:space="preserve"> Trawl Managed Fishery</w:t>
      </w:r>
      <w:bookmarkEnd w:id="82"/>
      <w:r>
        <w:t xml:space="preserve"> </w:t>
      </w:r>
    </w:p>
    <w:p w14:paraId="7EEBB3E1" w14:textId="064F5449" w:rsidR="008E2185" w:rsidRDefault="00D77002" w:rsidP="008E2185">
      <w:r>
        <w:t>C</w:t>
      </w:r>
      <w:r w:rsidR="008E2185">
        <w:t xml:space="preserve">hanges to the status of the target stock in the AIMWTF since the last assessment has primarily been driven by external influences, specifically changes to the </w:t>
      </w:r>
      <w:r w:rsidR="008E2185">
        <w:lastRenderedPageBreak/>
        <w:t xml:space="preserve">environment. DPIRD and industry have continued to manage the Fishery under the collaborative, co-management framework, and in accordance with the Harvest Strategy, to mitigate the impacts imposed to the scallop stock. </w:t>
      </w:r>
    </w:p>
    <w:p w14:paraId="3360B786" w14:textId="0256112B" w:rsidR="008E2185" w:rsidRDefault="008E2185" w:rsidP="008E2185">
      <w:r>
        <w:t xml:space="preserve">The effectiveness of this management approach for the AIMWTMF, from the performance monitoring and assessment of the stock to the decision-making processes, was evident in the 2022 fishing season. The November fishery independent survey indicated scallop abundance was well below the threshold reference level (45 </w:t>
      </w:r>
      <w:proofErr w:type="spellStart"/>
      <w:r>
        <w:t>sc</w:t>
      </w:r>
      <w:proofErr w:type="spellEnd"/>
      <w:r>
        <w:t>/nm), as prescribed in Table 1 of the Harvest Strategy</w:t>
      </w:r>
      <w:r w:rsidR="002B2F17">
        <w:t xml:space="preserve">. </w:t>
      </w:r>
      <w:r>
        <w:t xml:space="preserve">As such, DPIRD and industry adopted the co-management framework </w:t>
      </w:r>
      <w:r w:rsidR="00D77002">
        <w:t>and collaboratively</w:t>
      </w:r>
      <w:r>
        <w:t xml:space="preserve"> close</w:t>
      </w:r>
      <w:r w:rsidR="00D77002">
        <w:t>d</w:t>
      </w:r>
      <w:r>
        <w:t xml:space="preserve"> the Fishery for the season, under </w:t>
      </w:r>
      <w:r w:rsidR="00D77002">
        <w:t xml:space="preserve">a </w:t>
      </w:r>
      <w:r>
        <w:t xml:space="preserve">voluntary </w:t>
      </w:r>
      <w:r w:rsidR="00D77002">
        <w:t xml:space="preserve">industry </w:t>
      </w:r>
      <w:r>
        <w:t xml:space="preserve">agreement. Subsequently, when the stock </w:t>
      </w:r>
      <w:r w:rsidR="00390D6E">
        <w:t>rebuilt</w:t>
      </w:r>
      <w:r>
        <w:t xml:space="preserve"> to above the threshold level </w:t>
      </w:r>
      <w:r w:rsidR="00390D6E">
        <w:t xml:space="preserve">(determined by </w:t>
      </w:r>
      <w:r>
        <w:t>November 2022</w:t>
      </w:r>
      <w:r w:rsidR="00D77002">
        <w:t xml:space="preserve"> surveys</w:t>
      </w:r>
      <w:r w:rsidR="00390D6E">
        <w:t>)</w:t>
      </w:r>
      <w:r>
        <w:t xml:space="preserve">, the Fishery </w:t>
      </w:r>
      <w:r w:rsidR="00390D6E">
        <w:t xml:space="preserve">reopened in accordance with the Harvest Strategy and </w:t>
      </w:r>
      <w:r>
        <w:t xml:space="preserve">appropriate precautional management measures were voluntarily adopted. </w:t>
      </w:r>
    </w:p>
    <w:p w14:paraId="324B5A01" w14:textId="303C9958" w:rsidR="00390D6E" w:rsidRDefault="00390D6E" w:rsidP="00390D6E">
      <w:pPr>
        <w:pStyle w:val="Heading2"/>
      </w:pPr>
      <w:bookmarkStart w:id="83" w:name="_Toc183695844"/>
      <w:r>
        <w:t>South Coast Trawl Fishery</w:t>
      </w:r>
      <w:bookmarkEnd w:id="83"/>
      <w:r>
        <w:t xml:space="preserve"> </w:t>
      </w:r>
    </w:p>
    <w:p w14:paraId="206D6207" w14:textId="0FC144BF" w:rsidR="008E2185" w:rsidRDefault="008E2185" w:rsidP="008E2185">
      <w:r>
        <w:t xml:space="preserve">The SCTF has continued to operate under an instrument of exemption since the last assessment, due to DPIRD information indicating that the Fishery poses a low risk to stock sustainability, and the broader environment. This assessment is based on factors including fishery dependent catch (and bycatch) reporting, environmental assessments of the South Coast Bioregion, and Fishery operations, including fishing frequency, extent and type of areas fished and the fishing gear used to target scallops, with nets having a larger net mesh size and dedicated </w:t>
      </w:r>
      <w:r w:rsidR="00D77002">
        <w:t>BRDs</w:t>
      </w:r>
      <w:r>
        <w:t xml:space="preserve"> that offer an escape opening for non-target animals/fish. </w:t>
      </w:r>
    </w:p>
    <w:p w14:paraId="1F5671EC" w14:textId="47DE8B4E" w:rsidR="00390D6E" w:rsidRDefault="008E2185" w:rsidP="008E2185">
      <w:r>
        <w:t xml:space="preserve">DPIRD is in the process of transitioning the Fishery to a formal management </w:t>
      </w:r>
      <w:proofErr w:type="gramStart"/>
      <w:r>
        <w:t>framework;</w:t>
      </w:r>
      <w:proofErr w:type="gramEnd"/>
      <w:r>
        <w:t xml:space="preserve"> declaring the SCTF as a Managed Fishery under the determination of a Management Plan. Management arrangements have been developed in consultation with internal DPIRD staff and current Fishery operators to reflect current fishing practices, while also applying contemporary management measure to provide flexibility to enforce best practice and adaptive management as the Fishery, and other external factors, change in the future. The South Coast Scallop Managed Fishery Management Plan is anticipated to come into effect as of the commencement of the 2025 fishing season. </w:t>
      </w:r>
      <w:r w:rsidR="00390D6E">
        <w:br w:type="page"/>
      </w:r>
    </w:p>
    <w:p w14:paraId="474D4DC8" w14:textId="4E2E45CA" w:rsidR="005F0C2C" w:rsidRPr="005F0C2C" w:rsidRDefault="00AD3629" w:rsidP="005F0C2C">
      <w:pPr>
        <w:pStyle w:val="Heading1"/>
        <w:pageBreakBefore w:val="0"/>
      </w:pPr>
      <w:bookmarkStart w:id="84" w:name="_Toc183695845"/>
      <w:r w:rsidRPr="008E2185">
        <w:lastRenderedPageBreak/>
        <w:t>References</w:t>
      </w:r>
      <w:bookmarkEnd w:id="84"/>
      <w:r>
        <w:t xml:space="preserve"> </w:t>
      </w:r>
    </w:p>
    <w:p w14:paraId="03F68165" w14:textId="77777777" w:rsidR="008E2185" w:rsidRDefault="008E2185" w:rsidP="008E2185">
      <w:pPr>
        <w:rPr>
          <w:b/>
          <w:bCs/>
        </w:rPr>
      </w:pPr>
      <w:proofErr w:type="spellStart"/>
      <w:r>
        <w:t>Chandrapavan</w:t>
      </w:r>
      <w:proofErr w:type="spellEnd"/>
      <w:r>
        <w:t xml:space="preserve"> A., 2023. </w:t>
      </w:r>
      <w:r w:rsidRPr="000D7AD5">
        <w:rPr>
          <w:i/>
          <w:iCs/>
        </w:rPr>
        <w:t>Ballot’s Saucer Scallop</w:t>
      </w:r>
      <w:r>
        <w:t xml:space="preserve">. </w:t>
      </w:r>
      <w:hyperlink r:id="rId47" w:history="1">
        <w:r w:rsidRPr="00247564">
          <w:rPr>
            <w:rStyle w:val="Hyperlink"/>
          </w:rPr>
          <w:t>Ballots Saucer Scallop 2020 (fish.gov.au)</w:t>
        </w:r>
      </w:hyperlink>
      <w:r w:rsidRPr="000D7AD5">
        <w:rPr>
          <w:b/>
          <w:bCs/>
        </w:rPr>
        <w:t xml:space="preserve"> </w:t>
      </w:r>
    </w:p>
    <w:p w14:paraId="22CEB305" w14:textId="77777777" w:rsidR="008E2185" w:rsidRPr="000D7AD5" w:rsidRDefault="008E2185" w:rsidP="008E2185">
      <w:pPr>
        <w:ind w:left="720" w:hanging="720"/>
        <w:rPr>
          <w:color w:val="000000" w:themeColor="hyperlink"/>
        </w:rPr>
      </w:pPr>
      <w:proofErr w:type="spellStart"/>
      <w:r>
        <w:rPr>
          <w:rStyle w:val="Hyperlink"/>
          <w:u w:val="none"/>
        </w:rPr>
        <w:t>Chandrapavan</w:t>
      </w:r>
      <w:proofErr w:type="spellEnd"/>
      <w:r>
        <w:rPr>
          <w:rStyle w:val="Hyperlink"/>
          <w:u w:val="none"/>
        </w:rPr>
        <w:t xml:space="preserve"> A., Kangas M.</w:t>
      </w:r>
      <w:proofErr w:type="gramStart"/>
      <w:r>
        <w:rPr>
          <w:rStyle w:val="Hyperlink"/>
          <w:u w:val="none"/>
        </w:rPr>
        <w:t>,  and</w:t>
      </w:r>
      <w:proofErr w:type="gramEnd"/>
      <w:r>
        <w:rPr>
          <w:rStyle w:val="Hyperlink"/>
          <w:u w:val="none"/>
        </w:rPr>
        <w:t xml:space="preserve"> Caputi N., 2015. </w:t>
      </w:r>
      <w:r>
        <w:rPr>
          <w:rStyle w:val="Hyperlink"/>
          <w:i/>
          <w:iCs/>
          <w:u w:val="none"/>
        </w:rPr>
        <w:t xml:space="preserve">Understanding recruitment variation (including the collapse) of Ballot’s saucer scallop stocks in Western Australia and assessing the feasibility of assisted recovery measures for improved management in a changing environment </w:t>
      </w:r>
      <w:r>
        <w:rPr>
          <w:rStyle w:val="Hyperlink"/>
          <w:u w:val="none"/>
        </w:rPr>
        <w:t xml:space="preserve">(FRDC Project No. 2015/026). </w:t>
      </w:r>
      <w:hyperlink r:id="rId48" w:history="1">
        <w:r w:rsidRPr="00024BF9">
          <w:rPr>
            <w:rStyle w:val="Hyperlink"/>
          </w:rPr>
          <w:t xml:space="preserve">"Understanding recruitment variation (including the collapse) of Ballot" by Arani </w:t>
        </w:r>
        <w:proofErr w:type="spellStart"/>
        <w:r w:rsidRPr="00024BF9">
          <w:rPr>
            <w:rStyle w:val="Hyperlink"/>
          </w:rPr>
          <w:t>Chandrapavan</w:t>
        </w:r>
        <w:proofErr w:type="spellEnd"/>
        <w:r w:rsidRPr="00024BF9">
          <w:rPr>
            <w:rStyle w:val="Hyperlink"/>
          </w:rPr>
          <w:t>, Mervi Kangas et al. (dpird.wa.gov.au)</w:t>
        </w:r>
      </w:hyperlink>
    </w:p>
    <w:p w14:paraId="6EB68A8D" w14:textId="77777777" w:rsidR="008E2185" w:rsidRPr="005F0C2C" w:rsidRDefault="008E2185" w:rsidP="008E2185">
      <w:pPr>
        <w:ind w:left="720" w:hanging="720"/>
        <w:rPr>
          <w:rStyle w:val="Hyperlink"/>
          <w:color w:val="auto"/>
          <w:u w:val="none"/>
        </w:rPr>
      </w:pPr>
      <w:r>
        <w:t xml:space="preserve">Department of Primary Industries and Regional Development, 1993. </w:t>
      </w:r>
      <w:r>
        <w:rPr>
          <w:i/>
          <w:iCs/>
        </w:rPr>
        <w:t>Abrolhos Islands and Mide West Trawl Limited Entry Fishery Notice 1993 .</w:t>
      </w:r>
      <w:hyperlink r:id="rId49" w:history="1">
        <w:r w:rsidRPr="005F0C2C">
          <w:rPr>
            <w:rStyle w:val="Hyperlink"/>
          </w:rPr>
          <w:t>Fisheries Act 1905 (www.wa.gov.au)</w:t>
        </w:r>
      </w:hyperlink>
    </w:p>
    <w:p w14:paraId="6BEE24DA" w14:textId="77777777" w:rsidR="008E2185" w:rsidRDefault="008E2185" w:rsidP="008E2185">
      <w:pPr>
        <w:ind w:left="720" w:hanging="720"/>
      </w:pPr>
      <w:r>
        <w:t xml:space="preserve">Department of Primary Industries and Regional Development, 2020. </w:t>
      </w:r>
      <w:r>
        <w:rPr>
          <w:i/>
          <w:iCs/>
        </w:rPr>
        <w:t xml:space="preserve">Ecological Risk Assessment of the Abrolhos Islands and </w:t>
      </w:r>
      <w:proofErr w:type="spellStart"/>
      <w:r>
        <w:rPr>
          <w:i/>
          <w:iCs/>
        </w:rPr>
        <w:t>Mid West</w:t>
      </w:r>
      <w:proofErr w:type="spellEnd"/>
      <w:r>
        <w:rPr>
          <w:i/>
          <w:iCs/>
        </w:rPr>
        <w:t xml:space="preserve"> Trawl Managed Fishery</w:t>
      </w:r>
      <w:r>
        <w:t xml:space="preserve">. </w:t>
      </w:r>
      <w:hyperlink r:id="rId50" w:history="1">
        <w:r w:rsidRPr="00224FCD">
          <w:rPr>
            <w:rStyle w:val="Hyperlink"/>
          </w:rPr>
          <w:t>Ecological Risk Assessment of the Abrolhos Islands and Mid-West Trawl Managed Fishery (dpird.wa.gov.au)</w:t>
        </w:r>
      </w:hyperlink>
      <w:r>
        <w:t xml:space="preserve"> </w:t>
      </w:r>
    </w:p>
    <w:p w14:paraId="2A08B31C" w14:textId="77777777" w:rsidR="008E2185" w:rsidRPr="000C7906" w:rsidRDefault="008E2185" w:rsidP="008E2185">
      <w:pPr>
        <w:ind w:left="720" w:hanging="720"/>
        <w:rPr>
          <w:i/>
          <w:iCs/>
        </w:rPr>
      </w:pPr>
      <w:r>
        <w:t xml:space="preserve">Department of Primary Industries and Regional Development, 2020. </w:t>
      </w:r>
      <w:r>
        <w:rPr>
          <w:i/>
          <w:iCs/>
        </w:rPr>
        <w:t xml:space="preserve">Saucer Scallop Resource of the Abrolhos Islands Harvest Strategy 2020-2025. </w:t>
      </w:r>
      <w:hyperlink r:id="rId51" w:history="1">
        <w:r w:rsidRPr="000C7906">
          <w:rPr>
            <w:rStyle w:val="Hyperlink"/>
          </w:rPr>
          <w:t>fmp299.pdf (fish.wa.gov.au)</w:t>
        </w:r>
      </w:hyperlink>
    </w:p>
    <w:p w14:paraId="2ACC1303" w14:textId="77777777" w:rsidR="008E2185" w:rsidRPr="005F0C2C" w:rsidRDefault="008E2185" w:rsidP="008E2185">
      <w:pPr>
        <w:ind w:left="720" w:hanging="720"/>
        <w:rPr>
          <w:color w:val="000000" w:themeColor="hyperlink"/>
          <w:u w:val="single"/>
        </w:rPr>
      </w:pPr>
      <w:r>
        <w:t xml:space="preserve">Department of Primary Industries and Regional Development, 2022. </w:t>
      </w:r>
      <w:r>
        <w:rPr>
          <w:i/>
          <w:iCs/>
        </w:rPr>
        <w:t xml:space="preserve">State of the Fisheries 2021/22. </w:t>
      </w:r>
      <w:hyperlink r:id="rId52" w:history="1">
        <w:r w:rsidRPr="00024BF9">
          <w:rPr>
            <w:rStyle w:val="Hyperlink"/>
          </w:rPr>
          <w:t>status_reports_of_the_fisheries_and_aquatic_resources_2021-22.pdf</w:t>
        </w:r>
      </w:hyperlink>
    </w:p>
    <w:p w14:paraId="72022BC2" w14:textId="77777777" w:rsidR="008E2185" w:rsidRDefault="008E2185" w:rsidP="008E2185">
      <w:pPr>
        <w:ind w:left="720" w:hanging="720"/>
      </w:pPr>
      <w:r>
        <w:t xml:space="preserve">Department of Primary Industries and Regional Development, 2023. </w:t>
      </w:r>
      <w:r>
        <w:rPr>
          <w:i/>
          <w:iCs/>
        </w:rPr>
        <w:t xml:space="preserve">State of the Fisheries 2022/23. </w:t>
      </w:r>
      <w:hyperlink r:id="rId53" w:history="1">
        <w:r w:rsidRPr="000C7906">
          <w:rPr>
            <w:rStyle w:val="Hyperlink"/>
          </w:rPr>
          <w:t>status_reports_of_the_fisheries_and_aquatic_resources_2022-23.pdf</w:t>
        </w:r>
      </w:hyperlink>
    </w:p>
    <w:p w14:paraId="5855B13A" w14:textId="77777777" w:rsidR="008E2185" w:rsidRPr="005F0C2C" w:rsidRDefault="008E2185" w:rsidP="008E2185">
      <w:pPr>
        <w:ind w:left="720" w:hanging="720"/>
        <w:rPr>
          <w:color w:val="000000" w:themeColor="hyperlink"/>
          <w:u w:val="single"/>
        </w:rPr>
      </w:pPr>
      <w:r>
        <w:t xml:space="preserve">Department of Primary Industries and Regional Development - Fisheries, 2013. </w:t>
      </w:r>
      <w:r>
        <w:rPr>
          <w:i/>
          <w:iCs/>
        </w:rPr>
        <w:t xml:space="preserve">Scallop. </w:t>
      </w:r>
      <w:hyperlink r:id="rId54" w:history="1">
        <w:r w:rsidRPr="00024BF9">
          <w:rPr>
            <w:rStyle w:val="Hyperlink"/>
          </w:rPr>
          <w:t>Scallop (fish.wa.gov.au)</w:t>
        </w:r>
      </w:hyperlink>
    </w:p>
    <w:p w14:paraId="6A7CF2BB" w14:textId="02AA7503" w:rsidR="008E2185" w:rsidRDefault="008E2185" w:rsidP="008E2185">
      <w:pPr>
        <w:ind w:left="720" w:hanging="720"/>
      </w:pPr>
      <w:r>
        <w:t xml:space="preserve">Department of Primary Industries and Regional Development, 2023. </w:t>
      </w:r>
      <w:r>
        <w:rPr>
          <w:i/>
          <w:iCs/>
        </w:rPr>
        <w:t xml:space="preserve">Notice of Areas Closed to Fishing for Scallops and Prawns in the Abrolhos Islands and Mide West Trawl Managed Fishery. </w:t>
      </w:r>
    </w:p>
    <w:p w14:paraId="5678E904" w14:textId="77777777" w:rsidR="008E2185" w:rsidRDefault="008E2185" w:rsidP="008E2185">
      <w:pPr>
        <w:ind w:left="720" w:hanging="720"/>
      </w:pPr>
      <w:r>
        <w:t xml:space="preserve">Department of Sustainability, Environment, Water, Population and Communities, 2013. </w:t>
      </w:r>
      <w:r>
        <w:rPr>
          <w:i/>
          <w:iCs/>
        </w:rPr>
        <w:t xml:space="preserve">Assessment of the Western Australian Abrolhos Islands and </w:t>
      </w:r>
      <w:proofErr w:type="spellStart"/>
      <w:r>
        <w:rPr>
          <w:i/>
          <w:iCs/>
        </w:rPr>
        <w:t>Mid West</w:t>
      </w:r>
      <w:proofErr w:type="spellEnd"/>
      <w:r>
        <w:rPr>
          <w:i/>
          <w:iCs/>
        </w:rPr>
        <w:t xml:space="preserve"> Trawl Managed Fishery. </w:t>
      </w:r>
      <w:hyperlink r:id="rId55" w:history="1">
        <w:r w:rsidRPr="00C96B67">
          <w:rPr>
            <w:rStyle w:val="Hyperlink"/>
          </w:rPr>
          <w:t>https://www.dcceew.gov.au/sites/default/files/env/pages/c74a140e-8640-415e-aba5-d455fa623d13/files/abrolhos-assessment-2013.pdf</w:t>
        </w:r>
      </w:hyperlink>
    </w:p>
    <w:p w14:paraId="77902CAB" w14:textId="77777777" w:rsidR="008E2185" w:rsidRDefault="008E2185" w:rsidP="008E2185">
      <w:pPr>
        <w:ind w:left="720" w:hanging="720"/>
        <w:rPr>
          <w:rStyle w:val="Hyperlink"/>
        </w:rPr>
      </w:pPr>
      <w:r>
        <w:t xml:space="preserve">Department of Sustainability, Environment, Water, Population and Communities, 2013. </w:t>
      </w:r>
      <w:r>
        <w:rPr>
          <w:i/>
          <w:iCs/>
        </w:rPr>
        <w:t xml:space="preserve">Assessment of the Western Australian (WA) South Coast Trawl Fishery. </w:t>
      </w:r>
      <w:hyperlink r:id="rId56" w:history="1">
        <w:r w:rsidRPr="00024BF9">
          <w:rPr>
            <w:rStyle w:val="Hyperlink"/>
          </w:rPr>
          <w:t>assessment-2013.docx (live.com)</w:t>
        </w:r>
      </w:hyperlink>
    </w:p>
    <w:p w14:paraId="710EA3BD" w14:textId="77777777" w:rsidR="008E2185" w:rsidRDefault="008E2185" w:rsidP="008E2185">
      <w:pPr>
        <w:ind w:left="720" w:hanging="720"/>
      </w:pPr>
      <w:r>
        <w:lastRenderedPageBreak/>
        <w:t xml:space="preserve">Kangas M.I., </w:t>
      </w:r>
      <w:proofErr w:type="spellStart"/>
      <w:r>
        <w:t>Chandrapavan</w:t>
      </w:r>
      <w:proofErr w:type="spellEnd"/>
      <w:r>
        <w:t xml:space="preserve"> A., Wilkin S., Fisher E.A., Evans S., 2021. </w:t>
      </w:r>
      <w:r>
        <w:rPr>
          <w:i/>
          <w:iCs/>
        </w:rPr>
        <w:t>Resource Assessment Report, Abrolhos Islands and Mid-West Trawl Managed Fishery Resource.</w:t>
      </w:r>
      <w:hyperlink r:id="rId57" w:history="1">
        <w:r w:rsidRPr="00701479">
          <w:rPr>
            <w:rStyle w:val="Hyperlink"/>
          </w:rPr>
          <w:t>wamsc_report_no_20.pdf (fish.wa.gov.au)</w:t>
        </w:r>
      </w:hyperlink>
    </w:p>
    <w:p w14:paraId="59AC812B" w14:textId="471D5AFF" w:rsidR="008E2185" w:rsidRDefault="008E2185" w:rsidP="008E2185">
      <w:pPr>
        <w:ind w:left="720" w:hanging="720"/>
        <w:rPr>
          <w:rStyle w:val="Hyperlink"/>
        </w:rPr>
      </w:pPr>
      <w:r>
        <w:t xml:space="preserve">MRAG Americas, 2021. </w:t>
      </w:r>
      <w:r>
        <w:rPr>
          <w:i/>
          <w:iCs/>
        </w:rPr>
        <w:t xml:space="preserve">Abrolhos Islands and </w:t>
      </w:r>
      <w:proofErr w:type="spellStart"/>
      <w:r>
        <w:rPr>
          <w:i/>
          <w:iCs/>
        </w:rPr>
        <w:t>Mid West</w:t>
      </w:r>
      <w:proofErr w:type="spellEnd"/>
      <w:r>
        <w:rPr>
          <w:i/>
          <w:iCs/>
        </w:rPr>
        <w:t xml:space="preserve"> Scallop Trawl Fishery – Marine Stewardship Council Assessment Report.</w:t>
      </w:r>
      <w:r w:rsidR="00A96058">
        <w:rPr>
          <w:i/>
          <w:iCs/>
        </w:rPr>
        <w:t xml:space="preserve"> </w:t>
      </w:r>
      <w:hyperlink r:id="rId58" w:history="1">
        <w:proofErr w:type="spellStart"/>
        <w:r w:rsidR="00A96058" w:rsidRPr="00A96058">
          <w:rPr>
            <w:rStyle w:val="Hyperlink"/>
          </w:rPr>
          <w:t>MRAG_Abrolhos</w:t>
        </w:r>
        <w:proofErr w:type="spellEnd"/>
        <w:r w:rsidR="00A96058" w:rsidRPr="00A96058">
          <w:rPr>
            <w:rStyle w:val="Hyperlink"/>
          </w:rPr>
          <w:t xml:space="preserve"> </w:t>
        </w:r>
        <w:proofErr w:type="spellStart"/>
        <w:r w:rsidR="00A96058" w:rsidRPr="00A96058">
          <w:rPr>
            <w:rStyle w:val="Hyperlink"/>
          </w:rPr>
          <w:t>scallops_PCR</w:t>
        </w:r>
        <w:proofErr w:type="spellEnd"/>
        <w:r w:rsidR="00A96058" w:rsidRPr="00A96058">
          <w:rPr>
            <w:rStyle w:val="Hyperlink"/>
          </w:rPr>
          <w:t xml:space="preserve"> (1).pdf</w:t>
        </w:r>
      </w:hyperlink>
      <w:r w:rsidR="00A96058" w:rsidRPr="00A96058">
        <w:t>.</w:t>
      </w:r>
      <w:r w:rsidR="00A96058">
        <w:t xml:space="preserve"> </w:t>
      </w:r>
      <w:r w:rsidR="00A96058">
        <w:rPr>
          <w:i/>
          <w:iCs/>
        </w:rPr>
        <w:t xml:space="preserve"> </w:t>
      </w:r>
      <w:r>
        <w:rPr>
          <w:i/>
          <w:iCs/>
        </w:rPr>
        <w:t xml:space="preserve"> </w:t>
      </w:r>
    </w:p>
    <w:p w14:paraId="49E44409" w14:textId="4C61345D" w:rsidR="00390D6E" w:rsidRDefault="008E2185" w:rsidP="008E2185">
      <w:pPr>
        <w:ind w:left="720" w:hanging="720"/>
        <w:rPr>
          <w:rStyle w:val="Hyperlink"/>
        </w:rPr>
      </w:pPr>
      <w:r>
        <w:t xml:space="preserve">MRAG Americas, 2023. </w:t>
      </w:r>
      <w:r>
        <w:rPr>
          <w:i/>
          <w:iCs/>
        </w:rPr>
        <w:t xml:space="preserve">Abrolhos Islands and </w:t>
      </w:r>
      <w:proofErr w:type="spellStart"/>
      <w:r>
        <w:rPr>
          <w:i/>
          <w:iCs/>
        </w:rPr>
        <w:t>Mid West</w:t>
      </w:r>
      <w:proofErr w:type="spellEnd"/>
      <w:r>
        <w:rPr>
          <w:i/>
          <w:iCs/>
        </w:rPr>
        <w:t xml:space="preserve"> Trawl Managed Fishery, Certificate No: MSC-F-31526, Surveillance Report. </w:t>
      </w:r>
      <w:hyperlink r:id="rId59" w:history="1">
        <w:r w:rsidRPr="00E86ACC">
          <w:rPr>
            <w:rStyle w:val="Hyperlink"/>
          </w:rPr>
          <w:t>Abrolhos scallop_MSC-2nd Surveillance Report_FINAL.pdf</w:t>
        </w:r>
      </w:hyperlink>
      <w:r w:rsidR="00390D6E">
        <w:rPr>
          <w:rStyle w:val="Hyperlink"/>
        </w:rPr>
        <w:br w:type="page"/>
      </w:r>
    </w:p>
    <w:p w14:paraId="343976DB" w14:textId="01C7C27D" w:rsidR="00FE3963" w:rsidRPr="00FE3963" w:rsidRDefault="00FE3963" w:rsidP="00390D6E">
      <w:pPr>
        <w:pStyle w:val="Heading1"/>
        <w:rPr>
          <w:lang w:val="en-US"/>
        </w:rPr>
      </w:pPr>
      <w:bookmarkStart w:id="85" w:name="_Toc183695846"/>
      <w:bookmarkEnd w:id="0"/>
      <w:bookmarkEnd w:id="1"/>
      <w:r w:rsidRPr="004C5D6E">
        <w:rPr>
          <w:lang w:val="en-US"/>
        </w:rPr>
        <w:lastRenderedPageBreak/>
        <w:t xml:space="preserve">Appendix </w:t>
      </w:r>
      <w:r>
        <w:rPr>
          <w:lang w:val="en-US"/>
        </w:rPr>
        <w:t>1</w:t>
      </w:r>
      <w:r w:rsidRPr="004C5D6E">
        <w:rPr>
          <w:lang w:val="en-US"/>
        </w:rPr>
        <w:t xml:space="preserve"> – </w:t>
      </w:r>
      <w:r>
        <w:rPr>
          <w:lang w:val="en-US"/>
        </w:rPr>
        <w:t>Retained catch data (target and byproduct species)</w:t>
      </w:r>
      <w:bookmarkEnd w:id="85"/>
      <w:r>
        <w:rPr>
          <w:lang w:val="en-US"/>
        </w:rPr>
        <w:t xml:space="preserve"> </w:t>
      </w:r>
    </w:p>
    <w:p w14:paraId="0C17672B" w14:textId="4E8CE3B3" w:rsidR="008E2185" w:rsidRPr="00E611B8" w:rsidRDefault="008E2185" w:rsidP="008E2185">
      <w:pPr>
        <w:pStyle w:val="Caption"/>
        <w:rPr>
          <w:highlight w:val="cyan"/>
        </w:rPr>
      </w:pPr>
      <w:r>
        <w:t xml:space="preserve">Table </w:t>
      </w:r>
      <w:r>
        <w:fldChar w:fldCharType="begin"/>
      </w:r>
      <w:r>
        <w:instrText xml:space="preserve"> SEQ Table \* ARABIC </w:instrText>
      </w:r>
      <w:r>
        <w:fldChar w:fldCharType="separate"/>
      </w:r>
      <w:r w:rsidR="00AB15B7">
        <w:rPr>
          <w:noProof/>
        </w:rPr>
        <w:t>1</w:t>
      </w:r>
      <w:r>
        <w:fldChar w:fldCharType="end"/>
      </w:r>
      <w:r>
        <w:t xml:space="preserve">: Retained catch data (target and byproduct species) from 2018 to 2023 in the AIMWTMF. </w:t>
      </w:r>
    </w:p>
    <w:p w14:paraId="78DDA2FA" w14:textId="77777777" w:rsidR="008E2185" w:rsidRDefault="008E2185" w:rsidP="00390D6E">
      <w:bookmarkStart w:id="86" w:name="_Toc179281514"/>
      <w:bookmarkStart w:id="87" w:name="_Toc179447563"/>
      <w:bookmarkStart w:id="88" w:name="_Toc179449891"/>
      <w:bookmarkStart w:id="89" w:name="_Toc179449951"/>
      <w:bookmarkStart w:id="90" w:name="_Toc179450011"/>
      <w:bookmarkStart w:id="91" w:name="_Toc179881099"/>
      <w:bookmarkStart w:id="92" w:name="_Toc181087762"/>
      <w:bookmarkStart w:id="93" w:name="_Toc181954799"/>
      <w:bookmarkStart w:id="94" w:name="_Toc181964278"/>
      <w:bookmarkStart w:id="95" w:name="_Toc181970620"/>
      <w:bookmarkStart w:id="96" w:name="_Toc182216570"/>
      <w:r w:rsidRPr="00E611B8">
        <w:rPr>
          <w:noProof/>
        </w:rPr>
        <w:drawing>
          <wp:inline distT="0" distB="0" distL="0" distR="0" wp14:anchorId="68BF8403" wp14:editId="29DD6D85">
            <wp:extent cx="6209665" cy="901361"/>
            <wp:effectExtent l="0" t="0" r="635" b="0"/>
            <wp:docPr id="369099736" name="Picture 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099736" name="Picture 2" descr="A screen shot of a computer&#10;&#10;Description automatically generated"/>
                    <pic:cNvPicPr>
                      <a:picLocks noChangeAspect="1" noChangeArrowheads="1"/>
                    </pic:cNvPicPr>
                  </pic:nvPicPr>
                  <pic:blipFill>
                    <a:blip r:embed="rId60" r:link="rId61" cstate="print">
                      <a:extLst>
                        <a:ext uri="{28A0092B-C50C-407E-A947-70E740481C1C}">
                          <a14:useLocalDpi xmlns:a14="http://schemas.microsoft.com/office/drawing/2010/main" val="0"/>
                        </a:ext>
                      </a:extLst>
                    </a:blip>
                    <a:srcRect/>
                    <a:stretch>
                      <a:fillRect/>
                    </a:stretch>
                  </pic:blipFill>
                  <pic:spPr bwMode="auto">
                    <a:xfrm>
                      <a:off x="0" y="0"/>
                      <a:ext cx="6270889" cy="910248"/>
                    </a:xfrm>
                    <a:prstGeom prst="rect">
                      <a:avLst/>
                    </a:prstGeom>
                    <a:noFill/>
                    <a:ln>
                      <a:noFill/>
                    </a:ln>
                  </pic:spPr>
                </pic:pic>
              </a:graphicData>
            </a:graphic>
          </wp:inline>
        </w:drawing>
      </w:r>
      <w:bookmarkEnd w:id="86"/>
      <w:bookmarkEnd w:id="87"/>
      <w:bookmarkEnd w:id="88"/>
      <w:bookmarkEnd w:id="89"/>
      <w:bookmarkEnd w:id="90"/>
      <w:bookmarkEnd w:id="91"/>
      <w:bookmarkEnd w:id="92"/>
      <w:bookmarkEnd w:id="93"/>
      <w:bookmarkEnd w:id="94"/>
      <w:bookmarkEnd w:id="95"/>
      <w:bookmarkEnd w:id="96"/>
    </w:p>
    <w:p w14:paraId="69C24E8A" w14:textId="77777777" w:rsidR="008E2185" w:rsidRPr="00E611B8" w:rsidRDefault="008E2185" w:rsidP="008E2185">
      <w:r>
        <w:rPr>
          <w:b/>
          <w:bCs/>
        </w:rPr>
        <w:t xml:space="preserve">NOTE: </w:t>
      </w:r>
      <w:r>
        <w:t xml:space="preserve">In 2019, one vessel fished for prawns in accordance with the provisions of the Management Plan, which relates to fishing in the Port Gregory area to target prawns. </w:t>
      </w:r>
    </w:p>
    <w:p w14:paraId="5E4BED41" w14:textId="77777777" w:rsidR="008E2185" w:rsidRPr="00390D6E" w:rsidRDefault="008E2185" w:rsidP="00390D6E">
      <w:pPr>
        <w:pStyle w:val="Heading1"/>
      </w:pPr>
      <w:bookmarkStart w:id="97" w:name="_Toc179450012"/>
      <w:bookmarkStart w:id="98" w:name="_Ref181964085"/>
      <w:bookmarkStart w:id="99" w:name="_Toc183695847"/>
      <w:r w:rsidRPr="00390D6E">
        <w:lastRenderedPageBreak/>
        <w:t>Appendix 2 – Bycatch data (2023) in the AIMWTMF</w:t>
      </w:r>
      <w:bookmarkEnd w:id="97"/>
      <w:bookmarkEnd w:id="98"/>
      <w:bookmarkEnd w:id="99"/>
      <w:r w:rsidRPr="00390D6E">
        <w:t xml:space="preserve"> </w:t>
      </w:r>
    </w:p>
    <w:p w14:paraId="21D9D0C0" w14:textId="0C23890A" w:rsidR="008E2185" w:rsidRPr="00FC2935" w:rsidRDefault="008E2185" w:rsidP="008E2185">
      <w:pPr>
        <w:pStyle w:val="Caption"/>
        <w:rPr>
          <w:b/>
          <w:bCs/>
          <w:highlight w:val="cyan"/>
          <w:lang w:val="en-US"/>
        </w:rPr>
      </w:pPr>
      <w:r>
        <w:t xml:space="preserve">Table </w:t>
      </w:r>
      <w:r>
        <w:fldChar w:fldCharType="begin"/>
      </w:r>
      <w:r>
        <w:instrText xml:space="preserve"> SEQ Table \* ARABIC </w:instrText>
      </w:r>
      <w:r>
        <w:fldChar w:fldCharType="separate"/>
      </w:r>
      <w:r w:rsidR="00AB15B7">
        <w:rPr>
          <w:noProof/>
        </w:rPr>
        <w:t>2</w:t>
      </w:r>
      <w:r>
        <w:fldChar w:fldCharType="end"/>
      </w:r>
      <w:r>
        <w:t xml:space="preserve">: </w:t>
      </w:r>
      <w:r w:rsidRPr="009925FA">
        <w:t>Estimated total catc</w:t>
      </w:r>
      <w:r w:rsidR="00A96058">
        <w:t xml:space="preserve">h, including </w:t>
      </w:r>
      <w:r w:rsidRPr="009925FA">
        <w:t>bycatch</w:t>
      </w:r>
      <w:r w:rsidR="00A96058">
        <w:t>,</w:t>
      </w:r>
      <w:r w:rsidRPr="009925FA">
        <w:t xml:space="preserve"> weights in the AIMWTMF in 2023 (*total survey catch from all shots, including both port and starboard nets)</w:t>
      </w:r>
    </w:p>
    <w:tbl>
      <w:tblPr>
        <w:tblpPr w:leftFromText="180" w:rightFromText="180" w:vertAnchor="text" w:horzAnchor="margin" w:tblpY="-80"/>
        <w:tblW w:w="9133" w:type="dxa"/>
        <w:tblLook w:val="04A0" w:firstRow="1" w:lastRow="0" w:firstColumn="1" w:lastColumn="0" w:noHBand="0" w:noVBand="1"/>
      </w:tblPr>
      <w:tblGrid>
        <w:gridCol w:w="1562"/>
        <w:gridCol w:w="929"/>
        <w:gridCol w:w="905"/>
        <w:gridCol w:w="1564"/>
        <w:gridCol w:w="1982"/>
        <w:gridCol w:w="2193"/>
      </w:tblGrid>
      <w:tr w:rsidR="008E2185" w:rsidRPr="003A5582" w14:paraId="5830688F" w14:textId="77777777" w:rsidTr="00FC70B6">
        <w:trPr>
          <w:trHeight w:val="300"/>
        </w:trPr>
        <w:tc>
          <w:tcPr>
            <w:tcW w:w="1561" w:type="dxa"/>
            <w:tcBorders>
              <w:top w:val="single" w:sz="4" w:space="0" w:color="auto"/>
              <w:bottom w:val="single" w:sz="4" w:space="0" w:color="auto"/>
            </w:tcBorders>
            <w:shd w:val="clear" w:color="auto" w:fill="FFFFFF" w:themeFill="background2"/>
            <w:noWrap/>
            <w:vAlign w:val="center"/>
            <w:hideMark/>
          </w:tcPr>
          <w:p w14:paraId="3C2A0C13" w14:textId="77777777" w:rsidR="008E2185" w:rsidRPr="00960391" w:rsidRDefault="008E2185" w:rsidP="00FC70B6">
            <w:pPr>
              <w:spacing w:after="0"/>
              <w:rPr>
                <w:rFonts w:eastAsia="Times New Roman" w:cs="Arial"/>
                <w:b/>
                <w:bCs/>
                <w:sz w:val="20"/>
                <w:szCs w:val="20"/>
                <w:lang w:eastAsia="en-AU"/>
              </w:rPr>
            </w:pPr>
            <w:r w:rsidRPr="00960391">
              <w:rPr>
                <w:rFonts w:eastAsia="Times New Roman" w:cs="Arial"/>
                <w:b/>
                <w:bCs/>
                <w:sz w:val="20"/>
                <w:szCs w:val="20"/>
                <w:lang w:eastAsia="en-AU"/>
              </w:rPr>
              <w:t>Catch category</w:t>
            </w:r>
          </w:p>
        </w:tc>
        <w:tc>
          <w:tcPr>
            <w:tcW w:w="929" w:type="dxa"/>
            <w:tcBorders>
              <w:top w:val="single" w:sz="4" w:space="0" w:color="auto"/>
              <w:bottom w:val="single" w:sz="4" w:space="0" w:color="auto"/>
            </w:tcBorders>
            <w:shd w:val="clear" w:color="auto" w:fill="FFFFFF" w:themeFill="background2"/>
            <w:noWrap/>
            <w:vAlign w:val="center"/>
            <w:hideMark/>
          </w:tcPr>
          <w:p w14:paraId="341E02D4" w14:textId="77777777" w:rsidR="008E2185" w:rsidRPr="00960391" w:rsidRDefault="008E2185" w:rsidP="00FC70B6">
            <w:pPr>
              <w:spacing w:after="0"/>
              <w:jc w:val="center"/>
              <w:rPr>
                <w:rFonts w:eastAsia="Times New Roman" w:cs="Arial"/>
                <w:b/>
                <w:bCs/>
                <w:sz w:val="20"/>
                <w:szCs w:val="20"/>
                <w:lang w:eastAsia="en-AU"/>
              </w:rPr>
            </w:pPr>
            <w:r w:rsidRPr="003A5582">
              <w:rPr>
                <w:rFonts w:eastAsia="Times New Roman" w:cs="Arial"/>
                <w:b/>
                <w:bCs/>
                <w:sz w:val="20"/>
                <w:szCs w:val="20"/>
                <w:lang w:eastAsia="en-AU"/>
              </w:rPr>
              <w:t>S</w:t>
            </w:r>
            <w:r w:rsidRPr="00960391">
              <w:rPr>
                <w:rFonts w:eastAsia="Times New Roman" w:cs="Arial"/>
                <w:b/>
                <w:bCs/>
                <w:sz w:val="20"/>
                <w:szCs w:val="20"/>
                <w:lang w:eastAsia="en-AU"/>
              </w:rPr>
              <w:t xml:space="preserve">urvey </w:t>
            </w:r>
            <w:proofErr w:type="gramStart"/>
            <w:r w:rsidRPr="00960391">
              <w:rPr>
                <w:rFonts w:eastAsia="Times New Roman" w:cs="Arial"/>
                <w:b/>
                <w:bCs/>
                <w:sz w:val="20"/>
                <w:szCs w:val="20"/>
                <w:lang w:eastAsia="en-AU"/>
              </w:rPr>
              <w:t>catch</w:t>
            </w:r>
            <w:proofErr w:type="gramEnd"/>
            <w:r w:rsidRPr="00960391">
              <w:rPr>
                <w:rFonts w:eastAsia="Times New Roman" w:cs="Arial"/>
                <w:b/>
                <w:bCs/>
                <w:sz w:val="20"/>
                <w:szCs w:val="20"/>
                <w:lang w:eastAsia="en-AU"/>
              </w:rPr>
              <w:t xml:space="preserve"> (kg)*</w:t>
            </w:r>
          </w:p>
        </w:tc>
        <w:tc>
          <w:tcPr>
            <w:tcW w:w="904" w:type="dxa"/>
            <w:tcBorders>
              <w:top w:val="single" w:sz="4" w:space="0" w:color="auto"/>
              <w:bottom w:val="single" w:sz="4" w:space="0" w:color="auto"/>
            </w:tcBorders>
            <w:shd w:val="clear" w:color="auto" w:fill="FFFFFF" w:themeFill="background2"/>
            <w:vAlign w:val="center"/>
          </w:tcPr>
          <w:p w14:paraId="7E5F5541" w14:textId="77777777" w:rsidR="008E2185" w:rsidRPr="00960391" w:rsidRDefault="008E2185" w:rsidP="00FC70B6">
            <w:pPr>
              <w:spacing w:after="0"/>
              <w:jc w:val="center"/>
              <w:rPr>
                <w:rFonts w:eastAsia="Times New Roman" w:cs="Arial"/>
                <w:b/>
                <w:bCs/>
                <w:sz w:val="20"/>
                <w:szCs w:val="20"/>
                <w:lang w:eastAsia="en-AU"/>
              </w:rPr>
            </w:pPr>
            <w:r>
              <w:rPr>
                <w:rFonts w:eastAsia="Times New Roman" w:cs="Arial"/>
                <w:b/>
                <w:bCs/>
                <w:sz w:val="20"/>
                <w:szCs w:val="20"/>
                <w:lang w:eastAsia="en-AU"/>
              </w:rPr>
              <w:t>Survey effort (hours)</w:t>
            </w:r>
          </w:p>
        </w:tc>
        <w:tc>
          <w:tcPr>
            <w:tcW w:w="1564" w:type="dxa"/>
            <w:tcBorders>
              <w:top w:val="single" w:sz="4" w:space="0" w:color="auto"/>
              <w:bottom w:val="single" w:sz="4" w:space="0" w:color="auto"/>
            </w:tcBorders>
            <w:shd w:val="clear" w:color="auto" w:fill="FFFFFF" w:themeFill="background2"/>
            <w:noWrap/>
            <w:vAlign w:val="center"/>
            <w:hideMark/>
          </w:tcPr>
          <w:p w14:paraId="2A56A171" w14:textId="77777777" w:rsidR="008E2185" w:rsidRPr="00960391" w:rsidRDefault="008E2185" w:rsidP="00FC70B6">
            <w:pPr>
              <w:spacing w:after="0"/>
              <w:jc w:val="center"/>
              <w:rPr>
                <w:rFonts w:eastAsia="Times New Roman" w:cs="Arial"/>
                <w:b/>
                <w:bCs/>
                <w:sz w:val="20"/>
                <w:szCs w:val="20"/>
                <w:lang w:eastAsia="en-AU"/>
              </w:rPr>
            </w:pPr>
            <w:r w:rsidRPr="00960391">
              <w:rPr>
                <w:rFonts w:eastAsia="Times New Roman" w:cs="Arial"/>
                <w:b/>
                <w:bCs/>
                <w:sz w:val="20"/>
                <w:szCs w:val="20"/>
                <w:lang w:eastAsia="en-AU"/>
              </w:rPr>
              <w:t xml:space="preserve">Survey </w:t>
            </w:r>
            <w:proofErr w:type="gramStart"/>
            <w:r w:rsidRPr="00960391">
              <w:rPr>
                <w:rFonts w:eastAsia="Times New Roman" w:cs="Arial"/>
                <w:b/>
                <w:bCs/>
                <w:sz w:val="20"/>
                <w:szCs w:val="20"/>
                <w:lang w:eastAsia="en-AU"/>
              </w:rPr>
              <w:t>catch</w:t>
            </w:r>
            <w:proofErr w:type="gramEnd"/>
            <w:r w:rsidRPr="00960391">
              <w:rPr>
                <w:rFonts w:eastAsia="Times New Roman" w:cs="Arial"/>
                <w:b/>
                <w:bCs/>
                <w:sz w:val="20"/>
                <w:szCs w:val="20"/>
                <w:lang w:eastAsia="en-AU"/>
              </w:rPr>
              <w:t xml:space="preserve"> rate</w:t>
            </w:r>
            <w:r w:rsidRPr="003A5582">
              <w:rPr>
                <w:rFonts w:eastAsia="Times New Roman" w:cs="Arial"/>
                <w:b/>
                <w:bCs/>
                <w:sz w:val="20"/>
                <w:szCs w:val="20"/>
                <w:lang w:eastAsia="en-AU"/>
              </w:rPr>
              <w:t xml:space="preserve"> </w:t>
            </w:r>
            <w:r w:rsidRPr="00960391">
              <w:rPr>
                <w:rFonts w:eastAsia="Times New Roman" w:cs="Arial"/>
                <w:b/>
                <w:bCs/>
                <w:sz w:val="20"/>
                <w:szCs w:val="20"/>
                <w:lang w:eastAsia="en-AU"/>
              </w:rPr>
              <w:t>(kg/trawl hour)</w:t>
            </w:r>
          </w:p>
        </w:tc>
        <w:tc>
          <w:tcPr>
            <w:tcW w:w="1982" w:type="dxa"/>
            <w:tcBorders>
              <w:top w:val="single" w:sz="4" w:space="0" w:color="auto"/>
              <w:bottom w:val="single" w:sz="4" w:space="0" w:color="auto"/>
            </w:tcBorders>
            <w:shd w:val="clear" w:color="auto" w:fill="FFFFFF" w:themeFill="background2"/>
            <w:noWrap/>
            <w:vAlign w:val="center"/>
            <w:hideMark/>
          </w:tcPr>
          <w:p w14:paraId="587C2538" w14:textId="77777777" w:rsidR="008E2185" w:rsidRPr="00960391" w:rsidRDefault="008E2185" w:rsidP="00FC70B6">
            <w:pPr>
              <w:spacing w:after="0"/>
              <w:jc w:val="center"/>
              <w:rPr>
                <w:rFonts w:eastAsia="Times New Roman" w:cs="Arial"/>
                <w:b/>
                <w:bCs/>
                <w:sz w:val="20"/>
                <w:szCs w:val="20"/>
                <w:lang w:eastAsia="en-AU"/>
              </w:rPr>
            </w:pPr>
            <w:r w:rsidRPr="00960391">
              <w:rPr>
                <w:rFonts w:eastAsia="Times New Roman" w:cs="Arial"/>
                <w:b/>
                <w:bCs/>
                <w:sz w:val="20"/>
                <w:szCs w:val="20"/>
                <w:lang w:eastAsia="en-AU"/>
              </w:rPr>
              <w:t xml:space="preserve">Estimated annual </w:t>
            </w:r>
            <w:r>
              <w:t>AIMWTMF</w:t>
            </w:r>
            <w:r w:rsidRPr="00346585">
              <w:rPr>
                <w:rFonts w:eastAsia="Times New Roman" w:cs="Arial"/>
                <w:b/>
                <w:bCs/>
                <w:sz w:val="20"/>
                <w:szCs w:val="20"/>
                <w:lang w:eastAsia="en-AU"/>
              </w:rPr>
              <w:t xml:space="preserve"> </w:t>
            </w:r>
            <w:r w:rsidRPr="00960391">
              <w:rPr>
                <w:rFonts w:eastAsia="Times New Roman" w:cs="Arial"/>
                <w:b/>
                <w:bCs/>
                <w:sz w:val="20"/>
                <w:szCs w:val="20"/>
                <w:lang w:eastAsia="en-AU"/>
              </w:rPr>
              <w:t>catch in 2023 (</w:t>
            </w:r>
            <w:r>
              <w:rPr>
                <w:rFonts w:eastAsia="Times New Roman" w:cs="Arial"/>
                <w:b/>
                <w:bCs/>
                <w:sz w:val="20"/>
                <w:szCs w:val="20"/>
                <w:lang w:eastAsia="en-AU"/>
              </w:rPr>
              <w:t>tonnes</w:t>
            </w:r>
            <w:r w:rsidRPr="00960391">
              <w:rPr>
                <w:rFonts w:eastAsia="Times New Roman" w:cs="Arial"/>
                <w:b/>
                <w:bCs/>
                <w:sz w:val="20"/>
                <w:szCs w:val="20"/>
                <w:lang w:eastAsia="en-AU"/>
              </w:rPr>
              <w:t>)</w:t>
            </w:r>
          </w:p>
        </w:tc>
        <w:tc>
          <w:tcPr>
            <w:tcW w:w="2193" w:type="dxa"/>
            <w:tcBorders>
              <w:top w:val="single" w:sz="4" w:space="0" w:color="auto"/>
              <w:bottom w:val="single" w:sz="4" w:space="0" w:color="auto"/>
            </w:tcBorders>
            <w:shd w:val="clear" w:color="auto" w:fill="FFFFFF" w:themeFill="background2"/>
            <w:noWrap/>
            <w:vAlign w:val="center"/>
            <w:hideMark/>
          </w:tcPr>
          <w:p w14:paraId="2DACC5E3" w14:textId="77777777" w:rsidR="008E2185" w:rsidRPr="00960391" w:rsidRDefault="008E2185" w:rsidP="00FC70B6">
            <w:pPr>
              <w:spacing w:after="0"/>
              <w:rPr>
                <w:rFonts w:eastAsia="Times New Roman" w:cs="Arial"/>
                <w:b/>
                <w:bCs/>
                <w:sz w:val="20"/>
                <w:szCs w:val="20"/>
                <w:lang w:eastAsia="en-AU"/>
              </w:rPr>
            </w:pPr>
            <w:r w:rsidRPr="00960391">
              <w:rPr>
                <w:rFonts w:eastAsia="Times New Roman" w:cs="Arial"/>
                <w:b/>
                <w:bCs/>
                <w:sz w:val="20"/>
                <w:szCs w:val="20"/>
                <w:lang w:eastAsia="en-AU"/>
              </w:rPr>
              <w:t>Status</w:t>
            </w:r>
          </w:p>
        </w:tc>
      </w:tr>
      <w:tr w:rsidR="008E2185" w:rsidRPr="003A5582" w14:paraId="49BF95BA" w14:textId="77777777" w:rsidTr="00FC70B6">
        <w:trPr>
          <w:trHeight w:val="300"/>
        </w:trPr>
        <w:tc>
          <w:tcPr>
            <w:tcW w:w="1561" w:type="dxa"/>
            <w:tcBorders>
              <w:top w:val="single" w:sz="4" w:space="0" w:color="auto"/>
              <w:bottom w:val="dotted" w:sz="4" w:space="0" w:color="auto"/>
            </w:tcBorders>
            <w:shd w:val="clear" w:color="auto" w:fill="auto"/>
            <w:noWrap/>
            <w:vAlign w:val="center"/>
            <w:hideMark/>
          </w:tcPr>
          <w:p w14:paraId="542820A5" w14:textId="77777777" w:rsidR="008E2185" w:rsidRPr="00960391" w:rsidRDefault="008E2185" w:rsidP="00FC70B6">
            <w:pPr>
              <w:spacing w:after="0"/>
              <w:rPr>
                <w:rFonts w:eastAsia="Times New Roman" w:cs="Arial"/>
                <w:i/>
                <w:iCs/>
                <w:sz w:val="20"/>
                <w:szCs w:val="20"/>
                <w:lang w:eastAsia="en-AU"/>
              </w:rPr>
            </w:pPr>
            <w:proofErr w:type="spellStart"/>
            <w:r w:rsidRPr="00960391">
              <w:rPr>
                <w:rFonts w:eastAsia="Times New Roman" w:cs="Arial"/>
                <w:i/>
                <w:iCs/>
                <w:sz w:val="20"/>
                <w:szCs w:val="20"/>
                <w:lang w:eastAsia="en-AU"/>
              </w:rPr>
              <w:t>Ylistrum</w:t>
            </w:r>
            <w:proofErr w:type="spellEnd"/>
            <w:r w:rsidRPr="00960391">
              <w:rPr>
                <w:rFonts w:eastAsia="Times New Roman" w:cs="Arial"/>
                <w:i/>
                <w:iCs/>
                <w:sz w:val="20"/>
                <w:szCs w:val="20"/>
                <w:lang w:eastAsia="en-AU"/>
              </w:rPr>
              <w:t xml:space="preserve"> </w:t>
            </w:r>
            <w:proofErr w:type="spellStart"/>
            <w:r w:rsidRPr="00960391">
              <w:rPr>
                <w:rFonts w:eastAsia="Times New Roman" w:cs="Arial"/>
                <w:i/>
                <w:iCs/>
                <w:sz w:val="20"/>
                <w:szCs w:val="20"/>
                <w:lang w:eastAsia="en-AU"/>
              </w:rPr>
              <w:t>balloti</w:t>
            </w:r>
            <w:proofErr w:type="spellEnd"/>
          </w:p>
        </w:tc>
        <w:tc>
          <w:tcPr>
            <w:tcW w:w="929" w:type="dxa"/>
            <w:tcBorders>
              <w:top w:val="single" w:sz="4" w:space="0" w:color="auto"/>
              <w:bottom w:val="dotted" w:sz="4" w:space="0" w:color="auto"/>
            </w:tcBorders>
            <w:shd w:val="clear" w:color="auto" w:fill="auto"/>
            <w:noWrap/>
            <w:vAlign w:val="center"/>
            <w:hideMark/>
          </w:tcPr>
          <w:p w14:paraId="22794CF5" w14:textId="77777777" w:rsidR="008E2185" w:rsidRPr="00960391" w:rsidRDefault="008E2185" w:rsidP="00FC70B6">
            <w:pPr>
              <w:spacing w:after="0"/>
              <w:jc w:val="center"/>
              <w:rPr>
                <w:rFonts w:eastAsia="Times New Roman" w:cs="Arial"/>
                <w:sz w:val="20"/>
                <w:szCs w:val="20"/>
                <w:lang w:eastAsia="en-AU"/>
              </w:rPr>
            </w:pPr>
            <w:r w:rsidRPr="008A389A">
              <w:rPr>
                <w:rFonts w:cs="Arial"/>
                <w:sz w:val="20"/>
                <w:szCs w:val="20"/>
              </w:rPr>
              <w:t>2</w:t>
            </w:r>
            <w:r>
              <w:rPr>
                <w:rFonts w:cs="Arial"/>
                <w:sz w:val="20"/>
                <w:szCs w:val="20"/>
              </w:rPr>
              <w:t>,</w:t>
            </w:r>
            <w:r w:rsidRPr="008A389A">
              <w:rPr>
                <w:rFonts w:cs="Arial"/>
                <w:sz w:val="20"/>
                <w:szCs w:val="20"/>
              </w:rPr>
              <w:t>709</w:t>
            </w:r>
          </w:p>
        </w:tc>
        <w:tc>
          <w:tcPr>
            <w:tcW w:w="904" w:type="dxa"/>
            <w:tcBorders>
              <w:top w:val="single" w:sz="4" w:space="0" w:color="auto"/>
              <w:bottom w:val="dotted" w:sz="4" w:space="0" w:color="auto"/>
            </w:tcBorders>
            <w:vAlign w:val="center"/>
          </w:tcPr>
          <w:p w14:paraId="228A25E0" w14:textId="77777777" w:rsidR="008E2185" w:rsidRPr="003A5582" w:rsidRDefault="008E2185" w:rsidP="00FC70B6">
            <w:pPr>
              <w:spacing w:after="0"/>
              <w:jc w:val="center"/>
              <w:rPr>
                <w:rFonts w:cs="Arial"/>
                <w:sz w:val="20"/>
                <w:szCs w:val="20"/>
              </w:rPr>
            </w:pPr>
            <w:r>
              <w:rPr>
                <w:rFonts w:cs="Arial"/>
                <w:sz w:val="20"/>
                <w:szCs w:val="20"/>
              </w:rPr>
              <w:t>5.33</w:t>
            </w:r>
          </w:p>
        </w:tc>
        <w:tc>
          <w:tcPr>
            <w:tcW w:w="1564" w:type="dxa"/>
            <w:tcBorders>
              <w:top w:val="single" w:sz="4" w:space="0" w:color="auto"/>
              <w:bottom w:val="dotted" w:sz="4" w:space="0" w:color="auto"/>
            </w:tcBorders>
            <w:shd w:val="clear" w:color="auto" w:fill="auto"/>
            <w:noWrap/>
            <w:vAlign w:val="center"/>
            <w:hideMark/>
          </w:tcPr>
          <w:p w14:paraId="28DBD82B" w14:textId="77777777" w:rsidR="008E2185" w:rsidRPr="00960391" w:rsidRDefault="008E2185" w:rsidP="00FC70B6">
            <w:pPr>
              <w:spacing w:after="0"/>
              <w:jc w:val="center"/>
              <w:rPr>
                <w:rFonts w:eastAsia="Times New Roman" w:cs="Arial"/>
                <w:sz w:val="20"/>
                <w:szCs w:val="20"/>
                <w:lang w:eastAsia="en-AU"/>
              </w:rPr>
            </w:pPr>
            <w:r w:rsidRPr="003A5582">
              <w:rPr>
                <w:rFonts w:cs="Arial"/>
                <w:sz w:val="20"/>
                <w:szCs w:val="20"/>
              </w:rPr>
              <w:t>508.0</w:t>
            </w:r>
          </w:p>
        </w:tc>
        <w:tc>
          <w:tcPr>
            <w:tcW w:w="1982" w:type="dxa"/>
            <w:tcBorders>
              <w:top w:val="single" w:sz="4" w:space="0" w:color="auto"/>
              <w:bottom w:val="dotted" w:sz="4" w:space="0" w:color="auto"/>
            </w:tcBorders>
            <w:shd w:val="clear" w:color="auto" w:fill="auto"/>
            <w:noWrap/>
            <w:vAlign w:val="center"/>
            <w:hideMark/>
          </w:tcPr>
          <w:p w14:paraId="1500C2A4" w14:textId="77777777" w:rsidR="008E2185" w:rsidRPr="00960391" w:rsidRDefault="008E2185" w:rsidP="00FC70B6">
            <w:pPr>
              <w:spacing w:after="0"/>
              <w:jc w:val="center"/>
              <w:rPr>
                <w:rFonts w:eastAsia="Times New Roman" w:cs="Arial"/>
                <w:sz w:val="20"/>
                <w:szCs w:val="20"/>
                <w:lang w:eastAsia="en-AU"/>
              </w:rPr>
            </w:pPr>
            <w:r>
              <w:rPr>
                <w:rFonts w:eastAsia="Times New Roman" w:cs="Arial"/>
                <w:sz w:val="20"/>
                <w:szCs w:val="20"/>
                <w:lang w:eastAsia="en-AU"/>
              </w:rPr>
              <w:t>1,317</w:t>
            </w:r>
          </w:p>
        </w:tc>
        <w:tc>
          <w:tcPr>
            <w:tcW w:w="2193" w:type="dxa"/>
            <w:tcBorders>
              <w:top w:val="single" w:sz="4" w:space="0" w:color="auto"/>
              <w:bottom w:val="dotted" w:sz="4" w:space="0" w:color="auto"/>
            </w:tcBorders>
            <w:shd w:val="clear" w:color="auto" w:fill="auto"/>
            <w:noWrap/>
            <w:vAlign w:val="center"/>
            <w:hideMark/>
          </w:tcPr>
          <w:p w14:paraId="5937B8F6" w14:textId="77777777" w:rsidR="008E2185" w:rsidRPr="00960391" w:rsidRDefault="008E2185" w:rsidP="00FC70B6">
            <w:pPr>
              <w:spacing w:after="0"/>
              <w:rPr>
                <w:rFonts w:eastAsia="Times New Roman" w:cs="Arial"/>
                <w:sz w:val="20"/>
                <w:szCs w:val="20"/>
                <w:lang w:eastAsia="en-AU"/>
              </w:rPr>
            </w:pPr>
            <w:r>
              <w:rPr>
                <w:rFonts w:eastAsia="Times New Roman" w:cs="Arial"/>
                <w:sz w:val="20"/>
                <w:szCs w:val="20"/>
                <w:lang w:eastAsia="en-AU"/>
              </w:rPr>
              <w:t>R</w:t>
            </w:r>
            <w:r w:rsidRPr="00960391">
              <w:rPr>
                <w:rFonts w:eastAsia="Times New Roman" w:cs="Arial"/>
                <w:sz w:val="20"/>
                <w:szCs w:val="20"/>
                <w:lang w:eastAsia="en-AU"/>
              </w:rPr>
              <w:t>etained</w:t>
            </w:r>
            <w:r>
              <w:rPr>
                <w:rFonts w:eastAsia="Times New Roman" w:cs="Arial"/>
                <w:sz w:val="20"/>
                <w:szCs w:val="20"/>
                <w:lang w:eastAsia="en-AU"/>
              </w:rPr>
              <w:t xml:space="preserve"> </w:t>
            </w:r>
          </w:p>
        </w:tc>
      </w:tr>
      <w:tr w:rsidR="008E2185" w:rsidRPr="003A5582" w14:paraId="1DAC0C11" w14:textId="77777777" w:rsidTr="00FC70B6">
        <w:trPr>
          <w:trHeight w:val="300"/>
        </w:trPr>
        <w:tc>
          <w:tcPr>
            <w:tcW w:w="1561" w:type="dxa"/>
            <w:tcBorders>
              <w:top w:val="dotted" w:sz="4" w:space="0" w:color="auto"/>
              <w:bottom w:val="dotted" w:sz="4" w:space="0" w:color="auto"/>
            </w:tcBorders>
            <w:shd w:val="clear" w:color="auto" w:fill="auto"/>
            <w:noWrap/>
            <w:vAlign w:val="center"/>
            <w:hideMark/>
          </w:tcPr>
          <w:p w14:paraId="55DFCAAC" w14:textId="77777777" w:rsidR="008E2185" w:rsidRPr="00960391" w:rsidRDefault="008E2185" w:rsidP="00FC70B6">
            <w:pPr>
              <w:spacing w:after="0"/>
              <w:rPr>
                <w:rFonts w:eastAsia="Times New Roman" w:cs="Arial"/>
                <w:sz w:val="20"/>
                <w:szCs w:val="20"/>
                <w:lang w:eastAsia="en-AU"/>
              </w:rPr>
            </w:pPr>
            <w:r w:rsidRPr="00960391">
              <w:rPr>
                <w:rFonts w:eastAsia="Times New Roman" w:cs="Arial"/>
                <w:sz w:val="20"/>
                <w:szCs w:val="20"/>
                <w:lang w:eastAsia="en-AU"/>
              </w:rPr>
              <w:t>Other Mollusca</w:t>
            </w:r>
          </w:p>
        </w:tc>
        <w:tc>
          <w:tcPr>
            <w:tcW w:w="929" w:type="dxa"/>
            <w:tcBorders>
              <w:top w:val="dotted" w:sz="4" w:space="0" w:color="auto"/>
              <w:bottom w:val="dotted" w:sz="4" w:space="0" w:color="auto"/>
            </w:tcBorders>
            <w:shd w:val="clear" w:color="auto" w:fill="auto"/>
            <w:noWrap/>
            <w:vAlign w:val="center"/>
            <w:hideMark/>
          </w:tcPr>
          <w:p w14:paraId="056F1AFB" w14:textId="77777777" w:rsidR="008E2185" w:rsidRPr="00960391" w:rsidRDefault="008E2185" w:rsidP="00FC70B6">
            <w:pPr>
              <w:spacing w:after="0"/>
              <w:jc w:val="center"/>
              <w:rPr>
                <w:rFonts w:eastAsia="Times New Roman" w:cs="Arial"/>
                <w:sz w:val="20"/>
                <w:szCs w:val="20"/>
                <w:lang w:eastAsia="en-AU"/>
              </w:rPr>
            </w:pPr>
            <w:r w:rsidRPr="008A389A">
              <w:rPr>
                <w:rFonts w:cs="Arial"/>
                <w:sz w:val="20"/>
                <w:szCs w:val="20"/>
              </w:rPr>
              <w:t>15</w:t>
            </w:r>
          </w:p>
        </w:tc>
        <w:tc>
          <w:tcPr>
            <w:tcW w:w="904" w:type="dxa"/>
            <w:tcBorders>
              <w:top w:val="dotted" w:sz="4" w:space="0" w:color="auto"/>
              <w:bottom w:val="dotted" w:sz="4" w:space="0" w:color="auto"/>
            </w:tcBorders>
            <w:vAlign w:val="center"/>
          </w:tcPr>
          <w:p w14:paraId="126AB147" w14:textId="77777777" w:rsidR="008E2185" w:rsidRPr="003A5582" w:rsidRDefault="008E2185" w:rsidP="00FC70B6">
            <w:pPr>
              <w:spacing w:after="0"/>
              <w:jc w:val="center"/>
              <w:rPr>
                <w:rFonts w:cs="Arial"/>
                <w:sz w:val="20"/>
                <w:szCs w:val="20"/>
              </w:rPr>
            </w:pPr>
            <w:r>
              <w:rPr>
                <w:rFonts w:cs="Arial"/>
                <w:sz w:val="20"/>
                <w:szCs w:val="20"/>
              </w:rPr>
              <w:t>5.33</w:t>
            </w:r>
          </w:p>
        </w:tc>
        <w:tc>
          <w:tcPr>
            <w:tcW w:w="1564" w:type="dxa"/>
            <w:tcBorders>
              <w:top w:val="dotted" w:sz="4" w:space="0" w:color="auto"/>
              <w:bottom w:val="dotted" w:sz="4" w:space="0" w:color="auto"/>
            </w:tcBorders>
            <w:shd w:val="clear" w:color="auto" w:fill="auto"/>
            <w:noWrap/>
            <w:vAlign w:val="center"/>
            <w:hideMark/>
          </w:tcPr>
          <w:p w14:paraId="221FBD12" w14:textId="77777777" w:rsidR="008E2185" w:rsidRPr="00960391" w:rsidRDefault="008E2185" w:rsidP="00FC70B6">
            <w:pPr>
              <w:spacing w:after="0"/>
              <w:jc w:val="center"/>
              <w:rPr>
                <w:rFonts w:eastAsia="Times New Roman" w:cs="Arial"/>
                <w:sz w:val="20"/>
                <w:szCs w:val="20"/>
                <w:lang w:eastAsia="en-AU"/>
              </w:rPr>
            </w:pPr>
            <w:r w:rsidRPr="003A5582">
              <w:rPr>
                <w:rFonts w:cs="Arial"/>
                <w:sz w:val="20"/>
                <w:szCs w:val="20"/>
              </w:rPr>
              <w:t>2.8</w:t>
            </w:r>
          </w:p>
        </w:tc>
        <w:tc>
          <w:tcPr>
            <w:tcW w:w="1982" w:type="dxa"/>
            <w:tcBorders>
              <w:top w:val="dotted" w:sz="4" w:space="0" w:color="auto"/>
              <w:bottom w:val="dotted" w:sz="4" w:space="0" w:color="auto"/>
            </w:tcBorders>
            <w:shd w:val="clear" w:color="auto" w:fill="auto"/>
            <w:noWrap/>
            <w:vAlign w:val="center"/>
            <w:hideMark/>
          </w:tcPr>
          <w:p w14:paraId="36A531EF" w14:textId="77777777" w:rsidR="008E2185" w:rsidRPr="00960391" w:rsidRDefault="008E2185" w:rsidP="00FC70B6">
            <w:pPr>
              <w:spacing w:after="0"/>
              <w:jc w:val="center"/>
              <w:rPr>
                <w:rFonts w:eastAsia="Times New Roman" w:cs="Arial"/>
                <w:sz w:val="20"/>
                <w:szCs w:val="20"/>
                <w:lang w:eastAsia="en-AU"/>
              </w:rPr>
            </w:pPr>
            <w:r>
              <w:rPr>
                <w:rFonts w:cs="Arial"/>
                <w:sz w:val="20"/>
                <w:szCs w:val="20"/>
              </w:rPr>
              <w:t>7</w:t>
            </w:r>
          </w:p>
        </w:tc>
        <w:tc>
          <w:tcPr>
            <w:tcW w:w="2193" w:type="dxa"/>
            <w:tcBorders>
              <w:top w:val="dotted" w:sz="4" w:space="0" w:color="auto"/>
              <w:bottom w:val="dotted" w:sz="4" w:space="0" w:color="auto"/>
            </w:tcBorders>
            <w:shd w:val="clear" w:color="auto" w:fill="auto"/>
            <w:noWrap/>
            <w:vAlign w:val="center"/>
            <w:hideMark/>
          </w:tcPr>
          <w:p w14:paraId="7A7961DB" w14:textId="77777777" w:rsidR="008E2185" w:rsidRPr="00960391" w:rsidRDefault="008E2185" w:rsidP="00FC70B6">
            <w:pPr>
              <w:spacing w:after="0"/>
              <w:rPr>
                <w:rFonts w:eastAsia="Times New Roman" w:cs="Arial"/>
                <w:sz w:val="20"/>
                <w:szCs w:val="20"/>
                <w:lang w:eastAsia="en-AU"/>
              </w:rPr>
            </w:pPr>
            <w:r w:rsidRPr="00960391">
              <w:rPr>
                <w:rFonts w:eastAsia="Times New Roman" w:cs="Arial"/>
                <w:sz w:val="20"/>
                <w:szCs w:val="20"/>
                <w:lang w:eastAsia="en-AU"/>
              </w:rPr>
              <w:t>Discarded</w:t>
            </w:r>
          </w:p>
        </w:tc>
      </w:tr>
      <w:tr w:rsidR="008E2185" w:rsidRPr="003A5582" w14:paraId="7B89FE56" w14:textId="77777777" w:rsidTr="00FC70B6">
        <w:trPr>
          <w:trHeight w:val="300"/>
        </w:trPr>
        <w:tc>
          <w:tcPr>
            <w:tcW w:w="1561" w:type="dxa"/>
            <w:tcBorders>
              <w:top w:val="dotted" w:sz="4" w:space="0" w:color="auto"/>
              <w:bottom w:val="dotted" w:sz="4" w:space="0" w:color="auto"/>
            </w:tcBorders>
            <w:shd w:val="clear" w:color="auto" w:fill="auto"/>
            <w:noWrap/>
            <w:vAlign w:val="center"/>
            <w:hideMark/>
          </w:tcPr>
          <w:p w14:paraId="6C57A53D" w14:textId="77777777" w:rsidR="008E2185" w:rsidRPr="00960391" w:rsidRDefault="008E2185" w:rsidP="00FC70B6">
            <w:pPr>
              <w:spacing w:after="0"/>
              <w:rPr>
                <w:rFonts w:eastAsia="Times New Roman" w:cs="Arial"/>
                <w:sz w:val="20"/>
                <w:szCs w:val="20"/>
                <w:lang w:eastAsia="en-AU"/>
              </w:rPr>
            </w:pPr>
            <w:proofErr w:type="spellStart"/>
            <w:r w:rsidRPr="00960391">
              <w:rPr>
                <w:rFonts w:eastAsia="Times New Roman" w:cs="Arial"/>
                <w:sz w:val="20"/>
                <w:szCs w:val="20"/>
                <w:lang w:eastAsia="en-AU"/>
              </w:rPr>
              <w:t>Porifora</w:t>
            </w:r>
            <w:proofErr w:type="spellEnd"/>
          </w:p>
        </w:tc>
        <w:tc>
          <w:tcPr>
            <w:tcW w:w="929" w:type="dxa"/>
            <w:tcBorders>
              <w:top w:val="dotted" w:sz="4" w:space="0" w:color="auto"/>
              <w:bottom w:val="dotted" w:sz="4" w:space="0" w:color="auto"/>
            </w:tcBorders>
            <w:shd w:val="clear" w:color="auto" w:fill="auto"/>
            <w:noWrap/>
            <w:vAlign w:val="center"/>
            <w:hideMark/>
          </w:tcPr>
          <w:p w14:paraId="796B16C8" w14:textId="77777777" w:rsidR="008E2185" w:rsidRPr="00960391" w:rsidRDefault="008E2185" w:rsidP="00FC70B6">
            <w:pPr>
              <w:spacing w:after="0"/>
              <w:jc w:val="center"/>
              <w:rPr>
                <w:rFonts w:eastAsia="Times New Roman" w:cs="Arial"/>
                <w:sz w:val="20"/>
                <w:szCs w:val="20"/>
                <w:lang w:eastAsia="en-AU"/>
              </w:rPr>
            </w:pPr>
            <w:r w:rsidRPr="008A389A">
              <w:rPr>
                <w:rFonts w:cs="Arial"/>
                <w:sz w:val="20"/>
                <w:szCs w:val="20"/>
              </w:rPr>
              <w:t>45</w:t>
            </w:r>
          </w:p>
        </w:tc>
        <w:tc>
          <w:tcPr>
            <w:tcW w:w="904" w:type="dxa"/>
            <w:tcBorders>
              <w:top w:val="dotted" w:sz="4" w:space="0" w:color="auto"/>
              <w:bottom w:val="dotted" w:sz="4" w:space="0" w:color="auto"/>
            </w:tcBorders>
            <w:vAlign w:val="center"/>
          </w:tcPr>
          <w:p w14:paraId="1C560027" w14:textId="77777777" w:rsidR="008E2185" w:rsidRPr="003A5582" w:rsidRDefault="008E2185" w:rsidP="00FC70B6">
            <w:pPr>
              <w:spacing w:after="0"/>
              <w:jc w:val="center"/>
              <w:rPr>
                <w:rFonts w:cs="Arial"/>
                <w:sz w:val="20"/>
                <w:szCs w:val="20"/>
              </w:rPr>
            </w:pPr>
            <w:r>
              <w:rPr>
                <w:rFonts w:cs="Arial"/>
                <w:sz w:val="20"/>
                <w:szCs w:val="20"/>
              </w:rPr>
              <w:t>5.33</w:t>
            </w:r>
          </w:p>
        </w:tc>
        <w:tc>
          <w:tcPr>
            <w:tcW w:w="1564" w:type="dxa"/>
            <w:tcBorders>
              <w:top w:val="dotted" w:sz="4" w:space="0" w:color="auto"/>
              <w:bottom w:val="dotted" w:sz="4" w:space="0" w:color="auto"/>
            </w:tcBorders>
            <w:shd w:val="clear" w:color="auto" w:fill="auto"/>
            <w:noWrap/>
            <w:vAlign w:val="center"/>
            <w:hideMark/>
          </w:tcPr>
          <w:p w14:paraId="2A5097A2" w14:textId="77777777" w:rsidR="008E2185" w:rsidRPr="00960391" w:rsidRDefault="008E2185" w:rsidP="00FC70B6">
            <w:pPr>
              <w:spacing w:after="0"/>
              <w:jc w:val="center"/>
              <w:rPr>
                <w:rFonts w:eastAsia="Times New Roman" w:cs="Arial"/>
                <w:sz w:val="20"/>
                <w:szCs w:val="20"/>
                <w:lang w:eastAsia="en-AU"/>
              </w:rPr>
            </w:pPr>
            <w:r w:rsidRPr="003A5582">
              <w:rPr>
                <w:rFonts w:cs="Arial"/>
                <w:sz w:val="20"/>
                <w:szCs w:val="20"/>
              </w:rPr>
              <w:t>8.5</w:t>
            </w:r>
          </w:p>
        </w:tc>
        <w:tc>
          <w:tcPr>
            <w:tcW w:w="1982" w:type="dxa"/>
            <w:tcBorders>
              <w:top w:val="dotted" w:sz="4" w:space="0" w:color="auto"/>
              <w:bottom w:val="dotted" w:sz="4" w:space="0" w:color="auto"/>
            </w:tcBorders>
            <w:shd w:val="clear" w:color="auto" w:fill="auto"/>
            <w:noWrap/>
            <w:vAlign w:val="center"/>
            <w:hideMark/>
          </w:tcPr>
          <w:p w14:paraId="70D5F5EB" w14:textId="77777777" w:rsidR="008E2185" w:rsidRPr="00960391" w:rsidRDefault="008E2185" w:rsidP="00FC70B6">
            <w:pPr>
              <w:spacing w:after="0"/>
              <w:jc w:val="center"/>
              <w:rPr>
                <w:rFonts w:eastAsia="Times New Roman" w:cs="Arial"/>
                <w:sz w:val="20"/>
                <w:szCs w:val="20"/>
                <w:lang w:eastAsia="en-AU"/>
              </w:rPr>
            </w:pPr>
            <w:r>
              <w:rPr>
                <w:rFonts w:cs="Arial"/>
                <w:sz w:val="20"/>
                <w:szCs w:val="20"/>
              </w:rPr>
              <w:t>22</w:t>
            </w:r>
          </w:p>
        </w:tc>
        <w:tc>
          <w:tcPr>
            <w:tcW w:w="2193" w:type="dxa"/>
            <w:tcBorders>
              <w:top w:val="dotted" w:sz="4" w:space="0" w:color="auto"/>
              <w:bottom w:val="dotted" w:sz="4" w:space="0" w:color="auto"/>
            </w:tcBorders>
            <w:shd w:val="clear" w:color="auto" w:fill="auto"/>
            <w:noWrap/>
            <w:vAlign w:val="center"/>
            <w:hideMark/>
          </w:tcPr>
          <w:p w14:paraId="5B4830EE" w14:textId="77777777" w:rsidR="008E2185" w:rsidRPr="00960391" w:rsidRDefault="008E2185" w:rsidP="00FC70B6">
            <w:pPr>
              <w:spacing w:after="0"/>
              <w:rPr>
                <w:rFonts w:eastAsia="Times New Roman" w:cs="Arial"/>
                <w:sz w:val="20"/>
                <w:szCs w:val="20"/>
                <w:lang w:eastAsia="en-AU"/>
              </w:rPr>
            </w:pPr>
            <w:r w:rsidRPr="00960391">
              <w:rPr>
                <w:rFonts w:eastAsia="Times New Roman" w:cs="Arial"/>
                <w:sz w:val="20"/>
                <w:szCs w:val="20"/>
                <w:lang w:eastAsia="en-AU"/>
              </w:rPr>
              <w:t>Discarded</w:t>
            </w:r>
          </w:p>
        </w:tc>
      </w:tr>
      <w:tr w:rsidR="008E2185" w:rsidRPr="003A5582" w14:paraId="5AFA55C9" w14:textId="77777777" w:rsidTr="00FC70B6">
        <w:trPr>
          <w:trHeight w:val="300"/>
        </w:trPr>
        <w:tc>
          <w:tcPr>
            <w:tcW w:w="1561" w:type="dxa"/>
            <w:tcBorders>
              <w:top w:val="dotted" w:sz="4" w:space="0" w:color="auto"/>
              <w:bottom w:val="dotted" w:sz="4" w:space="0" w:color="auto"/>
            </w:tcBorders>
            <w:shd w:val="clear" w:color="auto" w:fill="auto"/>
            <w:noWrap/>
            <w:vAlign w:val="center"/>
            <w:hideMark/>
          </w:tcPr>
          <w:p w14:paraId="77EF2E50" w14:textId="77777777" w:rsidR="008E2185" w:rsidRPr="00960391" w:rsidRDefault="008E2185" w:rsidP="00FC70B6">
            <w:pPr>
              <w:spacing w:after="0"/>
              <w:rPr>
                <w:rFonts w:eastAsia="Times New Roman" w:cs="Arial"/>
                <w:sz w:val="20"/>
                <w:szCs w:val="20"/>
                <w:lang w:eastAsia="en-AU"/>
              </w:rPr>
            </w:pPr>
            <w:r w:rsidRPr="00960391">
              <w:rPr>
                <w:rFonts w:eastAsia="Times New Roman" w:cs="Arial"/>
                <w:sz w:val="20"/>
                <w:szCs w:val="20"/>
                <w:lang w:eastAsia="en-AU"/>
              </w:rPr>
              <w:t>Echinodermata</w:t>
            </w:r>
          </w:p>
        </w:tc>
        <w:tc>
          <w:tcPr>
            <w:tcW w:w="929" w:type="dxa"/>
            <w:tcBorders>
              <w:top w:val="dotted" w:sz="4" w:space="0" w:color="auto"/>
              <w:bottom w:val="dotted" w:sz="4" w:space="0" w:color="auto"/>
            </w:tcBorders>
            <w:shd w:val="clear" w:color="auto" w:fill="auto"/>
            <w:noWrap/>
            <w:vAlign w:val="center"/>
            <w:hideMark/>
          </w:tcPr>
          <w:p w14:paraId="2DD0A3AE" w14:textId="77777777" w:rsidR="008E2185" w:rsidRPr="00960391" w:rsidRDefault="008E2185" w:rsidP="00FC70B6">
            <w:pPr>
              <w:spacing w:after="0"/>
              <w:jc w:val="center"/>
              <w:rPr>
                <w:rFonts w:eastAsia="Times New Roman" w:cs="Arial"/>
                <w:sz w:val="20"/>
                <w:szCs w:val="20"/>
                <w:lang w:eastAsia="en-AU"/>
              </w:rPr>
            </w:pPr>
            <w:r w:rsidRPr="008A389A">
              <w:rPr>
                <w:rFonts w:cs="Arial"/>
                <w:sz w:val="20"/>
                <w:szCs w:val="20"/>
              </w:rPr>
              <w:t>69</w:t>
            </w:r>
          </w:p>
        </w:tc>
        <w:tc>
          <w:tcPr>
            <w:tcW w:w="904" w:type="dxa"/>
            <w:tcBorders>
              <w:top w:val="dotted" w:sz="4" w:space="0" w:color="auto"/>
              <w:bottom w:val="dotted" w:sz="4" w:space="0" w:color="auto"/>
            </w:tcBorders>
            <w:vAlign w:val="center"/>
          </w:tcPr>
          <w:p w14:paraId="3824245A" w14:textId="77777777" w:rsidR="008E2185" w:rsidRPr="003A5582" w:rsidRDefault="008E2185" w:rsidP="00FC70B6">
            <w:pPr>
              <w:spacing w:after="0"/>
              <w:jc w:val="center"/>
              <w:rPr>
                <w:rFonts w:cs="Arial"/>
                <w:sz w:val="20"/>
                <w:szCs w:val="20"/>
              </w:rPr>
            </w:pPr>
            <w:r>
              <w:rPr>
                <w:rFonts w:cs="Arial"/>
                <w:sz w:val="20"/>
                <w:szCs w:val="20"/>
              </w:rPr>
              <w:t>5.33</w:t>
            </w:r>
          </w:p>
        </w:tc>
        <w:tc>
          <w:tcPr>
            <w:tcW w:w="1564" w:type="dxa"/>
            <w:tcBorders>
              <w:top w:val="dotted" w:sz="4" w:space="0" w:color="auto"/>
              <w:bottom w:val="dotted" w:sz="4" w:space="0" w:color="auto"/>
            </w:tcBorders>
            <w:shd w:val="clear" w:color="auto" w:fill="auto"/>
            <w:noWrap/>
            <w:vAlign w:val="center"/>
            <w:hideMark/>
          </w:tcPr>
          <w:p w14:paraId="5D9357E0" w14:textId="77777777" w:rsidR="008E2185" w:rsidRPr="00960391" w:rsidRDefault="008E2185" w:rsidP="00FC70B6">
            <w:pPr>
              <w:spacing w:after="0"/>
              <w:jc w:val="center"/>
              <w:rPr>
                <w:rFonts w:eastAsia="Times New Roman" w:cs="Arial"/>
                <w:sz w:val="20"/>
                <w:szCs w:val="20"/>
                <w:lang w:eastAsia="en-AU"/>
              </w:rPr>
            </w:pPr>
            <w:r w:rsidRPr="003A5582">
              <w:rPr>
                <w:rFonts w:cs="Arial"/>
                <w:sz w:val="20"/>
                <w:szCs w:val="20"/>
              </w:rPr>
              <w:t>13.0</w:t>
            </w:r>
          </w:p>
        </w:tc>
        <w:tc>
          <w:tcPr>
            <w:tcW w:w="1982" w:type="dxa"/>
            <w:tcBorders>
              <w:top w:val="dotted" w:sz="4" w:space="0" w:color="auto"/>
              <w:bottom w:val="dotted" w:sz="4" w:space="0" w:color="auto"/>
            </w:tcBorders>
            <w:shd w:val="clear" w:color="auto" w:fill="auto"/>
            <w:noWrap/>
            <w:vAlign w:val="center"/>
            <w:hideMark/>
          </w:tcPr>
          <w:p w14:paraId="789F1BA4" w14:textId="77777777" w:rsidR="008E2185" w:rsidRPr="00960391" w:rsidRDefault="008E2185" w:rsidP="00FC70B6">
            <w:pPr>
              <w:spacing w:after="0"/>
              <w:jc w:val="center"/>
              <w:rPr>
                <w:rFonts w:eastAsia="Times New Roman" w:cs="Arial"/>
                <w:sz w:val="20"/>
                <w:szCs w:val="20"/>
                <w:lang w:eastAsia="en-AU"/>
              </w:rPr>
            </w:pPr>
            <w:r>
              <w:rPr>
                <w:rFonts w:cs="Arial"/>
                <w:sz w:val="20"/>
                <w:szCs w:val="20"/>
              </w:rPr>
              <w:t>34</w:t>
            </w:r>
          </w:p>
        </w:tc>
        <w:tc>
          <w:tcPr>
            <w:tcW w:w="2193" w:type="dxa"/>
            <w:tcBorders>
              <w:top w:val="dotted" w:sz="4" w:space="0" w:color="auto"/>
              <w:bottom w:val="dotted" w:sz="4" w:space="0" w:color="auto"/>
            </w:tcBorders>
            <w:shd w:val="clear" w:color="auto" w:fill="auto"/>
            <w:noWrap/>
            <w:vAlign w:val="center"/>
            <w:hideMark/>
          </w:tcPr>
          <w:p w14:paraId="0AF458AB" w14:textId="77777777" w:rsidR="008E2185" w:rsidRPr="00960391" w:rsidRDefault="008E2185" w:rsidP="00FC70B6">
            <w:pPr>
              <w:spacing w:after="0"/>
              <w:rPr>
                <w:rFonts w:eastAsia="Times New Roman" w:cs="Arial"/>
                <w:sz w:val="20"/>
                <w:szCs w:val="20"/>
                <w:lang w:eastAsia="en-AU"/>
              </w:rPr>
            </w:pPr>
            <w:r w:rsidRPr="00960391">
              <w:rPr>
                <w:rFonts w:eastAsia="Times New Roman" w:cs="Arial"/>
                <w:sz w:val="20"/>
                <w:szCs w:val="20"/>
                <w:lang w:eastAsia="en-AU"/>
              </w:rPr>
              <w:t>Discarded</w:t>
            </w:r>
          </w:p>
        </w:tc>
      </w:tr>
      <w:tr w:rsidR="008E2185" w:rsidRPr="003A5582" w14:paraId="3BA07580" w14:textId="77777777" w:rsidTr="00FC70B6">
        <w:trPr>
          <w:trHeight w:val="300"/>
        </w:trPr>
        <w:tc>
          <w:tcPr>
            <w:tcW w:w="1561" w:type="dxa"/>
            <w:tcBorders>
              <w:top w:val="dotted" w:sz="4" w:space="0" w:color="auto"/>
              <w:bottom w:val="dotted" w:sz="4" w:space="0" w:color="auto"/>
            </w:tcBorders>
            <w:shd w:val="clear" w:color="auto" w:fill="auto"/>
            <w:noWrap/>
            <w:vAlign w:val="center"/>
            <w:hideMark/>
          </w:tcPr>
          <w:p w14:paraId="50B9ECAA" w14:textId="77777777" w:rsidR="008E2185" w:rsidRPr="00960391" w:rsidRDefault="008E2185" w:rsidP="00FC70B6">
            <w:pPr>
              <w:spacing w:after="0"/>
              <w:rPr>
                <w:rFonts w:eastAsia="Times New Roman" w:cs="Arial"/>
                <w:sz w:val="20"/>
                <w:szCs w:val="20"/>
                <w:lang w:eastAsia="en-AU"/>
              </w:rPr>
            </w:pPr>
            <w:r w:rsidRPr="00960391">
              <w:rPr>
                <w:rFonts w:eastAsia="Times New Roman" w:cs="Arial"/>
                <w:sz w:val="20"/>
                <w:szCs w:val="20"/>
                <w:lang w:eastAsia="en-AU"/>
              </w:rPr>
              <w:t>Cnidaria</w:t>
            </w:r>
          </w:p>
        </w:tc>
        <w:tc>
          <w:tcPr>
            <w:tcW w:w="929" w:type="dxa"/>
            <w:tcBorders>
              <w:top w:val="dotted" w:sz="4" w:space="0" w:color="auto"/>
              <w:bottom w:val="dotted" w:sz="4" w:space="0" w:color="auto"/>
            </w:tcBorders>
            <w:shd w:val="clear" w:color="auto" w:fill="auto"/>
            <w:noWrap/>
            <w:vAlign w:val="center"/>
            <w:hideMark/>
          </w:tcPr>
          <w:p w14:paraId="07B91E23" w14:textId="77777777" w:rsidR="008E2185" w:rsidRPr="00960391" w:rsidRDefault="008E2185" w:rsidP="00FC70B6">
            <w:pPr>
              <w:spacing w:after="0"/>
              <w:jc w:val="center"/>
              <w:rPr>
                <w:rFonts w:eastAsia="Times New Roman" w:cs="Arial"/>
                <w:sz w:val="20"/>
                <w:szCs w:val="20"/>
                <w:lang w:eastAsia="en-AU"/>
              </w:rPr>
            </w:pPr>
            <w:r w:rsidRPr="008A389A">
              <w:rPr>
                <w:rFonts w:cs="Arial"/>
                <w:sz w:val="20"/>
                <w:szCs w:val="20"/>
              </w:rPr>
              <w:t>3</w:t>
            </w:r>
          </w:p>
        </w:tc>
        <w:tc>
          <w:tcPr>
            <w:tcW w:w="904" w:type="dxa"/>
            <w:tcBorders>
              <w:top w:val="dotted" w:sz="4" w:space="0" w:color="auto"/>
              <w:bottom w:val="dotted" w:sz="4" w:space="0" w:color="auto"/>
            </w:tcBorders>
            <w:vAlign w:val="center"/>
          </w:tcPr>
          <w:p w14:paraId="63C5D92A" w14:textId="77777777" w:rsidR="008E2185" w:rsidRPr="003A5582" w:rsidRDefault="008E2185" w:rsidP="00FC70B6">
            <w:pPr>
              <w:spacing w:after="0"/>
              <w:jc w:val="center"/>
              <w:rPr>
                <w:rFonts w:cs="Arial"/>
                <w:sz w:val="20"/>
                <w:szCs w:val="20"/>
              </w:rPr>
            </w:pPr>
            <w:r>
              <w:rPr>
                <w:rFonts w:cs="Arial"/>
                <w:sz w:val="20"/>
                <w:szCs w:val="20"/>
              </w:rPr>
              <w:t>5.33</w:t>
            </w:r>
          </w:p>
        </w:tc>
        <w:tc>
          <w:tcPr>
            <w:tcW w:w="1564" w:type="dxa"/>
            <w:tcBorders>
              <w:top w:val="dotted" w:sz="4" w:space="0" w:color="auto"/>
              <w:bottom w:val="dotted" w:sz="4" w:space="0" w:color="auto"/>
            </w:tcBorders>
            <w:shd w:val="clear" w:color="auto" w:fill="auto"/>
            <w:noWrap/>
            <w:vAlign w:val="center"/>
            <w:hideMark/>
          </w:tcPr>
          <w:p w14:paraId="3828FFCB" w14:textId="77777777" w:rsidR="008E2185" w:rsidRPr="00960391" w:rsidRDefault="008E2185" w:rsidP="00FC70B6">
            <w:pPr>
              <w:spacing w:after="0"/>
              <w:jc w:val="center"/>
              <w:rPr>
                <w:rFonts w:eastAsia="Times New Roman" w:cs="Arial"/>
                <w:sz w:val="20"/>
                <w:szCs w:val="20"/>
                <w:lang w:eastAsia="en-AU"/>
              </w:rPr>
            </w:pPr>
            <w:r w:rsidRPr="003A5582">
              <w:rPr>
                <w:rFonts w:cs="Arial"/>
                <w:sz w:val="20"/>
                <w:szCs w:val="20"/>
              </w:rPr>
              <w:t>0.6</w:t>
            </w:r>
          </w:p>
        </w:tc>
        <w:tc>
          <w:tcPr>
            <w:tcW w:w="1982" w:type="dxa"/>
            <w:tcBorders>
              <w:top w:val="dotted" w:sz="4" w:space="0" w:color="auto"/>
              <w:bottom w:val="dotted" w:sz="4" w:space="0" w:color="auto"/>
            </w:tcBorders>
            <w:shd w:val="clear" w:color="auto" w:fill="auto"/>
            <w:noWrap/>
            <w:vAlign w:val="center"/>
            <w:hideMark/>
          </w:tcPr>
          <w:p w14:paraId="17E9D8EE" w14:textId="77777777" w:rsidR="008E2185" w:rsidRPr="00960391" w:rsidRDefault="008E2185" w:rsidP="00FC70B6">
            <w:pPr>
              <w:spacing w:after="0"/>
              <w:jc w:val="center"/>
              <w:rPr>
                <w:rFonts w:eastAsia="Times New Roman" w:cs="Arial"/>
                <w:sz w:val="20"/>
                <w:szCs w:val="20"/>
                <w:lang w:eastAsia="en-AU"/>
              </w:rPr>
            </w:pPr>
            <w:r>
              <w:rPr>
                <w:rFonts w:cs="Arial"/>
                <w:sz w:val="20"/>
                <w:szCs w:val="20"/>
              </w:rPr>
              <w:t>1</w:t>
            </w:r>
          </w:p>
        </w:tc>
        <w:tc>
          <w:tcPr>
            <w:tcW w:w="2193" w:type="dxa"/>
            <w:tcBorders>
              <w:top w:val="dotted" w:sz="4" w:space="0" w:color="auto"/>
              <w:bottom w:val="dotted" w:sz="4" w:space="0" w:color="auto"/>
            </w:tcBorders>
            <w:shd w:val="clear" w:color="auto" w:fill="auto"/>
            <w:noWrap/>
            <w:vAlign w:val="center"/>
            <w:hideMark/>
          </w:tcPr>
          <w:p w14:paraId="0133CF33" w14:textId="77777777" w:rsidR="008E2185" w:rsidRPr="00960391" w:rsidRDefault="008E2185" w:rsidP="00FC70B6">
            <w:pPr>
              <w:spacing w:after="0"/>
              <w:rPr>
                <w:rFonts w:eastAsia="Times New Roman" w:cs="Arial"/>
                <w:sz w:val="20"/>
                <w:szCs w:val="20"/>
                <w:lang w:eastAsia="en-AU"/>
              </w:rPr>
            </w:pPr>
            <w:r w:rsidRPr="00960391">
              <w:rPr>
                <w:rFonts w:eastAsia="Times New Roman" w:cs="Arial"/>
                <w:sz w:val="20"/>
                <w:szCs w:val="20"/>
                <w:lang w:eastAsia="en-AU"/>
              </w:rPr>
              <w:t>Discarded</w:t>
            </w:r>
          </w:p>
        </w:tc>
      </w:tr>
      <w:tr w:rsidR="008E2185" w:rsidRPr="003A5582" w14:paraId="110C033F" w14:textId="77777777" w:rsidTr="00FC70B6">
        <w:trPr>
          <w:trHeight w:val="300"/>
        </w:trPr>
        <w:tc>
          <w:tcPr>
            <w:tcW w:w="1561" w:type="dxa"/>
            <w:tcBorders>
              <w:top w:val="dotted" w:sz="4" w:space="0" w:color="auto"/>
              <w:bottom w:val="dotted" w:sz="4" w:space="0" w:color="auto"/>
            </w:tcBorders>
            <w:shd w:val="clear" w:color="auto" w:fill="auto"/>
            <w:noWrap/>
            <w:vAlign w:val="center"/>
            <w:hideMark/>
          </w:tcPr>
          <w:p w14:paraId="15C87C28" w14:textId="77777777" w:rsidR="008E2185" w:rsidRPr="00960391" w:rsidRDefault="008E2185" w:rsidP="00FC70B6">
            <w:pPr>
              <w:spacing w:after="0"/>
              <w:rPr>
                <w:rFonts w:eastAsia="Times New Roman" w:cs="Arial"/>
                <w:sz w:val="20"/>
                <w:szCs w:val="20"/>
                <w:lang w:eastAsia="en-AU"/>
              </w:rPr>
            </w:pPr>
            <w:r w:rsidRPr="00960391">
              <w:rPr>
                <w:rFonts w:eastAsia="Times New Roman" w:cs="Arial"/>
                <w:sz w:val="20"/>
                <w:szCs w:val="20"/>
                <w:lang w:eastAsia="en-AU"/>
              </w:rPr>
              <w:t>Chordata</w:t>
            </w:r>
          </w:p>
        </w:tc>
        <w:tc>
          <w:tcPr>
            <w:tcW w:w="929" w:type="dxa"/>
            <w:tcBorders>
              <w:top w:val="dotted" w:sz="4" w:space="0" w:color="auto"/>
              <w:bottom w:val="dotted" w:sz="4" w:space="0" w:color="auto"/>
            </w:tcBorders>
            <w:shd w:val="clear" w:color="auto" w:fill="auto"/>
            <w:noWrap/>
            <w:vAlign w:val="center"/>
            <w:hideMark/>
          </w:tcPr>
          <w:p w14:paraId="474FC281" w14:textId="77777777" w:rsidR="008E2185" w:rsidRPr="00960391" w:rsidRDefault="008E2185" w:rsidP="00FC70B6">
            <w:pPr>
              <w:spacing w:after="0"/>
              <w:jc w:val="center"/>
              <w:rPr>
                <w:rFonts w:eastAsia="Times New Roman" w:cs="Arial"/>
                <w:sz w:val="20"/>
                <w:szCs w:val="20"/>
                <w:lang w:eastAsia="en-AU"/>
              </w:rPr>
            </w:pPr>
            <w:r w:rsidRPr="008A389A">
              <w:rPr>
                <w:rFonts w:cs="Arial"/>
                <w:sz w:val="20"/>
                <w:szCs w:val="20"/>
              </w:rPr>
              <w:t>30</w:t>
            </w:r>
          </w:p>
        </w:tc>
        <w:tc>
          <w:tcPr>
            <w:tcW w:w="904" w:type="dxa"/>
            <w:tcBorders>
              <w:top w:val="dotted" w:sz="4" w:space="0" w:color="auto"/>
              <w:bottom w:val="dotted" w:sz="4" w:space="0" w:color="auto"/>
            </w:tcBorders>
            <w:vAlign w:val="center"/>
          </w:tcPr>
          <w:p w14:paraId="59E59CA3" w14:textId="77777777" w:rsidR="008E2185" w:rsidRPr="003A5582" w:rsidRDefault="008E2185" w:rsidP="00FC70B6">
            <w:pPr>
              <w:spacing w:after="0"/>
              <w:jc w:val="center"/>
              <w:rPr>
                <w:rFonts w:cs="Arial"/>
                <w:sz w:val="20"/>
                <w:szCs w:val="20"/>
              </w:rPr>
            </w:pPr>
            <w:r>
              <w:rPr>
                <w:rFonts w:cs="Arial"/>
                <w:sz w:val="20"/>
                <w:szCs w:val="20"/>
              </w:rPr>
              <w:t>5.33</w:t>
            </w:r>
          </w:p>
        </w:tc>
        <w:tc>
          <w:tcPr>
            <w:tcW w:w="1564" w:type="dxa"/>
            <w:tcBorders>
              <w:top w:val="dotted" w:sz="4" w:space="0" w:color="auto"/>
              <w:bottom w:val="dotted" w:sz="4" w:space="0" w:color="auto"/>
            </w:tcBorders>
            <w:shd w:val="clear" w:color="auto" w:fill="auto"/>
            <w:noWrap/>
            <w:vAlign w:val="center"/>
            <w:hideMark/>
          </w:tcPr>
          <w:p w14:paraId="58B707E2" w14:textId="77777777" w:rsidR="008E2185" w:rsidRPr="00960391" w:rsidRDefault="008E2185" w:rsidP="00FC70B6">
            <w:pPr>
              <w:spacing w:after="0"/>
              <w:jc w:val="center"/>
              <w:rPr>
                <w:rFonts w:eastAsia="Times New Roman" w:cs="Arial"/>
                <w:sz w:val="20"/>
                <w:szCs w:val="20"/>
                <w:lang w:eastAsia="en-AU"/>
              </w:rPr>
            </w:pPr>
            <w:r w:rsidRPr="003A5582">
              <w:rPr>
                <w:rFonts w:cs="Arial"/>
                <w:sz w:val="20"/>
                <w:szCs w:val="20"/>
              </w:rPr>
              <w:t>5.6</w:t>
            </w:r>
          </w:p>
        </w:tc>
        <w:tc>
          <w:tcPr>
            <w:tcW w:w="1982" w:type="dxa"/>
            <w:tcBorders>
              <w:top w:val="dotted" w:sz="4" w:space="0" w:color="auto"/>
              <w:bottom w:val="dotted" w:sz="4" w:space="0" w:color="auto"/>
            </w:tcBorders>
            <w:shd w:val="clear" w:color="auto" w:fill="auto"/>
            <w:noWrap/>
            <w:vAlign w:val="center"/>
            <w:hideMark/>
          </w:tcPr>
          <w:p w14:paraId="00B64DCF" w14:textId="77777777" w:rsidR="008E2185" w:rsidRPr="00960391" w:rsidRDefault="008E2185" w:rsidP="00FC70B6">
            <w:pPr>
              <w:spacing w:after="0"/>
              <w:jc w:val="center"/>
              <w:rPr>
                <w:rFonts w:eastAsia="Times New Roman" w:cs="Arial"/>
                <w:sz w:val="20"/>
                <w:szCs w:val="20"/>
                <w:lang w:eastAsia="en-AU"/>
              </w:rPr>
            </w:pPr>
            <w:r>
              <w:rPr>
                <w:rFonts w:cs="Arial"/>
                <w:sz w:val="20"/>
                <w:szCs w:val="20"/>
              </w:rPr>
              <w:t>15</w:t>
            </w:r>
          </w:p>
        </w:tc>
        <w:tc>
          <w:tcPr>
            <w:tcW w:w="2193" w:type="dxa"/>
            <w:tcBorders>
              <w:top w:val="dotted" w:sz="4" w:space="0" w:color="auto"/>
              <w:bottom w:val="dotted" w:sz="4" w:space="0" w:color="auto"/>
            </w:tcBorders>
            <w:shd w:val="clear" w:color="auto" w:fill="auto"/>
            <w:noWrap/>
            <w:vAlign w:val="center"/>
            <w:hideMark/>
          </w:tcPr>
          <w:p w14:paraId="6CD3B678" w14:textId="77777777" w:rsidR="008E2185" w:rsidRPr="00960391" w:rsidRDefault="008E2185" w:rsidP="00FC70B6">
            <w:pPr>
              <w:spacing w:after="0"/>
              <w:rPr>
                <w:rFonts w:eastAsia="Times New Roman" w:cs="Arial"/>
                <w:sz w:val="20"/>
                <w:szCs w:val="20"/>
                <w:lang w:eastAsia="en-AU"/>
              </w:rPr>
            </w:pPr>
            <w:r w:rsidRPr="00960391">
              <w:rPr>
                <w:rFonts w:eastAsia="Times New Roman" w:cs="Arial"/>
                <w:sz w:val="20"/>
                <w:szCs w:val="20"/>
                <w:lang w:eastAsia="en-AU"/>
              </w:rPr>
              <w:t>Discarded</w:t>
            </w:r>
          </w:p>
        </w:tc>
      </w:tr>
      <w:tr w:rsidR="008E2185" w:rsidRPr="003A5582" w14:paraId="56F18512" w14:textId="77777777" w:rsidTr="00FC70B6">
        <w:trPr>
          <w:trHeight w:val="300"/>
        </w:trPr>
        <w:tc>
          <w:tcPr>
            <w:tcW w:w="1561" w:type="dxa"/>
            <w:tcBorders>
              <w:top w:val="dotted" w:sz="4" w:space="0" w:color="auto"/>
              <w:bottom w:val="single" w:sz="4" w:space="0" w:color="auto"/>
            </w:tcBorders>
            <w:shd w:val="clear" w:color="auto" w:fill="auto"/>
            <w:noWrap/>
            <w:vAlign w:val="center"/>
            <w:hideMark/>
          </w:tcPr>
          <w:p w14:paraId="14E54B40" w14:textId="77777777" w:rsidR="008E2185" w:rsidRPr="00960391" w:rsidRDefault="008E2185" w:rsidP="00FC70B6">
            <w:pPr>
              <w:spacing w:after="0"/>
              <w:rPr>
                <w:rFonts w:eastAsia="Times New Roman" w:cs="Arial"/>
                <w:sz w:val="20"/>
                <w:szCs w:val="20"/>
                <w:lang w:eastAsia="en-AU"/>
              </w:rPr>
            </w:pPr>
            <w:r w:rsidRPr="00960391">
              <w:rPr>
                <w:rFonts w:eastAsia="Times New Roman" w:cs="Arial"/>
                <w:sz w:val="20"/>
                <w:szCs w:val="20"/>
                <w:lang w:eastAsia="en-AU"/>
              </w:rPr>
              <w:t>Arthropoda</w:t>
            </w:r>
          </w:p>
        </w:tc>
        <w:tc>
          <w:tcPr>
            <w:tcW w:w="929" w:type="dxa"/>
            <w:tcBorders>
              <w:top w:val="dotted" w:sz="4" w:space="0" w:color="auto"/>
              <w:bottom w:val="single" w:sz="4" w:space="0" w:color="auto"/>
            </w:tcBorders>
            <w:shd w:val="clear" w:color="auto" w:fill="auto"/>
            <w:noWrap/>
            <w:vAlign w:val="center"/>
            <w:hideMark/>
          </w:tcPr>
          <w:p w14:paraId="3B84950A" w14:textId="77777777" w:rsidR="008E2185" w:rsidRPr="00960391" w:rsidRDefault="008E2185" w:rsidP="00FC70B6">
            <w:pPr>
              <w:spacing w:after="0"/>
              <w:jc w:val="center"/>
              <w:rPr>
                <w:rFonts w:eastAsia="Times New Roman" w:cs="Arial"/>
                <w:sz w:val="20"/>
                <w:szCs w:val="20"/>
                <w:lang w:eastAsia="en-AU"/>
              </w:rPr>
            </w:pPr>
            <w:r w:rsidRPr="008A389A">
              <w:rPr>
                <w:rFonts w:cs="Arial"/>
                <w:sz w:val="20"/>
                <w:szCs w:val="20"/>
              </w:rPr>
              <w:t>15</w:t>
            </w:r>
          </w:p>
        </w:tc>
        <w:tc>
          <w:tcPr>
            <w:tcW w:w="904" w:type="dxa"/>
            <w:tcBorders>
              <w:top w:val="dotted" w:sz="4" w:space="0" w:color="auto"/>
              <w:bottom w:val="single" w:sz="4" w:space="0" w:color="auto"/>
            </w:tcBorders>
            <w:vAlign w:val="center"/>
          </w:tcPr>
          <w:p w14:paraId="685682B6" w14:textId="77777777" w:rsidR="008E2185" w:rsidRPr="003A5582" w:rsidRDefault="008E2185" w:rsidP="00FC70B6">
            <w:pPr>
              <w:spacing w:after="0"/>
              <w:jc w:val="center"/>
              <w:rPr>
                <w:rFonts w:cs="Arial"/>
                <w:sz w:val="20"/>
                <w:szCs w:val="20"/>
              </w:rPr>
            </w:pPr>
            <w:r>
              <w:rPr>
                <w:rFonts w:cs="Arial"/>
                <w:sz w:val="20"/>
                <w:szCs w:val="20"/>
              </w:rPr>
              <w:t>5.33</w:t>
            </w:r>
          </w:p>
        </w:tc>
        <w:tc>
          <w:tcPr>
            <w:tcW w:w="1564" w:type="dxa"/>
            <w:tcBorders>
              <w:top w:val="dotted" w:sz="4" w:space="0" w:color="auto"/>
              <w:bottom w:val="single" w:sz="4" w:space="0" w:color="auto"/>
            </w:tcBorders>
            <w:shd w:val="clear" w:color="auto" w:fill="auto"/>
            <w:noWrap/>
            <w:vAlign w:val="center"/>
            <w:hideMark/>
          </w:tcPr>
          <w:p w14:paraId="59E17767" w14:textId="77777777" w:rsidR="008E2185" w:rsidRPr="00960391" w:rsidRDefault="008E2185" w:rsidP="00FC70B6">
            <w:pPr>
              <w:spacing w:after="0"/>
              <w:jc w:val="center"/>
              <w:rPr>
                <w:rFonts w:eastAsia="Times New Roman" w:cs="Arial"/>
                <w:sz w:val="20"/>
                <w:szCs w:val="20"/>
                <w:lang w:eastAsia="en-AU"/>
              </w:rPr>
            </w:pPr>
            <w:r w:rsidRPr="003A5582">
              <w:rPr>
                <w:rFonts w:cs="Arial"/>
                <w:sz w:val="20"/>
                <w:szCs w:val="20"/>
              </w:rPr>
              <w:t>2.8</w:t>
            </w:r>
          </w:p>
        </w:tc>
        <w:tc>
          <w:tcPr>
            <w:tcW w:w="1982" w:type="dxa"/>
            <w:tcBorders>
              <w:top w:val="dotted" w:sz="4" w:space="0" w:color="auto"/>
              <w:bottom w:val="single" w:sz="4" w:space="0" w:color="auto"/>
            </w:tcBorders>
            <w:shd w:val="clear" w:color="auto" w:fill="auto"/>
            <w:noWrap/>
            <w:vAlign w:val="center"/>
            <w:hideMark/>
          </w:tcPr>
          <w:p w14:paraId="39AE8ADA" w14:textId="77777777" w:rsidR="008E2185" w:rsidRPr="00960391" w:rsidRDefault="008E2185" w:rsidP="00FC70B6">
            <w:pPr>
              <w:spacing w:after="0"/>
              <w:jc w:val="center"/>
              <w:rPr>
                <w:rFonts w:eastAsia="Times New Roman" w:cs="Arial"/>
                <w:sz w:val="20"/>
                <w:szCs w:val="20"/>
                <w:lang w:eastAsia="en-AU"/>
              </w:rPr>
            </w:pPr>
            <w:r>
              <w:rPr>
                <w:rFonts w:cs="Arial"/>
                <w:sz w:val="20"/>
                <w:szCs w:val="20"/>
              </w:rPr>
              <w:t>7</w:t>
            </w:r>
          </w:p>
        </w:tc>
        <w:tc>
          <w:tcPr>
            <w:tcW w:w="2193" w:type="dxa"/>
            <w:tcBorders>
              <w:top w:val="dotted" w:sz="4" w:space="0" w:color="auto"/>
              <w:bottom w:val="single" w:sz="4" w:space="0" w:color="auto"/>
            </w:tcBorders>
            <w:shd w:val="clear" w:color="auto" w:fill="auto"/>
            <w:noWrap/>
            <w:vAlign w:val="center"/>
            <w:hideMark/>
          </w:tcPr>
          <w:p w14:paraId="78119E44" w14:textId="77777777" w:rsidR="008E2185" w:rsidRPr="00960391" w:rsidRDefault="008E2185" w:rsidP="00FC70B6">
            <w:pPr>
              <w:spacing w:after="0"/>
              <w:rPr>
                <w:rFonts w:eastAsia="Times New Roman" w:cs="Arial"/>
                <w:sz w:val="20"/>
                <w:szCs w:val="20"/>
                <w:lang w:eastAsia="en-AU"/>
              </w:rPr>
            </w:pPr>
            <w:r w:rsidRPr="00960391">
              <w:rPr>
                <w:rFonts w:eastAsia="Times New Roman" w:cs="Arial"/>
                <w:sz w:val="20"/>
                <w:szCs w:val="20"/>
                <w:lang w:eastAsia="en-AU"/>
              </w:rPr>
              <w:t>Discarded</w:t>
            </w:r>
          </w:p>
        </w:tc>
      </w:tr>
    </w:tbl>
    <w:p w14:paraId="0A8AF2D0" w14:textId="77777777" w:rsidR="008E2185" w:rsidRDefault="008E2185" w:rsidP="00390D6E"/>
    <w:p w14:paraId="0F91BEED" w14:textId="560FACEC" w:rsidR="008E2185" w:rsidRPr="00FC2935" w:rsidRDefault="008E2185" w:rsidP="008E2185">
      <w:pPr>
        <w:pStyle w:val="Caption"/>
      </w:pPr>
      <w:r>
        <w:t xml:space="preserve">Table </w:t>
      </w:r>
      <w:r>
        <w:fldChar w:fldCharType="begin"/>
      </w:r>
      <w:r>
        <w:instrText xml:space="preserve"> SEQ Table \* ARABIC </w:instrText>
      </w:r>
      <w:r>
        <w:fldChar w:fldCharType="separate"/>
      </w:r>
      <w:r w:rsidR="00AB15B7">
        <w:rPr>
          <w:noProof/>
        </w:rPr>
        <w:t>3</w:t>
      </w:r>
      <w:r>
        <w:fldChar w:fldCharType="end"/>
      </w:r>
      <w:r>
        <w:t xml:space="preserve">: </w:t>
      </w:r>
      <w:r w:rsidRPr="00760260">
        <w:t>Contributions (by weight and number) of individual species to catches taken by the port side net during the 2023 AIMWTMF bycatch survey.</w:t>
      </w:r>
    </w:p>
    <w:tbl>
      <w:tblPr>
        <w:tblW w:w="8392" w:type="dxa"/>
        <w:tblLook w:val="04A0" w:firstRow="1" w:lastRow="0" w:firstColumn="1" w:lastColumn="0" w:noHBand="0" w:noVBand="1"/>
      </w:tblPr>
      <w:tblGrid>
        <w:gridCol w:w="1362"/>
        <w:gridCol w:w="1310"/>
        <w:gridCol w:w="1324"/>
        <w:gridCol w:w="1632"/>
        <w:gridCol w:w="834"/>
        <w:gridCol w:w="1046"/>
        <w:gridCol w:w="719"/>
        <w:gridCol w:w="799"/>
      </w:tblGrid>
      <w:tr w:rsidR="008E2185" w:rsidRPr="0014117C" w14:paraId="13B09A62" w14:textId="77777777" w:rsidTr="00FC70B6">
        <w:trPr>
          <w:trHeight w:val="253"/>
        </w:trPr>
        <w:tc>
          <w:tcPr>
            <w:tcW w:w="1004" w:type="dxa"/>
            <w:tcBorders>
              <w:top w:val="single" w:sz="4" w:space="0" w:color="auto"/>
              <w:left w:val="nil"/>
              <w:bottom w:val="single" w:sz="4" w:space="0" w:color="auto"/>
              <w:right w:val="nil"/>
            </w:tcBorders>
            <w:shd w:val="clear" w:color="D9E1F2" w:fill="D9D9D9"/>
            <w:noWrap/>
            <w:vAlign w:val="center"/>
            <w:hideMark/>
          </w:tcPr>
          <w:p w14:paraId="655647C3"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PHYLUM</w:t>
            </w:r>
          </w:p>
        </w:tc>
        <w:tc>
          <w:tcPr>
            <w:tcW w:w="944" w:type="dxa"/>
            <w:tcBorders>
              <w:top w:val="single" w:sz="4" w:space="0" w:color="auto"/>
              <w:left w:val="nil"/>
              <w:bottom w:val="single" w:sz="4" w:space="0" w:color="auto"/>
              <w:right w:val="nil"/>
            </w:tcBorders>
            <w:shd w:val="clear" w:color="D9E1F2" w:fill="D9D9D9"/>
            <w:noWrap/>
            <w:vAlign w:val="center"/>
            <w:hideMark/>
          </w:tcPr>
          <w:p w14:paraId="3A0BF07D"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Category</w:t>
            </w:r>
          </w:p>
        </w:tc>
        <w:tc>
          <w:tcPr>
            <w:tcW w:w="1473" w:type="dxa"/>
            <w:tcBorders>
              <w:top w:val="single" w:sz="4" w:space="0" w:color="auto"/>
              <w:left w:val="nil"/>
              <w:bottom w:val="single" w:sz="4" w:space="0" w:color="auto"/>
              <w:right w:val="nil"/>
            </w:tcBorders>
            <w:shd w:val="clear" w:color="D9E1F2" w:fill="D9D9D9"/>
            <w:noWrap/>
            <w:vAlign w:val="center"/>
            <w:hideMark/>
          </w:tcPr>
          <w:p w14:paraId="7715AD6B"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Common Name</w:t>
            </w:r>
          </w:p>
        </w:tc>
        <w:tc>
          <w:tcPr>
            <w:tcW w:w="1822" w:type="dxa"/>
            <w:tcBorders>
              <w:top w:val="single" w:sz="4" w:space="0" w:color="auto"/>
              <w:left w:val="nil"/>
              <w:bottom w:val="single" w:sz="4" w:space="0" w:color="auto"/>
              <w:right w:val="nil"/>
            </w:tcBorders>
            <w:shd w:val="clear" w:color="D9E1F2" w:fill="D9D9D9"/>
            <w:noWrap/>
            <w:vAlign w:val="center"/>
            <w:hideMark/>
          </w:tcPr>
          <w:p w14:paraId="15AAE30D"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Scientific Name</w:t>
            </w:r>
          </w:p>
        </w:tc>
        <w:tc>
          <w:tcPr>
            <w:tcW w:w="635" w:type="dxa"/>
            <w:tcBorders>
              <w:top w:val="single" w:sz="4" w:space="0" w:color="auto"/>
              <w:left w:val="nil"/>
              <w:bottom w:val="single" w:sz="4" w:space="0" w:color="auto"/>
              <w:right w:val="nil"/>
            </w:tcBorders>
            <w:shd w:val="clear" w:color="D9E1F2" w:fill="D9D9D9"/>
            <w:noWrap/>
            <w:vAlign w:val="center"/>
            <w:hideMark/>
          </w:tcPr>
          <w:p w14:paraId="57D522E4" w14:textId="77777777" w:rsidR="008E2185" w:rsidRPr="00973D88" w:rsidRDefault="008E2185" w:rsidP="00FC70B6">
            <w:pPr>
              <w:spacing w:after="0"/>
              <w:jc w:val="center"/>
              <w:rPr>
                <w:rFonts w:eastAsia="Times New Roman" w:cs="Arial"/>
                <w:b/>
                <w:bCs/>
                <w:color w:val="000000"/>
                <w:sz w:val="18"/>
                <w:szCs w:val="18"/>
                <w:lang w:eastAsia="en-AU"/>
              </w:rPr>
            </w:pPr>
            <w:r w:rsidRPr="00973D88">
              <w:rPr>
                <w:rFonts w:eastAsia="Times New Roman" w:cs="Arial"/>
                <w:b/>
                <w:bCs/>
                <w:color w:val="000000"/>
                <w:sz w:val="18"/>
                <w:szCs w:val="18"/>
                <w:lang w:eastAsia="en-AU"/>
              </w:rPr>
              <w:t>Weight (kg)</w:t>
            </w:r>
          </w:p>
        </w:tc>
        <w:tc>
          <w:tcPr>
            <w:tcW w:w="951" w:type="dxa"/>
            <w:tcBorders>
              <w:top w:val="single" w:sz="4" w:space="0" w:color="auto"/>
              <w:left w:val="nil"/>
              <w:bottom w:val="single" w:sz="4" w:space="0" w:color="auto"/>
              <w:right w:val="nil"/>
            </w:tcBorders>
            <w:shd w:val="clear" w:color="D9E1F2" w:fill="D9D9D9"/>
            <w:noWrap/>
            <w:vAlign w:val="center"/>
            <w:hideMark/>
          </w:tcPr>
          <w:p w14:paraId="26A8755F" w14:textId="77777777" w:rsidR="008E2185" w:rsidRPr="00973D88" w:rsidRDefault="008E2185" w:rsidP="00FC70B6">
            <w:pPr>
              <w:spacing w:after="0"/>
              <w:jc w:val="center"/>
              <w:rPr>
                <w:rFonts w:eastAsia="Times New Roman" w:cs="Arial"/>
                <w:b/>
                <w:bCs/>
                <w:color w:val="000000"/>
                <w:sz w:val="18"/>
                <w:szCs w:val="18"/>
                <w:lang w:eastAsia="en-AU"/>
              </w:rPr>
            </w:pPr>
            <w:r w:rsidRPr="00973D88">
              <w:rPr>
                <w:rFonts w:eastAsia="Times New Roman" w:cs="Arial"/>
                <w:b/>
                <w:bCs/>
                <w:color w:val="000000"/>
                <w:sz w:val="18"/>
                <w:szCs w:val="18"/>
                <w:lang w:eastAsia="en-AU"/>
              </w:rPr>
              <w:t>Number of individuals</w:t>
            </w:r>
          </w:p>
        </w:tc>
        <w:tc>
          <w:tcPr>
            <w:tcW w:w="766" w:type="dxa"/>
            <w:tcBorders>
              <w:top w:val="single" w:sz="4" w:space="0" w:color="auto"/>
              <w:left w:val="nil"/>
              <w:bottom w:val="single" w:sz="4" w:space="0" w:color="auto"/>
              <w:right w:val="nil"/>
            </w:tcBorders>
            <w:shd w:val="clear" w:color="D9E1F2" w:fill="D9D9D9"/>
            <w:noWrap/>
            <w:vAlign w:val="center"/>
            <w:hideMark/>
          </w:tcPr>
          <w:p w14:paraId="27AB909C" w14:textId="77777777" w:rsidR="008E2185" w:rsidRPr="00973D88" w:rsidRDefault="008E2185" w:rsidP="00FC70B6">
            <w:pPr>
              <w:spacing w:after="0"/>
              <w:rPr>
                <w:rFonts w:eastAsia="Times New Roman" w:cs="Arial"/>
                <w:b/>
                <w:bCs/>
                <w:sz w:val="18"/>
                <w:szCs w:val="18"/>
                <w:lang w:eastAsia="en-AU"/>
              </w:rPr>
            </w:pPr>
            <w:r w:rsidRPr="00973D88">
              <w:rPr>
                <w:rFonts w:eastAsia="Times New Roman" w:cs="Arial"/>
                <w:b/>
                <w:bCs/>
                <w:sz w:val="18"/>
                <w:szCs w:val="18"/>
                <w:lang w:eastAsia="en-AU"/>
              </w:rPr>
              <w:t>% of total weight</w:t>
            </w:r>
          </w:p>
        </w:tc>
        <w:tc>
          <w:tcPr>
            <w:tcW w:w="797" w:type="dxa"/>
            <w:tcBorders>
              <w:top w:val="single" w:sz="4" w:space="0" w:color="auto"/>
              <w:left w:val="nil"/>
              <w:bottom w:val="single" w:sz="4" w:space="0" w:color="auto"/>
              <w:right w:val="nil"/>
            </w:tcBorders>
            <w:shd w:val="clear" w:color="D9E1F2" w:fill="D9D9D9"/>
            <w:noWrap/>
            <w:vAlign w:val="center"/>
            <w:hideMark/>
          </w:tcPr>
          <w:p w14:paraId="7BD77501" w14:textId="77777777" w:rsidR="008E2185" w:rsidRPr="00973D88" w:rsidRDefault="008E2185" w:rsidP="00FC70B6">
            <w:pPr>
              <w:spacing w:after="0"/>
              <w:rPr>
                <w:rFonts w:eastAsia="Times New Roman" w:cs="Arial"/>
                <w:b/>
                <w:bCs/>
                <w:sz w:val="18"/>
                <w:szCs w:val="18"/>
                <w:lang w:eastAsia="en-AU"/>
              </w:rPr>
            </w:pPr>
            <w:r w:rsidRPr="00973D88">
              <w:rPr>
                <w:rFonts w:eastAsia="Times New Roman" w:cs="Arial"/>
                <w:b/>
                <w:bCs/>
                <w:sz w:val="18"/>
                <w:szCs w:val="18"/>
                <w:lang w:eastAsia="en-AU"/>
              </w:rPr>
              <w:t>% of total number</w:t>
            </w:r>
          </w:p>
        </w:tc>
      </w:tr>
      <w:tr w:rsidR="008E2185" w:rsidRPr="0014117C" w14:paraId="3F45F0C8" w14:textId="77777777" w:rsidTr="00FC70B6">
        <w:trPr>
          <w:trHeight w:val="253"/>
        </w:trPr>
        <w:tc>
          <w:tcPr>
            <w:tcW w:w="1004" w:type="dxa"/>
            <w:tcBorders>
              <w:top w:val="nil"/>
              <w:left w:val="nil"/>
              <w:bottom w:val="nil"/>
              <w:right w:val="nil"/>
            </w:tcBorders>
            <w:shd w:val="clear" w:color="auto" w:fill="auto"/>
            <w:noWrap/>
            <w:vAlign w:val="center"/>
            <w:hideMark/>
          </w:tcPr>
          <w:p w14:paraId="791F4E2E"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Mollusca</w:t>
            </w:r>
          </w:p>
        </w:tc>
        <w:tc>
          <w:tcPr>
            <w:tcW w:w="944" w:type="dxa"/>
            <w:tcBorders>
              <w:top w:val="single" w:sz="4" w:space="0" w:color="auto"/>
              <w:left w:val="nil"/>
              <w:bottom w:val="dotted" w:sz="4" w:space="0" w:color="auto"/>
              <w:right w:val="nil"/>
            </w:tcBorders>
            <w:shd w:val="clear" w:color="auto" w:fill="auto"/>
            <w:noWrap/>
            <w:vAlign w:val="center"/>
            <w:hideMark/>
          </w:tcPr>
          <w:p w14:paraId="41073DD6"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Bivalvia</w:t>
            </w:r>
          </w:p>
        </w:tc>
        <w:tc>
          <w:tcPr>
            <w:tcW w:w="1473" w:type="dxa"/>
            <w:tcBorders>
              <w:top w:val="single" w:sz="4" w:space="0" w:color="auto"/>
              <w:left w:val="nil"/>
              <w:bottom w:val="dotted" w:sz="4" w:space="0" w:color="auto"/>
              <w:right w:val="nil"/>
            </w:tcBorders>
            <w:shd w:val="clear" w:color="auto" w:fill="auto"/>
            <w:noWrap/>
            <w:vAlign w:val="center"/>
            <w:hideMark/>
          </w:tcPr>
          <w:p w14:paraId="4DDC0FC9"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Ballot's Saucer Scallop</w:t>
            </w:r>
          </w:p>
        </w:tc>
        <w:tc>
          <w:tcPr>
            <w:tcW w:w="1822" w:type="dxa"/>
            <w:tcBorders>
              <w:top w:val="single" w:sz="4" w:space="0" w:color="auto"/>
              <w:left w:val="nil"/>
              <w:bottom w:val="dotted" w:sz="4" w:space="0" w:color="auto"/>
              <w:right w:val="nil"/>
            </w:tcBorders>
            <w:shd w:val="clear" w:color="auto" w:fill="auto"/>
            <w:noWrap/>
            <w:vAlign w:val="center"/>
            <w:hideMark/>
          </w:tcPr>
          <w:p w14:paraId="0E567215"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Ylistrum</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balloti</w:t>
            </w:r>
            <w:proofErr w:type="spellEnd"/>
          </w:p>
        </w:tc>
        <w:tc>
          <w:tcPr>
            <w:tcW w:w="635" w:type="dxa"/>
            <w:tcBorders>
              <w:top w:val="single" w:sz="4" w:space="0" w:color="auto"/>
              <w:left w:val="nil"/>
              <w:bottom w:val="dotted" w:sz="4" w:space="0" w:color="auto"/>
              <w:right w:val="nil"/>
            </w:tcBorders>
            <w:shd w:val="clear" w:color="auto" w:fill="auto"/>
            <w:noWrap/>
            <w:vAlign w:val="center"/>
            <w:hideMark/>
          </w:tcPr>
          <w:p w14:paraId="25633DDD" w14:textId="77777777" w:rsidR="008E2185" w:rsidRPr="00973D88" w:rsidRDefault="008E2185" w:rsidP="00FC70B6">
            <w:pPr>
              <w:spacing w:after="0"/>
              <w:jc w:val="center"/>
              <w:rPr>
                <w:rFonts w:eastAsia="Times New Roman" w:cs="Arial"/>
                <w:color w:val="000000"/>
                <w:sz w:val="18"/>
                <w:szCs w:val="18"/>
                <w:lang w:eastAsia="en-AU"/>
              </w:rPr>
            </w:pPr>
            <w:r w:rsidRPr="0014117C">
              <w:rPr>
                <w:rFonts w:cs="Arial"/>
                <w:sz w:val="18"/>
                <w:szCs w:val="18"/>
              </w:rPr>
              <w:t>1</w:t>
            </w:r>
            <w:r>
              <w:rPr>
                <w:rFonts w:cs="Arial"/>
                <w:sz w:val="18"/>
                <w:szCs w:val="18"/>
              </w:rPr>
              <w:t>,</w:t>
            </w:r>
            <w:r w:rsidRPr="0014117C">
              <w:rPr>
                <w:rFonts w:cs="Arial"/>
                <w:sz w:val="18"/>
                <w:szCs w:val="18"/>
              </w:rPr>
              <w:t>322.3</w:t>
            </w:r>
            <w:r>
              <w:rPr>
                <w:rFonts w:cs="Arial"/>
                <w:sz w:val="18"/>
                <w:szCs w:val="18"/>
              </w:rPr>
              <w:t>8</w:t>
            </w:r>
          </w:p>
        </w:tc>
        <w:tc>
          <w:tcPr>
            <w:tcW w:w="951" w:type="dxa"/>
            <w:tcBorders>
              <w:top w:val="single" w:sz="4" w:space="0" w:color="auto"/>
              <w:left w:val="nil"/>
              <w:bottom w:val="dotted" w:sz="4" w:space="0" w:color="auto"/>
              <w:right w:val="nil"/>
            </w:tcBorders>
            <w:shd w:val="clear" w:color="auto" w:fill="auto"/>
            <w:noWrap/>
            <w:vAlign w:val="center"/>
            <w:hideMark/>
          </w:tcPr>
          <w:p w14:paraId="6B48FD88" w14:textId="77777777" w:rsidR="008E2185" w:rsidRPr="00973D88" w:rsidRDefault="008E2185" w:rsidP="00FC70B6">
            <w:pPr>
              <w:spacing w:after="0"/>
              <w:jc w:val="center"/>
              <w:rPr>
                <w:rFonts w:eastAsia="Times New Roman" w:cs="Arial"/>
                <w:color w:val="000000"/>
                <w:sz w:val="18"/>
                <w:szCs w:val="18"/>
                <w:lang w:eastAsia="en-AU"/>
              </w:rPr>
            </w:pPr>
            <w:r w:rsidRPr="0014117C">
              <w:rPr>
                <w:rFonts w:cs="Arial"/>
                <w:sz w:val="18"/>
                <w:szCs w:val="18"/>
              </w:rPr>
              <w:t>22</w:t>
            </w:r>
            <w:r>
              <w:rPr>
                <w:rFonts w:cs="Arial"/>
                <w:sz w:val="18"/>
                <w:szCs w:val="18"/>
              </w:rPr>
              <w:t>,</w:t>
            </w:r>
            <w:r w:rsidRPr="0014117C">
              <w:rPr>
                <w:rFonts w:cs="Arial"/>
                <w:sz w:val="18"/>
                <w:szCs w:val="18"/>
              </w:rPr>
              <w:t>162</w:t>
            </w:r>
          </w:p>
        </w:tc>
        <w:tc>
          <w:tcPr>
            <w:tcW w:w="766" w:type="dxa"/>
            <w:tcBorders>
              <w:top w:val="single" w:sz="4" w:space="0" w:color="auto"/>
              <w:left w:val="nil"/>
              <w:bottom w:val="dotted" w:sz="4" w:space="0" w:color="auto"/>
              <w:right w:val="nil"/>
            </w:tcBorders>
            <w:shd w:val="clear" w:color="auto" w:fill="auto"/>
            <w:noWrap/>
            <w:vAlign w:val="center"/>
            <w:hideMark/>
          </w:tcPr>
          <w:p w14:paraId="6A3337B9" w14:textId="77777777" w:rsidR="008E2185" w:rsidRPr="00973D88" w:rsidRDefault="008E2185" w:rsidP="00FC70B6">
            <w:pPr>
              <w:spacing w:after="0"/>
              <w:rPr>
                <w:rFonts w:eastAsia="Times New Roman" w:cs="Arial"/>
                <w:sz w:val="18"/>
                <w:szCs w:val="18"/>
                <w:lang w:eastAsia="en-AU"/>
              </w:rPr>
            </w:pPr>
            <w:r w:rsidRPr="0014117C">
              <w:rPr>
                <w:rFonts w:eastAsia="Times New Roman" w:cs="Arial"/>
                <w:sz w:val="18"/>
                <w:szCs w:val="18"/>
                <w:lang w:eastAsia="en-AU"/>
              </w:rPr>
              <w:t>95</w:t>
            </w:r>
            <w:r w:rsidRPr="00973D88">
              <w:rPr>
                <w:rFonts w:eastAsia="Times New Roman" w:cs="Arial"/>
                <w:sz w:val="18"/>
                <w:szCs w:val="18"/>
                <w:lang w:eastAsia="en-AU"/>
              </w:rPr>
              <w:t>%</w:t>
            </w:r>
          </w:p>
        </w:tc>
        <w:tc>
          <w:tcPr>
            <w:tcW w:w="797" w:type="dxa"/>
            <w:tcBorders>
              <w:top w:val="single" w:sz="4" w:space="0" w:color="auto"/>
              <w:left w:val="nil"/>
              <w:bottom w:val="dotted" w:sz="4" w:space="0" w:color="auto"/>
              <w:right w:val="nil"/>
            </w:tcBorders>
            <w:shd w:val="clear" w:color="auto" w:fill="auto"/>
            <w:noWrap/>
            <w:vAlign w:val="center"/>
            <w:hideMark/>
          </w:tcPr>
          <w:p w14:paraId="49EDB502" w14:textId="77777777" w:rsidR="008E2185" w:rsidRPr="00973D88" w:rsidRDefault="008E2185" w:rsidP="00FC70B6">
            <w:pPr>
              <w:spacing w:after="0"/>
              <w:rPr>
                <w:rFonts w:eastAsia="Times New Roman" w:cs="Arial"/>
                <w:sz w:val="18"/>
                <w:szCs w:val="18"/>
                <w:lang w:eastAsia="en-AU"/>
              </w:rPr>
            </w:pPr>
            <w:r w:rsidRPr="0014117C">
              <w:rPr>
                <w:rFonts w:eastAsia="Times New Roman" w:cs="Arial"/>
                <w:sz w:val="18"/>
                <w:szCs w:val="18"/>
                <w:lang w:eastAsia="en-AU"/>
              </w:rPr>
              <w:t>98</w:t>
            </w:r>
            <w:r w:rsidRPr="00973D88">
              <w:rPr>
                <w:rFonts w:eastAsia="Times New Roman" w:cs="Arial"/>
                <w:sz w:val="18"/>
                <w:szCs w:val="18"/>
                <w:lang w:eastAsia="en-AU"/>
              </w:rPr>
              <w:t>%</w:t>
            </w:r>
          </w:p>
        </w:tc>
      </w:tr>
      <w:tr w:rsidR="008E2185" w:rsidRPr="0014117C" w14:paraId="45966BB1" w14:textId="77777777" w:rsidTr="00FC70B6">
        <w:trPr>
          <w:trHeight w:val="253"/>
        </w:trPr>
        <w:tc>
          <w:tcPr>
            <w:tcW w:w="1004" w:type="dxa"/>
            <w:tcBorders>
              <w:top w:val="nil"/>
              <w:left w:val="nil"/>
              <w:bottom w:val="nil"/>
              <w:right w:val="nil"/>
            </w:tcBorders>
            <w:shd w:val="clear" w:color="auto" w:fill="auto"/>
            <w:noWrap/>
            <w:vAlign w:val="center"/>
            <w:hideMark/>
          </w:tcPr>
          <w:p w14:paraId="79330770" w14:textId="77777777" w:rsidR="008E2185" w:rsidRPr="00973D88" w:rsidRDefault="008E2185" w:rsidP="00FC70B6">
            <w:pPr>
              <w:spacing w:after="0"/>
              <w:rPr>
                <w:rFonts w:eastAsia="Times New Roman" w:cs="Arial"/>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35B14B46"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6DA1925F"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Commercial Scallop</w:t>
            </w:r>
          </w:p>
        </w:tc>
        <w:tc>
          <w:tcPr>
            <w:tcW w:w="1822" w:type="dxa"/>
            <w:tcBorders>
              <w:top w:val="dotted" w:sz="4" w:space="0" w:color="auto"/>
              <w:left w:val="nil"/>
              <w:bottom w:val="dotted" w:sz="4" w:space="0" w:color="auto"/>
              <w:right w:val="nil"/>
            </w:tcBorders>
            <w:shd w:val="clear" w:color="auto" w:fill="auto"/>
            <w:noWrap/>
            <w:vAlign w:val="center"/>
            <w:hideMark/>
          </w:tcPr>
          <w:p w14:paraId="6A792D76" w14:textId="77777777" w:rsidR="008E2185" w:rsidRPr="00973D88" w:rsidRDefault="008E2185" w:rsidP="00FC70B6">
            <w:pPr>
              <w:spacing w:after="0"/>
              <w:rPr>
                <w:rFonts w:eastAsia="Times New Roman" w:cs="Arial"/>
                <w:i/>
                <w:iCs/>
                <w:color w:val="000000"/>
                <w:sz w:val="18"/>
                <w:szCs w:val="18"/>
                <w:lang w:eastAsia="en-AU"/>
              </w:rPr>
            </w:pPr>
            <w:r w:rsidRPr="00973D88">
              <w:rPr>
                <w:rFonts w:eastAsia="Times New Roman" w:cs="Arial"/>
                <w:i/>
                <w:iCs/>
                <w:color w:val="000000"/>
                <w:sz w:val="18"/>
                <w:szCs w:val="18"/>
                <w:lang w:eastAsia="en-AU"/>
              </w:rPr>
              <w:t xml:space="preserve">Pecten </w:t>
            </w:r>
            <w:proofErr w:type="spellStart"/>
            <w:r w:rsidRPr="00973D88">
              <w:rPr>
                <w:rFonts w:eastAsia="Times New Roman" w:cs="Arial"/>
                <w:i/>
                <w:iCs/>
                <w:color w:val="000000"/>
                <w:sz w:val="18"/>
                <w:szCs w:val="18"/>
                <w:lang w:eastAsia="en-AU"/>
              </w:rPr>
              <w:t>fumatus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45D1F7E3"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0.04</w:t>
            </w:r>
          </w:p>
        </w:tc>
        <w:tc>
          <w:tcPr>
            <w:tcW w:w="951" w:type="dxa"/>
            <w:tcBorders>
              <w:top w:val="dotted" w:sz="4" w:space="0" w:color="auto"/>
              <w:left w:val="nil"/>
              <w:bottom w:val="dotted" w:sz="4" w:space="0" w:color="auto"/>
              <w:right w:val="nil"/>
            </w:tcBorders>
            <w:shd w:val="clear" w:color="auto" w:fill="auto"/>
            <w:noWrap/>
            <w:vAlign w:val="center"/>
            <w:hideMark/>
          </w:tcPr>
          <w:p w14:paraId="231F8826"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0BB6D4A0"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0007C829"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31F5BF39" w14:textId="77777777" w:rsidTr="00FC70B6">
        <w:trPr>
          <w:trHeight w:val="253"/>
        </w:trPr>
        <w:tc>
          <w:tcPr>
            <w:tcW w:w="1004" w:type="dxa"/>
            <w:tcBorders>
              <w:top w:val="nil"/>
              <w:left w:val="nil"/>
              <w:bottom w:val="nil"/>
              <w:right w:val="nil"/>
            </w:tcBorders>
            <w:shd w:val="clear" w:color="auto" w:fill="auto"/>
            <w:noWrap/>
            <w:vAlign w:val="center"/>
            <w:hideMark/>
          </w:tcPr>
          <w:p w14:paraId="36AE31E1"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53BC5E47"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7C79A5F4"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Scallop</w:t>
            </w:r>
          </w:p>
        </w:tc>
        <w:tc>
          <w:tcPr>
            <w:tcW w:w="1822" w:type="dxa"/>
            <w:tcBorders>
              <w:top w:val="dotted" w:sz="4" w:space="0" w:color="auto"/>
              <w:left w:val="nil"/>
              <w:bottom w:val="dotted" w:sz="4" w:space="0" w:color="auto"/>
              <w:right w:val="nil"/>
            </w:tcBorders>
            <w:shd w:val="clear" w:color="auto" w:fill="auto"/>
            <w:noWrap/>
            <w:vAlign w:val="center"/>
            <w:hideMark/>
          </w:tcPr>
          <w:p w14:paraId="61E06B83"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i/>
                <w:iCs/>
                <w:color w:val="000000"/>
                <w:sz w:val="18"/>
                <w:szCs w:val="18"/>
                <w:lang w:eastAsia="en-AU"/>
              </w:rPr>
              <w:t>Decatopecten</w:t>
            </w:r>
            <w:proofErr w:type="spellEnd"/>
            <w:r w:rsidRPr="00973D88">
              <w:rPr>
                <w:rFonts w:eastAsia="Times New Roman" w:cs="Arial"/>
                <w:color w:val="000000"/>
                <w:sz w:val="18"/>
                <w:szCs w:val="18"/>
                <w:lang w:eastAsia="en-AU"/>
              </w:rPr>
              <w:t xml:space="preserve"> sp</w:t>
            </w:r>
            <w:r w:rsidRPr="0014117C">
              <w:rPr>
                <w:rFonts w:eastAsia="Times New Roman" w:cs="Arial"/>
                <w:color w:val="000000"/>
                <w:sz w:val="18"/>
                <w:szCs w:val="18"/>
                <w:lang w:eastAsia="en-AU"/>
              </w:rPr>
              <w:t>p</w:t>
            </w:r>
            <w:r w:rsidRPr="00973D88">
              <w:rPr>
                <w:rFonts w:eastAsia="Times New Roman" w:cs="Arial"/>
                <w:color w:val="000000"/>
                <w:sz w:val="18"/>
                <w:szCs w:val="18"/>
                <w:lang w:eastAsia="en-AU"/>
              </w:rPr>
              <w:t>.</w:t>
            </w:r>
          </w:p>
        </w:tc>
        <w:tc>
          <w:tcPr>
            <w:tcW w:w="635" w:type="dxa"/>
            <w:tcBorders>
              <w:top w:val="dotted" w:sz="4" w:space="0" w:color="auto"/>
              <w:left w:val="nil"/>
              <w:bottom w:val="dotted" w:sz="4" w:space="0" w:color="auto"/>
              <w:right w:val="nil"/>
            </w:tcBorders>
            <w:shd w:val="clear" w:color="auto" w:fill="auto"/>
            <w:noWrap/>
            <w:vAlign w:val="center"/>
            <w:hideMark/>
          </w:tcPr>
          <w:p w14:paraId="798973C0"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0.01</w:t>
            </w:r>
          </w:p>
        </w:tc>
        <w:tc>
          <w:tcPr>
            <w:tcW w:w="951" w:type="dxa"/>
            <w:tcBorders>
              <w:top w:val="dotted" w:sz="4" w:space="0" w:color="auto"/>
              <w:left w:val="nil"/>
              <w:bottom w:val="dotted" w:sz="4" w:space="0" w:color="auto"/>
              <w:right w:val="nil"/>
            </w:tcBorders>
            <w:shd w:val="clear" w:color="auto" w:fill="auto"/>
            <w:noWrap/>
            <w:vAlign w:val="center"/>
            <w:hideMark/>
          </w:tcPr>
          <w:p w14:paraId="292A93EC"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61799249"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0FEDD449"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592F5FA3" w14:textId="77777777" w:rsidTr="00FC70B6">
        <w:trPr>
          <w:trHeight w:val="253"/>
        </w:trPr>
        <w:tc>
          <w:tcPr>
            <w:tcW w:w="1004" w:type="dxa"/>
            <w:tcBorders>
              <w:top w:val="nil"/>
              <w:left w:val="nil"/>
              <w:bottom w:val="nil"/>
              <w:right w:val="nil"/>
            </w:tcBorders>
            <w:shd w:val="clear" w:color="auto" w:fill="auto"/>
            <w:noWrap/>
            <w:vAlign w:val="center"/>
            <w:hideMark/>
          </w:tcPr>
          <w:p w14:paraId="3BB5CB38"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4841F132"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24CEDA7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Scallop, Doughboy</w:t>
            </w:r>
          </w:p>
        </w:tc>
        <w:tc>
          <w:tcPr>
            <w:tcW w:w="1822" w:type="dxa"/>
            <w:tcBorders>
              <w:top w:val="dotted" w:sz="4" w:space="0" w:color="auto"/>
              <w:left w:val="nil"/>
              <w:bottom w:val="dotted" w:sz="4" w:space="0" w:color="auto"/>
              <w:right w:val="nil"/>
            </w:tcBorders>
            <w:shd w:val="clear" w:color="auto" w:fill="auto"/>
            <w:noWrap/>
            <w:vAlign w:val="center"/>
            <w:hideMark/>
          </w:tcPr>
          <w:p w14:paraId="2E9EDB45"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Mimachlamys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asperrima</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1F4EC514"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0.33</w:t>
            </w:r>
          </w:p>
        </w:tc>
        <w:tc>
          <w:tcPr>
            <w:tcW w:w="951" w:type="dxa"/>
            <w:tcBorders>
              <w:top w:val="dotted" w:sz="4" w:space="0" w:color="auto"/>
              <w:left w:val="nil"/>
              <w:bottom w:val="dotted" w:sz="4" w:space="0" w:color="auto"/>
              <w:right w:val="nil"/>
            </w:tcBorders>
            <w:shd w:val="clear" w:color="auto" w:fill="auto"/>
            <w:noWrap/>
            <w:vAlign w:val="center"/>
            <w:hideMark/>
          </w:tcPr>
          <w:p w14:paraId="2BEB5008"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6</w:t>
            </w:r>
          </w:p>
        </w:tc>
        <w:tc>
          <w:tcPr>
            <w:tcW w:w="766" w:type="dxa"/>
            <w:tcBorders>
              <w:top w:val="dotted" w:sz="4" w:space="0" w:color="auto"/>
              <w:left w:val="nil"/>
              <w:bottom w:val="dotted" w:sz="4" w:space="0" w:color="auto"/>
              <w:right w:val="nil"/>
            </w:tcBorders>
            <w:shd w:val="clear" w:color="auto" w:fill="auto"/>
            <w:noWrap/>
            <w:vAlign w:val="center"/>
            <w:hideMark/>
          </w:tcPr>
          <w:p w14:paraId="7D6A0C7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686DD91F"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62B8A2CC" w14:textId="77777777" w:rsidTr="00FC70B6">
        <w:trPr>
          <w:trHeight w:val="253"/>
        </w:trPr>
        <w:tc>
          <w:tcPr>
            <w:tcW w:w="1004" w:type="dxa"/>
            <w:tcBorders>
              <w:top w:val="nil"/>
              <w:left w:val="nil"/>
              <w:bottom w:val="nil"/>
              <w:right w:val="nil"/>
            </w:tcBorders>
            <w:shd w:val="clear" w:color="auto" w:fill="auto"/>
            <w:noWrap/>
            <w:vAlign w:val="center"/>
            <w:hideMark/>
          </w:tcPr>
          <w:p w14:paraId="0974E734"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64D67A73"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13246F56"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Scallop, Fan</w:t>
            </w:r>
          </w:p>
        </w:tc>
        <w:tc>
          <w:tcPr>
            <w:tcW w:w="1822" w:type="dxa"/>
            <w:tcBorders>
              <w:top w:val="dotted" w:sz="4" w:space="0" w:color="auto"/>
              <w:left w:val="nil"/>
              <w:bottom w:val="dotted" w:sz="4" w:space="0" w:color="auto"/>
              <w:right w:val="nil"/>
            </w:tcBorders>
            <w:shd w:val="clear" w:color="auto" w:fill="auto"/>
            <w:noWrap/>
            <w:vAlign w:val="center"/>
            <w:hideMark/>
          </w:tcPr>
          <w:p w14:paraId="77CFFCBF"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Annachlamys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flabellata</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012028AC"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1.85</w:t>
            </w:r>
          </w:p>
        </w:tc>
        <w:tc>
          <w:tcPr>
            <w:tcW w:w="951" w:type="dxa"/>
            <w:tcBorders>
              <w:top w:val="dotted" w:sz="4" w:space="0" w:color="auto"/>
              <w:left w:val="nil"/>
              <w:bottom w:val="dotted" w:sz="4" w:space="0" w:color="auto"/>
              <w:right w:val="nil"/>
            </w:tcBorders>
            <w:shd w:val="clear" w:color="auto" w:fill="auto"/>
            <w:noWrap/>
            <w:vAlign w:val="center"/>
            <w:hideMark/>
          </w:tcPr>
          <w:p w14:paraId="49C4F692"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49</w:t>
            </w:r>
          </w:p>
        </w:tc>
        <w:tc>
          <w:tcPr>
            <w:tcW w:w="766" w:type="dxa"/>
            <w:tcBorders>
              <w:top w:val="dotted" w:sz="4" w:space="0" w:color="auto"/>
              <w:left w:val="nil"/>
              <w:bottom w:val="dotted" w:sz="4" w:space="0" w:color="auto"/>
              <w:right w:val="nil"/>
            </w:tcBorders>
            <w:shd w:val="clear" w:color="auto" w:fill="auto"/>
            <w:noWrap/>
            <w:vAlign w:val="center"/>
            <w:hideMark/>
          </w:tcPr>
          <w:p w14:paraId="24341FB3"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7EB0E11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528ECE7A" w14:textId="77777777" w:rsidTr="00FC70B6">
        <w:trPr>
          <w:trHeight w:val="253"/>
        </w:trPr>
        <w:tc>
          <w:tcPr>
            <w:tcW w:w="1004" w:type="dxa"/>
            <w:tcBorders>
              <w:top w:val="nil"/>
              <w:left w:val="nil"/>
              <w:bottom w:val="nil"/>
              <w:right w:val="nil"/>
            </w:tcBorders>
            <w:shd w:val="clear" w:color="auto" w:fill="auto"/>
            <w:noWrap/>
            <w:vAlign w:val="center"/>
            <w:hideMark/>
          </w:tcPr>
          <w:p w14:paraId="604A4BCB"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1D4A82DD"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4E8B2323"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Venus Cockle</w:t>
            </w:r>
          </w:p>
        </w:tc>
        <w:tc>
          <w:tcPr>
            <w:tcW w:w="1822" w:type="dxa"/>
            <w:tcBorders>
              <w:top w:val="dotted" w:sz="4" w:space="0" w:color="auto"/>
              <w:left w:val="nil"/>
              <w:bottom w:val="dotted" w:sz="4" w:space="0" w:color="auto"/>
              <w:right w:val="nil"/>
            </w:tcBorders>
            <w:shd w:val="clear" w:color="auto" w:fill="auto"/>
            <w:noWrap/>
            <w:vAlign w:val="center"/>
            <w:hideMark/>
          </w:tcPr>
          <w:p w14:paraId="4ACFE129"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Costacallista</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planatella</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23FDCDDE"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0.08</w:t>
            </w:r>
          </w:p>
        </w:tc>
        <w:tc>
          <w:tcPr>
            <w:tcW w:w="951" w:type="dxa"/>
            <w:tcBorders>
              <w:top w:val="dotted" w:sz="4" w:space="0" w:color="auto"/>
              <w:left w:val="nil"/>
              <w:bottom w:val="dotted" w:sz="4" w:space="0" w:color="auto"/>
              <w:right w:val="nil"/>
            </w:tcBorders>
            <w:shd w:val="clear" w:color="auto" w:fill="auto"/>
            <w:noWrap/>
            <w:vAlign w:val="center"/>
            <w:hideMark/>
          </w:tcPr>
          <w:p w14:paraId="5ACF8DAC"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677AD906"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6EE49757"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44A6849D" w14:textId="77777777" w:rsidTr="00FC70B6">
        <w:trPr>
          <w:trHeight w:val="253"/>
        </w:trPr>
        <w:tc>
          <w:tcPr>
            <w:tcW w:w="1004" w:type="dxa"/>
            <w:tcBorders>
              <w:top w:val="nil"/>
              <w:left w:val="nil"/>
              <w:bottom w:val="nil"/>
              <w:right w:val="nil"/>
            </w:tcBorders>
            <w:shd w:val="clear" w:color="auto" w:fill="auto"/>
            <w:noWrap/>
            <w:vAlign w:val="center"/>
            <w:hideMark/>
          </w:tcPr>
          <w:p w14:paraId="4B94117C" w14:textId="77777777" w:rsidR="008E2185" w:rsidRPr="00973D88" w:rsidRDefault="008E2185" w:rsidP="00FC70B6">
            <w:pPr>
              <w:spacing w:after="0"/>
              <w:rPr>
                <w:rFonts w:eastAsia="Times New Roman" w:cs="Arial"/>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0A6FA2DC"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Cephalopoda</w:t>
            </w:r>
          </w:p>
        </w:tc>
        <w:tc>
          <w:tcPr>
            <w:tcW w:w="1473" w:type="dxa"/>
            <w:tcBorders>
              <w:top w:val="dotted" w:sz="4" w:space="0" w:color="auto"/>
              <w:left w:val="nil"/>
              <w:bottom w:val="dotted" w:sz="4" w:space="0" w:color="auto"/>
              <w:right w:val="nil"/>
            </w:tcBorders>
            <w:shd w:val="clear" w:color="auto" w:fill="auto"/>
            <w:noWrap/>
            <w:vAlign w:val="center"/>
            <w:hideMark/>
          </w:tcPr>
          <w:p w14:paraId="77C7791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Cuttlefish</w:t>
            </w:r>
          </w:p>
        </w:tc>
        <w:tc>
          <w:tcPr>
            <w:tcW w:w="1822" w:type="dxa"/>
            <w:tcBorders>
              <w:top w:val="dotted" w:sz="4" w:space="0" w:color="auto"/>
              <w:left w:val="nil"/>
              <w:bottom w:val="dotted" w:sz="4" w:space="0" w:color="auto"/>
              <w:right w:val="nil"/>
            </w:tcBorders>
            <w:shd w:val="clear" w:color="auto" w:fill="auto"/>
            <w:noWrap/>
            <w:vAlign w:val="center"/>
            <w:hideMark/>
          </w:tcPr>
          <w:p w14:paraId="3A7E00F0" w14:textId="77777777" w:rsidR="008E2185" w:rsidRPr="00973D88" w:rsidRDefault="008E2185" w:rsidP="00FC70B6">
            <w:pPr>
              <w:spacing w:after="0"/>
              <w:rPr>
                <w:rFonts w:eastAsia="Times New Roman" w:cs="Arial"/>
                <w:i/>
                <w:iCs/>
                <w:color w:val="000000"/>
                <w:sz w:val="18"/>
                <w:szCs w:val="18"/>
                <w:lang w:eastAsia="en-AU"/>
              </w:rPr>
            </w:pPr>
            <w:r w:rsidRPr="00973D88">
              <w:rPr>
                <w:rFonts w:eastAsia="Times New Roman" w:cs="Arial"/>
                <w:i/>
                <w:iCs/>
                <w:color w:val="000000"/>
                <w:sz w:val="18"/>
                <w:szCs w:val="18"/>
                <w:lang w:eastAsia="en-AU"/>
              </w:rPr>
              <w:t>Sepia novaehollandiae</w:t>
            </w:r>
          </w:p>
        </w:tc>
        <w:tc>
          <w:tcPr>
            <w:tcW w:w="635" w:type="dxa"/>
            <w:tcBorders>
              <w:top w:val="dotted" w:sz="4" w:space="0" w:color="auto"/>
              <w:left w:val="nil"/>
              <w:bottom w:val="dotted" w:sz="4" w:space="0" w:color="auto"/>
              <w:right w:val="nil"/>
            </w:tcBorders>
            <w:shd w:val="clear" w:color="auto" w:fill="auto"/>
            <w:noWrap/>
            <w:vAlign w:val="center"/>
            <w:hideMark/>
          </w:tcPr>
          <w:p w14:paraId="0EF6C20B"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0.22</w:t>
            </w:r>
          </w:p>
        </w:tc>
        <w:tc>
          <w:tcPr>
            <w:tcW w:w="951" w:type="dxa"/>
            <w:tcBorders>
              <w:top w:val="dotted" w:sz="4" w:space="0" w:color="auto"/>
              <w:left w:val="nil"/>
              <w:bottom w:val="dotted" w:sz="4" w:space="0" w:color="auto"/>
              <w:right w:val="nil"/>
            </w:tcBorders>
            <w:shd w:val="clear" w:color="auto" w:fill="auto"/>
            <w:noWrap/>
            <w:vAlign w:val="center"/>
            <w:hideMark/>
          </w:tcPr>
          <w:p w14:paraId="2B7EE515"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3E271C3D"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7D73202E"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1AD3DED5" w14:textId="77777777" w:rsidTr="00FC70B6">
        <w:trPr>
          <w:trHeight w:val="253"/>
        </w:trPr>
        <w:tc>
          <w:tcPr>
            <w:tcW w:w="1004" w:type="dxa"/>
            <w:tcBorders>
              <w:top w:val="nil"/>
              <w:left w:val="nil"/>
              <w:bottom w:val="nil"/>
              <w:right w:val="nil"/>
            </w:tcBorders>
            <w:shd w:val="clear" w:color="auto" w:fill="auto"/>
            <w:noWrap/>
            <w:vAlign w:val="center"/>
            <w:hideMark/>
          </w:tcPr>
          <w:p w14:paraId="433A5746"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3032E2E9"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2B37CD40"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Giant Cuttlefish</w:t>
            </w:r>
          </w:p>
        </w:tc>
        <w:tc>
          <w:tcPr>
            <w:tcW w:w="1822" w:type="dxa"/>
            <w:tcBorders>
              <w:top w:val="dotted" w:sz="4" w:space="0" w:color="auto"/>
              <w:left w:val="nil"/>
              <w:bottom w:val="dotted" w:sz="4" w:space="0" w:color="auto"/>
              <w:right w:val="nil"/>
            </w:tcBorders>
            <w:shd w:val="clear" w:color="auto" w:fill="auto"/>
            <w:noWrap/>
            <w:vAlign w:val="center"/>
            <w:hideMark/>
          </w:tcPr>
          <w:p w14:paraId="16C9EA77" w14:textId="77777777" w:rsidR="008E2185" w:rsidRPr="00973D88" w:rsidRDefault="008E2185" w:rsidP="00FC70B6">
            <w:pPr>
              <w:spacing w:after="0"/>
              <w:rPr>
                <w:rFonts w:eastAsia="Times New Roman" w:cs="Arial"/>
                <w:i/>
                <w:iCs/>
                <w:color w:val="000000"/>
                <w:sz w:val="18"/>
                <w:szCs w:val="18"/>
                <w:lang w:eastAsia="en-AU"/>
              </w:rPr>
            </w:pPr>
            <w:r w:rsidRPr="00973D88">
              <w:rPr>
                <w:rFonts w:eastAsia="Times New Roman" w:cs="Arial"/>
                <w:i/>
                <w:iCs/>
                <w:color w:val="000000"/>
                <w:sz w:val="18"/>
                <w:szCs w:val="18"/>
                <w:lang w:eastAsia="en-AU"/>
              </w:rPr>
              <w:t xml:space="preserve">Sepia </w:t>
            </w:r>
            <w:proofErr w:type="spellStart"/>
            <w:r w:rsidRPr="00973D88">
              <w:rPr>
                <w:rFonts w:eastAsia="Times New Roman" w:cs="Arial"/>
                <w:i/>
                <w:iCs/>
                <w:color w:val="000000"/>
                <w:sz w:val="18"/>
                <w:szCs w:val="18"/>
                <w:lang w:eastAsia="en-AU"/>
              </w:rPr>
              <w:t>apama</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5B34A561"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0.08</w:t>
            </w:r>
          </w:p>
        </w:tc>
        <w:tc>
          <w:tcPr>
            <w:tcW w:w="951" w:type="dxa"/>
            <w:tcBorders>
              <w:top w:val="dotted" w:sz="4" w:space="0" w:color="auto"/>
              <w:left w:val="nil"/>
              <w:bottom w:val="dotted" w:sz="4" w:space="0" w:color="auto"/>
              <w:right w:val="nil"/>
            </w:tcBorders>
            <w:shd w:val="clear" w:color="auto" w:fill="auto"/>
            <w:noWrap/>
            <w:vAlign w:val="center"/>
            <w:hideMark/>
          </w:tcPr>
          <w:p w14:paraId="0DB96564"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1C73571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0FDFE153"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31026FF5" w14:textId="77777777" w:rsidTr="00FC70B6">
        <w:trPr>
          <w:trHeight w:val="253"/>
        </w:trPr>
        <w:tc>
          <w:tcPr>
            <w:tcW w:w="1004" w:type="dxa"/>
            <w:tcBorders>
              <w:top w:val="nil"/>
              <w:left w:val="nil"/>
              <w:bottom w:val="nil"/>
              <w:right w:val="nil"/>
            </w:tcBorders>
            <w:shd w:val="clear" w:color="auto" w:fill="auto"/>
            <w:noWrap/>
            <w:vAlign w:val="center"/>
            <w:hideMark/>
          </w:tcPr>
          <w:p w14:paraId="4D185543"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398BDAE9"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4559E1E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Papuan Cuttlefish</w:t>
            </w:r>
          </w:p>
        </w:tc>
        <w:tc>
          <w:tcPr>
            <w:tcW w:w="1822" w:type="dxa"/>
            <w:tcBorders>
              <w:top w:val="dotted" w:sz="4" w:space="0" w:color="auto"/>
              <w:left w:val="nil"/>
              <w:bottom w:val="dotted" w:sz="4" w:space="0" w:color="auto"/>
              <w:right w:val="nil"/>
            </w:tcBorders>
            <w:shd w:val="clear" w:color="auto" w:fill="auto"/>
            <w:noWrap/>
            <w:vAlign w:val="center"/>
            <w:hideMark/>
          </w:tcPr>
          <w:p w14:paraId="243B4849" w14:textId="77777777" w:rsidR="008E2185" w:rsidRPr="00973D88" w:rsidRDefault="008E2185" w:rsidP="00FC70B6">
            <w:pPr>
              <w:spacing w:after="0"/>
              <w:rPr>
                <w:rFonts w:eastAsia="Times New Roman" w:cs="Arial"/>
                <w:i/>
                <w:iCs/>
                <w:color w:val="000000"/>
                <w:sz w:val="18"/>
                <w:szCs w:val="18"/>
                <w:lang w:eastAsia="en-AU"/>
              </w:rPr>
            </w:pPr>
            <w:r w:rsidRPr="00973D88">
              <w:rPr>
                <w:rFonts w:eastAsia="Times New Roman" w:cs="Arial"/>
                <w:i/>
                <w:iCs/>
                <w:color w:val="000000"/>
                <w:sz w:val="18"/>
                <w:szCs w:val="18"/>
                <w:lang w:eastAsia="en-AU"/>
              </w:rPr>
              <w:t xml:space="preserve">Sepia </w:t>
            </w:r>
            <w:proofErr w:type="spellStart"/>
            <w:r w:rsidRPr="00973D88">
              <w:rPr>
                <w:rFonts w:eastAsia="Times New Roman" w:cs="Arial"/>
                <w:i/>
                <w:iCs/>
                <w:color w:val="000000"/>
                <w:sz w:val="18"/>
                <w:szCs w:val="18"/>
                <w:lang w:eastAsia="en-AU"/>
              </w:rPr>
              <w:t>papuensis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1150E04E"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0.04</w:t>
            </w:r>
          </w:p>
        </w:tc>
        <w:tc>
          <w:tcPr>
            <w:tcW w:w="951" w:type="dxa"/>
            <w:tcBorders>
              <w:top w:val="dotted" w:sz="4" w:space="0" w:color="auto"/>
              <w:left w:val="nil"/>
              <w:bottom w:val="dotted" w:sz="4" w:space="0" w:color="auto"/>
              <w:right w:val="nil"/>
            </w:tcBorders>
            <w:shd w:val="clear" w:color="auto" w:fill="auto"/>
            <w:noWrap/>
            <w:vAlign w:val="center"/>
            <w:hideMark/>
          </w:tcPr>
          <w:p w14:paraId="66B9C442"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7FAB1374"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61165687"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61CEE58F" w14:textId="77777777" w:rsidTr="00FC70B6">
        <w:trPr>
          <w:trHeight w:val="253"/>
        </w:trPr>
        <w:tc>
          <w:tcPr>
            <w:tcW w:w="1004" w:type="dxa"/>
            <w:tcBorders>
              <w:top w:val="nil"/>
              <w:left w:val="nil"/>
              <w:bottom w:val="nil"/>
              <w:right w:val="nil"/>
            </w:tcBorders>
            <w:shd w:val="clear" w:color="auto" w:fill="auto"/>
            <w:noWrap/>
            <w:vAlign w:val="center"/>
            <w:hideMark/>
          </w:tcPr>
          <w:p w14:paraId="458DC798"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6B2EF7E5"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03E8F8B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Pharaoh Cuttlefish</w:t>
            </w:r>
          </w:p>
        </w:tc>
        <w:tc>
          <w:tcPr>
            <w:tcW w:w="1822" w:type="dxa"/>
            <w:tcBorders>
              <w:top w:val="dotted" w:sz="4" w:space="0" w:color="auto"/>
              <w:left w:val="nil"/>
              <w:bottom w:val="dotted" w:sz="4" w:space="0" w:color="auto"/>
              <w:right w:val="nil"/>
            </w:tcBorders>
            <w:shd w:val="clear" w:color="auto" w:fill="auto"/>
            <w:noWrap/>
            <w:vAlign w:val="center"/>
            <w:hideMark/>
          </w:tcPr>
          <w:p w14:paraId="1B995261" w14:textId="77777777" w:rsidR="008E2185" w:rsidRPr="00973D88" w:rsidRDefault="008E2185" w:rsidP="00FC70B6">
            <w:pPr>
              <w:spacing w:after="0"/>
              <w:rPr>
                <w:rFonts w:eastAsia="Times New Roman" w:cs="Arial"/>
                <w:i/>
                <w:iCs/>
                <w:color w:val="000000"/>
                <w:sz w:val="18"/>
                <w:szCs w:val="18"/>
                <w:lang w:eastAsia="en-AU"/>
              </w:rPr>
            </w:pPr>
            <w:r w:rsidRPr="00973D88">
              <w:rPr>
                <w:rFonts w:eastAsia="Times New Roman" w:cs="Arial"/>
                <w:i/>
                <w:iCs/>
                <w:color w:val="000000"/>
                <w:sz w:val="18"/>
                <w:szCs w:val="18"/>
                <w:lang w:eastAsia="en-AU"/>
              </w:rPr>
              <w:t xml:space="preserve">Sepia </w:t>
            </w:r>
            <w:proofErr w:type="spellStart"/>
            <w:r w:rsidRPr="00973D88">
              <w:rPr>
                <w:rFonts w:eastAsia="Times New Roman" w:cs="Arial"/>
                <w:i/>
                <w:iCs/>
                <w:color w:val="000000"/>
                <w:sz w:val="18"/>
                <w:szCs w:val="18"/>
                <w:lang w:eastAsia="en-AU"/>
              </w:rPr>
              <w:t>pharaonis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63FA0FEE"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0.50</w:t>
            </w:r>
          </w:p>
        </w:tc>
        <w:tc>
          <w:tcPr>
            <w:tcW w:w="951" w:type="dxa"/>
            <w:tcBorders>
              <w:top w:val="dotted" w:sz="4" w:space="0" w:color="auto"/>
              <w:left w:val="nil"/>
              <w:bottom w:val="dotted" w:sz="4" w:space="0" w:color="auto"/>
              <w:right w:val="nil"/>
            </w:tcBorders>
            <w:shd w:val="clear" w:color="auto" w:fill="auto"/>
            <w:noWrap/>
            <w:vAlign w:val="center"/>
            <w:hideMark/>
          </w:tcPr>
          <w:p w14:paraId="0B41FC40"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w:t>
            </w:r>
          </w:p>
        </w:tc>
        <w:tc>
          <w:tcPr>
            <w:tcW w:w="766" w:type="dxa"/>
            <w:tcBorders>
              <w:top w:val="dotted" w:sz="4" w:space="0" w:color="auto"/>
              <w:left w:val="nil"/>
              <w:bottom w:val="dotted" w:sz="4" w:space="0" w:color="auto"/>
              <w:right w:val="nil"/>
            </w:tcBorders>
            <w:shd w:val="clear" w:color="auto" w:fill="auto"/>
            <w:noWrap/>
            <w:vAlign w:val="center"/>
            <w:hideMark/>
          </w:tcPr>
          <w:p w14:paraId="7D76CE1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51CDDE1D"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65C0B6CB" w14:textId="77777777" w:rsidTr="00FC70B6">
        <w:trPr>
          <w:trHeight w:val="253"/>
        </w:trPr>
        <w:tc>
          <w:tcPr>
            <w:tcW w:w="1004" w:type="dxa"/>
            <w:tcBorders>
              <w:top w:val="nil"/>
              <w:left w:val="nil"/>
              <w:bottom w:val="nil"/>
              <w:right w:val="nil"/>
            </w:tcBorders>
            <w:shd w:val="clear" w:color="auto" w:fill="auto"/>
            <w:noWrap/>
            <w:vAlign w:val="center"/>
            <w:hideMark/>
          </w:tcPr>
          <w:p w14:paraId="594995C9"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77041D01"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Gastropoda</w:t>
            </w:r>
            <w:proofErr w:type="spellEnd"/>
          </w:p>
        </w:tc>
        <w:tc>
          <w:tcPr>
            <w:tcW w:w="1473" w:type="dxa"/>
            <w:tcBorders>
              <w:top w:val="dotted" w:sz="4" w:space="0" w:color="auto"/>
              <w:left w:val="nil"/>
              <w:bottom w:val="dotted" w:sz="4" w:space="0" w:color="auto"/>
              <w:right w:val="nil"/>
            </w:tcBorders>
            <w:shd w:val="clear" w:color="auto" w:fill="auto"/>
            <w:noWrap/>
            <w:vAlign w:val="center"/>
            <w:hideMark/>
          </w:tcPr>
          <w:p w14:paraId="73D99929"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Dog whelk (egg casing)</w:t>
            </w:r>
          </w:p>
        </w:tc>
        <w:tc>
          <w:tcPr>
            <w:tcW w:w="1822" w:type="dxa"/>
            <w:tcBorders>
              <w:top w:val="dotted" w:sz="4" w:space="0" w:color="auto"/>
              <w:left w:val="nil"/>
              <w:bottom w:val="dotted" w:sz="4" w:space="0" w:color="auto"/>
              <w:right w:val="nil"/>
            </w:tcBorders>
            <w:shd w:val="clear" w:color="auto" w:fill="auto"/>
            <w:noWrap/>
            <w:vAlign w:val="center"/>
            <w:hideMark/>
          </w:tcPr>
          <w:p w14:paraId="7DD5A603"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Nassariidae</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084EC57E"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0.30</w:t>
            </w:r>
          </w:p>
        </w:tc>
        <w:tc>
          <w:tcPr>
            <w:tcW w:w="951" w:type="dxa"/>
            <w:tcBorders>
              <w:top w:val="dotted" w:sz="4" w:space="0" w:color="auto"/>
              <w:left w:val="nil"/>
              <w:bottom w:val="dotted" w:sz="4" w:space="0" w:color="auto"/>
              <w:right w:val="nil"/>
            </w:tcBorders>
            <w:shd w:val="clear" w:color="auto" w:fill="auto"/>
            <w:noWrap/>
            <w:vAlign w:val="center"/>
            <w:hideMark/>
          </w:tcPr>
          <w:p w14:paraId="50FB24C0"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w:t>
            </w:r>
          </w:p>
        </w:tc>
        <w:tc>
          <w:tcPr>
            <w:tcW w:w="766" w:type="dxa"/>
            <w:tcBorders>
              <w:top w:val="dotted" w:sz="4" w:space="0" w:color="auto"/>
              <w:left w:val="nil"/>
              <w:bottom w:val="dotted" w:sz="4" w:space="0" w:color="auto"/>
              <w:right w:val="nil"/>
            </w:tcBorders>
            <w:shd w:val="clear" w:color="auto" w:fill="auto"/>
            <w:noWrap/>
            <w:vAlign w:val="center"/>
            <w:hideMark/>
          </w:tcPr>
          <w:p w14:paraId="4DBDB98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02828F5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2A2AC4A2" w14:textId="77777777" w:rsidTr="00FC70B6">
        <w:trPr>
          <w:trHeight w:val="253"/>
        </w:trPr>
        <w:tc>
          <w:tcPr>
            <w:tcW w:w="1004" w:type="dxa"/>
            <w:tcBorders>
              <w:top w:val="nil"/>
              <w:left w:val="nil"/>
              <w:bottom w:val="single" w:sz="4" w:space="0" w:color="auto"/>
              <w:right w:val="nil"/>
            </w:tcBorders>
            <w:shd w:val="clear" w:color="auto" w:fill="auto"/>
            <w:noWrap/>
            <w:vAlign w:val="center"/>
            <w:hideMark/>
          </w:tcPr>
          <w:p w14:paraId="2D317592"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Subtotal</w:t>
            </w:r>
          </w:p>
        </w:tc>
        <w:tc>
          <w:tcPr>
            <w:tcW w:w="944" w:type="dxa"/>
            <w:tcBorders>
              <w:top w:val="dotted" w:sz="4" w:space="0" w:color="auto"/>
              <w:left w:val="nil"/>
              <w:bottom w:val="single" w:sz="4" w:space="0" w:color="auto"/>
              <w:right w:val="nil"/>
            </w:tcBorders>
            <w:shd w:val="clear" w:color="auto" w:fill="auto"/>
            <w:noWrap/>
            <w:vAlign w:val="center"/>
            <w:hideMark/>
          </w:tcPr>
          <w:p w14:paraId="5D783B21"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 </w:t>
            </w:r>
          </w:p>
        </w:tc>
        <w:tc>
          <w:tcPr>
            <w:tcW w:w="1473" w:type="dxa"/>
            <w:tcBorders>
              <w:top w:val="dotted" w:sz="4" w:space="0" w:color="auto"/>
              <w:left w:val="nil"/>
              <w:bottom w:val="single" w:sz="4" w:space="0" w:color="auto"/>
              <w:right w:val="nil"/>
            </w:tcBorders>
            <w:shd w:val="clear" w:color="auto" w:fill="auto"/>
            <w:noWrap/>
            <w:vAlign w:val="center"/>
            <w:hideMark/>
          </w:tcPr>
          <w:p w14:paraId="688139B4"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 </w:t>
            </w:r>
          </w:p>
        </w:tc>
        <w:tc>
          <w:tcPr>
            <w:tcW w:w="1822" w:type="dxa"/>
            <w:tcBorders>
              <w:top w:val="dotted" w:sz="4" w:space="0" w:color="auto"/>
              <w:left w:val="nil"/>
              <w:bottom w:val="single" w:sz="4" w:space="0" w:color="auto"/>
              <w:right w:val="nil"/>
            </w:tcBorders>
            <w:shd w:val="clear" w:color="auto" w:fill="auto"/>
            <w:noWrap/>
            <w:vAlign w:val="center"/>
            <w:hideMark/>
          </w:tcPr>
          <w:p w14:paraId="408F8AA1"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 </w:t>
            </w:r>
          </w:p>
        </w:tc>
        <w:tc>
          <w:tcPr>
            <w:tcW w:w="635" w:type="dxa"/>
            <w:tcBorders>
              <w:top w:val="dotted" w:sz="4" w:space="0" w:color="auto"/>
              <w:left w:val="nil"/>
              <w:bottom w:val="single" w:sz="4" w:space="0" w:color="auto"/>
              <w:right w:val="nil"/>
            </w:tcBorders>
            <w:shd w:val="clear" w:color="auto" w:fill="auto"/>
            <w:noWrap/>
            <w:vAlign w:val="center"/>
            <w:hideMark/>
          </w:tcPr>
          <w:p w14:paraId="5DC60CF7" w14:textId="77777777" w:rsidR="008E2185" w:rsidRPr="00973D88" w:rsidRDefault="008E2185" w:rsidP="00FC70B6">
            <w:pPr>
              <w:spacing w:after="0"/>
              <w:jc w:val="center"/>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1</w:t>
            </w:r>
            <w:r>
              <w:rPr>
                <w:rFonts w:eastAsia="Times New Roman" w:cs="Arial"/>
                <w:b/>
                <w:bCs/>
                <w:i/>
                <w:iCs/>
                <w:color w:val="000000"/>
                <w:sz w:val="18"/>
                <w:szCs w:val="18"/>
                <w:lang w:eastAsia="en-AU"/>
              </w:rPr>
              <w:t>,</w:t>
            </w:r>
            <w:r w:rsidRPr="00973D88">
              <w:rPr>
                <w:rFonts w:eastAsia="Times New Roman" w:cs="Arial"/>
                <w:b/>
                <w:bCs/>
                <w:i/>
                <w:iCs/>
                <w:color w:val="000000"/>
                <w:sz w:val="18"/>
                <w:szCs w:val="18"/>
                <w:lang w:eastAsia="en-AU"/>
              </w:rPr>
              <w:t>325.82</w:t>
            </w:r>
          </w:p>
        </w:tc>
        <w:tc>
          <w:tcPr>
            <w:tcW w:w="951" w:type="dxa"/>
            <w:tcBorders>
              <w:top w:val="dotted" w:sz="4" w:space="0" w:color="auto"/>
              <w:left w:val="nil"/>
              <w:bottom w:val="single" w:sz="4" w:space="0" w:color="auto"/>
              <w:right w:val="nil"/>
            </w:tcBorders>
            <w:shd w:val="clear" w:color="auto" w:fill="auto"/>
            <w:noWrap/>
            <w:vAlign w:val="center"/>
            <w:hideMark/>
          </w:tcPr>
          <w:p w14:paraId="11EC4EB4" w14:textId="77777777" w:rsidR="008E2185" w:rsidRPr="00973D88" w:rsidRDefault="008E2185" w:rsidP="00FC70B6">
            <w:pPr>
              <w:spacing w:after="0"/>
              <w:jc w:val="center"/>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22</w:t>
            </w:r>
            <w:r>
              <w:rPr>
                <w:rFonts w:eastAsia="Times New Roman" w:cs="Arial"/>
                <w:b/>
                <w:bCs/>
                <w:i/>
                <w:iCs/>
                <w:color w:val="000000"/>
                <w:sz w:val="18"/>
                <w:szCs w:val="18"/>
                <w:lang w:eastAsia="en-AU"/>
              </w:rPr>
              <w:t>,</w:t>
            </w:r>
            <w:r w:rsidRPr="00973D88">
              <w:rPr>
                <w:rFonts w:eastAsia="Times New Roman" w:cs="Arial"/>
                <w:b/>
                <w:bCs/>
                <w:i/>
                <w:iCs/>
                <w:color w:val="000000"/>
                <w:sz w:val="18"/>
                <w:szCs w:val="18"/>
                <w:lang w:eastAsia="en-AU"/>
              </w:rPr>
              <w:t>227</w:t>
            </w:r>
          </w:p>
        </w:tc>
        <w:tc>
          <w:tcPr>
            <w:tcW w:w="766" w:type="dxa"/>
            <w:tcBorders>
              <w:top w:val="dotted" w:sz="4" w:space="0" w:color="auto"/>
              <w:left w:val="nil"/>
              <w:bottom w:val="single" w:sz="4" w:space="0" w:color="auto"/>
              <w:right w:val="nil"/>
            </w:tcBorders>
            <w:shd w:val="clear" w:color="auto" w:fill="auto"/>
            <w:noWrap/>
            <w:vAlign w:val="center"/>
            <w:hideMark/>
          </w:tcPr>
          <w:p w14:paraId="3194033E"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95%</w:t>
            </w:r>
          </w:p>
        </w:tc>
        <w:tc>
          <w:tcPr>
            <w:tcW w:w="797" w:type="dxa"/>
            <w:tcBorders>
              <w:top w:val="dotted" w:sz="4" w:space="0" w:color="auto"/>
              <w:left w:val="nil"/>
              <w:bottom w:val="single" w:sz="4" w:space="0" w:color="auto"/>
              <w:right w:val="nil"/>
            </w:tcBorders>
            <w:shd w:val="clear" w:color="auto" w:fill="auto"/>
            <w:noWrap/>
            <w:vAlign w:val="center"/>
            <w:hideMark/>
          </w:tcPr>
          <w:p w14:paraId="164D2FAD"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98%</w:t>
            </w:r>
          </w:p>
        </w:tc>
      </w:tr>
      <w:tr w:rsidR="008E2185" w:rsidRPr="0014117C" w14:paraId="2897AE06" w14:textId="77777777" w:rsidTr="00FC70B6">
        <w:trPr>
          <w:trHeight w:val="253"/>
        </w:trPr>
        <w:tc>
          <w:tcPr>
            <w:tcW w:w="1004" w:type="dxa"/>
            <w:tcBorders>
              <w:top w:val="nil"/>
              <w:left w:val="nil"/>
              <w:bottom w:val="nil"/>
              <w:right w:val="nil"/>
            </w:tcBorders>
            <w:shd w:val="clear" w:color="auto" w:fill="auto"/>
            <w:noWrap/>
            <w:vAlign w:val="center"/>
            <w:hideMark/>
          </w:tcPr>
          <w:p w14:paraId="45C64AF3"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Echinodermata</w:t>
            </w:r>
          </w:p>
        </w:tc>
        <w:tc>
          <w:tcPr>
            <w:tcW w:w="944" w:type="dxa"/>
            <w:tcBorders>
              <w:top w:val="single" w:sz="4" w:space="0" w:color="auto"/>
              <w:left w:val="nil"/>
              <w:bottom w:val="dotted" w:sz="4" w:space="0" w:color="auto"/>
              <w:right w:val="nil"/>
            </w:tcBorders>
            <w:shd w:val="clear" w:color="auto" w:fill="auto"/>
            <w:noWrap/>
            <w:vAlign w:val="center"/>
            <w:hideMark/>
          </w:tcPr>
          <w:p w14:paraId="63362CC8"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Ascidiacea</w:t>
            </w:r>
          </w:p>
        </w:tc>
        <w:tc>
          <w:tcPr>
            <w:tcW w:w="1473" w:type="dxa"/>
            <w:tcBorders>
              <w:top w:val="single" w:sz="4" w:space="0" w:color="auto"/>
              <w:left w:val="nil"/>
              <w:bottom w:val="dotted" w:sz="4" w:space="0" w:color="auto"/>
              <w:right w:val="nil"/>
            </w:tcBorders>
            <w:shd w:val="clear" w:color="auto" w:fill="auto"/>
            <w:noWrap/>
            <w:vAlign w:val="center"/>
            <w:hideMark/>
          </w:tcPr>
          <w:p w14:paraId="3060F310"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Ascidian</w:t>
            </w:r>
          </w:p>
        </w:tc>
        <w:tc>
          <w:tcPr>
            <w:tcW w:w="1822" w:type="dxa"/>
            <w:tcBorders>
              <w:top w:val="single" w:sz="4" w:space="0" w:color="auto"/>
              <w:left w:val="nil"/>
              <w:bottom w:val="dotted" w:sz="4" w:space="0" w:color="auto"/>
              <w:right w:val="nil"/>
            </w:tcBorders>
            <w:shd w:val="clear" w:color="auto" w:fill="auto"/>
            <w:noWrap/>
            <w:vAlign w:val="center"/>
            <w:hideMark/>
          </w:tcPr>
          <w:p w14:paraId="125970B3"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Ascidiacea sp. 1</w:t>
            </w:r>
          </w:p>
        </w:tc>
        <w:tc>
          <w:tcPr>
            <w:tcW w:w="635" w:type="dxa"/>
            <w:tcBorders>
              <w:top w:val="single" w:sz="4" w:space="0" w:color="auto"/>
              <w:left w:val="nil"/>
              <w:bottom w:val="dotted" w:sz="4" w:space="0" w:color="auto"/>
              <w:right w:val="nil"/>
            </w:tcBorders>
            <w:shd w:val="clear" w:color="auto" w:fill="auto"/>
            <w:noWrap/>
            <w:vAlign w:val="center"/>
            <w:hideMark/>
          </w:tcPr>
          <w:p w14:paraId="0C454C3C"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0.20</w:t>
            </w:r>
          </w:p>
        </w:tc>
        <w:tc>
          <w:tcPr>
            <w:tcW w:w="951" w:type="dxa"/>
            <w:tcBorders>
              <w:top w:val="single" w:sz="4" w:space="0" w:color="auto"/>
              <w:left w:val="nil"/>
              <w:bottom w:val="dotted" w:sz="4" w:space="0" w:color="auto"/>
              <w:right w:val="nil"/>
            </w:tcBorders>
            <w:shd w:val="clear" w:color="auto" w:fill="auto"/>
            <w:noWrap/>
            <w:vAlign w:val="center"/>
            <w:hideMark/>
          </w:tcPr>
          <w:p w14:paraId="598A5F08"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single" w:sz="4" w:space="0" w:color="auto"/>
              <w:left w:val="nil"/>
              <w:bottom w:val="dotted" w:sz="4" w:space="0" w:color="auto"/>
              <w:right w:val="nil"/>
            </w:tcBorders>
            <w:shd w:val="clear" w:color="auto" w:fill="auto"/>
            <w:noWrap/>
            <w:vAlign w:val="center"/>
            <w:hideMark/>
          </w:tcPr>
          <w:p w14:paraId="2C6C8974"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single" w:sz="4" w:space="0" w:color="auto"/>
              <w:left w:val="nil"/>
              <w:bottom w:val="dotted" w:sz="4" w:space="0" w:color="auto"/>
              <w:right w:val="nil"/>
            </w:tcBorders>
            <w:shd w:val="clear" w:color="auto" w:fill="auto"/>
            <w:noWrap/>
            <w:vAlign w:val="center"/>
            <w:hideMark/>
          </w:tcPr>
          <w:p w14:paraId="5AE1EEEC"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44F5284E" w14:textId="77777777" w:rsidTr="00FC70B6">
        <w:trPr>
          <w:trHeight w:val="253"/>
        </w:trPr>
        <w:tc>
          <w:tcPr>
            <w:tcW w:w="1004" w:type="dxa"/>
            <w:tcBorders>
              <w:top w:val="nil"/>
              <w:left w:val="nil"/>
              <w:bottom w:val="nil"/>
              <w:right w:val="nil"/>
            </w:tcBorders>
            <w:shd w:val="clear" w:color="auto" w:fill="auto"/>
            <w:noWrap/>
            <w:vAlign w:val="center"/>
            <w:hideMark/>
          </w:tcPr>
          <w:p w14:paraId="5DFBF14C"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2564D7A3"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28B158B1" w14:textId="77777777" w:rsidR="008E2185" w:rsidRPr="00973D88" w:rsidRDefault="008E2185" w:rsidP="00FC70B6">
            <w:pPr>
              <w:spacing w:after="0"/>
              <w:rPr>
                <w:rFonts w:eastAsia="Times New Roman" w:cs="Arial"/>
                <w:sz w:val="18"/>
                <w:szCs w:val="18"/>
                <w:lang w:eastAsia="en-AU"/>
              </w:rPr>
            </w:pPr>
            <w:r w:rsidRPr="0014117C">
              <w:rPr>
                <w:rFonts w:eastAsia="Times New Roman" w:cs="Arial"/>
                <w:sz w:val="18"/>
                <w:szCs w:val="18"/>
                <w:lang w:eastAsia="en-AU"/>
              </w:rPr>
              <w:t>NA</w:t>
            </w:r>
          </w:p>
        </w:tc>
        <w:tc>
          <w:tcPr>
            <w:tcW w:w="1822" w:type="dxa"/>
            <w:tcBorders>
              <w:top w:val="dotted" w:sz="4" w:space="0" w:color="auto"/>
              <w:left w:val="nil"/>
              <w:bottom w:val="dotted" w:sz="4" w:space="0" w:color="auto"/>
              <w:right w:val="nil"/>
            </w:tcBorders>
            <w:shd w:val="clear" w:color="auto" w:fill="auto"/>
            <w:noWrap/>
            <w:vAlign w:val="center"/>
            <w:hideMark/>
          </w:tcPr>
          <w:p w14:paraId="36A434ED"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Ascidiacea sp. 2</w:t>
            </w:r>
          </w:p>
        </w:tc>
        <w:tc>
          <w:tcPr>
            <w:tcW w:w="635" w:type="dxa"/>
            <w:tcBorders>
              <w:top w:val="dotted" w:sz="4" w:space="0" w:color="auto"/>
              <w:left w:val="nil"/>
              <w:bottom w:val="dotted" w:sz="4" w:space="0" w:color="auto"/>
              <w:right w:val="nil"/>
            </w:tcBorders>
            <w:shd w:val="clear" w:color="auto" w:fill="auto"/>
            <w:noWrap/>
            <w:vAlign w:val="center"/>
            <w:hideMark/>
          </w:tcPr>
          <w:p w14:paraId="548F2B88"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2.85</w:t>
            </w:r>
          </w:p>
        </w:tc>
        <w:tc>
          <w:tcPr>
            <w:tcW w:w="951" w:type="dxa"/>
            <w:tcBorders>
              <w:top w:val="dotted" w:sz="4" w:space="0" w:color="auto"/>
              <w:left w:val="nil"/>
              <w:bottom w:val="dotted" w:sz="4" w:space="0" w:color="auto"/>
              <w:right w:val="nil"/>
            </w:tcBorders>
            <w:shd w:val="clear" w:color="auto" w:fill="auto"/>
            <w:noWrap/>
            <w:vAlign w:val="center"/>
            <w:hideMark/>
          </w:tcPr>
          <w:p w14:paraId="1385EC88"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w:t>
            </w:r>
          </w:p>
        </w:tc>
        <w:tc>
          <w:tcPr>
            <w:tcW w:w="766" w:type="dxa"/>
            <w:tcBorders>
              <w:top w:val="dotted" w:sz="4" w:space="0" w:color="auto"/>
              <w:left w:val="nil"/>
              <w:bottom w:val="dotted" w:sz="4" w:space="0" w:color="auto"/>
              <w:right w:val="nil"/>
            </w:tcBorders>
            <w:shd w:val="clear" w:color="auto" w:fill="auto"/>
            <w:noWrap/>
            <w:vAlign w:val="center"/>
            <w:hideMark/>
          </w:tcPr>
          <w:p w14:paraId="13CFD50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272B58A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08B7C257" w14:textId="77777777" w:rsidTr="00FC70B6">
        <w:trPr>
          <w:trHeight w:val="253"/>
        </w:trPr>
        <w:tc>
          <w:tcPr>
            <w:tcW w:w="1004" w:type="dxa"/>
            <w:tcBorders>
              <w:top w:val="nil"/>
              <w:left w:val="nil"/>
              <w:bottom w:val="nil"/>
              <w:right w:val="nil"/>
            </w:tcBorders>
            <w:shd w:val="clear" w:color="auto" w:fill="auto"/>
            <w:noWrap/>
            <w:vAlign w:val="center"/>
            <w:hideMark/>
          </w:tcPr>
          <w:p w14:paraId="0C181B2B"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13D70A81"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3BBAAE16" w14:textId="77777777" w:rsidR="008E2185" w:rsidRPr="00973D88" w:rsidRDefault="008E2185" w:rsidP="00FC70B6">
            <w:pPr>
              <w:spacing w:after="0"/>
              <w:rPr>
                <w:rFonts w:eastAsia="Times New Roman" w:cs="Arial"/>
                <w:sz w:val="18"/>
                <w:szCs w:val="18"/>
                <w:lang w:eastAsia="en-AU"/>
              </w:rPr>
            </w:pPr>
            <w:r w:rsidRPr="0014117C">
              <w:rPr>
                <w:rFonts w:eastAsia="Times New Roman" w:cs="Arial"/>
                <w:sz w:val="18"/>
                <w:szCs w:val="18"/>
                <w:lang w:eastAsia="en-AU"/>
              </w:rPr>
              <w:t>NA</w:t>
            </w:r>
          </w:p>
        </w:tc>
        <w:tc>
          <w:tcPr>
            <w:tcW w:w="1822" w:type="dxa"/>
            <w:tcBorders>
              <w:top w:val="dotted" w:sz="4" w:space="0" w:color="auto"/>
              <w:left w:val="nil"/>
              <w:bottom w:val="dotted" w:sz="4" w:space="0" w:color="auto"/>
              <w:right w:val="nil"/>
            </w:tcBorders>
            <w:shd w:val="clear" w:color="auto" w:fill="auto"/>
            <w:noWrap/>
            <w:vAlign w:val="center"/>
            <w:hideMark/>
          </w:tcPr>
          <w:p w14:paraId="03B556D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Ascidiacea sp. 3</w:t>
            </w:r>
          </w:p>
        </w:tc>
        <w:tc>
          <w:tcPr>
            <w:tcW w:w="635" w:type="dxa"/>
            <w:tcBorders>
              <w:top w:val="dotted" w:sz="4" w:space="0" w:color="auto"/>
              <w:left w:val="nil"/>
              <w:bottom w:val="dotted" w:sz="4" w:space="0" w:color="auto"/>
              <w:right w:val="nil"/>
            </w:tcBorders>
            <w:shd w:val="clear" w:color="auto" w:fill="auto"/>
            <w:noWrap/>
            <w:vAlign w:val="center"/>
            <w:hideMark/>
          </w:tcPr>
          <w:p w14:paraId="5ED034B7"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0.24</w:t>
            </w:r>
          </w:p>
        </w:tc>
        <w:tc>
          <w:tcPr>
            <w:tcW w:w="951" w:type="dxa"/>
            <w:tcBorders>
              <w:top w:val="dotted" w:sz="4" w:space="0" w:color="auto"/>
              <w:left w:val="nil"/>
              <w:bottom w:val="dotted" w:sz="4" w:space="0" w:color="auto"/>
              <w:right w:val="nil"/>
            </w:tcBorders>
            <w:shd w:val="clear" w:color="auto" w:fill="auto"/>
            <w:noWrap/>
            <w:vAlign w:val="center"/>
            <w:hideMark/>
          </w:tcPr>
          <w:p w14:paraId="7483316F"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680C712C"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405E9CF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26B15CDA" w14:textId="77777777" w:rsidTr="00FC70B6">
        <w:trPr>
          <w:trHeight w:val="253"/>
        </w:trPr>
        <w:tc>
          <w:tcPr>
            <w:tcW w:w="1004" w:type="dxa"/>
            <w:tcBorders>
              <w:top w:val="nil"/>
              <w:left w:val="nil"/>
              <w:bottom w:val="nil"/>
              <w:right w:val="nil"/>
            </w:tcBorders>
            <w:shd w:val="clear" w:color="auto" w:fill="auto"/>
            <w:noWrap/>
            <w:vAlign w:val="center"/>
            <w:hideMark/>
          </w:tcPr>
          <w:p w14:paraId="0CA72F98"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04D97F3D"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Asteroidea</w:t>
            </w:r>
          </w:p>
        </w:tc>
        <w:tc>
          <w:tcPr>
            <w:tcW w:w="1473" w:type="dxa"/>
            <w:tcBorders>
              <w:top w:val="dotted" w:sz="4" w:space="0" w:color="auto"/>
              <w:left w:val="nil"/>
              <w:bottom w:val="dotted" w:sz="4" w:space="0" w:color="auto"/>
              <w:right w:val="nil"/>
            </w:tcBorders>
            <w:shd w:val="clear" w:color="auto" w:fill="auto"/>
            <w:noWrap/>
            <w:vAlign w:val="center"/>
            <w:hideMark/>
          </w:tcPr>
          <w:p w14:paraId="26F2F04C"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Archaster</w:t>
            </w:r>
            <w:proofErr w:type="spellEnd"/>
            <w:r w:rsidRPr="00973D88">
              <w:rPr>
                <w:rFonts w:eastAsia="Times New Roman" w:cs="Arial"/>
                <w:color w:val="000000"/>
                <w:sz w:val="18"/>
                <w:szCs w:val="18"/>
                <w:lang w:eastAsia="en-AU"/>
              </w:rPr>
              <w:t xml:space="preserve"> angulatus </w:t>
            </w:r>
            <w:proofErr w:type="spellStart"/>
            <w:r w:rsidRPr="00973D88">
              <w:rPr>
                <w:rFonts w:eastAsia="Times New Roman" w:cs="Arial"/>
                <w:color w:val="000000"/>
                <w:sz w:val="18"/>
                <w:szCs w:val="18"/>
                <w:lang w:eastAsia="en-AU"/>
              </w:rPr>
              <w:t>Seastar</w:t>
            </w:r>
            <w:proofErr w:type="spellEnd"/>
          </w:p>
        </w:tc>
        <w:tc>
          <w:tcPr>
            <w:tcW w:w="1822" w:type="dxa"/>
            <w:tcBorders>
              <w:top w:val="dotted" w:sz="4" w:space="0" w:color="auto"/>
              <w:left w:val="nil"/>
              <w:bottom w:val="dotted" w:sz="4" w:space="0" w:color="auto"/>
              <w:right w:val="nil"/>
            </w:tcBorders>
            <w:shd w:val="clear" w:color="auto" w:fill="auto"/>
            <w:noWrap/>
            <w:vAlign w:val="center"/>
            <w:hideMark/>
          </w:tcPr>
          <w:p w14:paraId="50F962BC"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Archaster</w:t>
            </w:r>
            <w:proofErr w:type="spellEnd"/>
            <w:r w:rsidRPr="00973D88">
              <w:rPr>
                <w:rFonts w:eastAsia="Times New Roman" w:cs="Arial"/>
                <w:i/>
                <w:iCs/>
                <w:color w:val="000000"/>
                <w:sz w:val="18"/>
                <w:szCs w:val="18"/>
                <w:lang w:eastAsia="en-AU"/>
              </w:rPr>
              <w:t xml:space="preserve"> angulatus</w:t>
            </w:r>
          </w:p>
        </w:tc>
        <w:tc>
          <w:tcPr>
            <w:tcW w:w="635" w:type="dxa"/>
            <w:tcBorders>
              <w:top w:val="dotted" w:sz="4" w:space="0" w:color="auto"/>
              <w:left w:val="nil"/>
              <w:bottom w:val="dotted" w:sz="4" w:space="0" w:color="auto"/>
              <w:right w:val="nil"/>
            </w:tcBorders>
            <w:shd w:val="clear" w:color="auto" w:fill="auto"/>
            <w:noWrap/>
            <w:vAlign w:val="center"/>
            <w:hideMark/>
          </w:tcPr>
          <w:p w14:paraId="0A4D98F2"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0.06</w:t>
            </w:r>
          </w:p>
        </w:tc>
        <w:tc>
          <w:tcPr>
            <w:tcW w:w="951" w:type="dxa"/>
            <w:tcBorders>
              <w:top w:val="dotted" w:sz="4" w:space="0" w:color="auto"/>
              <w:left w:val="nil"/>
              <w:bottom w:val="dotted" w:sz="4" w:space="0" w:color="auto"/>
              <w:right w:val="nil"/>
            </w:tcBorders>
            <w:shd w:val="clear" w:color="auto" w:fill="auto"/>
            <w:noWrap/>
            <w:vAlign w:val="center"/>
            <w:hideMark/>
          </w:tcPr>
          <w:p w14:paraId="5DF13CCD"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w:t>
            </w:r>
          </w:p>
        </w:tc>
        <w:tc>
          <w:tcPr>
            <w:tcW w:w="766" w:type="dxa"/>
            <w:tcBorders>
              <w:top w:val="dotted" w:sz="4" w:space="0" w:color="auto"/>
              <w:left w:val="nil"/>
              <w:bottom w:val="dotted" w:sz="4" w:space="0" w:color="auto"/>
              <w:right w:val="nil"/>
            </w:tcBorders>
            <w:shd w:val="clear" w:color="auto" w:fill="auto"/>
            <w:noWrap/>
            <w:vAlign w:val="center"/>
            <w:hideMark/>
          </w:tcPr>
          <w:p w14:paraId="0AB669D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1307A0D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7AEF8FEC" w14:textId="77777777" w:rsidTr="00FC70B6">
        <w:trPr>
          <w:trHeight w:val="253"/>
        </w:trPr>
        <w:tc>
          <w:tcPr>
            <w:tcW w:w="1004" w:type="dxa"/>
            <w:tcBorders>
              <w:top w:val="nil"/>
              <w:left w:val="nil"/>
              <w:bottom w:val="nil"/>
              <w:right w:val="nil"/>
            </w:tcBorders>
            <w:shd w:val="clear" w:color="auto" w:fill="auto"/>
            <w:noWrap/>
            <w:vAlign w:val="center"/>
            <w:hideMark/>
          </w:tcPr>
          <w:p w14:paraId="7D43D263"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2DEB0CD6"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2D5844BC"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Galloping Sea Star</w:t>
            </w:r>
          </w:p>
        </w:tc>
        <w:tc>
          <w:tcPr>
            <w:tcW w:w="1822" w:type="dxa"/>
            <w:tcBorders>
              <w:top w:val="dotted" w:sz="4" w:space="0" w:color="auto"/>
              <w:left w:val="nil"/>
              <w:bottom w:val="dotted" w:sz="4" w:space="0" w:color="auto"/>
              <w:right w:val="nil"/>
            </w:tcBorders>
            <w:shd w:val="clear" w:color="auto" w:fill="auto"/>
            <w:noWrap/>
            <w:vAlign w:val="center"/>
            <w:hideMark/>
          </w:tcPr>
          <w:p w14:paraId="2E51B5B7"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Stellaster</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equestris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0FB50A05"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2.52</w:t>
            </w:r>
          </w:p>
        </w:tc>
        <w:tc>
          <w:tcPr>
            <w:tcW w:w="951" w:type="dxa"/>
            <w:tcBorders>
              <w:top w:val="dotted" w:sz="4" w:space="0" w:color="auto"/>
              <w:left w:val="nil"/>
              <w:bottom w:val="dotted" w:sz="4" w:space="0" w:color="auto"/>
              <w:right w:val="nil"/>
            </w:tcBorders>
            <w:shd w:val="clear" w:color="auto" w:fill="auto"/>
            <w:noWrap/>
            <w:vAlign w:val="center"/>
            <w:hideMark/>
          </w:tcPr>
          <w:p w14:paraId="2F4E21CE"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29</w:t>
            </w:r>
          </w:p>
        </w:tc>
        <w:tc>
          <w:tcPr>
            <w:tcW w:w="766" w:type="dxa"/>
            <w:tcBorders>
              <w:top w:val="dotted" w:sz="4" w:space="0" w:color="auto"/>
              <w:left w:val="nil"/>
              <w:bottom w:val="dotted" w:sz="4" w:space="0" w:color="auto"/>
              <w:right w:val="nil"/>
            </w:tcBorders>
            <w:shd w:val="clear" w:color="auto" w:fill="auto"/>
            <w:noWrap/>
            <w:vAlign w:val="center"/>
            <w:hideMark/>
          </w:tcPr>
          <w:p w14:paraId="6373BA5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69BFB780"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7CAE11C2" w14:textId="77777777" w:rsidTr="00FC70B6">
        <w:trPr>
          <w:trHeight w:val="253"/>
        </w:trPr>
        <w:tc>
          <w:tcPr>
            <w:tcW w:w="1004" w:type="dxa"/>
            <w:tcBorders>
              <w:top w:val="nil"/>
              <w:left w:val="nil"/>
              <w:bottom w:val="nil"/>
              <w:right w:val="nil"/>
            </w:tcBorders>
            <w:shd w:val="clear" w:color="auto" w:fill="auto"/>
            <w:noWrap/>
            <w:vAlign w:val="center"/>
            <w:hideMark/>
          </w:tcPr>
          <w:p w14:paraId="53715C8D"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3EF864F7"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5A46261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Giant Starfish</w:t>
            </w:r>
          </w:p>
        </w:tc>
        <w:tc>
          <w:tcPr>
            <w:tcW w:w="1822" w:type="dxa"/>
            <w:tcBorders>
              <w:top w:val="dotted" w:sz="4" w:space="0" w:color="auto"/>
              <w:left w:val="nil"/>
              <w:bottom w:val="dotted" w:sz="4" w:space="0" w:color="auto"/>
              <w:right w:val="nil"/>
            </w:tcBorders>
            <w:shd w:val="clear" w:color="auto" w:fill="auto"/>
            <w:noWrap/>
            <w:vAlign w:val="center"/>
            <w:hideMark/>
          </w:tcPr>
          <w:p w14:paraId="5030B37F" w14:textId="77777777" w:rsidR="008E2185" w:rsidRPr="00973D88" w:rsidRDefault="008E2185" w:rsidP="00FC70B6">
            <w:pPr>
              <w:spacing w:after="0"/>
              <w:rPr>
                <w:rFonts w:eastAsia="Times New Roman" w:cs="Arial"/>
                <w:color w:val="000000"/>
                <w:sz w:val="18"/>
                <w:szCs w:val="18"/>
                <w:lang w:eastAsia="en-AU"/>
              </w:rPr>
            </w:pPr>
            <w:r w:rsidRPr="004423C3">
              <w:rPr>
                <w:rFonts w:eastAsia="Times New Roman" w:cs="Arial"/>
                <w:color w:val="000000"/>
                <w:sz w:val="18"/>
                <w:szCs w:val="18"/>
                <w:lang w:eastAsia="en-AU"/>
              </w:rPr>
              <w:t>Asteroidea</w:t>
            </w:r>
            <w:r>
              <w:rPr>
                <w:rFonts w:eastAsia="Times New Roman" w:cs="Arial"/>
                <w:color w:val="000000"/>
                <w:sz w:val="18"/>
                <w:szCs w:val="18"/>
                <w:lang w:eastAsia="en-AU"/>
              </w:rPr>
              <w:t xml:space="preserve"> sp. 1</w:t>
            </w:r>
          </w:p>
        </w:tc>
        <w:tc>
          <w:tcPr>
            <w:tcW w:w="635" w:type="dxa"/>
            <w:tcBorders>
              <w:top w:val="dotted" w:sz="4" w:space="0" w:color="auto"/>
              <w:left w:val="nil"/>
              <w:bottom w:val="dotted" w:sz="4" w:space="0" w:color="auto"/>
              <w:right w:val="nil"/>
            </w:tcBorders>
            <w:shd w:val="clear" w:color="auto" w:fill="auto"/>
            <w:noWrap/>
            <w:vAlign w:val="center"/>
            <w:hideMark/>
          </w:tcPr>
          <w:p w14:paraId="7762F93B"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11.41</w:t>
            </w:r>
          </w:p>
        </w:tc>
        <w:tc>
          <w:tcPr>
            <w:tcW w:w="951" w:type="dxa"/>
            <w:tcBorders>
              <w:top w:val="dotted" w:sz="4" w:space="0" w:color="auto"/>
              <w:left w:val="nil"/>
              <w:bottom w:val="dotted" w:sz="4" w:space="0" w:color="auto"/>
              <w:right w:val="nil"/>
            </w:tcBorders>
            <w:shd w:val="clear" w:color="auto" w:fill="auto"/>
            <w:noWrap/>
            <w:vAlign w:val="center"/>
            <w:hideMark/>
          </w:tcPr>
          <w:p w14:paraId="2B00546E"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6</w:t>
            </w:r>
          </w:p>
        </w:tc>
        <w:tc>
          <w:tcPr>
            <w:tcW w:w="766" w:type="dxa"/>
            <w:tcBorders>
              <w:top w:val="dotted" w:sz="4" w:space="0" w:color="auto"/>
              <w:left w:val="nil"/>
              <w:bottom w:val="dotted" w:sz="4" w:space="0" w:color="auto"/>
              <w:right w:val="nil"/>
            </w:tcBorders>
            <w:shd w:val="clear" w:color="auto" w:fill="auto"/>
            <w:noWrap/>
            <w:vAlign w:val="center"/>
            <w:hideMark/>
          </w:tcPr>
          <w:p w14:paraId="46B3CD83" w14:textId="77777777" w:rsidR="008E2185" w:rsidRPr="00973D88" w:rsidRDefault="008E2185" w:rsidP="00FC70B6">
            <w:pPr>
              <w:spacing w:after="0"/>
              <w:rPr>
                <w:rFonts w:eastAsia="Times New Roman" w:cs="Arial"/>
                <w:sz w:val="18"/>
                <w:szCs w:val="18"/>
                <w:lang w:eastAsia="en-AU"/>
              </w:rPr>
            </w:pPr>
            <w:r w:rsidRPr="00973D88">
              <w:rPr>
                <w:rFonts w:eastAsia="Times New Roman" w:cs="Arial"/>
                <w:sz w:val="18"/>
                <w:szCs w:val="18"/>
                <w:lang w:eastAsia="en-AU"/>
              </w:rPr>
              <w:t>1%</w:t>
            </w:r>
          </w:p>
        </w:tc>
        <w:tc>
          <w:tcPr>
            <w:tcW w:w="797" w:type="dxa"/>
            <w:tcBorders>
              <w:top w:val="dotted" w:sz="4" w:space="0" w:color="auto"/>
              <w:left w:val="nil"/>
              <w:bottom w:val="dotted" w:sz="4" w:space="0" w:color="auto"/>
              <w:right w:val="nil"/>
            </w:tcBorders>
            <w:shd w:val="clear" w:color="auto" w:fill="auto"/>
            <w:noWrap/>
            <w:vAlign w:val="center"/>
            <w:hideMark/>
          </w:tcPr>
          <w:p w14:paraId="7ADFF45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570C2FAB" w14:textId="77777777" w:rsidTr="00FC70B6">
        <w:trPr>
          <w:trHeight w:val="253"/>
        </w:trPr>
        <w:tc>
          <w:tcPr>
            <w:tcW w:w="1004" w:type="dxa"/>
            <w:tcBorders>
              <w:top w:val="nil"/>
              <w:left w:val="nil"/>
              <w:bottom w:val="nil"/>
              <w:right w:val="nil"/>
            </w:tcBorders>
            <w:shd w:val="clear" w:color="auto" w:fill="auto"/>
            <w:noWrap/>
            <w:vAlign w:val="center"/>
            <w:hideMark/>
          </w:tcPr>
          <w:p w14:paraId="3CEC436D"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4EE3817E"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08EB90E6"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Seastar</w:t>
            </w:r>
            <w:proofErr w:type="spellEnd"/>
          </w:p>
        </w:tc>
        <w:tc>
          <w:tcPr>
            <w:tcW w:w="1822" w:type="dxa"/>
            <w:tcBorders>
              <w:top w:val="dotted" w:sz="4" w:space="0" w:color="auto"/>
              <w:left w:val="nil"/>
              <w:bottom w:val="dotted" w:sz="4" w:space="0" w:color="auto"/>
              <w:right w:val="nil"/>
            </w:tcBorders>
            <w:shd w:val="clear" w:color="auto" w:fill="auto"/>
            <w:noWrap/>
            <w:vAlign w:val="center"/>
            <w:hideMark/>
          </w:tcPr>
          <w:p w14:paraId="50227E07"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Luidia</w:t>
            </w:r>
            <w:proofErr w:type="spellEnd"/>
            <w:r w:rsidRPr="00973D88">
              <w:rPr>
                <w:rFonts w:eastAsia="Times New Roman" w:cs="Arial"/>
                <w:i/>
                <w:iCs/>
                <w:color w:val="000000"/>
                <w:sz w:val="18"/>
                <w:szCs w:val="18"/>
                <w:lang w:eastAsia="en-AU"/>
              </w:rPr>
              <w:t xml:space="preserve"> maculata</w:t>
            </w:r>
          </w:p>
        </w:tc>
        <w:tc>
          <w:tcPr>
            <w:tcW w:w="635" w:type="dxa"/>
            <w:tcBorders>
              <w:top w:val="dotted" w:sz="4" w:space="0" w:color="auto"/>
              <w:left w:val="nil"/>
              <w:bottom w:val="dotted" w:sz="4" w:space="0" w:color="auto"/>
              <w:right w:val="nil"/>
            </w:tcBorders>
            <w:shd w:val="clear" w:color="auto" w:fill="auto"/>
            <w:noWrap/>
            <w:vAlign w:val="center"/>
            <w:hideMark/>
          </w:tcPr>
          <w:p w14:paraId="5649AE67"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1.74</w:t>
            </w:r>
          </w:p>
        </w:tc>
        <w:tc>
          <w:tcPr>
            <w:tcW w:w="951" w:type="dxa"/>
            <w:tcBorders>
              <w:top w:val="dotted" w:sz="4" w:space="0" w:color="auto"/>
              <w:left w:val="nil"/>
              <w:bottom w:val="dotted" w:sz="4" w:space="0" w:color="auto"/>
              <w:right w:val="nil"/>
            </w:tcBorders>
            <w:shd w:val="clear" w:color="auto" w:fill="auto"/>
            <w:noWrap/>
            <w:vAlign w:val="center"/>
            <w:hideMark/>
          </w:tcPr>
          <w:p w14:paraId="63B499C8"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10</w:t>
            </w:r>
          </w:p>
        </w:tc>
        <w:tc>
          <w:tcPr>
            <w:tcW w:w="766" w:type="dxa"/>
            <w:tcBorders>
              <w:top w:val="dotted" w:sz="4" w:space="0" w:color="auto"/>
              <w:left w:val="nil"/>
              <w:bottom w:val="dotted" w:sz="4" w:space="0" w:color="auto"/>
              <w:right w:val="nil"/>
            </w:tcBorders>
            <w:shd w:val="clear" w:color="auto" w:fill="auto"/>
            <w:noWrap/>
            <w:vAlign w:val="center"/>
            <w:hideMark/>
          </w:tcPr>
          <w:p w14:paraId="227C6ADF"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1A1C9EFE"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612E7FB8" w14:textId="77777777" w:rsidTr="00FC70B6">
        <w:trPr>
          <w:trHeight w:val="253"/>
        </w:trPr>
        <w:tc>
          <w:tcPr>
            <w:tcW w:w="1004" w:type="dxa"/>
            <w:tcBorders>
              <w:top w:val="nil"/>
              <w:left w:val="nil"/>
              <w:bottom w:val="nil"/>
              <w:right w:val="nil"/>
            </w:tcBorders>
            <w:shd w:val="clear" w:color="auto" w:fill="auto"/>
            <w:noWrap/>
            <w:vAlign w:val="center"/>
            <w:hideMark/>
          </w:tcPr>
          <w:p w14:paraId="098D9235"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172EC1FD"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77D4CC5E" w14:textId="77777777" w:rsidR="008E2185" w:rsidRPr="00973D88" w:rsidRDefault="008E2185" w:rsidP="00FC70B6">
            <w:pPr>
              <w:spacing w:after="0"/>
              <w:rPr>
                <w:rFonts w:eastAsia="Times New Roman" w:cs="Arial"/>
                <w:sz w:val="18"/>
                <w:szCs w:val="18"/>
                <w:lang w:eastAsia="en-AU"/>
              </w:rPr>
            </w:pPr>
          </w:p>
        </w:tc>
        <w:tc>
          <w:tcPr>
            <w:tcW w:w="1822" w:type="dxa"/>
            <w:tcBorders>
              <w:top w:val="dotted" w:sz="4" w:space="0" w:color="auto"/>
              <w:left w:val="nil"/>
              <w:bottom w:val="dotted" w:sz="4" w:space="0" w:color="auto"/>
              <w:right w:val="nil"/>
            </w:tcBorders>
            <w:shd w:val="clear" w:color="auto" w:fill="auto"/>
            <w:noWrap/>
            <w:vAlign w:val="center"/>
            <w:hideMark/>
          </w:tcPr>
          <w:p w14:paraId="39B11A99"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i/>
                <w:iCs/>
                <w:color w:val="000000"/>
                <w:sz w:val="18"/>
                <w:szCs w:val="18"/>
                <w:lang w:eastAsia="en-AU"/>
              </w:rPr>
              <w:t>Luidia</w:t>
            </w:r>
            <w:proofErr w:type="spellEnd"/>
            <w:r w:rsidRPr="00973D88">
              <w:rPr>
                <w:rFonts w:eastAsia="Times New Roman" w:cs="Arial"/>
                <w:color w:val="000000"/>
                <w:sz w:val="18"/>
                <w:szCs w:val="18"/>
                <w:lang w:eastAsia="en-AU"/>
              </w:rPr>
              <w:t xml:space="preserve"> sp.</w:t>
            </w:r>
          </w:p>
        </w:tc>
        <w:tc>
          <w:tcPr>
            <w:tcW w:w="635" w:type="dxa"/>
            <w:tcBorders>
              <w:top w:val="dotted" w:sz="4" w:space="0" w:color="auto"/>
              <w:left w:val="nil"/>
              <w:bottom w:val="dotted" w:sz="4" w:space="0" w:color="auto"/>
              <w:right w:val="nil"/>
            </w:tcBorders>
            <w:shd w:val="clear" w:color="auto" w:fill="auto"/>
            <w:noWrap/>
            <w:vAlign w:val="center"/>
            <w:hideMark/>
          </w:tcPr>
          <w:p w14:paraId="5A564183"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2.50</w:t>
            </w:r>
          </w:p>
        </w:tc>
        <w:tc>
          <w:tcPr>
            <w:tcW w:w="951" w:type="dxa"/>
            <w:tcBorders>
              <w:top w:val="dotted" w:sz="4" w:space="0" w:color="auto"/>
              <w:left w:val="nil"/>
              <w:bottom w:val="dotted" w:sz="4" w:space="0" w:color="auto"/>
              <w:right w:val="nil"/>
            </w:tcBorders>
            <w:shd w:val="clear" w:color="auto" w:fill="auto"/>
            <w:noWrap/>
            <w:vAlign w:val="center"/>
            <w:hideMark/>
          </w:tcPr>
          <w:p w14:paraId="3A1C27F1"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65350ADC"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3EEE909C"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1953BA2F" w14:textId="77777777" w:rsidTr="00FC70B6">
        <w:trPr>
          <w:trHeight w:val="253"/>
        </w:trPr>
        <w:tc>
          <w:tcPr>
            <w:tcW w:w="1004" w:type="dxa"/>
            <w:tcBorders>
              <w:top w:val="nil"/>
              <w:left w:val="nil"/>
              <w:bottom w:val="nil"/>
              <w:right w:val="nil"/>
            </w:tcBorders>
            <w:shd w:val="clear" w:color="auto" w:fill="auto"/>
            <w:noWrap/>
            <w:vAlign w:val="center"/>
            <w:hideMark/>
          </w:tcPr>
          <w:p w14:paraId="4FE6A7E2"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5EC37479"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Echinoidea</w:t>
            </w:r>
            <w:proofErr w:type="spellEnd"/>
          </w:p>
        </w:tc>
        <w:tc>
          <w:tcPr>
            <w:tcW w:w="1473" w:type="dxa"/>
            <w:tcBorders>
              <w:top w:val="dotted" w:sz="4" w:space="0" w:color="auto"/>
              <w:left w:val="nil"/>
              <w:bottom w:val="dotted" w:sz="4" w:space="0" w:color="auto"/>
              <w:right w:val="nil"/>
            </w:tcBorders>
            <w:shd w:val="clear" w:color="auto" w:fill="auto"/>
            <w:noWrap/>
            <w:vAlign w:val="center"/>
            <w:hideMark/>
          </w:tcPr>
          <w:p w14:paraId="0B582AF7"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Collector Sea Urchin</w:t>
            </w:r>
          </w:p>
        </w:tc>
        <w:tc>
          <w:tcPr>
            <w:tcW w:w="1822" w:type="dxa"/>
            <w:tcBorders>
              <w:top w:val="dotted" w:sz="4" w:space="0" w:color="auto"/>
              <w:left w:val="nil"/>
              <w:bottom w:val="dotted" w:sz="4" w:space="0" w:color="auto"/>
              <w:right w:val="nil"/>
            </w:tcBorders>
            <w:shd w:val="clear" w:color="auto" w:fill="auto"/>
            <w:noWrap/>
            <w:vAlign w:val="center"/>
            <w:hideMark/>
          </w:tcPr>
          <w:p w14:paraId="5074F383"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Tripneustes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gratilla</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31AEC1C1"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0.56</w:t>
            </w:r>
          </w:p>
        </w:tc>
        <w:tc>
          <w:tcPr>
            <w:tcW w:w="951" w:type="dxa"/>
            <w:tcBorders>
              <w:top w:val="dotted" w:sz="4" w:space="0" w:color="auto"/>
              <w:left w:val="nil"/>
              <w:bottom w:val="dotted" w:sz="4" w:space="0" w:color="auto"/>
              <w:right w:val="nil"/>
            </w:tcBorders>
            <w:shd w:val="clear" w:color="auto" w:fill="auto"/>
            <w:noWrap/>
            <w:vAlign w:val="center"/>
            <w:hideMark/>
          </w:tcPr>
          <w:p w14:paraId="184BE8CD"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w:t>
            </w:r>
          </w:p>
        </w:tc>
        <w:tc>
          <w:tcPr>
            <w:tcW w:w="766" w:type="dxa"/>
            <w:tcBorders>
              <w:top w:val="dotted" w:sz="4" w:space="0" w:color="auto"/>
              <w:left w:val="nil"/>
              <w:bottom w:val="dotted" w:sz="4" w:space="0" w:color="auto"/>
              <w:right w:val="nil"/>
            </w:tcBorders>
            <w:shd w:val="clear" w:color="auto" w:fill="auto"/>
            <w:noWrap/>
            <w:vAlign w:val="center"/>
            <w:hideMark/>
          </w:tcPr>
          <w:p w14:paraId="332EB23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217825ED"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0A64A054" w14:textId="77777777" w:rsidTr="00FC70B6">
        <w:trPr>
          <w:trHeight w:val="253"/>
        </w:trPr>
        <w:tc>
          <w:tcPr>
            <w:tcW w:w="1004" w:type="dxa"/>
            <w:tcBorders>
              <w:top w:val="nil"/>
              <w:left w:val="nil"/>
              <w:bottom w:val="nil"/>
              <w:right w:val="nil"/>
            </w:tcBorders>
            <w:shd w:val="clear" w:color="auto" w:fill="auto"/>
            <w:noWrap/>
            <w:vAlign w:val="center"/>
            <w:hideMark/>
          </w:tcPr>
          <w:p w14:paraId="3C1A62AF"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5B48A399"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0CB8FE20"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Heart Urchin</w:t>
            </w:r>
          </w:p>
        </w:tc>
        <w:tc>
          <w:tcPr>
            <w:tcW w:w="1822" w:type="dxa"/>
            <w:tcBorders>
              <w:top w:val="dotted" w:sz="4" w:space="0" w:color="auto"/>
              <w:left w:val="nil"/>
              <w:bottom w:val="dotted" w:sz="4" w:space="0" w:color="auto"/>
              <w:right w:val="nil"/>
            </w:tcBorders>
            <w:shd w:val="clear" w:color="auto" w:fill="auto"/>
            <w:noWrap/>
            <w:vAlign w:val="center"/>
            <w:hideMark/>
          </w:tcPr>
          <w:p w14:paraId="2FF9C76D"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Breynia</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desorii</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1C64641C"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2.34</w:t>
            </w:r>
          </w:p>
        </w:tc>
        <w:tc>
          <w:tcPr>
            <w:tcW w:w="951" w:type="dxa"/>
            <w:tcBorders>
              <w:top w:val="dotted" w:sz="4" w:space="0" w:color="auto"/>
              <w:left w:val="nil"/>
              <w:bottom w:val="dotted" w:sz="4" w:space="0" w:color="auto"/>
              <w:right w:val="nil"/>
            </w:tcBorders>
            <w:shd w:val="clear" w:color="auto" w:fill="auto"/>
            <w:noWrap/>
            <w:vAlign w:val="center"/>
            <w:hideMark/>
          </w:tcPr>
          <w:p w14:paraId="526152E6"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7</w:t>
            </w:r>
          </w:p>
        </w:tc>
        <w:tc>
          <w:tcPr>
            <w:tcW w:w="766" w:type="dxa"/>
            <w:tcBorders>
              <w:top w:val="dotted" w:sz="4" w:space="0" w:color="auto"/>
              <w:left w:val="nil"/>
              <w:bottom w:val="dotted" w:sz="4" w:space="0" w:color="auto"/>
              <w:right w:val="nil"/>
            </w:tcBorders>
            <w:shd w:val="clear" w:color="auto" w:fill="auto"/>
            <w:noWrap/>
            <w:vAlign w:val="center"/>
            <w:hideMark/>
          </w:tcPr>
          <w:p w14:paraId="7AB61B64"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3745C35D"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76B44836" w14:textId="77777777" w:rsidTr="00FC70B6">
        <w:trPr>
          <w:trHeight w:val="253"/>
        </w:trPr>
        <w:tc>
          <w:tcPr>
            <w:tcW w:w="1004" w:type="dxa"/>
            <w:tcBorders>
              <w:top w:val="nil"/>
              <w:left w:val="nil"/>
              <w:bottom w:val="nil"/>
              <w:right w:val="nil"/>
            </w:tcBorders>
            <w:shd w:val="clear" w:color="auto" w:fill="auto"/>
            <w:noWrap/>
            <w:vAlign w:val="center"/>
            <w:hideMark/>
          </w:tcPr>
          <w:p w14:paraId="51676C50"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07B322F1"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7E501DE9"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Sea urchin</w:t>
            </w:r>
          </w:p>
        </w:tc>
        <w:tc>
          <w:tcPr>
            <w:tcW w:w="1822" w:type="dxa"/>
            <w:tcBorders>
              <w:top w:val="dotted" w:sz="4" w:space="0" w:color="auto"/>
              <w:left w:val="nil"/>
              <w:bottom w:val="dotted" w:sz="4" w:space="0" w:color="auto"/>
              <w:right w:val="nil"/>
            </w:tcBorders>
            <w:shd w:val="clear" w:color="auto" w:fill="auto"/>
            <w:noWrap/>
            <w:vAlign w:val="center"/>
            <w:hideMark/>
          </w:tcPr>
          <w:p w14:paraId="629873D8"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Prionocidaris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bispinosa</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0DA11D95"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2.15</w:t>
            </w:r>
          </w:p>
        </w:tc>
        <w:tc>
          <w:tcPr>
            <w:tcW w:w="951" w:type="dxa"/>
            <w:tcBorders>
              <w:top w:val="dotted" w:sz="4" w:space="0" w:color="auto"/>
              <w:left w:val="nil"/>
              <w:bottom w:val="dotted" w:sz="4" w:space="0" w:color="auto"/>
              <w:right w:val="nil"/>
            </w:tcBorders>
            <w:shd w:val="clear" w:color="auto" w:fill="auto"/>
            <w:noWrap/>
            <w:vAlign w:val="center"/>
            <w:hideMark/>
          </w:tcPr>
          <w:p w14:paraId="78F8971F"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22</w:t>
            </w:r>
          </w:p>
        </w:tc>
        <w:tc>
          <w:tcPr>
            <w:tcW w:w="766" w:type="dxa"/>
            <w:tcBorders>
              <w:top w:val="dotted" w:sz="4" w:space="0" w:color="auto"/>
              <w:left w:val="nil"/>
              <w:bottom w:val="dotted" w:sz="4" w:space="0" w:color="auto"/>
              <w:right w:val="nil"/>
            </w:tcBorders>
            <w:shd w:val="clear" w:color="auto" w:fill="auto"/>
            <w:noWrap/>
            <w:vAlign w:val="center"/>
            <w:hideMark/>
          </w:tcPr>
          <w:p w14:paraId="73CA70B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38538223"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00F5393F" w14:textId="77777777" w:rsidTr="00FC70B6">
        <w:trPr>
          <w:trHeight w:val="253"/>
        </w:trPr>
        <w:tc>
          <w:tcPr>
            <w:tcW w:w="1004" w:type="dxa"/>
            <w:tcBorders>
              <w:top w:val="nil"/>
              <w:left w:val="nil"/>
              <w:bottom w:val="nil"/>
              <w:right w:val="nil"/>
            </w:tcBorders>
            <w:shd w:val="clear" w:color="auto" w:fill="auto"/>
            <w:noWrap/>
            <w:vAlign w:val="center"/>
            <w:hideMark/>
          </w:tcPr>
          <w:p w14:paraId="7D43351A"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16591F75"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74188C77" w14:textId="77777777" w:rsidR="008E2185" w:rsidRPr="00973D88" w:rsidRDefault="008E2185" w:rsidP="00FC70B6">
            <w:pPr>
              <w:spacing w:after="0"/>
              <w:rPr>
                <w:rFonts w:eastAsia="Times New Roman" w:cs="Arial"/>
                <w:sz w:val="18"/>
                <w:szCs w:val="18"/>
                <w:lang w:eastAsia="en-AU"/>
              </w:rPr>
            </w:pPr>
          </w:p>
        </w:tc>
        <w:tc>
          <w:tcPr>
            <w:tcW w:w="1822" w:type="dxa"/>
            <w:tcBorders>
              <w:top w:val="dotted" w:sz="4" w:space="0" w:color="auto"/>
              <w:left w:val="nil"/>
              <w:bottom w:val="dotted" w:sz="4" w:space="0" w:color="auto"/>
              <w:right w:val="nil"/>
            </w:tcBorders>
            <w:shd w:val="clear" w:color="auto" w:fill="auto"/>
            <w:noWrap/>
            <w:vAlign w:val="center"/>
            <w:hideMark/>
          </w:tcPr>
          <w:p w14:paraId="6CD19D93"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Salmaciella</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dussumieri</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4097036B"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0.15</w:t>
            </w:r>
          </w:p>
        </w:tc>
        <w:tc>
          <w:tcPr>
            <w:tcW w:w="951" w:type="dxa"/>
            <w:tcBorders>
              <w:top w:val="dotted" w:sz="4" w:space="0" w:color="auto"/>
              <w:left w:val="nil"/>
              <w:bottom w:val="dotted" w:sz="4" w:space="0" w:color="auto"/>
              <w:right w:val="nil"/>
            </w:tcBorders>
            <w:shd w:val="clear" w:color="auto" w:fill="auto"/>
            <w:noWrap/>
            <w:vAlign w:val="center"/>
            <w:hideMark/>
          </w:tcPr>
          <w:p w14:paraId="7C6AF2D0"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w:t>
            </w:r>
          </w:p>
        </w:tc>
        <w:tc>
          <w:tcPr>
            <w:tcW w:w="766" w:type="dxa"/>
            <w:tcBorders>
              <w:top w:val="dotted" w:sz="4" w:space="0" w:color="auto"/>
              <w:left w:val="nil"/>
              <w:bottom w:val="dotted" w:sz="4" w:space="0" w:color="auto"/>
              <w:right w:val="nil"/>
            </w:tcBorders>
            <w:shd w:val="clear" w:color="auto" w:fill="auto"/>
            <w:noWrap/>
            <w:vAlign w:val="center"/>
            <w:hideMark/>
          </w:tcPr>
          <w:p w14:paraId="2DF218B0"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3BA9ECF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378FF1B3" w14:textId="77777777" w:rsidTr="00FC70B6">
        <w:trPr>
          <w:trHeight w:val="253"/>
        </w:trPr>
        <w:tc>
          <w:tcPr>
            <w:tcW w:w="1004" w:type="dxa"/>
            <w:tcBorders>
              <w:top w:val="nil"/>
              <w:left w:val="nil"/>
              <w:bottom w:val="nil"/>
              <w:right w:val="nil"/>
            </w:tcBorders>
            <w:shd w:val="clear" w:color="auto" w:fill="auto"/>
            <w:noWrap/>
            <w:vAlign w:val="center"/>
            <w:hideMark/>
          </w:tcPr>
          <w:p w14:paraId="5AA1D41E"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0D535F84"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5283F703"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Urchin, Sea</w:t>
            </w:r>
          </w:p>
        </w:tc>
        <w:tc>
          <w:tcPr>
            <w:tcW w:w="1822" w:type="dxa"/>
            <w:tcBorders>
              <w:top w:val="dotted" w:sz="4" w:space="0" w:color="auto"/>
              <w:left w:val="nil"/>
              <w:bottom w:val="dotted" w:sz="4" w:space="0" w:color="auto"/>
              <w:right w:val="nil"/>
            </w:tcBorders>
            <w:shd w:val="clear" w:color="auto" w:fill="auto"/>
            <w:noWrap/>
            <w:vAlign w:val="center"/>
            <w:hideMark/>
          </w:tcPr>
          <w:p w14:paraId="2BA80070"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Temnopleurus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michaelseni</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67259410"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0.07</w:t>
            </w:r>
          </w:p>
        </w:tc>
        <w:tc>
          <w:tcPr>
            <w:tcW w:w="951" w:type="dxa"/>
            <w:tcBorders>
              <w:top w:val="dotted" w:sz="4" w:space="0" w:color="auto"/>
              <w:left w:val="nil"/>
              <w:bottom w:val="dotted" w:sz="4" w:space="0" w:color="auto"/>
              <w:right w:val="nil"/>
            </w:tcBorders>
            <w:shd w:val="clear" w:color="auto" w:fill="auto"/>
            <w:noWrap/>
            <w:vAlign w:val="center"/>
            <w:hideMark/>
          </w:tcPr>
          <w:p w14:paraId="27AE1FAD"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5E01FEF8"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0D9F691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187F1D6C" w14:textId="77777777" w:rsidTr="00FC70B6">
        <w:trPr>
          <w:trHeight w:val="253"/>
        </w:trPr>
        <w:tc>
          <w:tcPr>
            <w:tcW w:w="1004" w:type="dxa"/>
            <w:tcBorders>
              <w:top w:val="nil"/>
              <w:left w:val="nil"/>
              <w:bottom w:val="nil"/>
              <w:right w:val="nil"/>
            </w:tcBorders>
            <w:shd w:val="clear" w:color="auto" w:fill="auto"/>
            <w:noWrap/>
            <w:vAlign w:val="center"/>
            <w:hideMark/>
          </w:tcPr>
          <w:p w14:paraId="28381F0B"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0C0BB99F"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Holothuroidea</w:t>
            </w:r>
          </w:p>
        </w:tc>
        <w:tc>
          <w:tcPr>
            <w:tcW w:w="1473" w:type="dxa"/>
            <w:tcBorders>
              <w:top w:val="dotted" w:sz="4" w:space="0" w:color="auto"/>
              <w:left w:val="nil"/>
              <w:bottom w:val="dotted" w:sz="4" w:space="0" w:color="auto"/>
              <w:right w:val="nil"/>
            </w:tcBorders>
            <w:shd w:val="clear" w:color="auto" w:fill="auto"/>
            <w:noWrap/>
            <w:vAlign w:val="center"/>
            <w:hideMark/>
          </w:tcPr>
          <w:p w14:paraId="38DCCD5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Brown sandfish</w:t>
            </w:r>
          </w:p>
        </w:tc>
        <w:tc>
          <w:tcPr>
            <w:tcW w:w="1822" w:type="dxa"/>
            <w:tcBorders>
              <w:top w:val="dotted" w:sz="4" w:space="0" w:color="auto"/>
              <w:left w:val="nil"/>
              <w:bottom w:val="dotted" w:sz="4" w:space="0" w:color="auto"/>
              <w:right w:val="nil"/>
            </w:tcBorders>
            <w:shd w:val="clear" w:color="auto" w:fill="auto"/>
            <w:noWrap/>
            <w:vAlign w:val="center"/>
            <w:hideMark/>
          </w:tcPr>
          <w:p w14:paraId="09BDA459"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Holothuria</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spinifera</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4B56B0D7"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0.66</w:t>
            </w:r>
          </w:p>
        </w:tc>
        <w:tc>
          <w:tcPr>
            <w:tcW w:w="951" w:type="dxa"/>
            <w:tcBorders>
              <w:top w:val="dotted" w:sz="4" w:space="0" w:color="auto"/>
              <w:left w:val="nil"/>
              <w:bottom w:val="dotted" w:sz="4" w:space="0" w:color="auto"/>
              <w:right w:val="nil"/>
            </w:tcBorders>
            <w:shd w:val="clear" w:color="auto" w:fill="auto"/>
            <w:noWrap/>
            <w:vAlign w:val="center"/>
            <w:hideMark/>
          </w:tcPr>
          <w:p w14:paraId="57CAFF05"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21A657A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057C9C26"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1B011012" w14:textId="77777777" w:rsidTr="00FC70B6">
        <w:trPr>
          <w:trHeight w:val="253"/>
        </w:trPr>
        <w:tc>
          <w:tcPr>
            <w:tcW w:w="1004" w:type="dxa"/>
            <w:tcBorders>
              <w:top w:val="nil"/>
              <w:left w:val="nil"/>
              <w:bottom w:val="nil"/>
              <w:right w:val="nil"/>
            </w:tcBorders>
            <w:shd w:val="clear" w:color="auto" w:fill="auto"/>
            <w:noWrap/>
            <w:vAlign w:val="center"/>
            <w:hideMark/>
          </w:tcPr>
          <w:p w14:paraId="5F9873E0"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76A248B1"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4ACB92D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Holothurian</w:t>
            </w:r>
          </w:p>
        </w:tc>
        <w:tc>
          <w:tcPr>
            <w:tcW w:w="1822" w:type="dxa"/>
            <w:tcBorders>
              <w:top w:val="dotted" w:sz="4" w:space="0" w:color="auto"/>
              <w:left w:val="nil"/>
              <w:bottom w:val="dotted" w:sz="4" w:space="0" w:color="auto"/>
              <w:right w:val="nil"/>
            </w:tcBorders>
            <w:shd w:val="clear" w:color="auto" w:fill="auto"/>
            <w:noWrap/>
            <w:vAlign w:val="center"/>
            <w:hideMark/>
          </w:tcPr>
          <w:p w14:paraId="7ECDAC67"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Colochirus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crassus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335BEB3F"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0.08</w:t>
            </w:r>
          </w:p>
        </w:tc>
        <w:tc>
          <w:tcPr>
            <w:tcW w:w="951" w:type="dxa"/>
            <w:tcBorders>
              <w:top w:val="dotted" w:sz="4" w:space="0" w:color="auto"/>
              <w:left w:val="nil"/>
              <w:bottom w:val="dotted" w:sz="4" w:space="0" w:color="auto"/>
              <w:right w:val="nil"/>
            </w:tcBorders>
            <w:shd w:val="clear" w:color="auto" w:fill="auto"/>
            <w:noWrap/>
            <w:vAlign w:val="center"/>
            <w:hideMark/>
          </w:tcPr>
          <w:p w14:paraId="685CA53A"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3</w:t>
            </w:r>
          </w:p>
        </w:tc>
        <w:tc>
          <w:tcPr>
            <w:tcW w:w="766" w:type="dxa"/>
            <w:tcBorders>
              <w:top w:val="dotted" w:sz="4" w:space="0" w:color="auto"/>
              <w:left w:val="nil"/>
              <w:bottom w:val="dotted" w:sz="4" w:space="0" w:color="auto"/>
              <w:right w:val="nil"/>
            </w:tcBorders>
            <w:shd w:val="clear" w:color="auto" w:fill="auto"/>
            <w:noWrap/>
            <w:vAlign w:val="center"/>
            <w:hideMark/>
          </w:tcPr>
          <w:p w14:paraId="453B9E00"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1B29507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3F56BE62" w14:textId="77777777" w:rsidTr="00FC70B6">
        <w:trPr>
          <w:trHeight w:val="253"/>
        </w:trPr>
        <w:tc>
          <w:tcPr>
            <w:tcW w:w="1004" w:type="dxa"/>
            <w:tcBorders>
              <w:top w:val="nil"/>
              <w:left w:val="nil"/>
              <w:bottom w:val="nil"/>
              <w:right w:val="nil"/>
            </w:tcBorders>
            <w:shd w:val="clear" w:color="auto" w:fill="auto"/>
            <w:noWrap/>
            <w:vAlign w:val="center"/>
            <w:hideMark/>
          </w:tcPr>
          <w:p w14:paraId="12D23B6A"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263DFFD1"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338BB225" w14:textId="77777777" w:rsidR="008E2185" w:rsidRPr="00973D88" w:rsidRDefault="008E2185" w:rsidP="00FC70B6">
            <w:pPr>
              <w:spacing w:after="0"/>
              <w:rPr>
                <w:rFonts w:eastAsia="Times New Roman" w:cs="Arial"/>
                <w:sz w:val="18"/>
                <w:szCs w:val="18"/>
                <w:lang w:eastAsia="en-AU"/>
              </w:rPr>
            </w:pPr>
          </w:p>
        </w:tc>
        <w:tc>
          <w:tcPr>
            <w:tcW w:w="1822" w:type="dxa"/>
            <w:tcBorders>
              <w:top w:val="dotted" w:sz="4" w:space="0" w:color="auto"/>
              <w:left w:val="nil"/>
              <w:bottom w:val="dotted" w:sz="4" w:space="0" w:color="auto"/>
              <w:right w:val="nil"/>
            </w:tcBorders>
            <w:shd w:val="clear" w:color="auto" w:fill="auto"/>
            <w:noWrap/>
            <w:vAlign w:val="center"/>
            <w:hideMark/>
          </w:tcPr>
          <w:p w14:paraId="113DF848"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Holothuriidae</w:t>
            </w:r>
            <w:proofErr w:type="spellEnd"/>
            <w:r w:rsidRPr="00973D88">
              <w:rPr>
                <w:rFonts w:eastAsia="Times New Roman" w:cs="Arial"/>
                <w:color w:val="000000"/>
                <w:sz w:val="18"/>
                <w:szCs w:val="18"/>
                <w:lang w:eastAsia="en-AU"/>
              </w:rPr>
              <w:t xml:space="preserve"> sp. 2</w:t>
            </w:r>
          </w:p>
        </w:tc>
        <w:tc>
          <w:tcPr>
            <w:tcW w:w="635" w:type="dxa"/>
            <w:tcBorders>
              <w:top w:val="dotted" w:sz="4" w:space="0" w:color="auto"/>
              <w:left w:val="nil"/>
              <w:bottom w:val="dotted" w:sz="4" w:space="0" w:color="auto"/>
              <w:right w:val="nil"/>
            </w:tcBorders>
            <w:shd w:val="clear" w:color="auto" w:fill="auto"/>
            <w:noWrap/>
            <w:vAlign w:val="center"/>
            <w:hideMark/>
          </w:tcPr>
          <w:p w14:paraId="116A9689"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0.27</w:t>
            </w:r>
          </w:p>
        </w:tc>
        <w:tc>
          <w:tcPr>
            <w:tcW w:w="951" w:type="dxa"/>
            <w:tcBorders>
              <w:top w:val="dotted" w:sz="4" w:space="0" w:color="auto"/>
              <w:left w:val="nil"/>
              <w:bottom w:val="dotted" w:sz="4" w:space="0" w:color="auto"/>
              <w:right w:val="nil"/>
            </w:tcBorders>
            <w:shd w:val="clear" w:color="auto" w:fill="auto"/>
            <w:noWrap/>
            <w:vAlign w:val="center"/>
            <w:hideMark/>
          </w:tcPr>
          <w:p w14:paraId="411DB7F9"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2C2799C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06427A34"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2CC8F0A2" w14:textId="77777777" w:rsidTr="00FC70B6">
        <w:trPr>
          <w:trHeight w:val="253"/>
        </w:trPr>
        <w:tc>
          <w:tcPr>
            <w:tcW w:w="1004" w:type="dxa"/>
            <w:tcBorders>
              <w:top w:val="nil"/>
              <w:left w:val="nil"/>
              <w:bottom w:val="nil"/>
              <w:right w:val="nil"/>
            </w:tcBorders>
            <w:shd w:val="clear" w:color="auto" w:fill="auto"/>
            <w:noWrap/>
            <w:vAlign w:val="center"/>
            <w:hideMark/>
          </w:tcPr>
          <w:p w14:paraId="7DD296DB"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12F246EC"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73978CD8" w14:textId="77777777" w:rsidR="008E2185" w:rsidRPr="00973D88" w:rsidRDefault="008E2185" w:rsidP="00FC70B6">
            <w:pPr>
              <w:spacing w:after="0"/>
              <w:rPr>
                <w:rFonts w:eastAsia="Times New Roman" w:cs="Arial"/>
                <w:sz w:val="18"/>
                <w:szCs w:val="18"/>
                <w:lang w:eastAsia="en-AU"/>
              </w:rPr>
            </w:pPr>
          </w:p>
        </w:tc>
        <w:tc>
          <w:tcPr>
            <w:tcW w:w="1822" w:type="dxa"/>
            <w:tcBorders>
              <w:top w:val="dotted" w:sz="4" w:space="0" w:color="auto"/>
              <w:left w:val="nil"/>
              <w:bottom w:val="dotted" w:sz="4" w:space="0" w:color="auto"/>
              <w:right w:val="nil"/>
            </w:tcBorders>
            <w:shd w:val="clear" w:color="auto" w:fill="auto"/>
            <w:noWrap/>
            <w:vAlign w:val="center"/>
            <w:hideMark/>
          </w:tcPr>
          <w:p w14:paraId="180334C1"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Holothuriidae</w:t>
            </w:r>
            <w:proofErr w:type="spellEnd"/>
            <w:r w:rsidRPr="00973D88">
              <w:rPr>
                <w:rFonts w:eastAsia="Times New Roman" w:cs="Arial"/>
                <w:color w:val="000000"/>
                <w:sz w:val="18"/>
                <w:szCs w:val="18"/>
                <w:lang w:eastAsia="en-AU"/>
              </w:rPr>
              <w:t xml:space="preserve"> sp. 3</w:t>
            </w:r>
          </w:p>
        </w:tc>
        <w:tc>
          <w:tcPr>
            <w:tcW w:w="635" w:type="dxa"/>
            <w:tcBorders>
              <w:top w:val="dotted" w:sz="4" w:space="0" w:color="auto"/>
              <w:left w:val="nil"/>
              <w:bottom w:val="dotted" w:sz="4" w:space="0" w:color="auto"/>
              <w:right w:val="nil"/>
            </w:tcBorders>
            <w:shd w:val="clear" w:color="auto" w:fill="auto"/>
            <w:noWrap/>
            <w:vAlign w:val="center"/>
            <w:hideMark/>
          </w:tcPr>
          <w:p w14:paraId="4E0B945F"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1.30</w:t>
            </w:r>
          </w:p>
        </w:tc>
        <w:tc>
          <w:tcPr>
            <w:tcW w:w="951" w:type="dxa"/>
            <w:tcBorders>
              <w:top w:val="dotted" w:sz="4" w:space="0" w:color="auto"/>
              <w:left w:val="nil"/>
              <w:bottom w:val="dotted" w:sz="4" w:space="0" w:color="auto"/>
              <w:right w:val="nil"/>
            </w:tcBorders>
            <w:shd w:val="clear" w:color="auto" w:fill="auto"/>
            <w:noWrap/>
            <w:vAlign w:val="center"/>
            <w:hideMark/>
          </w:tcPr>
          <w:p w14:paraId="2D47EC8F"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3B4B00F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476FF2F8"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2B1BD6A4" w14:textId="77777777" w:rsidTr="00FC70B6">
        <w:trPr>
          <w:trHeight w:val="253"/>
        </w:trPr>
        <w:tc>
          <w:tcPr>
            <w:tcW w:w="1004" w:type="dxa"/>
            <w:tcBorders>
              <w:top w:val="nil"/>
              <w:left w:val="nil"/>
              <w:bottom w:val="nil"/>
              <w:right w:val="nil"/>
            </w:tcBorders>
            <w:shd w:val="clear" w:color="auto" w:fill="auto"/>
            <w:noWrap/>
            <w:vAlign w:val="center"/>
            <w:hideMark/>
          </w:tcPr>
          <w:p w14:paraId="33C436D7"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0978B498"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Ophiuroidae</w:t>
            </w:r>
            <w:proofErr w:type="spellEnd"/>
          </w:p>
        </w:tc>
        <w:tc>
          <w:tcPr>
            <w:tcW w:w="1473" w:type="dxa"/>
            <w:tcBorders>
              <w:top w:val="dotted" w:sz="4" w:space="0" w:color="auto"/>
              <w:left w:val="nil"/>
              <w:bottom w:val="dotted" w:sz="4" w:space="0" w:color="auto"/>
              <w:right w:val="nil"/>
            </w:tcBorders>
            <w:shd w:val="clear" w:color="auto" w:fill="auto"/>
            <w:noWrap/>
            <w:vAlign w:val="center"/>
            <w:hideMark/>
          </w:tcPr>
          <w:p w14:paraId="76B4E09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Basket Star</w:t>
            </w:r>
          </w:p>
        </w:tc>
        <w:tc>
          <w:tcPr>
            <w:tcW w:w="1822" w:type="dxa"/>
            <w:tcBorders>
              <w:top w:val="dotted" w:sz="4" w:space="0" w:color="auto"/>
              <w:left w:val="nil"/>
              <w:bottom w:val="dotted" w:sz="4" w:space="0" w:color="auto"/>
              <w:right w:val="nil"/>
            </w:tcBorders>
            <w:shd w:val="clear" w:color="auto" w:fill="auto"/>
            <w:noWrap/>
            <w:vAlign w:val="center"/>
            <w:hideMark/>
          </w:tcPr>
          <w:p w14:paraId="1418011B"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Gorgonocephalidae</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77EF27F8"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0.31</w:t>
            </w:r>
          </w:p>
        </w:tc>
        <w:tc>
          <w:tcPr>
            <w:tcW w:w="951" w:type="dxa"/>
            <w:tcBorders>
              <w:top w:val="dotted" w:sz="4" w:space="0" w:color="auto"/>
              <w:left w:val="nil"/>
              <w:bottom w:val="dotted" w:sz="4" w:space="0" w:color="auto"/>
              <w:right w:val="nil"/>
            </w:tcBorders>
            <w:shd w:val="clear" w:color="auto" w:fill="auto"/>
            <w:noWrap/>
            <w:vAlign w:val="center"/>
            <w:hideMark/>
          </w:tcPr>
          <w:p w14:paraId="2CDD5A05"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42D32E49"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3AA37066"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79713642" w14:textId="77777777" w:rsidTr="00FC70B6">
        <w:trPr>
          <w:trHeight w:val="253"/>
        </w:trPr>
        <w:tc>
          <w:tcPr>
            <w:tcW w:w="1004" w:type="dxa"/>
            <w:tcBorders>
              <w:top w:val="nil"/>
              <w:left w:val="nil"/>
              <w:bottom w:val="single" w:sz="4" w:space="0" w:color="auto"/>
              <w:right w:val="nil"/>
            </w:tcBorders>
            <w:shd w:val="clear" w:color="auto" w:fill="auto"/>
            <w:noWrap/>
            <w:vAlign w:val="center"/>
            <w:hideMark/>
          </w:tcPr>
          <w:p w14:paraId="66062665"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Subtotal</w:t>
            </w:r>
          </w:p>
        </w:tc>
        <w:tc>
          <w:tcPr>
            <w:tcW w:w="944" w:type="dxa"/>
            <w:tcBorders>
              <w:top w:val="dotted" w:sz="4" w:space="0" w:color="auto"/>
              <w:left w:val="nil"/>
              <w:bottom w:val="single" w:sz="4" w:space="0" w:color="auto"/>
              <w:right w:val="nil"/>
            </w:tcBorders>
            <w:shd w:val="clear" w:color="auto" w:fill="auto"/>
            <w:noWrap/>
            <w:vAlign w:val="center"/>
            <w:hideMark/>
          </w:tcPr>
          <w:p w14:paraId="14FBE236"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 </w:t>
            </w:r>
          </w:p>
        </w:tc>
        <w:tc>
          <w:tcPr>
            <w:tcW w:w="1473" w:type="dxa"/>
            <w:tcBorders>
              <w:top w:val="dotted" w:sz="4" w:space="0" w:color="auto"/>
              <w:left w:val="nil"/>
              <w:bottom w:val="single" w:sz="4" w:space="0" w:color="auto"/>
              <w:right w:val="nil"/>
            </w:tcBorders>
            <w:shd w:val="clear" w:color="auto" w:fill="auto"/>
            <w:noWrap/>
            <w:vAlign w:val="center"/>
            <w:hideMark/>
          </w:tcPr>
          <w:p w14:paraId="1E21EC37"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 </w:t>
            </w:r>
          </w:p>
        </w:tc>
        <w:tc>
          <w:tcPr>
            <w:tcW w:w="1822" w:type="dxa"/>
            <w:tcBorders>
              <w:top w:val="dotted" w:sz="4" w:space="0" w:color="auto"/>
              <w:left w:val="nil"/>
              <w:bottom w:val="single" w:sz="4" w:space="0" w:color="auto"/>
              <w:right w:val="nil"/>
            </w:tcBorders>
            <w:shd w:val="clear" w:color="auto" w:fill="auto"/>
            <w:noWrap/>
            <w:vAlign w:val="center"/>
            <w:hideMark/>
          </w:tcPr>
          <w:p w14:paraId="166FAF1C"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 </w:t>
            </w:r>
          </w:p>
        </w:tc>
        <w:tc>
          <w:tcPr>
            <w:tcW w:w="635" w:type="dxa"/>
            <w:tcBorders>
              <w:top w:val="dotted" w:sz="4" w:space="0" w:color="auto"/>
              <w:left w:val="nil"/>
              <w:bottom w:val="single" w:sz="4" w:space="0" w:color="auto"/>
              <w:right w:val="nil"/>
            </w:tcBorders>
            <w:shd w:val="clear" w:color="auto" w:fill="auto"/>
            <w:noWrap/>
            <w:vAlign w:val="center"/>
            <w:hideMark/>
          </w:tcPr>
          <w:p w14:paraId="559D7054" w14:textId="77777777" w:rsidR="008E2185" w:rsidRPr="00973D88" w:rsidRDefault="008E2185" w:rsidP="00FC70B6">
            <w:pPr>
              <w:spacing w:after="0"/>
              <w:jc w:val="center"/>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29.40</w:t>
            </w:r>
          </w:p>
        </w:tc>
        <w:tc>
          <w:tcPr>
            <w:tcW w:w="951" w:type="dxa"/>
            <w:tcBorders>
              <w:top w:val="dotted" w:sz="4" w:space="0" w:color="auto"/>
              <w:left w:val="nil"/>
              <w:bottom w:val="single" w:sz="4" w:space="0" w:color="auto"/>
              <w:right w:val="nil"/>
            </w:tcBorders>
            <w:shd w:val="clear" w:color="auto" w:fill="auto"/>
            <w:noWrap/>
            <w:vAlign w:val="center"/>
            <w:hideMark/>
          </w:tcPr>
          <w:p w14:paraId="13EB3856" w14:textId="77777777" w:rsidR="008E2185" w:rsidRPr="00973D88" w:rsidRDefault="008E2185" w:rsidP="00FC70B6">
            <w:pPr>
              <w:spacing w:after="0"/>
              <w:jc w:val="center"/>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93</w:t>
            </w:r>
          </w:p>
        </w:tc>
        <w:tc>
          <w:tcPr>
            <w:tcW w:w="766" w:type="dxa"/>
            <w:tcBorders>
              <w:top w:val="dotted" w:sz="4" w:space="0" w:color="auto"/>
              <w:left w:val="nil"/>
              <w:bottom w:val="single" w:sz="4" w:space="0" w:color="auto"/>
              <w:right w:val="nil"/>
            </w:tcBorders>
            <w:shd w:val="clear" w:color="auto" w:fill="auto"/>
            <w:noWrap/>
            <w:vAlign w:val="center"/>
            <w:hideMark/>
          </w:tcPr>
          <w:p w14:paraId="41DCEB59"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2%</w:t>
            </w:r>
          </w:p>
        </w:tc>
        <w:tc>
          <w:tcPr>
            <w:tcW w:w="797" w:type="dxa"/>
            <w:tcBorders>
              <w:top w:val="dotted" w:sz="4" w:space="0" w:color="auto"/>
              <w:left w:val="nil"/>
              <w:bottom w:val="single" w:sz="4" w:space="0" w:color="auto"/>
              <w:right w:val="nil"/>
            </w:tcBorders>
            <w:shd w:val="clear" w:color="auto" w:fill="auto"/>
            <w:noWrap/>
            <w:vAlign w:val="center"/>
            <w:hideMark/>
          </w:tcPr>
          <w:p w14:paraId="533D8056" w14:textId="77777777" w:rsidR="008E2185" w:rsidRPr="00973D88" w:rsidRDefault="008E2185" w:rsidP="00FC70B6">
            <w:pPr>
              <w:spacing w:after="0"/>
              <w:rPr>
                <w:rFonts w:eastAsia="Times New Roman" w:cs="Arial"/>
                <w:b/>
                <w:bCs/>
                <w:i/>
                <w:iCs/>
                <w:color w:val="000000"/>
                <w:sz w:val="18"/>
                <w:szCs w:val="18"/>
                <w:lang w:eastAsia="en-AU"/>
              </w:rPr>
            </w:pPr>
            <w:r>
              <w:rPr>
                <w:rFonts w:eastAsia="Times New Roman" w:cs="Arial"/>
                <w:b/>
                <w:bCs/>
                <w:i/>
                <w:iCs/>
                <w:color w:val="000000"/>
                <w:sz w:val="18"/>
                <w:szCs w:val="18"/>
                <w:lang w:eastAsia="en-AU"/>
              </w:rPr>
              <w:t>&lt;1</w:t>
            </w:r>
            <w:r w:rsidRPr="00973D88">
              <w:rPr>
                <w:rFonts w:eastAsia="Times New Roman" w:cs="Arial"/>
                <w:b/>
                <w:bCs/>
                <w:i/>
                <w:iCs/>
                <w:color w:val="000000"/>
                <w:sz w:val="18"/>
                <w:szCs w:val="18"/>
                <w:lang w:eastAsia="en-AU"/>
              </w:rPr>
              <w:t>%</w:t>
            </w:r>
          </w:p>
        </w:tc>
      </w:tr>
      <w:tr w:rsidR="008E2185" w:rsidRPr="0014117C" w14:paraId="5F429D97" w14:textId="77777777" w:rsidTr="00FC70B6">
        <w:trPr>
          <w:trHeight w:val="253"/>
        </w:trPr>
        <w:tc>
          <w:tcPr>
            <w:tcW w:w="1004" w:type="dxa"/>
            <w:tcBorders>
              <w:top w:val="nil"/>
              <w:left w:val="nil"/>
              <w:bottom w:val="nil"/>
              <w:right w:val="nil"/>
            </w:tcBorders>
            <w:shd w:val="clear" w:color="auto" w:fill="auto"/>
            <w:noWrap/>
            <w:vAlign w:val="center"/>
            <w:hideMark/>
          </w:tcPr>
          <w:p w14:paraId="073B8C13"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Chordata</w:t>
            </w:r>
          </w:p>
        </w:tc>
        <w:tc>
          <w:tcPr>
            <w:tcW w:w="944" w:type="dxa"/>
            <w:tcBorders>
              <w:top w:val="single" w:sz="4" w:space="0" w:color="auto"/>
              <w:left w:val="nil"/>
              <w:bottom w:val="dotted" w:sz="4" w:space="0" w:color="auto"/>
              <w:right w:val="nil"/>
            </w:tcBorders>
            <w:shd w:val="clear" w:color="auto" w:fill="auto"/>
            <w:noWrap/>
            <w:vAlign w:val="center"/>
            <w:hideMark/>
          </w:tcPr>
          <w:p w14:paraId="12795F64"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Elasmobranchs</w:t>
            </w:r>
          </w:p>
        </w:tc>
        <w:tc>
          <w:tcPr>
            <w:tcW w:w="1473" w:type="dxa"/>
            <w:tcBorders>
              <w:top w:val="single" w:sz="4" w:space="0" w:color="auto"/>
              <w:left w:val="nil"/>
              <w:bottom w:val="dotted" w:sz="4" w:space="0" w:color="auto"/>
              <w:right w:val="nil"/>
            </w:tcBorders>
            <w:shd w:val="clear" w:color="auto" w:fill="auto"/>
            <w:noWrap/>
            <w:vAlign w:val="center"/>
            <w:hideMark/>
          </w:tcPr>
          <w:p w14:paraId="554D326E"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Maskray</w:t>
            </w:r>
            <w:proofErr w:type="spellEnd"/>
            <w:r w:rsidRPr="00973D88">
              <w:rPr>
                <w:rFonts w:eastAsia="Times New Roman" w:cs="Arial"/>
                <w:color w:val="000000"/>
                <w:sz w:val="18"/>
                <w:szCs w:val="18"/>
                <w:lang w:eastAsia="en-AU"/>
              </w:rPr>
              <w:t xml:space="preserve"> </w:t>
            </w:r>
            <w:proofErr w:type="spellStart"/>
            <w:r w:rsidRPr="00973D88">
              <w:rPr>
                <w:rFonts w:eastAsia="Times New Roman" w:cs="Arial"/>
                <w:color w:val="000000"/>
                <w:sz w:val="18"/>
                <w:szCs w:val="18"/>
                <w:lang w:eastAsia="en-AU"/>
              </w:rPr>
              <w:t>Bluespotted</w:t>
            </w:r>
            <w:proofErr w:type="spellEnd"/>
          </w:p>
        </w:tc>
        <w:tc>
          <w:tcPr>
            <w:tcW w:w="1822" w:type="dxa"/>
            <w:tcBorders>
              <w:top w:val="single" w:sz="4" w:space="0" w:color="auto"/>
              <w:left w:val="nil"/>
              <w:bottom w:val="dotted" w:sz="4" w:space="0" w:color="auto"/>
              <w:right w:val="nil"/>
            </w:tcBorders>
            <w:shd w:val="clear" w:color="auto" w:fill="auto"/>
            <w:noWrap/>
            <w:vAlign w:val="center"/>
            <w:hideMark/>
          </w:tcPr>
          <w:p w14:paraId="0D947B28"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Neotrygon</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australiae</w:t>
            </w:r>
            <w:proofErr w:type="spellEnd"/>
          </w:p>
        </w:tc>
        <w:tc>
          <w:tcPr>
            <w:tcW w:w="635" w:type="dxa"/>
            <w:tcBorders>
              <w:top w:val="single" w:sz="4" w:space="0" w:color="auto"/>
              <w:left w:val="nil"/>
              <w:bottom w:val="dotted" w:sz="4" w:space="0" w:color="auto"/>
              <w:right w:val="nil"/>
            </w:tcBorders>
            <w:shd w:val="clear" w:color="auto" w:fill="auto"/>
            <w:noWrap/>
            <w:vAlign w:val="center"/>
            <w:hideMark/>
          </w:tcPr>
          <w:p w14:paraId="1445752A"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0.55</w:t>
            </w:r>
          </w:p>
        </w:tc>
        <w:tc>
          <w:tcPr>
            <w:tcW w:w="951" w:type="dxa"/>
            <w:tcBorders>
              <w:top w:val="single" w:sz="4" w:space="0" w:color="auto"/>
              <w:left w:val="nil"/>
              <w:bottom w:val="dotted" w:sz="4" w:space="0" w:color="auto"/>
              <w:right w:val="nil"/>
            </w:tcBorders>
            <w:shd w:val="clear" w:color="auto" w:fill="auto"/>
            <w:noWrap/>
            <w:vAlign w:val="center"/>
            <w:hideMark/>
          </w:tcPr>
          <w:p w14:paraId="47AC989C"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w:t>
            </w:r>
          </w:p>
        </w:tc>
        <w:tc>
          <w:tcPr>
            <w:tcW w:w="766" w:type="dxa"/>
            <w:tcBorders>
              <w:top w:val="single" w:sz="4" w:space="0" w:color="auto"/>
              <w:left w:val="nil"/>
              <w:bottom w:val="dotted" w:sz="4" w:space="0" w:color="auto"/>
              <w:right w:val="nil"/>
            </w:tcBorders>
            <w:shd w:val="clear" w:color="auto" w:fill="auto"/>
            <w:noWrap/>
            <w:vAlign w:val="center"/>
            <w:hideMark/>
          </w:tcPr>
          <w:p w14:paraId="43677608"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single" w:sz="4" w:space="0" w:color="auto"/>
              <w:left w:val="nil"/>
              <w:bottom w:val="dotted" w:sz="4" w:space="0" w:color="auto"/>
              <w:right w:val="nil"/>
            </w:tcBorders>
            <w:shd w:val="clear" w:color="auto" w:fill="auto"/>
            <w:noWrap/>
            <w:vAlign w:val="center"/>
            <w:hideMark/>
          </w:tcPr>
          <w:p w14:paraId="7327F72E"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51899732" w14:textId="77777777" w:rsidTr="00FC70B6">
        <w:trPr>
          <w:trHeight w:val="253"/>
        </w:trPr>
        <w:tc>
          <w:tcPr>
            <w:tcW w:w="1004" w:type="dxa"/>
            <w:tcBorders>
              <w:top w:val="nil"/>
              <w:left w:val="nil"/>
              <w:bottom w:val="nil"/>
              <w:right w:val="nil"/>
            </w:tcBorders>
            <w:shd w:val="clear" w:color="auto" w:fill="auto"/>
            <w:noWrap/>
            <w:vAlign w:val="center"/>
            <w:hideMark/>
          </w:tcPr>
          <w:p w14:paraId="19A489B1"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58430AFD"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1F0974E3"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 xml:space="preserve">Painted </w:t>
            </w:r>
            <w:proofErr w:type="spellStart"/>
            <w:r w:rsidRPr="00973D88">
              <w:rPr>
                <w:rFonts w:eastAsia="Times New Roman" w:cs="Arial"/>
                <w:color w:val="000000"/>
                <w:sz w:val="18"/>
                <w:szCs w:val="18"/>
                <w:lang w:eastAsia="en-AU"/>
              </w:rPr>
              <w:t>Maskray</w:t>
            </w:r>
            <w:proofErr w:type="spellEnd"/>
          </w:p>
        </w:tc>
        <w:tc>
          <w:tcPr>
            <w:tcW w:w="1822" w:type="dxa"/>
            <w:tcBorders>
              <w:top w:val="dotted" w:sz="4" w:space="0" w:color="auto"/>
              <w:left w:val="nil"/>
              <w:bottom w:val="dotted" w:sz="4" w:space="0" w:color="auto"/>
              <w:right w:val="nil"/>
            </w:tcBorders>
            <w:shd w:val="clear" w:color="auto" w:fill="auto"/>
            <w:noWrap/>
            <w:vAlign w:val="center"/>
            <w:hideMark/>
          </w:tcPr>
          <w:p w14:paraId="48D5EE4C"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Neotrygon</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leylandi</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5223BE89"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1.13</w:t>
            </w:r>
          </w:p>
        </w:tc>
        <w:tc>
          <w:tcPr>
            <w:tcW w:w="951" w:type="dxa"/>
            <w:tcBorders>
              <w:top w:val="dotted" w:sz="4" w:space="0" w:color="auto"/>
              <w:left w:val="nil"/>
              <w:bottom w:val="dotted" w:sz="4" w:space="0" w:color="auto"/>
              <w:right w:val="nil"/>
            </w:tcBorders>
            <w:shd w:val="clear" w:color="auto" w:fill="auto"/>
            <w:noWrap/>
            <w:vAlign w:val="center"/>
            <w:hideMark/>
          </w:tcPr>
          <w:p w14:paraId="4051814F"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6</w:t>
            </w:r>
          </w:p>
        </w:tc>
        <w:tc>
          <w:tcPr>
            <w:tcW w:w="766" w:type="dxa"/>
            <w:tcBorders>
              <w:top w:val="dotted" w:sz="4" w:space="0" w:color="auto"/>
              <w:left w:val="nil"/>
              <w:bottom w:val="dotted" w:sz="4" w:space="0" w:color="auto"/>
              <w:right w:val="nil"/>
            </w:tcBorders>
            <w:shd w:val="clear" w:color="auto" w:fill="auto"/>
            <w:noWrap/>
            <w:vAlign w:val="center"/>
            <w:hideMark/>
          </w:tcPr>
          <w:p w14:paraId="11DA90FD"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08F8F2DC"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397E02E4" w14:textId="77777777" w:rsidTr="00FC70B6">
        <w:trPr>
          <w:trHeight w:val="253"/>
        </w:trPr>
        <w:tc>
          <w:tcPr>
            <w:tcW w:w="1004" w:type="dxa"/>
            <w:tcBorders>
              <w:top w:val="nil"/>
              <w:left w:val="nil"/>
              <w:bottom w:val="nil"/>
              <w:right w:val="nil"/>
            </w:tcBorders>
            <w:shd w:val="clear" w:color="auto" w:fill="auto"/>
            <w:noWrap/>
            <w:vAlign w:val="center"/>
            <w:hideMark/>
          </w:tcPr>
          <w:p w14:paraId="267A38A0"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39DB1556"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24CE5B76"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Yellow shovelnose stingaree</w:t>
            </w:r>
          </w:p>
        </w:tc>
        <w:tc>
          <w:tcPr>
            <w:tcW w:w="1822" w:type="dxa"/>
            <w:tcBorders>
              <w:top w:val="dotted" w:sz="4" w:space="0" w:color="auto"/>
              <w:left w:val="nil"/>
              <w:bottom w:val="dotted" w:sz="4" w:space="0" w:color="auto"/>
              <w:right w:val="nil"/>
            </w:tcBorders>
            <w:shd w:val="clear" w:color="auto" w:fill="auto"/>
            <w:noWrap/>
            <w:vAlign w:val="center"/>
            <w:hideMark/>
          </w:tcPr>
          <w:p w14:paraId="1B9781D4"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Trygonoptera</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galba</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1E5C7231"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0.16</w:t>
            </w:r>
          </w:p>
        </w:tc>
        <w:tc>
          <w:tcPr>
            <w:tcW w:w="951" w:type="dxa"/>
            <w:tcBorders>
              <w:top w:val="dotted" w:sz="4" w:space="0" w:color="auto"/>
              <w:left w:val="nil"/>
              <w:bottom w:val="dotted" w:sz="4" w:space="0" w:color="auto"/>
              <w:right w:val="nil"/>
            </w:tcBorders>
            <w:shd w:val="clear" w:color="auto" w:fill="auto"/>
            <w:noWrap/>
            <w:vAlign w:val="center"/>
            <w:hideMark/>
          </w:tcPr>
          <w:p w14:paraId="5B9582EA"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w:t>
            </w:r>
          </w:p>
        </w:tc>
        <w:tc>
          <w:tcPr>
            <w:tcW w:w="766" w:type="dxa"/>
            <w:tcBorders>
              <w:top w:val="dotted" w:sz="4" w:space="0" w:color="auto"/>
              <w:left w:val="nil"/>
              <w:bottom w:val="dotted" w:sz="4" w:space="0" w:color="auto"/>
              <w:right w:val="nil"/>
            </w:tcBorders>
            <w:shd w:val="clear" w:color="auto" w:fill="auto"/>
            <w:noWrap/>
            <w:vAlign w:val="center"/>
            <w:hideMark/>
          </w:tcPr>
          <w:p w14:paraId="11CC1EEE"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5ECB54B8"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62EFB985" w14:textId="77777777" w:rsidTr="00FC70B6">
        <w:trPr>
          <w:trHeight w:val="253"/>
        </w:trPr>
        <w:tc>
          <w:tcPr>
            <w:tcW w:w="1004" w:type="dxa"/>
            <w:tcBorders>
              <w:top w:val="nil"/>
              <w:left w:val="nil"/>
              <w:bottom w:val="nil"/>
              <w:right w:val="nil"/>
            </w:tcBorders>
            <w:shd w:val="clear" w:color="auto" w:fill="auto"/>
            <w:noWrap/>
            <w:vAlign w:val="center"/>
            <w:hideMark/>
          </w:tcPr>
          <w:p w14:paraId="3241BBD2"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1ECF3CB6"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Teleosts</w:t>
            </w:r>
          </w:p>
        </w:tc>
        <w:tc>
          <w:tcPr>
            <w:tcW w:w="1473" w:type="dxa"/>
            <w:tcBorders>
              <w:top w:val="dotted" w:sz="4" w:space="0" w:color="auto"/>
              <w:left w:val="nil"/>
              <w:bottom w:val="dotted" w:sz="4" w:space="0" w:color="auto"/>
              <w:right w:val="nil"/>
            </w:tcBorders>
            <w:shd w:val="clear" w:color="auto" w:fill="auto"/>
            <w:noWrap/>
            <w:vAlign w:val="center"/>
            <w:hideMark/>
          </w:tcPr>
          <w:p w14:paraId="0F58C84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 xml:space="preserve">Cardinalfish, </w:t>
            </w:r>
            <w:proofErr w:type="gramStart"/>
            <w:r w:rsidRPr="00973D88">
              <w:rPr>
                <w:rFonts w:eastAsia="Times New Roman" w:cs="Arial"/>
                <w:color w:val="000000"/>
                <w:sz w:val="18"/>
                <w:szCs w:val="18"/>
                <w:lang w:eastAsia="en-AU"/>
              </w:rPr>
              <w:t>Bulls-eye</w:t>
            </w:r>
            <w:proofErr w:type="gramEnd"/>
          </w:p>
        </w:tc>
        <w:tc>
          <w:tcPr>
            <w:tcW w:w="1822" w:type="dxa"/>
            <w:tcBorders>
              <w:top w:val="dotted" w:sz="4" w:space="0" w:color="auto"/>
              <w:left w:val="nil"/>
              <w:bottom w:val="dotted" w:sz="4" w:space="0" w:color="auto"/>
              <w:right w:val="nil"/>
            </w:tcBorders>
            <w:shd w:val="clear" w:color="auto" w:fill="auto"/>
            <w:noWrap/>
            <w:vAlign w:val="center"/>
            <w:hideMark/>
          </w:tcPr>
          <w:p w14:paraId="5C08A53C"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Apogonichthyoides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atripes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52B7CD48"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0.04</w:t>
            </w:r>
          </w:p>
        </w:tc>
        <w:tc>
          <w:tcPr>
            <w:tcW w:w="951" w:type="dxa"/>
            <w:tcBorders>
              <w:top w:val="dotted" w:sz="4" w:space="0" w:color="auto"/>
              <w:left w:val="nil"/>
              <w:bottom w:val="dotted" w:sz="4" w:space="0" w:color="auto"/>
              <w:right w:val="nil"/>
            </w:tcBorders>
            <w:shd w:val="clear" w:color="auto" w:fill="auto"/>
            <w:noWrap/>
            <w:vAlign w:val="center"/>
            <w:hideMark/>
          </w:tcPr>
          <w:p w14:paraId="704B1EDE"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3</w:t>
            </w:r>
          </w:p>
        </w:tc>
        <w:tc>
          <w:tcPr>
            <w:tcW w:w="766" w:type="dxa"/>
            <w:tcBorders>
              <w:top w:val="dotted" w:sz="4" w:space="0" w:color="auto"/>
              <w:left w:val="nil"/>
              <w:bottom w:val="dotted" w:sz="4" w:space="0" w:color="auto"/>
              <w:right w:val="nil"/>
            </w:tcBorders>
            <w:shd w:val="clear" w:color="auto" w:fill="auto"/>
            <w:noWrap/>
            <w:vAlign w:val="center"/>
            <w:hideMark/>
          </w:tcPr>
          <w:p w14:paraId="0CEC1114"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5757EB6E"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346B5577" w14:textId="77777777" w:rsidTr="00FC70B6">
        <w:trPr>
          <w:trHeight w:val="253"/>
        </w:trPr>
        <w:tc>
          <w:tcPr>
            <w:tcW w:w="1004" w:type="dxa"/>
            <w:tcBorders>
              <w:top w:val="nil"/>
              <w:left w:val="nil"/>
              <w:bottom w:val="nil"/>
              <w:right w:val="nil"/>
            </w:tcBorders>
            <w:shd w:val="clear" w:color="auto" w:fill="auto"/>
            <w:noWrap/>
            <w:vAlign w:val="center"/>
            <w:hideMark/>
          </w:tcPr>
          <w:p w14:paraId="21AD0600"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05CBE9F2"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7ADAA860"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Cobia</w:t>
            </w:r>
          </w:p>
        </w:tc>
        <w:tc>
          <w:tcPr>
            <w:tcW w:w="1822" w:type="dxa"/>
            <w:tcBorders>
              <w:top w:val="dotted" w:sz="4" w:space="0" w:color="auto"/>
              <w:left w:val="nil"/>
              <w:bottom w:val="dotted" w:sz="4" w:space="0" w:color="auto"/>
              <w:right w:val="nil"/>
            </w:tcBorders>
            <w:shd w:val="clear" w:color="auto" w:fill="auto"/>
            <w:noWrap/>
            <w:vAlign w:val="center"/>
            <w:hideMark/>
          </w:tcPr>
          <w:p w14:paraId="317A654F" w14:textId="77777777" w:rsidR="008E2185" w:rsidRPr="00973D88" w:rsidRDefault="008E2185" w:rsidP="00FC70B6">
            <w:pPr>
              <w:spacing w:after="0"/>
              <w:rPr>
                <w:rFonts w:eastAsia="Times New Roman" w:cs="Arial"/>
                <w:i/>
                <w:iCs/>
                <w:color w:val="000000"/>
                <w:sz w:val="18"/>
                <w:szCs w:val="18"/>
                <w:lang w:eastAsia="en-AU"/>
              </w:rPr>
            </w:pPr>
            <w:r w:rsidRPr="00973D88">
              <w:rPr>
                <w:rFonts w:eastAsia="Times New Roman" w:cs="Arial"/>
                <w:i/>
                <w:iCs/>
                <w:color w:val="000000"/>
                <w:sz w:val="18"/>
                <w:szCs w:val="18"/>
                <w:lang w:eastAsia="en-AU"/>
              </w:rPr>
              <w:t>Rachycentron canadum</w:t>
            </w:r>
          </w:p>
        </w:tc>
        <w:tc>
          <w:tcPr>
            <w:tcW w:w="635" w:type="dxa"/>
            <w:tcBorders>
              <w:top w:val="dotted" w:sz="4" w:space="0" w:color="auto"/>
              <w:left w:val="nil"/>
              <w:bottom w:val="dotted" w:sz="4" w:space="0" w:color="auto"/>
              <w:right w:val="nil"/>
            </w:tcBorders>
            <w:shd w:val="clear" w:color="auto" w:fill="auto"/>
            <w:noWrap/>
            <w:vAlign w:val="center"/>
            <w:hideMark/>
          </w:tcPr>
          <w:p w14:paraId="3F8D5A0C"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0.53</w:t>
            </w:r>
          </w:p>
        </w:tc>
        <w:tc>
          <w:tcPr>
            <w:tcW w:w="951" w:type="dxa"/>
            <w:tcBorders>
              <w:top w:val="dotted" w:sz="4" w:space="0" w:color="auto"/>
              <w:left w:val="nil"/>
              <w:bottom w:val="dotted" w:sz="4" w:space="0" w:color="auto"/>
              <w:right w:val="nil"/>
            </w:tcBorders>
            <w:shd w:val="clear" w:color="auto" w:fill="auto"/>
            <w:noWrap/>
            <w:vAlign w:val="center"/>
            <w:hideMark/>
          </w:tcPr>
          <w:p w14:paraId="2CC449BD"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014DA72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1B129F05"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6BDA4D94" w14:textId="77777777" w:rsidTr="00FC70B6">
        <w:trPr>
          <w:trHeight w:val="253"/>
        </w:trPr>
        <w:tc>
          <w:tcPr>
            <w:tcW w:w="1004" w:type="dxa"/>
            <w:tcBorders>
              <w:top w:val="nil"/>
              <w:left w:val="nil"/>
              <w:bottom w:val="nil"/>
              <w:right w:val="nil"/>
            </w:tcBorders>
            <w:shd w:val="clear" w:color="auto" w:fill="auto"/>
            <w:noWrap/>
            <w:vAlign w:val="center"/>
            <w:hideMark/>
          </w:tcPr>
          <w:p w14:paraId="14BA829F"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5231DB6D"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5DBBB5A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Coffin Ray</w:t>
            </w:r>
          </w:p>
        </w:tc>
        <w:tc>
          <w:tcPr>
            <w:tcW w:w="1822" w:type="dxa"/>
            <w:tcBorders>
              <w:top w:val="dotted" w:sz="4" w:space="0" w:color="auto"/>
              <w:left w:val="nil"/>
              <w:bottom w:val="dotted" w:sz="4" w:space="0" w:color="auto"/>
              <w:right w:val="nil"/>
            </w:tcBorders>
            <w:shd w:val="clear" w:color="auto" w:fill="auto"/>
            <w:noWrap/>
            <w:vAlign w:val="center"/>
            <w:hideMark/>
          </w:tcPr>
          <w:p w14:paraId="0533DF86" w14:textId="77777777" w:rsidR="008E2185" w:rsidRPr="00973D88" w:rsidRDefault="008E2185" w:rsidP="00FC70B6">
            <w:pPr>
              <w:spacing w:after="0"/>
              <w:rPr>
                <w:rFonts w:eastAsia="Times New Roman" w:cs="Arial"/>
                <w:i/>
                <w:iCs/>
                <w:color w:val="000000"/>
                <w:sz w:val="18"/>
                <w:szCs w:val="18"/>
                <w:lang w:eastAsia="en-AU"/>
              </w:rPr>
            </w:pPr>
            <w:r w:rsidRPr="00973D88">
              <w:rPr>
                <w:rFonts w:eastAsia="Times New Roman" w:cs="Arial"/>
                <w:i/>
                <w:iCs/>
                <w:color w:val="000000"/>
                <w:sz w:val="18"/>
                <w:szCs w:val="18"/>
                <w:lang w:eastAsia="en-AU"/>
              </w:rPr>
              <w:t xml:space="preserve">Hypnos </w:t>
            </w:r>
            <w:proofErr w:type="spellStart"/>
            <w:r w:rsidRPr="00973D88">
              <w:rPr>
                <w:rFonts w:eastAsia="Times New Roman" w:cs="Arial"/>
                <w:i/>
                <w:iCs/>
                <w:color w:val="000000"/>
                <w:sz w:val="18"/>
                <w:szCs w:val="18"/>
                <w:lang w:eastAsia="en-AU"/>
              </w:rPr>
              <w:t>monopterygius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3212B8B9"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1.74</w:t>
            </w:r>
          </w:p>
        </w:tc>
        <w:tc>
          <w:tcPr>
            <w:tcW w:w="951" w:type="dxa"/>
            <w:tcBorders>
              <w:top w:val="dotted" w:sz="4" w:space="0" w:color="auto"/>
              <w:left w:val="nil"/>
              <w:bottom w:val="dotted" w:sz="4" w:space="0" w:color="auto"/>
              <w:right w:val="nil"/>
            </w:tcBorders>
            <w:shd w:val="clear" w:color="auto" w:fill="auto"/>
            <w:noWrap/>
            <w:vAlign w:val="center"/>
            <w:hideMark/>
          </w:tcPr>
          <w:p w14:paraId="13456F05"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69C0D62D"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25E5618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45193A57" w14:textId="77777777" w:rsidTr="00FC70B6">
        <w:trPr>
          <w:trHeight w:val="253"/>
        </w:trPr>
        <w:tc>
          <w:tcPr>
            <w:tcW w:w="1004" w:type="dxa"/>
            <w:tcBorders>
              <w:top w:val="nil"/>
              <w:left w:val="nil"/>
              <w:bottom w:val="nil"/>
              <w:right w:val="nil"/>
            </w:tcBorders>
            <w:shd w:val="clear" w:color="auto" w:fill="auto"/>
            <w:noWrap/>
            <w:vAlign w:val="center"/>
            <w:hideMark/>
          </w:tcPr>
          <w:p w14:paraId="30DF1E0D"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7A90B927"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1D1C049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Dragonet, Highfin</w:t>
            </w:r>
          </w:p>
        </w:tc>
        <w:tc>
          <w:tcPr>
            <w:tcW w:w="1822" w:type="dxa"/>
            <w:tcBorders>
              <w:top w:val="dotted" w:sz="4" w:space="0" w:color="auto"/>
              <w:left w:val="nil"/>
              <w:bottom w:val="dotted" w:sz="4" w:space="0" w:color="auto"/>
              <w:right w:val="nil"/>
            </w:tcBorders>
            <w:shd w:val="clear" w:color="auto" w:fill="auto"/>
            <w:noWrap/>
            <w:vAlign w:val="center"/>
            <w:hideMark/>
          </w:tcPr>
          <w:p w14:paraId="56E97677"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Repomucenus</w:t>
            </w:r>
            <w:proofErr w:type="spellEnd"/>
            <w:r w:rsidRPr="00973D88">
              <w:rPr>
                <w:rFonts w:eastAsia="Times New Roman" w:cs="Arial"/>
                <w:i/>
                <w:iCs/>
                <w:color w:val="000000"/>
                <w:sz w:val="18"/>
                <w:szCs w:val="18"/>
                <w:lang w:eastAsia="en-AU"/>
              </w:rPr>
              <w:t xml:space="preserve"> meridionalis</w:t>
            </w:r>
          </w:p>
        </w:tc>
        <w:tc>
          <w:tcPr>
            <w:tcW w:w="635" w:type="dxa"/>
            <w:tcBorders>
              <w:top w:val="dotted" w:sz="4" w:space="0" w:color="auto"/>
              <w:left w:val="nil"/>
              <w:bottom w:val="dotted" w:sz="4" w:space="0" w:color="auto"/>
              <w:right w:val="nil"/>
            </w:tcBorders>
            <w:shd w:val="clear" w:color="auto" w:fill="auto"/>
            <w:noWrap/>
            <w:vAlign w:val="center"/>
            <w:hideMark/>
          </w:tcPr>
          <w:p w14:paraId="557289FF"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0.01</w:t>
            </w:r>
          </w:p>
        </w:tc>
        <w:tc>
          <w:tcPr>
            <w:tcW w:w="951" w:type="dxa"/>
            <w:tcBorders>
              <w:top w:val="dotted" w:sz="4" w:space="0" w:color="auto"/>
              <w:left w:val="nil"/>
              <w:bottom w:val="dotted" w:sz="4" w:space="0" w:color="auto"/>
              <w:right w:val="nil"/>
            </w:tcBorders>
            <w:shd w:val="clear" w:color="auto" w:fill="auto"/>
            <w:noWrap/>
            <w:vAlign w:val="center"/>
            <w:hideMark/>
          </w:tcPr>
          <w:p w14:paraId="2624E284"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7012A47D"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163D34A4"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75B49E8E" w14:textId="77777777" w:rsidTr="00FC70B6">
        <w:trPr>
          <w:trHeight w:val="253"/>
        </w:trPr>
        <w:tc>
          <w:tcPr>
            <w:tcW w:w="1004" w:type="dxa"/>
            <w:tcBorders>
              <w:top w:val="nil"/>
              <w:left w:val="nil"/>
              <w:bottom w:val="nil"/>
              <w:right w:val="nil"/>
            </w:tcBorders>
            <w:shd w:val="clear" w:color="auto" w:fill="auto"/>
            <w:noWrap/>
            <w:vAlign w:val="center"/>
            <w:hideMark/>
          </w:tcPr>
          <w:p w14:paraId="73DFEF5F"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70EF128F"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1EA7EC5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Eye Gurnard</w:t>
            </w:r>
          </w:p>
        </w:tc>
        <w:tc>
          <w:tcPr>
            <w:tcW w:w="1822" w:type="dxa"/>
            <w:tcBorders>
              <w:top w:val="dotted" w:sz="4" w:space="0" w:color="auto"/>
              <w:left w:val="nil"/>
              <w:bottom w:val="dotted" w:sz="4" w:space="0" w:color="auto"/>
              <w:right w:val="nil"/>
            </w:tcBorders>
            <w:shd w:val="clear" w:color="auto" w:fill="auto"/>
            <w:noWrap/>
            <w:vAlign w:val="center"/>
            <w:hideMark/>
          </w:tcPr>
          <w:p w14:paraId="2B21965A"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Lepidotrigla</w:t>
            </w:r>
            <w:proofErr w:type="spellEnd"/>
            <w:r w:rsidRPr="00973D88">
              <w:rPr>
                <w:rFonts w:eastAsia="Times New Roman" w:cs="Arial"/>
                <w:i/>
                <w:iCs/>
                <w:color w:val="000000"/>
                <w:sz w:val="18"/>
                <w:szCs w:val="18"/>
                <w:lang w:eastAsia="en-AU"/>
              </w:rPr>
              <w:t xml:space="preserve"> argus</w:t>
            </w:r>
          </w:p>
        </w:tc>
        <w:tc>
          <w:tcPr>
            <w:tcW w:w="635" w:type="dxa"/>
            <w:tcBorders>
              <w:top w:val="dotted" w:sz="4" w:space="0" w:color="auto"/>
              <w:left w:val="nil"/>
              <w:bottom w:val="dotted" w:sz="4" w:space="0" w:color="auto"/>
              <w:right w:val="nil"/>
            </w:tcBorders>
            <w:shd w:val="clear" w:color="auto" w:fill="auto"/>
            <w:noWrap/>
            <w:vAlign w:val="center"/>
            <w:hideMark/>
          </w:tcPr>
          <w:p w14:paraId="4291B3A4"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0.06</w:t>
            </w:r>
          </w:p>
        </w:tc>
        <w:tc>
          <w:tcPr>
            <w:tcW w:w="951" w:type="dxa"/>
            <w:tcBorders>
              <w:top w:val="dotted" w:sz="4" w:space="0" w:color="auto"/>
              <w:left w:val="nil"/>
              <w:bottom w:val="dotted" w:sz="4" w:space="0" w:color="auto"/>
              <w:right w:val="nil"/>
            </w:tcBorders>
            <w:shd w:val="clear" w:color="auto" w:fill="auto"/>
            <w:noWrap/>
            <w:vAlign w:val="center"/>
            <w:hideMark/>
          </w:tcPr>
          <w:p w14:paraId="6AA57637"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w:t>
            </w:r>
          </w:p>
        </w:tc>
        <w:tc>
          <w:tcPr>
            <w:tcW w:w="766" w:type="dxa"/>
            <w:tcBorders>
              <w:top w:val="dotted" w:sz="4" w:space="0" w:color="auto"/>
              <w:left w:val="nil"/>
              <w:bottom w:val="dotted" w:sz="4" w:space="0" w:color="auto"/>
              <w:right w:val="nil"/>
            </w:tcBorders>
            <w:shd w:val="clear" w:color="auto" w:fill="auto"/>
            <w:noWrap/>
            <w:vAlign w:val="center"/>
            <w:hideMark/>
          </w:tcPr>
          <w:p w14:paraId="68B4FB70"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021EE144"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113DC2E5" w14:textId="77777777" w:rsidTr="00FC70B6">
        <w:trPr>
          <w:trHeight w:val="253"/>
        </w:trPr>
        <w:tc>
          <w:tcPr>
            <w:tcW w:w="1004" w:type="dxa"/>
            <w:tcBorders>
              <w:top w:val="nil"/>
              <w:left w:val="nil"/>
              <w:bottom w:val="nil"/>
              <w:right w:val="nil"/>
            </w:tcBorders>
            <w:shd w:val="clear" w:color="auto" w:fill="auto"/>
            <w:noWrap/>
            <w:vAlign w:val="center"/>
            <w:hideMark/>
          </w:tcPr>
          <w:p w14:paraId="2D3397EA"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2F57ACD2"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518DD2B3"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Fanbelly</w:t>
            </w:r>
            <w:proofErr w:type="spellEnd"/>
            <w:r w:rsidRPr="00973D88">
              <w:rPr>
                <w:rFonts w:eastAsia="Times New Roman" w:cs="Arial"/>
                <w:color w:val="000000"/>
                <w:sz w:val="18"/>
                <w:szCs w:val="18"/>
                <w:lang w:eastAsia="en-AU"/>
              </w:rPr>
              <w:t xml:space="preserve"> Leatherjacket</w:t>
            </w:r>
          </w:p>
        </w:tc>
        <w:tc>
          <w:tcPr>
            <w:tcW w:w="1822" w:type="dxa"/>
            <w:tcBorders>
              <w:top w:val="dotted" w:sz="4" w:space="0" w:color="auto"/>
              <w:left w:val="nil"/>
              <w:bottom w:val="dotted" w:sz="4" w:space="0" w:color="auto"/>
              <w:right w:val="nil"/>
            </w:tcBorders>
            <w:shd w:val="clear" w:color="auto" w:fill="auto"/>
            <w:noWrap/>
            <w:vAlign w:val="center"/>
            <w:hideMark/>
          </w:tcPr>
          <w:p w14:paraId="48D8F1C5"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Monacanthus</w:t>
            </w:r>
            <w:proofErr w:type="spellEnd"/>
            <w:r w:rsidRPr="00973D88">
              <w:rPr>
                <w:rFonts w:eastAsia="Times New Roman" w:cs="Arial"/>
                <w:i/>
                <w:iCs/>
                <w:color w:val="000000"/>
                <w:sz w:val="18"/>
                <w:szCs w:val="18"/>
                <w:lang w:eastAsia="en-AU"/>
              </w:rPr>
              <w:t xml:space="preserve"> chinensis</w:t>
            </w:r>
          </w:p>
        </w:tc>
        <w:tc>
          <w:tcPr>
            <w:tcW w:w="635" w:type="dxa"/>
            <w:tcBorders>
              <w:top w:val="dotted" w:sz="4" w:space="0" w:color="auto"/>
              <w:left w:val="nil"/>
              <w:bottom w:val="dotted" w:sz="4" w:space="0" w:color="auto"/>
              <w:right w:val="nil"/>
            </w:tcBorders>
            <w:shd w:val="clear" w:color="auto" w:fill="auto"/>
            <w:noWrap/>
            <w:vAlign w:val="center"/>
            <w:hideMark/>
          </w:tcPr>
          <w:p w14:paraId="45BFFD1D"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0.36</w:t>
            </w:r>
          </w:p>
        </w:tc>
        <w:tc>
          <w:tcPr>
            <w:tcW w:w="951" w:type="dxa"/>
            <w:tcBorders>
              <w:top w:val="dotted" w:sz="4" w:space="0" w:color="auto"/>
              <w:left w:val="nil"/>
              <w:bottom w:val="dotted" w:sz="4" w:space="0" w:color="auto"/>
              <w:right w:val="nil"/>
            </w:tcBorders>
            <w:shd w:val="clear" w:color="auto" w:fill="auto"/>
            <w:noWrap/>
            <w:vAlign w:val="center"/>
            <w:hideMark/>
          </w:tcPr>
          <w:p w14:paraId="715E269C"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4</w:t>
            </w:r>
          </w:p>
        </w:tc>
        <w:tc>
          <w:tcPr>
            <w:tcW w:w="766" w:type="dxa"/>
            <w:tcBorders>
              <w:top w:val="dotted" w:sz="4" w:space="0" w:color="auto"/>
              <w:left w:val="nil"/>
              <w:bottom w:val="dotted" w:sz="4" w:space="0" w:color="auto"/>
              <w:right w:val="nil"/>
            </w:tcBorders>
            <w:shd w:val="clear" w:color="auto" w:fill="auto"/>
            <w:noWrap/>
            <w:vAlign w:val="center"/>
            <w:hideMark/>
          </w:tcPr>
          <w:p w14:paraId="43FC3026"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3CCFF6D9"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49F0EB9F" w14:textId="77777777" w:rsidTr="00FC70B6">
        <w:trPr>
          <w:trHeight w:val="253"/>
        </w:trPr>
        <w:tc>
          <w:tcPr>
            <w:tcW w:w="1004" w:type="dxa"/>
            <w:tcBorders>
              <w:top w:val="nil"/>
              <w:left w:val="nil"/>
              <w:bottom w:val="nil"/>
              <w:right w:val="nil"/>
            </w:tcBorders>
            <w:shd w:val="clear" w:color="auto" w:fill="auto"/>
            <w:noWrap/>
            <w:vAlign w:val="center"/>
            <w:hideMark/>
          </w:tcPr>
          <w:p w14:paraId="096A796D"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54C100D8"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0B4A4BC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 xml:space="preserve">Flounder, Olive </w:t>
            </w:r>
            <w:proofErr w:type="gramStart"/>
            <w:r w:rsidRPr="00973D88">
              <w:rPr>
                <w:rFonts w:eastAsia="Times New Roman" w:cs="Arial"/>
                <w:color w:val="000000"/>
                <w:sz w:val="18"/>
                <w:szCs w:val="18"/>
                <w:lang w:eastAsia="en-AU"/>
              </w:rPr>
              <w:t>wide-eye</w:t>
            </w:r>
            <w:proofErr w:type="gramEnd"/>
          </w:p>
        </w:tc>
        <w:tc>
          <w:tcPr>
            <w:tcW w:w="1822" w:type="dxa"/>
            <w:tcBorders>
              <w:top w:val="dotted" w:sz="4" w:space="0" w:color="auto"/>
              <w:left w:val="nil"/>
              <w:bottom w:val="dotted" w:sz="4" w:space="0" w:color="auto"/>
              <w:right w:val="nil"/>
            </w:tcBorders>
            <w:shd w:val="clear" w:color="auto" w:fill="auto"/>
            <w:noWrap/>
            <w:vAlign w:val="center"/>
            <w:hideMark/>
          </w:tcPr>
          <w:p w14:paraId="3C4A5EBF"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Engyprosopon</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maldivensis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0C21A17A"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0.10</w:t>
            </w:r>
          </w:p>
        </w:tc>
        <w:tc>
          <w:tcPr>
            <w:tcW w:w="951" w:type="dxa"/>
            <w:tcBorders>
              <w:top w:val="dotted" w:sz="4" w:space="0" w:color="auto"/>
              <w:left w:val="nil"/>
              <w:bottom w:val="dotted" w:sz="4" w:space="0" w:color="auto"/>
              <w:right w:val="nil"/>
            </w:tcBorders>
            <w:shd w:val="clear" w:color="auto" w:fill="auto"/>
            <w:noWrap/>
            <w:vAlign w:val="center"/>
            <w:hideMark/>
          </w:tcPr>
          <w:p w14:paraId="013C81DE"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5</w:t>
            </w:r>
          </w:p>
        </w:tc>
        <w:tc>
          <w:tcPr>
            <w:tcW w:w="766" w:type="dxa"/>
            <w:tcBorders>
              <w:top w:val="dotted" w:sz="4" w:space="0" w:color="auto"/>
              <w:left w:val="nil"/>
              <w:bottom w:val="dotted" w:sz="4" w:space="0" w:color="auto"/>
              <w:right w:val="nil"/>
            </w:tcBorders>
            <w:shd w:val="clear" w:color="auto" w:fill="auto"/>
            <w:noWrap/>
            <w:vAlign w:val="center"/>
            <w:hideMark/>
          </w:tcPr>
          <w:p w14:paraId="094ECC23"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2EFA0DD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0AD277B3" w14:textId="77777777" w:rsidTr="00FC70B6">
        <w:trPr>
          <w:trHeight w:val="253"/>
        </w:trPr>
        <w:tc>
          <w:tcPr>
            <w:tcW w:w="1004" w:type="dxa"/>
            <w:tcBorders>
              <w:top w:val="nil"/>
              <w:left w:val="nil"/>
              <w:bottom w:val="nil"/>
              <w:right w:val="nil"/>
            </w:tcBorders>
            <w:shd w:val="clear" w:color="auto" w:fill="auto"/>
            <w:noWrap/>
            <w:vAlign w:val="center"/>
            <w:hideMark/>
          </w:tcPr>
          <w:p w14:paraId="3A8C090B"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2943B7B9"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25EC0E0C"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Flounder, Oval</w:t>
            </w:r>
          </w:p>
        </w:tc>
        <w:tc>
          <w:tcPr>
            <w:tcW w:w="1822" w:type="dxa"/>
            <w:tcBorders>
              <w:top w:val="dotted" w:sz="4" w:space="0" w:color="auto"/>
              <w:left w:val="nil"/>
              <w:bottom w:val="dotted" w:sz="4" w:space="0" w:color="auto"/>
              <w:right w:val="nil"/>
            </w:tcBorders>
            <w:shd w:val="clear" w:color="auto" w:fill="auto"/>
            <w:noWrap/>
            <w:vAlign w:val="center"/>
            <w:hideMark/>
          </w:tcPr>
          <w:p w14:paraId="6BE3B407"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Bothus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myriaster</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197E704C"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0.19</w:t>
            </w:r>
          </w:p>
        </w:tc>
        <w:tc>
          <w:tcPr>
            <w:tcW w:w="951" w:type="dxa"/>
            <w:tcBorders>
              <w:top w:val="dotted" w:sz="4" w:space="0" w:color="auto"/>
              <w:left w:val="nil"/>
              <w:bottom w:val="dotted" w:sz="4" w:space="0" w:color="auto"/>
              <w:right w:val="nil"/>
            </w:tcBorders>
            <w:shd w:val="clear" w:color="auto" w:fill="auto"/>
            <w:noWrap/>
            <w:vAlign w:val="center"/>
            <w:hideMark/>
          </w:tcPr>
          <w:p w14:paraId="22A6E1E9"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w:t>
            </w:r>
          </w:p>
        </w:tc>
        <w:tc>
          <w:tcPr>
            <w:tcW w:w="766" w:type="dxa"/>
            <w:tcBorders>
              <w:top w:val="dotted" w:sz="4" w:space="0" w:color="auto"/>
              <w:left w:val="nil"/>
              <w:bottom w:val="dotted" w:sz="4" w:space="0" w:color="auto"/>
              <w:right w:val="nil"/>
            </w:tcBorders>
            <w:shd w:val="clear" w:color="auto" w:fill="auto"/>
            <w:noWrap/>
            <w:vAlign w:val="center"/>
            <w:hideMark/>
          </w:tcPr>
          <w:p w14:paraId="77357A5D"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59A4300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71376474" w14:textId="77777777" w:rsidTr="00FC70B6">
        <w:trPr>
          <w:trHeight w:val="253"/>
        </w:trPr>
        <w:tc>
          <w:tcPr>
            <w:tcW w:w="1004" w:type="dxa"/>
            <w:tcBorders>
              <w:top w:val="nil"/>
              <w:left w:val="nil"/>
              <w:bottom w:val="nil"/>
              <w:right w:val="nil"/>
            </w:tcBorders>
            <w:shd w:val="clear" w:color="auto" w:fill="auto"/>
            <w:noWrap/>
            <w:vAlign w:val="center"/>
            <w:hideMark/>
          </w:tcPr>
          <w:p w14:paraId="4746BFA1"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003266C6"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289D60E5"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Flounder, Spiny Headed</w:t>
            </w:r>
          </w:p>
        </w:tc>
        <w:tc>
          <w:tcPr>
            <w:tcW w:w="1822" w:type="dxa"/>
            <w:tcBorders>
              <w:top w:val="dotted" w:sz="4" w:space="0" w:color="auto"/>
              <w:left w:val="nil"/>
              <w:bottom w:val="dotted" w:sz="4" w:space="0" w:color="auto"/>
              <w:right w:val="nil"/>
            </w:tcBorders>
            <w:shd w:val="clear" w:color="auto" w:fill="auto"/>
            <w:noWrap/>
            <w:vAlign w:val="center"/>
            <w:hideMark/>
          </w:tcPr>
          <w:p w14:paraId="389AF60E"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Engyprosopon</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grandisquama</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2BDE362D"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0.99</w:t>
            </w:r>
          </w:p>
        </w:tc>
        <w:tc>
          <w:tcPr>
            <w:tcW w:w="951" w:type="dxa"/>
            <w:tcBorders>
              <w:top w:val="dotted" w:sz="4" w:space="0" w:color="auto"/>
              <w:left w:val="nil"/>
              <w:bottom w:val="dotted" w:sz="4" w:space="0" w:color="auto"/>
              <w:right w:val="nil"/>
            </w:tcBorders>
            <w:shd w:val="clear" w:color="auto" w:fill="auto"/>
            <w:noWrap/>
            <w:vAlign w:val="center"/>
            <w:hideMark/>
          </w:tcPr>
          <w:p w14:paraId="06D133F1"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5</w:t>
            </w:r>
          </w:p>
        </w:tc>
        <w:tc>
          <w:tcPr>
            <w:tcW w:w="766" w:type="dxa"/>
            <w:tcBorders>
              <w:top w:val="dotted" w:sz="4" w:space="0" w:color="auto"/>
              <w:left w:val="nil"/>
              <w:bottom w:val="dotted" w:sz="4" w:space="0" w:color="auto"/>
              <w:right w:val="nil"/>
            </w:tcBorders>
            <w:shd w:val="clear" w:color="auto" w:fill="auto"/>
            <w:noWrap/>
            <w:vAlign w:val="center"/>
            <w:hideMark/>
          </w:tcPr>
          <w:p w14:paraId="22C264FE"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16A91FD8"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2FE41643" w14:textId="77777777" w:rsidTr="00FC70B6">
        <w:trPr>
          <w:trHeight w:val="253"/>
        </w:trPr>
        <w:tc>
          <w:tcPr>
            <w:tcW w:w="1004" w:type="dxa"/>
            <w:tcBorders>
              <w:top w:val="nil"/>
              <w:left w:val="nil"/>
              <w:bottom w:val="nil"/>
              <w:right w:val="nil"/>
            </w:tcBorders>
            <w:shd w:val="clear" w:color="auto" w:fill="auto"/>
            <w:noWrap/>
            <w:vAlign w:val="center"/>
            <w:hideMark/>
          </w:tcPr>
          <w:p w14:paraId="75159ED0"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597A8853"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4CCCAE3F"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Goatfish, Asymmetrical</w:t>
            </w:r>
          </w:p>
        </w:tc>
        <w:tc>
          <w:tcPr>
            <w:tcW w:w="1822" w:type="dxa"/>
            <w:tcBorders>
              <w:top w:val="dotted" w:sz="4" w:space="0" w:color="auto"/>
              <w:left w:val="nil"/>
              <w:bottom w:val="dotted" w:sz="4" w:space="0" w:color="auto"/>
              <w:right w:val="nil"/>
            </w:tcBorders>
            <w:shd w:val="clear" w:color="auto" w:fill="auto"/>
            <w:noWrap/>
            <w:vAlign w:val="center"/>
            <w:hideMark/>
          </w:tcPr>
          <w:p w14:paraId="63457569"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Upeneus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asymmetricus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7AB624C4"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0.99</w:t>
            </w:r>
          </w:p>
        </w:tc>
        <w:tc>
          <w:tcPr>
            <w:tcW w:w="951" w:type="dxa"/>
            <w:tcBorders>
              <w:top w:val="dotted" w:sz="4" w:space="0" w:color="auto"/>
              <w:left w:val="nil"/>
              <w:bottom w:val="dotted" w:sz="4" w:space="0" w:color="auto"/>
              <w:right w:val="nil"/>
            </w:tcBorders>
            <w:shd w:val="clear" w:color="auto" w:fill="auto"/>
            <w:noWrap/>
            <w:vAlign w:val="center"/>
            <w:hideMark/>
          </w:tcPr>
          <w:p w14:paraId="38AD7B6C"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29</w:t>
            </w:r>
          </w:p>
        </w:tc>
        <w:tc>
          <w:tcPr>
            <w:tcW w:w="766" w:type="dxa"/>
            <w:tcBorders>
              <w:top w:val="dotted" w:sz="4" w:space="0" w:color="auto"/>
              <w:left w:val="nil"/>
              <w:bottom w:val="dotted" w:sz="4" w:space="0" w:color="auto"/>
              <w:right w:val="nil"/>
            </w:tcBorders>
            <w:shd w:val="clear" w:color="auto" w:fill="auto"/>
            <w:noWrap/>
            <w:vAlign w:val="center"/>
            <w:hideMark/>
          </w:tcPr>
          <w:p w14:paraId="7264C0C3"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1E43F393"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76ADDBA7" w14:textId="77777777" w:rsidTr="00FC70B6">
        <w:trPr>
          <w:trHeight w:val="253"/>
        </w:trPr>
        <w:tc>
          <w:tcPr>
            <w:tcW w:w="1004" w:type="dxa"/>
            <w:tcBorders>
              <w:top w:val="nil"/>
              <w:left w:val="nil"/>
              <w:bottom w:val="nil"/>
              <w:right w:val="nil"/>
            </w:tcBorders>
            <w:shd w:val="clear" w:color="auto" w:fill="auto"/>
            <w:noWrap/>
            <w:vAlign w:val="center"/>
            <w:hideMark/>
          </w:tcPr>
          <w:p w14:paraId="5C36C33B"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3BECA5CC"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00A14427"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Goatfish, Stott's</w:t>
            </w:r>
          </w:p>
        </w:tc>
        <w:tc>
          <w:tcPr>
            <w:tcW w:w="1822" w:type="dxa"/>
            <w:tcBorders>
              <w:top w:val="dotted" w:sz="4" w:space="0" w:color="auto"/>
              <w:left w:val="nil"/>
              <w:bottom w:val="dotted" w:sz="4" w:space="0" w:color="auto"/>
              <w:right w:val="nil"/>
            </w:tcBorders>
            <w:shd w:val="clear" w:color="auto" w:fill="auto"/>
            <w:noWrap/>
            <w:vAlign w:val="center"/>
            <w:hideMark/>
          </w:tcPr>
          <w:p w14:paraId="45C032C2"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Upeneichthys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stotti</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796804DB"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0.01</w:t>
            </w:r>
          </w:p>
        </w:tc>
        <w:tc>
          <w:tcPr>
            <w:tcW w:w="951" w:type="dxa"/>
            <w:tcBorders>
              <w:top w:val="dotted" w:sz="4" w:space="0" w:color="auto"/>
              <w:left w:val="nil"/>
              <w:bottom w:val="dotted" w:sz="4" w:space="0" w:color="auto"/>
              <w:right w:val="nil"/>
            </w:tcBorders>
            <w:shd w:val="clear" w:color="auto" w:fill="auto"/>
            <w:noWrap/>
            <w:vAlign w:val="center"/>
            <w:hideMark/>
          </w:tcPr>
          <w:p w14:paraId="268F3CB2"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60184B4F"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1F0DFCF4"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1E4B00BA" w14:textId="77777777" w:rsidTr="00FC70B6">
        <w:trPr>
          <w:trHeight w:val="253"/>
        </w:trPr>
        <w:tc>
          <w:tcPr>
            <w:tcW w:w="1004" w:type="dxa"/>
            <w:tcBorders>
              <w:top w:val="nil"/>
              <w:left w:val="nil"/>
              <w:bottom w:val="nil"/>
              <w:right w:val="nil"/>
            </w:tcBorders>
            <w:shd w:val="clear" w:color="auto" w:fill="auto"/>
            <w:noWrap/>
            <w:vAlign w:val="center"/>
            <w:hideMark/>
          </w:tcPr>
          <w:p w14:paraId="06D08CA8"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09B0CD98"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5ECBFB69"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Hair-finned Leatherjacket</w:t>
            </w:r>
          </w:p>
        </w:tc>
        <w:tc>
          <w:tcPr>
            <w:tcW w:w="1822" w:type="dxa"/>
            <w:tcBorders>
              <w:top w:val="dotted" w:sz="4" w:space="0" w:color="auto"/>
              <w:left w:val="nil"/>
              <w:bottom w:val="dotted" w:sz="4" w:space="0" w:color="auto"/>
              <w:right w:val="nil"/>
            </w:tcBorders>
            <w:shd w:val="clear" w:color="auto" w:fill="auto"/>
            <w:noWrap/>
            <w:vAlign w:val="center"/>
            <w:hideMark/>
          </w:tcPr>
          <w:p w14:paraId="5278D804"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Paramonacanthus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choirocephalus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0103E860"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0.16</w:t>
            </w:r>
          </w:p>
        </w:tc>
        <w:tc>
          <w:tcPr>
            <w:tcW w:w="951" w:type="dxa"/>
            <w:tcBorders>
              <w:top w:val="dotted" w:sz="4" w:space="0" w:color="auto"/>
              <w:left w:val="nil"/>
              <w:bottom w:val="dotted" w:sz="4" w:space="0" w:color="auto"/>
              <w:right w:val="nil"/>
            </w:tcBorders>
            <w:shd w:val="clear" w:color="auto" w:fill="auto"/>
            <w:noWrap/>
            <w:vAlign w:val="center"/>
            <w:hideMark/>
          </w:tcPr>
          <w:p w14:paraId="0DF652F7"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5</w:t>
            </w:r>
          </w:p>
        </w:tc>
        <w:tc>
          <w:tcPr>
            <w:tcW w:w="766" w:type="dxa"/>
            <w:tcBorders>
              <w:top w:val="dotted" w:sz="4" w:space="0" w:color="auto"/>
              <w:left w:val="nil"/>
              <w:bottom w:val="dotted" w:sz="4" w:space="0" w:color="auto"/>
              <w:right w:val="nil"/>
            </w:tcBorders>
            <w:shd w:val="clear" w:color="auto" w:fill="auto"/>
            <w:noWrap/>
            <w:vAlign w:val="center"/>
            <w:hideMark/>
          </w:tcPr>
          <w:p w14:paraId="3DD98807"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5D443FA8"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4A8EDBC4" w14:textId="77777777" w:rsidTr="00FC70B6">
        <w:trPr>
          <w:trHeight w:val="253"/>
        </w:trPr>
        <w:tc>
          <w:tcPr>
            <w:tcW w:w="1004" w:type="dxa"/>
            <w:tcBorders>
              <w:top w:val="nil"/>
              <w:left w:val="nil"/>
              <w:bottom w:val="nil"/>
              <w:right w:val="nil"/>
            </w:tcBorders>
            <w:shd w:val="clear" w:color="auto" w:fill="auto"/>
            <w:noWrap/>
            <w:vAlign w:val="center"/>
            <w:hideMark/>
          </w:tcPr>
          <w:p w14:paraId="3E679A3D"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2794F89E"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191292CD"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Japanese Threadfin Bream</w:t>
            </w:r>
          </w:p>
        </w:tc>
        <w:tc>
          <w:tcPr>
            <w:tcW w:w="1822" w:type="dxa"/>
            <w:tcBorders>
              <w:top w:val="dotted" w:sz="4" w:space="0" w:color="auto"/>
              <w:left w:val="nil"/>
              <w:bottom w:val="dotted" w:sz="4" w:space="0" w:color="auto"/>
              <w:right w:val="nil"/>
            </w:tcBorders>
            <w:shd w:val="clear" w:color="auto" w:fill="auto"/>
            <w:noWrap/>
            <w:vAlign w:val="center"/>
            <w:hideMark/>
          </w:tcPr>
          <w:p w14:paraId="78968E4C"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Pentapodus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nagasakiensis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42DDF2EB"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0.52</w:t>
            </w:r>
          </w:p>
        </w:tc>
        <w:tc>
          <w:tcPr>
            <w:tcW w:w="951" w:type="dxa"/>
            <w:tcBorders>
              <w:top w:val="dotted" w:sz="4" w:space="0" w:color="auto"/>
              <w:left w:val="nil"/>
              <w:bottom w:val="dotted" w:sz="4" w:space="0" w:color="auto"/>
              <w:right w:val="nil"/>
            </w:tcBorders>
            <w:shd w:val="clear" w:color="auto" w:fill="auto"/>
            <w:noWrap/>
            <w:vAlign w:val="center"/>
            <w:hideMark/>
          </w:tcPr>
          <w:p w14:paraId="57BCFE35"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9</w:t>
            </w:r>
          </w:p>
        </w:tc>
        <w:tc>
          <w:tcPr>
            <w:tcW w:w="766" w:type="dxa"/>
            <w:tcBorders>
              <w:top w:val="dotted" w:sz="4" w:space="0" w:color="auto"/>
              <w:left w:val="nil"/>
              <w:bottom w:val="dotted" w:sz="4" w:space="0" w:color="auto"/>
              <w:right w:val="nil"/>
            </w:tcBorders>
            <w:shd w:val="clear" w:color="auto" w:fill="auto"/>
            <w:noWrap/>
            <w:vAlign w:val="center"/>
            <w:hideMark/>
          </w:tcPr>
          <w:p w14:paraId="0871131F"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74F733E5"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4913E763" w14:textId="77777777" w:rsidTr="00FC70B6">
        <w:trPr>
          <w:trHeight w:val="253"/>
        </w:trPr>
        <w:tc>
          <w:tcPr>
            <w:tcW w:w="1004" w:type="dxa"/>
            <w:tcBorders>
              <w:top w:val="nil"/>
              <w:left w:val="nil"/>
              <w:bottom w:val="nil"/>
              <w:right w:val="nil"/>
            </w:tcBorders>
            <w:shd w:val="clear" w:color="auto" w:fill="auto"/>
            <w:noWrap/>
            <w:vAlign w:val="center"/>
            <w:hideMark/>
          </w:tcPr>
          <w:p w14:paraId="6591C68B"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247AA242"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0FAF76B3"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Largescale Saury</w:t>
            </w:r>
          </w:p>
        </w:tc>
        <w:tc>
          <w:tcPr>
            <w:tcW w:w="1822" w:type="dxa"/>
            <w:tcBorders>
              <w:top w:val="dotted" w:sz="4" w:space="0" w:color="auto"/>
              <w:left w:val="nil"/>
              <w:bottom w:val="dotted" w:sz="4" w:space="0" w:color="auto"/>
              <w:right w:val="nil"/>
            </w:tcBorders>
            <w:shd w:val="clear" w:color="auto" w:fill="auto"/>
            <w:noWrap/>
            <w:vAlign w:val="center"/>
            <w:hideMark/>
          </w:tcPr>
          <w:p w14:paraId="596977C2"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Saurida</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undosquamis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3E24394C"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0.29</w:t>
            </w:r>
          </w:p>
        </w:tc>
        <w:tc>
          <w:tcPr>
            <w:tcW w:w="951" w:type="dxa"/>
            <w:tcBorders>
              <w:top w:val="dotted" w:sz="4" w:space="0" w:color="auto"/>
              <w:left w:val="nil"/>
              <w:bottom w:val="dotted" w:sz="4" w:space="0" w:color="auto"/>
              <w:right w:val="nil"/>
            </w:tcBorders>
            <w:shd w:val="clear" w:color="auto" w:fill="auto"/>
            <w:noWrap/>
            <w:vAlign w:val="center"/>
            <w:hideMark/>
          </w:tcPr>
          <w:p w14:paraId="0EB70110"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w:t>
            </w:r>
          </w:p>
        </w:tc>
        <w:tc>
          <w:tcPr>
            <w:tcW w:w="766" w:type="dxa"/>
            <w:tcBorders>
              <w:top w:val="dotted" w:sz="4" w:space="0" w:color="auto"/>
              <w:left w:val="nil"/>
              <w:bottom w:val="dotted" w:sz="4" w:space="0" w:color="auto"/>
              <w:right w:val="nil"/>
            </w:tcBorders>
            <w:shd w:val="clear" w:color="auto" w:fill="auto"/>
            <w:noWrap/>
            <w:vAlign w:val="center"/>
            <w:hideMark/>
          </w:tcPr>
          <w:p w14:paraId="1DB07E3C"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16E778D9"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0A90F5AE" w14:textId="77777777" w:rsidTr="00FC70B6">
        <w:trPr>
          <w:trHeight w:val="253"/>
        </w:trPr>
        <w:tc>
          <w:tcPr>
            <w:tcW w:w="1004" w:type="dxa"/>
            <w:tcBorders>
              <w:top w:val="nil"/>
              <w:left w:val="nil"/>
              <w:bottom w:val="nil"/>
              <w:right w:val="nil"/>
            </w:tcBorders>
            <w:shd w:val="clear" w:color="auto" w:fill="auto"/>
            <w:noWrap/>
            <w:vAlign w:val="center"/>
            <w:hideMark/>
          </w:tcPr>
          <w:p w14:paraId="1BA0908B"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79D5D439"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1B3B8399"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Longspine</w:t>
            </w:r>
            <w:proofErr w:type="spellEnd"/>
            <w:r w:rsidRPr="00973D88">
              <w:rPr>
                <w:rFonts w:eastAsia="Times New Roman" w:cs="Arial"/>
                <w:color w:val="000000"/>
                <w:sz w:val="18"/>
                <w:szCs w:val="18"/>
                <w:lang w:eastAsia="en-AU"/>
              </w:rPr>
              <w:t xml:space="preserve"> flathead</w:t>
            </w:r>
          </w:p>
        </w:tc>
        <w:tc>
          <w:tcPr>
            <w:tcW w:w="1822" w:type="dxa"/>
            <w:tcBorders>
              <w:top w:val="dotted" w:sz="4" w:space="0" w:color="auto"/>
              <w:left w:val="nil"/>
              <w:bottom w:val="dotted" w:sz="4" w:space="0" w:color="auto"/>
              <w:right w:val="nil"/>
            </w:tcBorders>
            <w:shd w:val="clear" w:color="auto" w:fill="auto"/>
            <w:noWrap/>
            <w:vAlign w:val="center"/>
            <w:hideMark/>
          </w:tcPr>
          <w:p w14:paraId="553445D8" w14:textId="77777777" w:rsidR="008E2185" w:rsidRPr="00973D88" w:rsidRDefault="008E2185" w:rsidP="00FC70B6">
            <w:pPr>
              <w:spacing w:after="0"/>
              <w:rPr>
                <w:rFonts w:eastAsia="Times New Roman" w:cs="Arial"/>
                <w:i/>
                <w:iCs/>
                <w:color w:val="000000"/>
                <w:sz w:val="18"/>
                <w:szCs w:val="18"/>
                <w:lang w:eastAsia="en-AU"/>
              </w:rPr>
            </w:pPr>
            <w:r w:rsidRPr="00973D88">
              <w:rPr>
                <w:rFonts w:eastAsia="Times New Roman" w:cs="Arial"/>
                <w:i/>
                <w:iCs/>
                <w:color w:val="000000"/>
                <w:sz w:val="18"/>
                <w:szCs w:val="18"/>
                <w:lang w:eastAsia="en-AU"/>
              </w:rPr>
              <w:t xml:space="preserve">Platycephalus </w:t>
            </w:r>
            <w:proofErr w:type="spellStart"/>
            <w:r w:rsidRPr="00973D88">
              <w:rPr>
                <w:rFonts w:eastAsia="Times New Roman" w:cs="Arial"/>
                <w:i/>
                <w:iCs/>
                <w:color w:val="000000"/>
                <w:sz w:val="18"/>
                <w:szCs w:val="18"/>
                <w:lang w:eastAsia="en-AU"/>
              </w:rPr>
              <w:t>grandispinis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51685153"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0.17</w:t>
            </w:r>
          </w:p>
        </w:tc>
        <w:tc>
          <w:tcPr>
            <w:tcW w:w="951" w:type="dxa"/>
            <w:tcBorders>
              <w:top w:val="dotted" w:sz="4" w:space="0" w:color="auto"/>
              <w:left w:val="nil"/>
              <w:bottom w:val="dotted" w:sz="4" w:space="0" w:color="auto"/>
              <w:right w:val="nil"/>
            </w:tcBorders>
            <w:shd w:val="clear" w:color="auto" w:fill="auto"/>
            <w:noWrap/>
            <w:vAlign w:val="center"/>
            <w:hideMark/>
          </w:tcPr>
          <w:p w14:paraId="2A04BF89"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1334B135"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677EE7D6"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4CB70CBA" w14:textId="77777777" w:rsidTr="00FC70B6">
        <w:trPr>
          <w:trHeight w:val="253"/>
        </w:trPr>
        <w:tc>
          <w:tcPr>
            <w:tcW w:w="1004" w:type="dxa"/>
            <w:tcBorders>
              <w:top w:val="nil"/>
              <w:left w:val="nil"/>
              <w:bottom w:val="nil"/>
              <w:right w:val="nil"/>
            </w:tcBorders>
            <w:shd w:val="clear" w:color="auto" w:fill="auto"/>
            <w:noWrap/>
            <w:vAlign w:val="center"/>
            <w:hideMark/>
          </w:tcPr>
          <w:p w14:paraId="762DCE21"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5649B17C"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642AD8A8"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Pinkbanded</w:t>
            </w:r>
            <w:proofErr w:type="spellEnd"/>
            <w:r w:rsidRPr="00973D88">
              <w:rPr>
                <w:rFonts w:eastAsia="Times New Roman" w:cs="Arial"/>
                <w:color w:val="000000"/>
                <w:sz w:val="18"/>
                <w:szCs w:val="18"/>
                <w:lang w:eastAsia="en-AU"/>
              </w:rPr>
              <w:t xml:space="preserve"> </w:t>
            </w:r>
            <w:proofErr w:type="spellStart"/>
            <w:r w:rsidRPr="00973D88">
              <w:rPr>
                <w:rFonts w:eastAsia="Times New Roman" w:cs="Arial"/>
                <w:color w:val="000000"/>
                <w:sz w:val="18"/>
                <w:szCs w:val="18"/>
                <w:lang w:eastAsia="en-AU"/>
              </w:rPr>
              <w:t>Grubfish</w:t>
            </w:r>
            <w:proofErr w:type="spellEnd"/>
          </w:p>
        </w:tc>
        <w:tc>
          <w:tcPr>
            <w:tcW w:w="1822" w:type="dxa"/>
            <w:tcBorders>
              <w:top w:val="dotted" w:sz="4" w:space="0" w:color="auto"/>
              <w:left w:val="nil"/>
              <w:bottom w:val="dotted" w:sz="4" w:space="0" w:color="auto"/>
              <w:right w:val="nil"/>
            </w:tcBorders>
            <w:shd w:val="clear" w:color="auto" w:fill="auto"/>
            <w:noWrap/>
            <w:vAlign w:val="center"/>
            <w:hideMark/>
          </w:tcPr>
          <w:p w14:paraId="5AC69379"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Parapercis</w:t>
            </w:r>
            <w:proofErr w:type="spellEnd"/>
            <w:r w:rsidRPr="00973D88">
              <w:rPr>
                <w:rFonts w:eastAsia="Times New Roman" w:cs="Arial"/>
                <w:i/>
                <w:iCs/>
                <w:color w:val="000000"/>
                <w:sz w:val="18"/>
                <w:szCs w:val="18"/>
                <w:lang w:eastAsia="en-AU"/>
              </w:rPr>
              <w:t xml:space="preserve"> nebulosa</w:t>
            </w:r>
          </w:p>
        </w:tc>
        <w:tc>
          <w:tcPr>
            <w:tcW w:w="635" w:type="dxa"/>
            <w:tcBorders>
              <w:top w:val="dotted" w:sz="4" w:space="0" w:color="auto"/>
              <w:left w:val="nil"/>
              <w:bottom w:val="dotted" w:sz="4" w:space="0" w:color="auto"/>
              <w:right w:val="nil"/>
            </w:tcBorders>
            <w:shd w:val="clear" w:color="auto" w:fill="auto"/>
            <w:noWrap/>
            <w:vAlign w:val="center"/>
            <w:hideMark/>
          </w:tcPr>
          <w:p w14:paraId="0F147F1F"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0.21</w:t>
            </w:r>
          </w:p>
        </w:tc>
        <w:tc>
          <w:tcPr>
            <w:tcW w:w="951" w:type="dxa"/>
            <w:tcBorders>
              <w:top w:val="dotted" w:sz="4" w:space="0" w:color="auto"/>
              <w:left w:val="nil"/>
              <w:bottom w:val="dotted" w:sz="4" w:space="0" w:color="auto"/>
              <w:right w:val="nil"/>
            </w:tcBorders>
            <w:shd w:val="clear" w:color="auto" w:fill="auto"/>
            <w:noWrap/>
            <w:vAlign w:val="center"/>
            <w:hideMark/>
          </w:tcPr>
          <w:p w14:paraId="205D8CE6"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4</w:t>
            </w:r>
          </w:p>
        </w:tc>
        <w:tc>
          <w:tcPr>
            <w:tcW w:w="766" w:type="dxa"/>
            <w:tcBorders>
              <w:top w:val="dotted" w:sz="4" w:space="0" w:color="auto"/>
              <w:left w:val="nil"/>
              <w:bottom w:val="dotted" w:sz="4" w:space="0" w:color="auto"/>
              <w:right w:val="nil"/>
            </w:tcBorders>
            <w:shd w:val="clear" w:color="auto" w:fill="auto"/>
            <w:noWrap/>
            <w:vAlign w:val="center"/>
            <w:hideMark/>
          </w:tcPr>
          <w:p w14:paraId="3FF315B7"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6B94F63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5C4017A3" w14:textId="77777777" w:rsidTr="00FC70B6">
        <w:trPr>
          <w:trHeight w:val="253"/>
        </w:trPr>
        <w:tc>
          <w:tcPr>
            <w:tcW w:w="1004" w:type="dxa"/>
            <w:tcBorders>
              <w:top w:val="nil"/>
              <w:left w:val="nil"/>
              <w:bottom w:val="nil"/>
              <w:right w:val="nil"/>
            </w:tcBorders>
            <w:shd w:val="clear" w:color="auto" w:fill="auto"/>
            <w:noWrap/>
            <w:vAlign w:val="center"/>
            <w:hideMark/>
          </w:tcPr>
          <w:p w14:paraId="25700693"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55B9086C"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3684FAF7"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Rosy Goatfish</w:t>
            </w:r>
          </w:p>
        </w:tc>
        <w:tc>
          <w:tcPr>
            <w:tcW w:w="1822" w:type="dxa"/>
            <w:tcBorders>
              <w:top w:val="dotted" w:sz="4" w:space="0" w:color="auto"/>
              <w:left w:val="nil"/>
              <w:bottom w:val="dotted" w:sz="4" w:space="0" w:color="auto"/>
              <w:right w:val="nil"/>
            </w:tcBorders>
            <w:shd w:val="clear" w:color="auto" w:fill="auto"/>
            <w:noWrap/>
            <w:vAlign w:val="center"/>
            <w:hideMark/>
          </w:tcPr>
          <w:p w14:paraId="269CA681"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Parupeneus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chrysopleuron</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62AC755C"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0.22</w:t>
            </w:r>
          </w:p>
        </w:tc>
        <w:tc>
          <w:tcPr>
            <w:tcW w:w="951" w:type="dxa"/>
            <w:tcBorders>
              <w:top w:val="dotted" w:sz="4" w:space="0" w:color="auto"/>
              <w:left w:val="nil"/>
              <w:bottom w:val="dotted" w:sz="4" w:space="0" w:color="auto"/>
              <w:right w:val="nil"/>
            </w:tcBorders>
            <w:shd w:val="clear" w:color="auto" w:fill="auto"/>
            <w:noWrap/>
            <w:vAlign w:val="center"/>
            <w:hideMark/>
          </w:tcPr>
          <w:p w14:paraId="0D1F23BD"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6</w:t>
            </w:r>
          </w:p>
        </w:tc>
        <w:tc>
          <w:tcPr>
            <w:tcW w:w="766" w:type="dxa"/>
            <w:tcBorders>
              <w:top w:val="dotted" w:sz="4" w:space="0" w:color="auto"/>
              <w:left w:val="nil"/>
              <w:bottom w:val="dotted" w:sz="4" w:space="0" w:color="auto"/>
              <w:right w:val="nil"/>
            </w:tcBorders>
            <w:shd w:val="clear" w:color="auto" w:fill="auto"/>
            <w:noWrap/>
            <w:vAlign w:val="center"/>
            <w:hideMark/>
          </w:tcPr>
          <w:p w14:paraId="7EAAD0E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7A1D973E"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2FB3EF91" w14:textId="77777777" w:rsidTr="00FC70B6">
        <w:trPr>
          <w:trHeight w:val="253"/>
        </w:trPr>
        <w:tc>
          <w:tcPr>
            <w:tcW w:w="1004" w:type="dxa"/>
            <w:tcBorders>
              <w:top w:val="nil"/>
              <w:left w:val="nil"/>
              <w:bottom w:val="nil"/>
              <w:right w:val="nil"/>
            </w:tcBorders>
            <w:shd w:val="clear" w:color="auto" w:fill="auto"/>
            <w:noWrap/>
            <w:vAlign w:val="center"/>
            <w:hideMark/>
          </w:tcPr>
          <w:p w14:paraId="21D7BAA2"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6C1F9A56"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1370CC0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 xml:space="preserve">Scorpionfish, Long-finned </w:t>
            </w:r>
            <w:proofErr w:type="spellStart"/>
            <w:r w:rsidRPr="00973D88">
              <w:rPr>
                <w:rFonts w:eastAsia="Times New Roman" w:cs="Arial"/>
                <w:color w:val="000000"/>
                <w:sz w:val="18"/>
                <w:szCs w:val="18"/>
                <w:lang w:eastAsia="en-AU"/>
              </w:rPr>
              <w:t>Waspfish</w:t>
            </w:r>
            <w:proofErr w:type="spellEnd"/>
          </w:p>
        </w:tc>
        <w:tc>
          <w:tcPr>
            <w:tcW w:w="1822" w:type="dxa"/>
            <w:tcBorders>
              <w:top w:val="dotted" w:sz="4" w:space="0" w:color="auto"/>
              <w:left w:val="nil"/>
              <w:bottom w:val="dotted" w:sz="4" w:space="0" w:color="auto"/>
              <w:right w:val="nil"/>
            </w:tcBorders>
            <w:shd w:val="clear" w:color="auto" w:fill="auto"/>
            <w:noWrap/>
            <w:vAlign w:val="center"/>
            <w:hideMark/>
          </w:tcPr>
          <w:p w14:paraId="694F1874"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Apistus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carinatus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1A6A0F08"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0.03</w:t>
            </w:r>
          </w:p>
        </w:tc>
        <w:tc>
          <w:tcPr>
            <w:tcW w:w="951" w:type="dxa"/>
            <w:tcBorders>
              <w:top w:val="dotted" w:sz="4" w:space="0" w:color="auto"/>
              <w:left w:val="nil"/>
              <w:bottom w:val="dotted" w:sz="4" w:space="0" w:color="auto"/>
              <w:right w:val="nil"/>
            </w:tcBorders>
            <w:shd w:val="clear" w:color="auto" w:fill="auto"/>
            <w:noWrap/>
            <w:vAlign w:val="center"/>
            <w:hideMark/>
          </w:tcPr>
          <w:p w14:paraId="71CF672B"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w:t>
            </w:r>
          </w:p>
        </w:tc>
        <w:tc>
          <w:tcPr>
            <w:tcW w:w="766" w:type="dxa"/>
            <w:tcBorders>
              <w:top w:val="dotted" w:sz="4" w:space="0" w:color="auto"/>
              <w:left w:val="nil"/>
              <w:bottom w:val="dotted" w:sz="4" w:space="0" w:color="auto"/>
              <w:right w:val="nil"/>
            </w:tcBorders>
            <w:shd w:val="clear" w:color="auto" w:fill="auto"/>
            <w:noWrap/>
            <w:vAlign w:val="center"/>
            <w:hideMark/>
          </w:tcPr>
          <w:p w14:paraId="3CB5BE7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235930D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67F2E33C" w14:textId="77777777" w:rsidTr="00FC70B6">
        <w:trPr>
          <w:trHeight w:val="253"/>
        </w:trPr>
        <w:tc>
          <w:tcPr>
            <w:tcW w:w="1004" w:type="dxa"/>
            <w:tcBorders>
              <w:top w:val="nil"/>
              <w:left w:val="nil"/>
              <w:bottom w:val="nil"/>
              <w:right w:val="nil"/>
            </w:tcBorders>
            <w:shd w:val="clear" w:color="auto" w:fill="auto"/>
            <w:noWrap/>
            <w:vAlign w:val="center"/>
            <w:hideMark/>
          </w:tcPr>
          <w:p w14:paraId="24FA5562"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32AA63EC"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4DC82DF9"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Smalltooth</w:t>
            </w:r>
            <w:proofErr w:type="spellEnd"/>
            <w:r w:rsidRPr="00973D88">
              <w:rPr>
                <w:rFonts w:eastAsia="Times New Roman" w:cs="Arial"/>
                <w:color w:val="000000"/>
                <w:sz w:val="18"/>
                <w:szCs w:val="18"/>
                <w:lang w:eastAsia="en-AU"/>
              </w:rPr>
              <w:t xml:space="preserve"> Flounder</w:t>
            </w:r>
          </w:p>
        </w:tc>
        <w:tc>
          <w:tcPr>
            <w:tcW w:w="1822" w:type="dxa"/>
            <w:tcBorders>
              <w:top w:val="dotted" w:sz="4" w:space="0" w:color="auto"/>
              <w:left w:val="nil"/>
              <w:bottom w:val="dotted" w:sz="4" w:space="0" w:color="auto"/>
              <w:right w:val="nil"/>
            </w:tcBorders>
            <w:shd w:val="clear" w:color="auto" w:fill="auto"/>
            <w:noWrap/>
            <w:vAlign w:val="center"/>
            <w:hideMark/>
          </w:tcPr>
          <w:p w14:paraId="1398901D"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Pseudorhombus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jenynsii</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5EDD562A"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0.51</w:t>
            </w:r>
          </w:p>
        </w:tc>
        <w:tc>
          <w:tcPr>
            <w:tcW w:w="951" w:type="dxa"/>
            <w:tcBorders>
              <w:top w:val="dotted" w:sz="4" w:space="0" w:color="auto"/>
              <w:left w:val="nil"/>
              <w:bottom w:val="dotted" w:sz="4" w:space="0" w:color="auto"/>
              <w:right w:val="nil"/>
            </w:tcBorders>
            <w:shd w:val="clear" w:color="auto" w:fill="auto"/>
            <w:noWrap/>
            <w:vAlign w:val="center"/>
            <w:hideMark/>
          </w:tcPr>
          <w:p w14:paraId="6C3F7AD9"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w:t>
            </w:r>
          </w:p>
        </w:tc>
        <w:tc>
          <w:tcPr>
            <w:tcW w:w="766" w:type="dxa"/>
            <w:tcBorders>
              <w:top w:val="dotted" w:sz="4" w:space="0" w:color="auto"/>
              <w:left w:val="nil"/>
              <w:bottom w:val="dotted" w:sz="4" w:space="0" w:color="auto"/>
              <w:right w:val="nil"/>
            </w:tcBorders>
            <w:shd w:val="clear" w:color="auto" w:fill="auto"/>
            <w:noWrap/>
            <w:vAlign w:val="center"/>
            <w:hideMark/>
          </w:tcPr>
          <w:p w14:paraId="5A58BEC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199AEFEC"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1A46B3C6" w14:textId="77777777" w:rsidTr="00FC70B6">
        <w:trPr>
          <w:trHeight w:val="253"/>
        </w:trPr>
        <w:tc>
          <w:tcPr>
            <w:tcW w:w="1004" w:type="dxa"/>
            <w:tcBorders>
              <w:top w:val="nil"/>
              <w:left w:val="nil"/>
              <w:bottom w:val="nil"/>
              <w:right w:val="nil"/>
            </w:tcBorders>
            <w:shd w:val="clear" w:color="auto" w:fill="auto"/>
            <w:noWrap/>
            <w:vAlign w:val="center"/>
            <w:hideMark/>
          </w:tcPr>
          <w:p w14:paraId="6C045EF8"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7EBC38B1"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15D7CE06"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Sole, Lemon tongue</w:t>
            </w:r>
          </w:p>
        </w:tc>
        <w:tc>
          <w:tcPr>
            <w:tcW w:w="1822" w:type="dxa"/>
            <w:tcBorders>
              <w:top w:val="dotted" w:sz="4" w:space="0" w:color="auto"/>
              <w:left w:val="nil"/>
              <w:bottom w:val="dotted" w:sz="4" w:space="0" w:color="auto"/>
              <w:right w:val="nil"/>
            </w:tcBorders>
            <w:shd w:val="clear" w:color="auto" w:fill="auto"/>
            <w:noWrap/>
            <w:vAlign w:val="center"/>
            <w:hideMark/>
          </w:tcPr>
          <w:p w14:paraId="13076911"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Paraplagusia</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bilineata</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1E565D16"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0.02</w:t>
            </w:r>
          </w:p>
        </w:tc>
        <w:tc>
          <w:tcPr>
            <w:tcW w:w="951" w:type="dxa"/>
            <w:tcBorders>
              <w:top w:val="dotted" w:sz="4" w:space="0" w:color="auto"/>
              <w:left w:val="nil"/>
              <w:bottom w:val="dotted" w:sz="4" w:space="0" w:color="auto"/>
              <w:right w:val="nil"/>
            </w:tcBorders>
            <w:shd w:val="clear" w:color="auto" w:fill="auto"/>
            <w:noWrap/>
            <w:vAlign w:val="center"/>
            <w:hideMark/>
          </w:tcPr>
          <w:p w14:paraId="723DD966"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49CA180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6909066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0DCC86BB" w14:textId="77777777" w:rsidTr="00FC70B6">
        <w:trPr>
          <w:trHeight w:val="253"/>
        </w:trPr>
        <w:tc>
          <w:tcPr>
            <w:tcW w:w="1004" w:type="dxa"/>
            <w:tcBorders>
              <w:top w:val="nil"/>
              <w:left w:val="nil"/>
              <w:bottom w:val="nil"/>
              <w:right w:val="nil"/>
            </w:tcBorders>
            <w:shd w:val="clear" w:color="auto" w:fill="auto"/>
            <w:noWrap/>
            <w:vAlign w:val="center"/>
            <w:hideMark/>
          </w:tcPr>
          <w:p w14:paraId="256B6210"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239DBCF5"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7566BEDE"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 xml:space="preserve">Sole, </w:t>
            </w:r>
            <w:proofErr w:type="gramStart"/>
            <w:r w:rsidRPr="00973D88">
              <w:rPr>
                <w:rFonts w:eastAsia="Times New Roman" w:cs="Arial"/>
                <w:color w:val="000000"/>
                <w:sz w:val="18"/>
                <w:szCs w:val="18"/>
                <w:lang w:eastAsia="en-AU"/>
              </w:rPr>
              <w:t>Wicker-work</w:t>
            </w:r>
            <w:proofErr w:type="gramEnd"/>
          </w:p>
        </w:tc>
        <w:tc>
          <w:tcPr>
            <w:tcW w:w="1822" w:type="dxa"/>
            <w:tcBorders>
              <w:top w:val="dotted" w:sz="4" w:space="0" w:color="auto"/>
              <w:left w:val="nil"/>
              <w:bottom w:val="dotted" w:sz="4" w:space="0" w:color="auto"/>
              <w:right w:val="nil"/>
            </w:tcBorders>
            <w:shd w:val="clear" w:color="auto" w:fill="auto"/>
            <w:noWrap/>
            <w:vAlign w:val="center"/>
            <w:hideMark/>
          </w:tcPr>
          <w:p w14:paraId="01B54FE0"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Zebrias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craticula</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23C5F65B"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0.04</w:t>
            </w:r>
          </w:p>
        </w:tc>
        <w:tc>
          <w:tcPr>
            <w:tcW w:w="951" w:type="dxa"/>
            <w:tcBorders>
              <w:top w:val="dotted" w:sz="4" w:space="0" w:color="auto"/>
              <w:left w:val="nil"/>
              <w:bottom w:val="dotted" w:sz="4" w:space="0" w:color="auto"/>
              <w:right w:val="nil"/>
            </w:tcBorders>
            <w:shd w:val="clear" w:color="auto" w:fill="auto"/>
            <w:noWrap/>
            <w:vAlign w:val="center"/>
            <w:hideMark/>
          </w:tcPr>
          <w:p w14:paraId="7C88BA74"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2465EA3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74D79719"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174FD64C" w14:textId="77777777" w:rsidTr="00FC70B6">
        <w:trPr>
          <w:trHeight w:val="253"/>
        </w:trPr>
        <w:tc>
          <w:tcPr>
            <w:tcW w:w="1004" w:type="dxa"/>
            <w:tcBorders>
              <w:top w:val="nil"/>
              <w:left w:val="nil"/>
              <w:bottom w:val="nil"/>
              <w:right w:val="nil"/>
            </w:tcBorders>
            <w:shd w:val="clear" w:color="auto" w:fill="auto"/>
            <w:noWrap/>
            <w:vAlign w:val="center"/>
            <w:hideMark/>
          </w:tcPr>
          <w:p w14:paraId="7A597618"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55145F78"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099F560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Spiny flounder</w:t>
            </w:r>
          </w:p>
        </w:tc>
        <w:tc>
          <w:tcPr>
            <w:tcW w:w="1822" w:type="dxa"/>
            <w:tcBorders>
              <w:top w:val="dotted" w:sz="4" w:space="0" w:color="auto"/>
              <w:left w:val="nil"/>
              <w:bottom w:val="dotted" w:sz="4" w:space="0" w:color="auto"/>
              <w:right w:val="nil"/>
            </w:tcBorders>
            <w:shd w:val="clear" w:color="auto" w:fill="auto"/>
            <w:noWrap/>
            <w:vAlign w:val="center"/>
            <w:hideMark/>
          </w:tcPr>
          <w:p w14:paraId="40B47023"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Pseudorhombus</w:t>
            </w:r>
            <w:proofErr w:type="spellEnd"/>
            <w:r w:rsidRPr="00973D88">
              <w:rPr>
                <w:rFonts w:eastAsia="Times New Roman" w:cs="Arial"/>
                <w:i/>
                <w:iCs/>
                <w:color w:val="000000"/>
                <w:sz w:val="18"/>
                <w:szCs w:val="18"/>
                <w:lang w:eastAsia="en-AU"/>
              </w:rPr>
              <w:t xml:space="preserve"> spinosus</w:t>
            </w:r>
          </w:p>
        </w:tc>
        <w:tc>
          <w:tcPr>
            <w:tcW w:w="635" w:type="dxa"/>
            <w:tcBorders>
              <w:top w:val="dotted" w:sz="4" w:space="0" w:color="auto"/>
              <w:left w:val="nil"/>
              <w:bottom w:val="dotted" w:sz="4" w:space="0" w:color="auto"/>
              <w:right w:val="nil"/>
            </w:tcBorders>
            <w:shd w:val="clear" w:color="auto" w:fill="auto"/>
            <w:noWrap/>
            <w:vAlign w:val="center"/>
            <w:hideMark/>
          </w:tcPr>
          <w:p w14:paraId="653EB286"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0.46</w:t>
            </w:r>
          </w:p>
        </w:tc>
        <w:tc>
          <w:tcPr>
            <w:tcW w:w="951" w:type="dxa"/>
            <w:tcBorders>
              <w:top w:val="dotted" w:sz="4" w:space="0" w:color="auto"/>
              <w:left w:val="nil"/>
              <w:bottom w:val="dotted" w:sz="4" w:space="0" w:color="auto"/>
              <w:right w:val="nil"/>
            </w:tcBorders>
            <w:shd w:val="clear" w:color="auto" w:fill="auto"/>
            <w:noWrap/>
            <w:vAlign w:val="center"/>
            <w:hideMark/>
          </w:tcPr>
          <w:p w14:paraId="3153A748"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4</w:t>
            </w:r>
          </w:p>
        </w:tc>
        <w:tc>
          <w:tcPr>
            <w:tcW w:w="766" w:type="dxa"/>
            <w:tcBorders>
              <w:top w:val="dotted" w:sz="4" w:space="0" w:color="auto"/>
              <w:left w:val="nil"/>
              <w:bottom w:val="dotted" w:sz="4" w:space="0" w:color="auto"/>
              <w:right w:val="nil"/>
            </w:tcBorders>
            <w:shd w:val="clear" w:color="auto" w:fill="auto"/>
            <w:noWrap/>
            <w:vAlign w:val="center"/>
            <w:hideMark/>
          </w:tcPr>
          <w:p w14:paraId="71453E8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087BFAC4"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7289B528" w14:textId="77777777" w:rsidTr="00FC70B6">
        <w:trPr>
          <w:trHeight w:val="253"/>
        </w:trPr>
        <w:tc>
          <w:tcPr>
            <w:tcW w:w="1004" w:type="dxa"/>
            <w:tcBorders>
              <w:top w:val="nil"/>
              <w:left w:val="nil"/>
              <w:bottom w:val="nil"/>
              <w:right w:val="nil"/>
            </w:tcBorders>
            <w:shd w:val="clear" w:color="auto" w:fill="auto"/>
            <w:noWrap/>
            <w:vAlign w:val="center"/>
            <w:hideMark/>
          </w:tcPr>
          <w:p w14:paraId="6CDCD1B6"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6E66247B"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5F927C24"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Spotfin</w:t>
            </w:r>
            <w:proofErr w:type="spellEnd"/>
            <w:r w:rsidRPr="00973D88">
              <w:rPr>
                <w:rFonts w:eastAsia="Times New Roman" w:cs="Arial"/>
                <w:color w:val="000000"/>
                <w:sz w:val="18"/>
                <w:szCs w:val="18"/>
                <w:lang w:eastAsia="en-AU"/>
              </w:rPr>
              <w:t xml:space="preserve"> Anglerfish</w:t>
            </w:r>
          </w:p>
        </w:tc>
        <w:tc>
          <w:tcPr>
            <w:tcW w:w="1822" w:type="dxa"/>
            <w:tcBorders>
              <w:top w:val="dotted" w:sz="4" w:space="0" w:color="auto"/>
              <w:left w:val="nil"/>
              <w:bottom w:val="dotted" w:sz="4" w:space="0" w:color="auto"/>
              <w:right w:val="nil"/>
            </w:tcBorders>
            <w:shd w:val="clear" w:color="auto" w:fill="auto"/>
            <w:noWrap/>
            <w:vAlign w:val="center"/>
            <w:hideMark/>
          </w:tcPr>
          <w:p w14:paraId="11B15BDB"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Antennarius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nummifer</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5C1D8DD0"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0.01</w:t>
            </w:r>
          </w:p>
        </w:tc>
        <w:tc>
          <w:tcPr>
            <w:tcW w:w="951" w:type="dxa"/>
            <w:tcBorders>
              <w:top w:val="dotted" w:sz="4" w:space="0" w:color="auto"/>
              <w:left w:val="nil"/>
              <w:bottom w:val="dotted" w:sz="4" w:space="0" w:color="auto"/>
              <w:right w:val="nil"/>
            </w:tcBorders>
            <w:shd w:val="clear" w:color="auto" w:fill="auto"/>
            <w:noWrap/>
            <w:vAlign w:val="center"/>
            <w:hideMark/>
          </w:tcPr>
          <w:p w14:paraId="74D659AC"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5E3B1804"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1C152719"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77A85C57" w14:textId="77777777" w:rsidTr="00FC70B6">
        <w:trPr>
          <w:trHeight w:val="253"/>
        </w:trPr>
        <w:tc>
          <w:tcPr>
            <w:tcW w:w="1004" w:type="dxa"/>
            <w:tcBorders>
              <w:top w:val="nil"/>
              <w:left w:val="nil"/>
              <w:bottom w:val="nil"/>
              <w:right w:val="nil"/>
            </w:tcBorders>
            <w:shd w:val="clear" w:color="auto" w:fill="auto"/>
            <w:noWrap/>
            <w:vAlign w:val="center"/>
            <w:hideMark/>
          </w:tcPr>
          <w:p w14:paraId="27F7BFE3"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668920C8"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35BB9723"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Threadfin Emperor</w:t>
            </w:r>
          </w:p>
        </w:tc>
        <w:tc>
          <w:tcPr>
            <w:tcW w:w="1822" w:type="dxa"/>
            <w:tcBorders>
              <w:top w:val="dotted" w:sz="4" w:space="0" w:color="auto"/>
              <w:left w:val="nil"/>
              <w:bottom w:val="dotted" w:sz="4" w:space="0" w:color="auto"/>
              <w:right w:val="nil"/>
            </w:tcBorders>
            <w:shd w:val="clear" w:color="auto" w:fill="auto"/>
            <w:noWrap/>
            <w:vAlign w:val="center"/>
            <w:hideMark/>
          </w:tcPr>
          <w:p w14:paraId="78A1E491"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Lethrinus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genivittatus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75CA7A1F"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0.04</w:t>
            </w:r>
          </w:p>
        </w:tc>
        <w:tc>
          <w:tcPr>
            <w:tcW w:w="951" w:type="dxa"/>
            <w:tcBorders>
              <w:top w:val="dotted" w:sz="4" w:space="0" w:color="auto"/>
              <w:left w:val="nil"/>
              <w:bottom w:val="dotted" w:sz="4" w:space="0" w:color="auto"/>
              <w:right w:val="nil"/>
            </w:tcBorders>
            <w:shd w:val="clear" w:color="auto" w:fill="auto"/>
            <w:noWrap/>
            <w:vAlign w:val="center"/>
            <w:hideMark/>
          </w:tcPr>
          <w:p w14:paraId="73BBE361"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0A0F04A4"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7D31B98D"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68B391B7" w14:textId="77777777" w:rsidTr="00FC70B6">
        <w:trPr>
          <w:trHeight w:val="253"/>
        </w:trPr>
        <w:tc>
          <w:tcPr>
            <w:tcW w:w="1004" w:type="dxa"/>
            <w:tcBorders>
              <w:top w:val="nil"/>
              <w:left w:val="nil"/>
              <w:bottom w:val="nil"/>
              <w:right w:val="nil"/>
            </w:tcBorders>
            <w:shd w:val="clear" w:color="auto" w:fill="auto"/>
            <w:noWrap/>
            <w:vAlign w:val="center"/>
            <w:hideMark/>
          </w:tcPr>
          <w:p w14:paraId="10EB7B35"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34E24EA3"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68EF8766"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Toadfish, Hick's</w:t>
            </w:r>
          </w:p>
        </w:tc>
        <w:tc>
          <w:tcPr>
            <w:tcW w:w="1822" w:type="dxa"/>
            <w:tcBorders>
              <w:top w:val="dotted" w:sz="4" w:space="0" w:color="auto"/>
              <w:left w:val="nil"/>
              <w:bottom w:val="dotted" w:sz="4" w:space="0" w:color="auto"/>
              <w:right w:val="nil"/>
            </w:tcBorders>
            <w:shd w:val="clear" w:color="auto" w:fill="auto"/>
            <w:noWrap/>
            <w:vAlign w:val="center"/>
            <w:hideMark/>
          </w:tcPr>
          <w:p w14:paraId="482A3922"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Torquigener</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hicksi</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16DEA878"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0.52</w:t>
            </w:r>
          </w:p>
        </w:tc>
        <w:tc>
          <w:tcPr>
            <w:tcW w:w="951" w:type="dxa"/>
            <w:tcBorders>
              <w:top w:val="dotted" w:sz="4" w:space="0" w:color="auto"/>
              <w:left w:val="nil"/>
              <w:bottom w:val="dotted" w:sz="4" w:space="0" w:color="auto"/>
              <w:right w:val="nil"/>
            </w:tcBorders>
            <w:shd w:val="clear" w:color="auto" w:fill="auto"/>
            <w:noWrap/>
            <w:vAlign w:val="center"/>
            <w:hideMark/>
          </w:tcPr>
          <w:p w14:paraId="76F1B245"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19</w:t>
            </w:r>
          </w:p>
        </w:tc>
        <w:tc>
          <w:tcPr>
            <w:tcW w:w="766" w:type="dxa"/>
            <w:tcBorders>
              <w:top w:val="dotted" w:sz="4" w:space="0" w:color="auto"/>
              <w:left w:val="nil"/>
              <w:bottom w:val="dotted" w:sz="4" w:space="0" w:color="auto"/>
              <w:right w:val="nil"/>
            </w:tcBorders>
            <w:shd w:val="clear" w:color="auto" w:fill="auto"/>
            <w:noWrap/>
            <w:vAlign w:val="center"/>
            <w:hideMark/>
          </w:tcPr>
          <w:p w14:paraId="3151077D"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0C991B28"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2C698F7C" w14:textId="77777777" w:rsidTr="00FC70B6">
        <w:trPr>
          <w:trHeight w:val="253"/>
        </w:trPr>
        <w:tc>
          <w:tcPr>
            <w:tcW w:w="1004" w:type="dxa"/>
            <w:tcBorders>
              <w:top w:val="nil"/>
              <w:left w:val="nil"/>
              <w:bottom w:val="nil"/>
              <w:right w:val="nil"/>
            </w:tcBorders>
            <w:shd w:val="clear" w:color="auto" w:fill="auto"/>
            <w:noWrap/>
            <w:vAlign w:val="center"/>
            <w:hideMark/>
          </w:tcPr>
          <w:p w14:paraId="4BE9FE8F"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6AD78F0F"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6A982DDB"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Turretfish</w:t>
            </w:r>
            <w:proofErr w:type="spellEnd"/>
            <w:r w:rsidRPr="00973D88">
              <w:rPr>
                <w:rFonts w:eastAsia="Times New Roman" w:cs="Arial"/>
                <w:color w:val="000000"/>
                <w:sz w:val="18"/>
                <w:szCs w:val="18"/>
                <w:lang w:eastAsia="en-AU"/>
              </w:rPr>
              <w:t>, Small spined</w:t>
            </w:r>
          </w:p>
        </w:tc>
        <w:tc>
          <w:tcPr>
            <w:tcW w:w="1822" w:type="dxa"/>
            <w:tcBorders>
              <w:top w:val="dotted" w:sz="4" w:space="0" w:color="auto"/>
              <w:left w:val="nil"/>
              <w:bottom w:val="dotted" w:sz="4" w:space="0" w:color="auto"/>
              <w:right w:val="nil"/>
            </w:tcBorders>
            <w:shd w:val="clear" w:color="auto" w:fill="auto"/>
            <w:noWrap/>
            <w:vAlign w:val="center"/>
            <w:hideMark/>
          </w:tcPr>
          <w:p w14:paraId="6B240AB0"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Tetrosomus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reipublicae</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60BB03DD"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0.04</w:t>
            </w:r>
          </w:p>
        </w:tc>
        <w:tc>
          <w:tcPr>
            <w:tcW w:w="951" w:type="dxa"/>
            <w:tcBorders>
              <w:top w:val="dotted" w:sz="4" w:space="0" w:color="auto"/>
              <w:left w:val="nil"/>
              <w:bottom w:val="dotted" w:sz="4" w:space="0" w:color="auto"/>
              <w:right w:val="nil"/>
            </w:tcBorders>
            <w:shd w:val="clear" w:color="auto" w:fill="auto"/>
            <w:noWrap/>
            <w:vAlign w:val="center"/>
            <w:hideMark/>
          </w:tcPr>
          <w:p w14:paraId="01900DEE"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0E73125F"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6F946EBF"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0A7CB558" w14:textId="77777777" w:rsidTr="00FC70B6">
        <w:trPr>
          <w:trHeight w:val="253"/>
        </w:trPr>
        <w:tc>
          <w:tcPr>
            <w:tcW w:w="1004" w:type="dxa"/>
            <w:tcBorders>
              <w:top w:val="nil"/>
              <w:left w:val="nil"/>
              <w:bottom w:val="nil"/>
              <w:right w:val="nil"/>
            </w:tcBorders>
            <w:shd w:val="clear" w:color="auto" w:fill="auto"/>
            <w:noWrap/>
            <w:vAlign w:val="center"/>
            <w:hideMark/>
          </w:tcPr>
          <w:p w14:paraId="68B24E1A"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1B6B3548"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7AE7CBF7"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Western Butterfish</w:t>
            </w:r>
          </w:p>
        </w:tc>
        <w:tc>
          <w:tcPr>
            <w:tcW w:w="1822" w:type="dxa"/>
            <w:tcBorders>
              <w:top w:val="dotted" w:sz="4" w:space="0" w:color="auto"/>
              <w:left w:val="nil"/>
              <w:bottom w:val="dotted" w:sz="4" w:space="0" w:color="auto"/>
              <w:right w:val="nil"/>
            </w:tcBorders>
            <w:shd w:val="clear" w:color="auto" w:fill="auto"/>
            <w:noWrap/>
            <w:vAlign w:val="center"/>
            <w:hideMark/>
          </w:tcPr>
          <w:p w14:paraId="2988C781"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Pentapodus</w:t>
            </w:r>
            <w:proofErr w:type="spellEnd"/>
            <w:r w:rsidRPr="00973D88">
              <w:rPr>
                <w:rFonts w:eastAsia="Times New Roman" w:cs="Arial"/>
                <w:i/>
                <w:iCs/>
                <w:color w:val="000000"/>
                <w:sz w:val="18"/>
                <w:szCs w:val="18"/>
                <w:lang w:eastAsia="en-AU"/>
              </w:rPr>
              <w:t xml:space="preserve"> vitta</w:t>
            </w:r>
          </w:p>
        </w:tc>
        <w:tc>
          <w:tcPr>
            <w:tcW w:w="635" w:type="dxa"/>
            <w:tcBorders>
              <w:top w:val="dotted" w:sz="4" w:space="0" w:color="auto"/>
              <w:left w:val="nil"/>
              <w:bottom w:val="dotted" w:sz="4" w:space="0" w:color="auto"/>
              <w:right w:val="nil"/>
            </w:tcBorders>
            <w:shd w:val="clear" w:color="auto" w:fill="auto"/>
            <w:noWrap/>
            <w:vAlign w:val="center"/>
            <w:hideMark/>
          </w:tcPr>
          <w:p w14:paraId="7F5A749B"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0.14</w:t>
            </w:r>
          </w:p>
        </w:tc>
        <w:tc>
          <w:tcPr>
            <w:tcW w:w="951" w:type="dxa"/>
            <w:tcBorders>
              <w:top w:val="dotted" w:sz="4" w:space="0" w:color="auto"/>
              <w:left w:val="nil"/>
              <w:bottom w:val="dotted" w:sz="4" w:space="0" w:color="auto"/>
              <w:right w:val="nil"/>
            </w:tcBorders>
            <w:shd w:val="clear" w:color="auto" w:fill="auto"/>
            <w:noWrap/>
            <w:vAlign w:val="center"/>
            <w:hideMark/>
          </w:tcPr>
          <w:p w14:paraId="4C3848DB"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w:t>
            </w:r>
          </w:p>
        </w:tc>
        <w:tc>
          <w:tcPr>
            <w:tcW w:w="766" w:type="dxa"/>
            <w:tcBorders>
              <w:top w:val="dotted" w:sz="4" w:space="0" w:color="auto"/>
              <w:left w:val="nil"/>
              <w:bottom w:val="dotted" w:sz="4" w:space="0" w:color="auto"/>
              <w:right w:val="nil"/>
            </w:tcBorders>
            <w:shd w:val="clear" w:color="auto" w:fill="auto"/>
            <w:noWrap/>
            <w:vAlign w:val="center"/>
            <w:hideMark/>
          </w:tcPr>
          <w:p w14:paraId="264FDEC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6122AE1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3B59EBC0" w14:textId="77777777" w:rsidTr="00FC70B6">
        <w:trPr>
          <w:trHeight w:val="253"/>
        </w:trPr>
        <w:tc>
          <w:tcPr>
            <w:tcW w:w="1004" w:type="dxa"/>
            <w:tcBorders>
              <w:top w:val="nil"/>
              <w:left w:val="nil"/>
              <w:bottom w:val="nil"/>
              <w:right w:val="nil"/>
            </w:tcBorders>
            <w:shd w:val="clear" w:color="auto" w:fill="auto"/>
            <w:noWrap/>
            <w:vAlign w:val="center"/>
            <w:hideMark/>
          </w:tcPr>
          <w:p w14:paraId="6D45AB69"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24CDCF10"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068D4C4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Whiting, Bay</w:t>
            </w:r>
          </w:p>
        </w:tc>
        <w:tc>
          <w:tcPr>
            <w:tcW w:w="1822" w:type="dxa"/>
            <w:tcBorders>
              <w:top w:val="dotted" w:sz="4" w:space="0" w:color="auto"/>
              <w:left w:val="nil"/>
              <w:bottom w:val="dotted" w:sz="4" w:space="0" w:color="auto"/>
              <w:right w:val="nil"/>
            </w:tcBorders>
            <w:shd w:val="clear" w:color="auto" w:fill="auto"/>
            <w:noWrap/>
            <w:vAlign w:val="center"/>
            <w:hideMark/>
          </w:tcPr>
          <w:p w14:paraId="75B4848D"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Sillago</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ingenuua</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294E14FA"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0.12</w:t>
            </w:r>
          </w:p>
        </w:tc>
        <w:tc>
          <w:tcPr>
            <w:tcW w:w="951" w:type="dxa"/>
            <w:tcBorders>
              <w:top w:val="dotted" w:sz="4" w:space="0" w:color="auto"/>
              <w:left w:val="nil"/>
              <w:bottom w:val="dotted" w:sz="4" w:space="0" w:color="auto"/>
              <w:right w:val="nil"/>
            </w:tcBorders>
            <w:shd w:val="clear" w:color="auto" w:fill="auto"/>
            <w:noWrap/>
            <w:vAlign w:val="center"/>
            <w:hideMark/>
          </w:tcPr>
          <w:p w14:paraId="3387891F"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3</w:t>
            </w:r>
          </w:p>
        </w:tc>
        <w:tc>
          <w:tcPr>
            <w:tcW w:w="766" w:type="dxa"/>
            <w:tcBorders>
              <w:top w:val="dotted" w:sz="4" w:space="0" w:color="auto"/>
              <w:left w:val="nil"/>
              <w:bottom w:val="dotted" w:sz="4" w:space="0" w:color="auto"/>
              <w:right w:val="nil"/>
            </w:tcBorders>
            <w:shd w:val="clear" w:color="auto" w:fill="auto"/>
            <w:noWrap/>
            <w:vAlign w:val="center"/>
            <w:hideMark/>
          </w:tcPr>
          <w:p w14:paraId="71A43CF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44C45767"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402E50E4" w14:textId="77777777" w:rsidTr="00FC70B6">
        <w:trPr>
          <w:trHeight w:val="253"/>
        </w:trPr>
        <w:tc>
          <w:tcPr>
            <w:tcW w:w="1004" w:type="dxa"/>
            <w:tcBorders>
              <w:top w:val="nil"/>
              <w:left w:val="nil"/>
              <w:bottom w:val="single" w:sz="4" w:space="0" w:color="auto"/>
              <w:right w:val="nil"/>
            </w:tcBorders>
            <w:shd w:val="clear" w:color="auto" w:fill="auto"/>
            <w:noWrap/>
            <w:vAlign w:val="center"/>
            <w:hideMark/>
          </w:tcPr>
          <w:p w14:paraId="03B5FCB8"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Subtotal</w:t>
            </w:r>
          </w:p>
        </w:tc>
        <w:tc>
          <w:tcPr>
            <w:tcW w:w="944" w:type="dxa"/>
            <w:tcBorders>
              <w:top w:val="dotted" w:sz="4" w:space="0" w:color="auto"/>
              <w:left w:val="nil"/>
              <w:bottom w:val="single" w:sz="4" w:space="0" w:color="auto"/>
              <w:right w:val="nil"/>
            </w:tcBorders>
            <w:shd w:val="clear" w:color="auto" w:fill="auto"/>
            <w:noWrap/>
            <w:vAlign w:val="center"/>
            <w:hideMark/>
          </w:tcPr>
          <w:p w14:paraId="77ACDBC2"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 </w:t>
            </w:r>
          </w:p>
        </w:tc>
        <w:tc>
          <w:tcPr>
            <w:tcW w:w="1473" w:type="dxa"/>
            <w:tcBorders>
              <w:top w:val="dotted" w:sz="4" w:space="0" w:color="auto"/>
              <w:left w:val="nil"/>
              <w:bottom w:val="single" w:sz="4" w:space="0" w:color="auto"/>
              <w:right w:val="nil"/>
            </w:tcBorders>
            <w:shd w:val="clear" w:color="auto" w:fill="auto"/>
            <w:noWrap/>
            <w:vAlign w:val="center"/>
            <w:hideMark/>
          </w:tcPr>
          <w:p w14:paraId="3D77952B"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 </w:t>
            </w:r>
          </w:p>
        </w:tc>
        <w:tc>
          <w:tcPr>
            <w:tcW w:w="1822" w:type="dxa"/>
            <w:tcBorders>
              <w:top w:val="dotted" w:sz="4" w:space="0" w:color="auto"/>
              <w:left w:val="nil"/>
              <w:bottom w:val="single" w:sz="4" w:space="0" w:color="auto"/>
              <w:right w:val="nil"/>
            </w:tcBorders>
            <w:shd w:val="clear" w:color="auto" w:fill="auto"/>
            <w:noWrap/>
            <w:vAlign w:val="center"/>
            <w:hideMark/>
          </w:tcPr>
          <w:p w14:paraId="2FA2577B"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 </w:t>
            </w:r>
          </w:p>
        </w:tc>
        <w:tc>
          <w:tcPr>
            <w:tcW w:w="635" w:type="dxa"/>
            <w:tcBorders>
              <w:top w:val="dotted" w:sz="4" w:space="0" w:color="auto"/>
              <w:left w:val="nil"/>
              <w:bottom w:val="single" w:sz="4" w:space="0" w:color="auto"/>
              <w:right w:val="nil"/>
            </w:tcBorders>
            <w:shd w:val="clear" w:color="auto" w:fill="auto"/>
            <w:noWrap/>
            <w:vAlign w:val="center"/>
            <w:hideMark/>
          </w:tcPr>
          <w:p w14:paraId="0202E0C1" w14:textId="77777777" w:rsidR="008E2185" w:rsidRPr="00973D88" w:rsidRDefault="008E2185" w:rsidP="00FC70B6">
            <w:pPr>
              <w:spacing w:after="0"/>
              <w:jc w:val="center"/>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10.36</w:t>
            </w:r>
          </w:p>
        </w:tc>
        <w:tc>
          <w:tcPr>
            <w:tcW w:w="951" w:type="dxa"/>
            <w:tcBorders>
              <w:top w:val="dotted" w:sz="4" w:space="0" w:color="auto"/>
              <w:left w:val="nil"/>
              <w:bottom w:val="single" w:sz="4" w:space="0" w:color="auto"/>
              <w:right w:val="nil"/>
            </w:tcBorders>
            <w:shd w:val="clear" w:color="auto" w:fill="auto"/>
            <w:noWrap/>
            <w:vAlign w:val="center"/>
            <w:hideMark/>
          </w:tcPr>
          <w:p w14:paraId="43750223" w14:textId="77777777" w:rsidR="008E2185" w:rsidRPr="00973D88" w:rsidRDefault="008E2185" w:rsidP="00FC70B6">
            <w:pPr>
              <w:spacing w:after="0"/>
              <w:jc w:val="center"/>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128</w:t>
            </w:r>
          </w:p>
        </w:tc>
        <w:tc>
          <w:tcPr>
            <w:tcW w:w="766" w:type="dxa"/>
            <w:tcBorders>
              <w:top w:val="dotted" w:sz="4" w:space="0" w:color="auto"/>
              <w:left w:val="nil"/>
              <w:bottom w:val="single" w:sz="4" w:space="0" w:color="auto"/>
              <w:right w:val="nil"/>
            </w:tcBorders>
            <w:shd w:val="clear" w:color="auto" w:fill="auto"/>
            <w:noWrap/>
            <w:vAlign w:val="center"/>
            <w:hideMark/>
          </w:tcPr>
          <w:p w14:paraId="7ADFD121"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1%</w:t>
            </w:r>
          </w:p>
        </w:tc>
        <w:tc>
          <w:tcPr>
            <w:tcW w:w="797" w:type="dxa"/>
            <w:tcBorders>
              <w:top w:val="dotted" w:sz="4" w:space="0" w:color="auto"/>
              <w:left w:val="nil"/>
              <w:bottom w:val="single" w:sz="4" w:space="0" w:color="auto"/>
              <w:right w:val="nil"/>
            </w:tcBorders>
            <w:shd w:val="clear" w:color="auto" w:fill="auto"/>
            <w:noWrap/>
            <w:vAlign w:val="center"/>
            <w:hideMark/>
          </w:tcPr>
          <w:p w14:paraId="7766DCB7"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1%</w:t>
            </w:r>
          </w:p>
        </w:tc>
      </w:tr>
      <w:tr w:rsidR="008E2185" w:rsidRPr="0014117C" w14:paraId="5A3E5E7B" w14:textId="77777777" w:rsidTr="00FC70B6">
        <w:trPr>
          <w:trHeight w:val="253"/>
        </w:trPr>
        <w:tc>
          <w:tcPr>
            <w:tcW w:w="1004" w:type="dxa"/>
            <w:tcBorders>
              <w:top w:val="nil"/>
              <w:left w:val="nil"/>
              <w:bottom w:val="nil"/>
              <w:right w:val="nil"/>
            </w:tcBorders>
            <w:shd w:val="clear" w:color="auto" w:fill="auto"/>
            <w:noWrap/>
            <w:vAlign w:val="center"/>
            <w:hideMark/>
          </w:tcPr>
          <w:p w14:paraId="4BE210C5"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Arthropoda</w:t>
            </w:r>
          </w:p>
        </w:tc>
        <w:tc>
          <w:tcPr>
            <w:tcW w:w="944" w:type="dxa"/>
            <w:tcBorders>
              <w:top w:val="single" w:sz="4" w:space="0" w:color="auto"/>
              <w:left w:val="nil"/>
              <w:bottom w:val="dotted" w:sz="4" w:space="0" w:color="auto"/>
              <w:right w:val="nil"/>
            </w:tcBorders>
            <w:shd w:val="clear" w:color="auto" w:fill="auto"/>
            <w:noWrap/>
            <w:vAlign w:val="center"/>
            <w:hideMark/>
          </w:tcPr>
          <w:p w14:paraId="3AAA3C85"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Decapoda</w:t>
            </w:r>
          </w:p>
        </w:tc>
        <w:tc>
          <w:tcPr>
            <w:tcW w:w="1473" w:type="dxa"/>
            <w:tcBorders>
              <w:top w:val="single" w:sz="4" w:space="0" w:color="auto"/>
              <w:left w:val="nil"/>
              <w:bottom w:val="dotted" w:sz="4" w:space="0" w:color="auto"/>
              <w:right w:val="nil"/>
            </w:tcBorders>
            <w:shd w:val="clear" w:color="auto" w:fill="auto"/>
            <w:noWrap/>
            <w:vAlign w:val="center"/>
            <w:hideMark/>
          </w:tcPr>
          <w:p w14:paraId="2FE083D3"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Crab</w:t>
            </w:r>
          </w:p>
        </w:tc>
        <w:tc>
          <w:tcPr>
            <w:tcW w:w="1822" w:type="dxa"/>
            <w:tcBorders>
              <w:top w:val="single" w:sz="4" w:space="0" w:color="auto"/>
              <w:left w:val="nil"/>
              <w:bottom w:val="dotted" w:sz="4" w:space="0" w:color="auto"/>
              <w:right w:val="nil"/>
            </w:tcBorders>
            <w:shd w:val="clear" w:color="auto" w:fill="auto"/>
            <w:noWrap/>
            <w:vAlign w:val="center"/>
            <w:hideMark/>
          </w:tcPr>
          <w:p w14:paraId="532DF065" w14:textId="77777777" w:rsidR="008E2185" w:rsidRPr="00973D88" w:rsidRDefault="008E2185" w:rsidP="00FC70B6">
            <w:pPr>
              <w:spacing w:after="0"/>
              <w:rPr>
                <w:rFonts w:eastAsia="Times New Roman" w:cs="Arial"/>
                <w:i/>
                <w:iCs/>
                <w:color w:val="000000"/>
                <w:sz w:val="18"/>
                <w:szCs w:val="18"/>
                <w:lang w:eastAsia="en-AU"/>
              </w:rPr>
            </w:pPr>
            <w:r w:rsidRPr="00973D88">
              <w:rPr>
                <w:rFonts w:eastAsia="Times New Roman" w:cs="Arial"/>
                <w:i/>
                <w:iCs/>
                <w:color w:val="000000"/>
                <w:sz w:val="18"/>
                <w:szCs w:val="18"/>
                <w:lang w:eastAsia="en-AU"/>
              </w:rPr>
              <w:t xml:space="preserve">Charybdis </w:t>
            </w:r>
            <w:proofErr w:type="spellStart"/>
            <w:r w:rsidRPr="00973D88">
              <w:rPr>
                <w:rFonts w:eastAsia="Times New Roman" w:cs="Arial"/>
                <w:i/>
                <w:iCs/>
                <w:color w:val="000000"/>
                <w:sz w:val="18"/>
                <w:szCs w:val="18"/>
                <w:lang w:eastAsia="en-AU"/>
              </w:rPr>
              <w:t>jaubertensis</w:t>
            </w:r>
            <w:proofErr w:type="spellEnd"/>
          </w:p>
        </w:tc>
        <w:tc>
          <w:tcPr>
            <w:tcW w:w="635" w:type="dxa"/>
            <w:tcBorders>
              <w:top w:val="single" w:sz="4" w:space="0" w:color="auto"/>
              <w:left w:val="nil"/>
              <w:bottom w:val="dotted" w:sz="4" w:space="0" w:color="auto"/>
              <w:right w:val="nil"/>
            </w:tcBorders>
            <w:shd w:val="clear" w:color="auto" w:fill="auto"/>
            <w:noWrap/>
            <w:vAlign w:val="center"/>
            <w:hideMark/>
          </w:tcPr>
          <w:p w14:paraId="246C3C1E"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0.04</w:t>
            </w:r>
          </w:p>
        </w:tc>
        <w:tc>
          <w:tcPr>
            <w:tcW w:w="951" w:type="dxa"/>
            <w:tcBorders>
              <w:top w:val="single" w:sz="4" w:space="0" w:color="auto"/>
              <w:left w:val="nil"/>
              <w:bottom w:val="dotted" w:sz="4" w:space="0" w:color="auto"/>
              <w:right w:val="nil"/>
            </w:tcBorders>
            <w:shd w:val="clear" w:color="auto" w:fill="auto"/>
            <w:noWrap/>
            <w:vAlign w:val="center"/>
            <w:hideMark/>
          </w:tcPr>
          <w:p w14:paraId="674B142D"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single" w:sz="4" w:space="0" w:color="auto"/>
              <w:left w:val="nil"/>
              <w:bottom w:val="dotted" w:sz="4" w:space="0" w:color="auto"/>
              <w:right w:val="nil"/>
            </w:tcBorders>
            <w:shd w:val="clear" w:color="auto" w:fill="auto"/>
            <w:noWrap/>
            <w:vAlign w:val="center"/>
            <w:hideMark/>
          </w:tcPr>
          <w:p w14:paraId="4651F4E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single" w:sz="4" w:space="0" w:color="auto"/>
              <w:left w:val="nil"/>
              <w:bottom w:val="dotted" w:sz="4" w:space="0" w:color="auto"/>
              <w:right w:val="nil"/>
            </w:tcBorders>
            <w:shd w:val="clear" w:color="auto" w:fill="auto"/>
            <w:noWrap/>
            <w:vAlign w:val="center"/>
            <w:hideMark/>
          </w:tcPr>
          <w:p w14:paraId="512D846E"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7C2AD2BF" w14:textId="77777777" w:rsidTr="00FC70B6">
        <w:trPr>
          <w:trHeight w:val="253"/>
        </w:trPr>
        <w:tc>
          <w:tcPr>
            <w:tcW w:w="1004" w:type="dxa"/>
            <w:tcBorders>
              <w:top w:val="nil"/>
              <w:left w:val="nil"/>
              <w:bottom w:val="nil"/>
              <w:right w:val="nil"/>
            </w:tcBorders>
            <w:shd w:val="clear" w:color="auto" w:fill="auto"/>
            <w:noWrap/>
            <w:vAlign w:val="center"/>
            <w:hideMark/>
          </w:tcPr>
          <w:p w14:paraId="25BB6B74"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221601A8"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414A4C9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Crab, Cornflake</w:t>
            </w:r>
          </w:p>
        </w:tc>
        <w:tc>
          <w:tcPr>
            <w:tcW w:w="1822" w:type="dxa"/>
            <w:tcBorders>
              <w:top w:val="dotted" w:sz="4" w:space="0" w:color="auto"/>
              <w:left w:val="nil"/>
              <w:bottom w:val="dotted" w:sz="4" w:space="0" w:color="auto"/>
              <w:right w:val="nil"/>
            </w:tcBorders>
            <w:shd w:val="clear" w:color="auto" w:fill="auto"/>
            <w:noWrap/>
            <w:vAlign w:val="center"/>
            <w:hideMark/>
          </w:tcPr>
          <w:p w14:paraId="5A683BE7"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Portunus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rubromarginatus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6BCEF5F7"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0.20</w:t>
            </w:r>
          </w:p>
        </w:tc>
        <w:tc>
          <w:tcPr>
            <w:tcW w:w="951" w:type="dxa"/>
            <w:tcBorders>
              <w:top w:val="dotted" w:sz="4" w:space="0" w:color="auto"/>
              <w:left w:val="nil"/>
              <w:bottom w:val="dotted" w:sz="4" w:space="0" w:color="auto"/>
              <w:right w:val="nil"/>
            </w:tcBorders>
            <w:shd w:val="clear" w:color="auto" w:fill="auto"/>
            <w:noWrap/>
            <w:vAlign w:val="center"/>
            <w:hideMark/>
          </w:tcPr>
          <w:p w14:paraId="7DBEF7E4"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11</w:t>
            </w:r>
          </w:p>
        </w:tc>
        <w:tc>
          <w:tcPr>
            <w:tcW w:w="766" w:type="dxa"/>
            <w:tcBorders>
              <w:top w:val="dotted" w:sz="4" w:space="0" w:color="auto"/>
              <w:left w:val="nil"/>
              <w:bottom w:val="dotted" w:sz="4" w:space="0" w:color="auto"/>
              <w:right w:val="nil"/>
            </w:tcBorders>
            <w:shd w:val="clear" w:color="auto" w:fill="auto"/>
            <w:noWrap/>
            <w:vAlign w:val="center"/>
            <w:hideMark/>
          </w:tcPr>
          <w:p w14:paraId="2238ED13"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7CEBC67E"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5A611225" w14:textId="77777777" w:rsidTr="00FC70B6">
        <w:trPr>
          <w:trHeight w:val="253"/>
        </w:trPr>
        <w:tc>
          <w:tcPr>
            <w:tcW w:w="1004" w:type="dxa"/>
            <w:tcBorders>
              <w:top w:val="nil"/>
              <w:left w:val="nil"/>
              <w:bottom w:val="nil"/>
              <w:right w:val="nil"/>
            </w:tcBorders>
            <w:shd w:val="clear" w:color="auto" w:fill="auto"/>
            <w:noWrap/>
            <w:vAlign w:val="center"/>
            <w:hideMark/>
          </w:tcPr>
          <w:p w14:paraId="11E3D6B6"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6CB0B831"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529712D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 xml:space="preserve">Crab, </w:t>
            </w:r>
            <w:proofErr w:type="spellStart"/>
            <w:r w:rsidRPr="00973D88">
              <w:rPr>
                <w:rFonts w:eastAsia="Times New Roman" w:cs="Arial"/>
                <w:color w:val="000000"/>
                <w:sz w:val="18"/>
                <w:szCs w:val="18"/>
                <w:lang w:eastAsia="en-AU"/>
              </w:rPr>
              <w:t>Hairyback</w:t>
            </w:r>
            <w:proofErr w:type="spellEnd"/>
            <w:r w:rsidRPr="00973D88">
              <w:rPr>
                <w:rFonts w:eastAsia="Times New Roman" w:cs="Arial"/>
                <w:color w:val="000000"/>
                <w:sz w:val="18"/>
                <w:szCs w:val="18"/>
                <w:lang w:eastAsia="en-AU"/>
              </w:rPr>
              <w:t xml:space="preserve"> crab</w:t>
            </w:r>
          </w:p>
        </w:tc>
        <w:tc>
          <w:tcPr>
            <w:tcW w:w="1822" w:type="dxa"/>
            <w:tcBorders>
              <w:top w:val="dotted" w:sz="4" w:space="0" w:color="auto"/>
              <w:left w:val="nil"/>
              <w:bottom w:val="dotted" w:sz="4" w:space="0" w:color="auto"/>
              <w:right w:val="nil"/>
            </w:tcBorders>
            <w:shd w:val="clear" w:color="auto" w:fill="auto"/>
            <w:noWrap/>
            <w:vAlign w:val="center"/>
            <w:hideMark/>
          </w:tcPr>
          <w:p w14:paraId="08BB3A7F" w14:textId="77777777" w:rsidR="008E2185" w:rsidRPr="00973D88" w:rsidRDefault="008E2185" w:rsidP="00FC70B6">
            <w:pPr>
              <w:spacing w:after="0"/>
              <w:rPr>
                <w:rFonts w:eastAsia="Times New Roman" w:cs="Arial"/>
                <w:i/>
                <w:iCs/>
                <w:color w:val="000000"/>
                <w:sz w:val="18"/>
                <w:szCs w:val="18"/>
                <w:lang w:eastAsia="en-AU"/>
              </w:rPr>
            </w:pPr>
            <w:r w:rsidRPr="00973D88">
              <w:rPr>
                <w:rFonts w:eastAsia="Times New Roman" w:cs="Arial"/>
                <w:i/>
                <w:iCs/>
                <w:color w:val="000000"/>
                <w:sz w:val="18"/>
                <w:szCs w:val="18"/>
                <w:lang w:eastAsia="en-AU"/>
              </w:rPr>
              <w:t xml:space="preserve">Charybdis </w:t>
            </w:r>
            <w:proofErr w:type="spellStart"/>
            <w:r w:rsidRPr="00973D88">
              <w:rPr>
                <w:rFonts w:eastAsia="Times New Roman" w:cs="Arial"/>
                <w:i/>
                <w:iCs/>
                <w:color w:val="000000"/>
                <w:sz w:val="18"/>
                <w:szCs w:val="18"/>
                <w:lang w:eastAsia="en-AU"/>
              </w:rPr>
              <w:t>granulata</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11BFD2EF"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0.15</w:t>
            </w:r>
          </w:p>
        </w:tc>
        <w:tc>
          <w:tcPr>
            <w:tcW w:w="951" w:type="dxa"/>
            <w:tcBorders>
              <w:top w:val="dotted" w:sz="4" w:space="0" w:color="auto"/>
              <w:left w:val="nil"/>
              <w:bottom w:val="dotted" w:sz="4" w:space="0" w:color="auto"/>
              <w:right w:val="nil"/>
            </w:tcBorders>
            <w:shd w:val="clear" w:color="auto" w:fill="auto"/>
            <w:noWrap/>
            <w:vAlign w:val="center"/>
            <w:hideMark/>
          </w:tcPr>
          <w:p w14:paraId="070BE887"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3</w:t>
            </w:r>
          </w:p>
        </w:tc>
        <w:tc>
          <w:tcPr>
            <w:tcW w:w="766" w:type="dxa"/>
            <w:tcBorders>
              <w:top w:val="dotted" w:sz="4" w:space="0" w:color="auto"/>
              <w:left w:val="nil"/>
              <w:bottom w:val="dotted" w:sz="4" w:space="0" w:color="auto"/>
              <w:right w:val="nil"/>
            </w:tcBorders>
            <w:shd w:val="clear" w:color="auto" w:fill="auto"/>
            <w:noWrap/>
            <w:vAlign w:val="center"/>
            <w:hideMark/>
          </w:tcPr>
          <w:p w14:paraId="6EE4446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46202610"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47D47DA2" w14:textId="77777777" w:rsidTr="00FC70B6">
        <w:trPr>
          <w:trHeight w:val="253"/>
        </w:trPr>
        <w:tc>
          <w:tcPr>
            <w:tcW w:w="1004" w:type="dxa"/>
            <w:tcBorders>
              <w:top w:val="nil"/>
              <w:left w:val="nil"/>
              <w:bottom w:val="nil"/>
              <w:right w:val="nil"/>
            </w:tcBorders>
            <w:shd w:val="clear" w:color="auto" w:fill="auto"/>
            <w:noWrap/>
            <w:vAlign w:val="center"/>
            <w:hideMark/>
          </w:tcPr>
          <w:p w14:paraId="59020994"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3E36616F"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4744C407"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Crab, Sponge</w:t>
            </w:r>
          </w:p>
        </w:tc>
        <w:tc>
          <w:tcPr>
            <w:tcW w:w="1822" w:type="dxa"/>
            <w:tcBorders>
              <w:top w:val="dotted" w:sz="4" w:space="0" w:color="auto"/>
              <w:left w:val="nil"/>
              <w:bottom w:val="dotted" w:sz="4" w:space="0" w:color="auto"/>
              <w:right w:val="nil"/>
            </w:tcBorders>
            <w:shd w:val="clear" w:color="auto" w:fill="auto"/>
            <w:noWrap/>
            <w:vAlign w:val="center"/>
            <w:hideMark/>
          </w:tcPr>
          <w:p w14:paraId="34211F2E"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Dromiidae</w:t>
            </w:r>
            <w:proofErr w:type="spellEnd"/>
            <w:r w:rsidRPr="00973D88">
              <w:rPr>
                <w:rFonts w:eastAsia="Times New Roman" w:cs="Arial"/>
                <w:color w:val="000000"/>
                <w:sz w:val="18"/>
                <w:szCs w:val="18"/>
                <w:lang w:eastAsia="en-AU"/>
              </w:rPr>
              <w:t xml:space="preserve"> sp. 1</w:t>
            </w:r>
          </w:p>
        </w:tc>
        <w:tc>
          <w:tcPr>
            <w:tcW w:w="635" w:type="dxa"/>
            <w:tcBorders>
              <w:top w:val="dotted" w:sz="4" w:space="0" w:color="auto"/>
              <w:left w:val="nil"/>
              <w:bottom w:val="dotted" w:sz="4" w:space="0" w:color="auto"/>
              <w:right w:val="nil"/>
            </w:tcBorders>
            <w:shd w:val="clear" w:color="auto" w:fill="auto"/>
            <w:noWrap/>
            <w:vAlign w:val="center"/>
            <w:hideMark/>
          </w:tcPr>
          <w:p w14:paraId="75B5EAFE"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0.12</w:t>
            </w:r>
          </w:p>
        </w:tc>
        <w:tc>
          <w:tcPr>
            <w:tcW w:w="951" w:type="dxa"/>
            <w:tcBorders>
              <w:top w:val="dotted" w:sz="4" w:space="0" w:color="auto"/>
              <w:left w:val="nil"/>
              <w:bottom w:val="dotted" w:sz="4" w:space="0" w:color="auto"/>
              <w:right w:val="nil"/>
            </w:tcBorders>
            <w:shd w:val="clear" w:color="auto" w:fill="auto"/>
            <w:noWrap/>
            <w:vAlign w:val="center"/>
            <w:hideMark/>
          </w:tcPr>
          <w:p w14:paraId="5F0516D2"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61495C9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5670FE31"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74811015" w14:textId="77777777" w:rsidTr="00FC70B6">
        <w:trPr>
          <w:trHeight w:val="253"/>
        </w:trPr>
        <w:tc>
          <w:tcPr>
            <w:tcW w:w="1004" w:type="dxa"/>
            <w:tcBorders>
              <w:top w:val="nil"/>
              <w:left w:val="nil"/>
              <w:bottom w:val="nil"/>
              <w:right w:val="nil"/>
            </w:tcBorders>
            <w:shd w:val="clear" w:color="auto" w:fill="auto"/>
            <w:noWrap/>
            <w:vAlign w:val="center"/>
            <w:hideMark/>
          </w:tcPr>
          <w:p w14:paraId="3DE495E8"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0557A7E5"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0ED0C207" w14:textId="77777777" w:rsidR="008E2185" w:rsidRPr="00973D88" w:rsidRDefault="008E2185" w:rsidP="00FC70B6">
            <w:pPr>
              <w:spacing w:after="0"/>
              <w:rPr>
                <w:rFonts w:eastAsia="Times New Roman" w:cs="Arial"/>
                <w:sz w:val="18"/>
                <w:szCs w:val="18"/>
                <w:lang w:eastAsia="en-AU"/>
              </w:rPr>
            </w:pPr>
          </w:p>
        </w:tc>
        <w:tc>
          <w:tcPr>
            <w:tcW w:w="1822" w:type="dxa"/>
            <w:tcBorders>
              <w:top w:val="dotted" w:sz="4" w:space="0" w:color="auto"/>
              <w:left w:val="nil"/>
              <w:bottom w:val="dotted" w:sz="4" w:space="0" w:color="auto"/>
              <w:right w:val="nil"/>
            </w:tcBorders>
            <w:shd w:val="clear" w:color="auto" w:fill="auto"/>
            <w:noWrap/>
            <w:vAlign w:val="center"/>
            <w:hideMark/>
          </w:tcPr>
          <w:p w14:paraId="79B0451B"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Dromiidae</w:t>
            </w:r>
            <w:proofErr w:type="spellEnd"/>
            <w:r w:rsidRPr="00973D88">
              <w:rPr>
                <w:rFonts w:eastAsia="Times New Roman" w:cs="Arial"/>
                <w:color w:val="000000"/>
                <w:sz w:val="18"/>
                <w:szCs w:val="18"/>
                <w:lang w:eastAsia="en-AU"/>
              </w:rPr>
              <w:t xml:space="preserve"> sp. 2</w:t>
            </w:r>
          </w:p>
        </w:tc>
        <w:tc>
          <w:tcPr>
            <w:tcW w:w="635" w:type="dxa"/>
            <w:tcBorders>
              <w:top w:val="dotted" w:sz="4" w:space="0" w:color="auto"/>
              <w:left w:val="nil"/>
              <w:bottom w:val="dotted" w:sz="4" w:space="0" w:color="auto"/>
              <w:right w:val="nil"/>
            </w:tcBorders>
            <w:shd w:val="clear" w:color="auto" w:fill="auto"/>
            <w:noWrap/>
            <w:vAlign w:val="center"/>
            <w:hideMark/>
          </w:tcPr>
          <w:p w14:paraId="7A581058"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0.91</w:t>
            </w:r>
          </w:p>
        </w:tc>
        <w:tc>
          <w:tcPr>
            <w:tcW w:w="951" w:type="dxa"/>
            <w:tcBorders>
              <w:top w:val="dotted" w:sz="4" w:space="0" w:color="auto"/>
              <w:left w:val="nil"/>
              <w:bottom w:val="dotted" w:sz="4" w:space="0" w:color="auto"/>
              <w:right w:val="nil"/>
            </w:tcBorders>
            <w:shd w:val="clear" w:color="auto" w:fill="auto"/>
            <w:noWrap/>
            <w:vAlign w:val="center"/>
            <w:hideMark/>
          </w:tcPr>
          <w:p w14:paraId="1F7803C5"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5</w:t>
            </w:r>
          </w:p>
        </w:tc>
        <w:tc>
          <w:tcPr>
            <w:tcW w:w="766" w:type="dxa"/>
            <w:tcBorders>
              <w:top w:val="dotted" w:sz="4" w:space="0" w:color="auto"/>
              <w:left w:val="nil"/>
              <w:bottom w:val="dotted" w:sz="4" w:space="0" w:color="auto"/>
              <w:right w:val="nil"/>
            </w:tcBorders>
            <w:shd w:val="clear" w:color="auto" w:fill="auto"/>
            <w:noWrap/>
            <w:vAlign w:val="center"/>
            <w:hideMark/>
          </w:tcPr>
          <w:p w14:paraId="5A356386"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4D37E60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76AF62B5" w14:textId="77777777" w:rsidTr="00FC70B6">
        <w:trPr>
          <w:trHeight w:val="253"/>
        </w:trPr>
        <w:tc>
          <w:tcPr>
            <w:tcW w:w="1004" w:type="dxa"/>
            <w:tcBorders>
              <w:top w:val="nil"/>
              <w:left w:val="nil"/>
              <w:bottom w:val="nil"/>
              <w:right w:val="nil"/>
            </w:tcBorders>
            <w:shd w:val="clear" w:color="auto" w:fill="auto"/>
            <w:noWrap/>
            <w:vAlign w:val="center"/>
            <w:hideMark/>
          </w:tcPr>
          <w:p w14:paraId="1652D88A"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0349D09F"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41D516DD"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Crab, Swimmer</w:t>
            </w:r>
          </w:p>
        </w:tc>
        <w:tc>
          <w:tcPr>
            <w:tcW w:w="1822" w:type="dxa"/>
            <w:tcBorders>
              <w:top w:val="dotted" w:sz="4" w:space="0" w:color="auto"/>
              <w:left w:val="nil"/>
              <w:bottom w:val="dotted" w:sz="4" w:space="0" w:color="auto"/>
              <w:right w:val="nil"/>
            </w:tcBorders>
            <w:shd w:val="clear" w:color="auto" w:fill="auto"/>
            <w:noWrap/>
            <w:vAlign w:val="center"/>
            <w:hideMark/>
          </w:tcPr>
          <w:p w14:paraId="26DAF17C"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Xiphonectes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rugosus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386EDA52"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0.13</w:t>
            </w:r>
          </w:p>
        </w:tc>
        <w:tc>
          <w:tcPr>
            <w:tcW w:w="951" w:type="dxa"/>
            <w:tcBorders>
              <w:top w:val="dotted" w:sz="4" w:space="0" w:color="auto"/>
              <w:left w:val="nil"/>
              <w:bottom w:val="dotted" w:sz="4" w:space="0" w:color="auto"/>
              <w:right w:val="nil"/>
            </w:tcBorders>
            <w:shd w:val="clear" w:color="auto" w:fill="auto"/>
            <w:noWrap/>
            <w:vAlign w:val="center"/>
            <w:hideMark/>
          </w:tcPr>
          <w:p w14:paraId="0FBA3F14"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15</w:t>
            </w:r>
          </w:p>
        </w:tc>
        <w:tc>
          <w:tcPr>
            <w:tcW w:w="766" w:type="dxa"/>
            <w:tcBorders>
              <w:top w:val="dotted" w:sz="4" w:space="0" w:color="auto"/>
              <w:left w:val="nil"/>
              <w:bottom w:val="dotted" w:sz="4" w:space="0" w:color="auto"/>
              <w:right w:val="nil"/>
            </w:tcBorders>
            <w:shd w:val="clear" w:color="auto" w:fill="auto"/>
            <w:noWrap/>
            <w:vAlign w:val="center"/>
            <w:hideMark/>
          </w:tcPr>
          <w:p w14:paraId="77129A16"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1FAE243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5F59F80F" w14:textId="77777777" w:rsidTr="00FC70B6">
        <w:trPr>
          <w:trHeight w:val="253"/>
        </w:trPr>
        <w:tc>
          <w:tcPr>
            <w:tcW w:w="1004" w:type="dxa"/>
            <w:tcBorders>
              <w:top w:val="nil"/>
              <w:left w:val="nil"/>
              <w:bottom w:val="nil"/>
              <w:right w:val="nil"/>
            </w:tcBorders>
            <w:shd w:val="clear" w:color="auto" w:fill="auto"/>
            <w:noWrap/>
            <w:vAlign w:val="center"/>
            <w:hideMark/>
          </w:tcPr>
          <w:p w14:paraId="416AC412"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37F0CC5E"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2BDD0638"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General Hermit Crabs (Marine)</w:t>
            </w:r>
          </w:p>
        </w:tc>
        <w:tc>
          <w:tcPr>
            <w:tcW w:w="1822" w:type="dxa"/>
            <w:tcBorders>
              <w:top w:val="dotted" w:sz="4" w:space="0" w:color="auto"/>
              <w:left w:val="nil"/>
              <w:bottom w:val="dotted" w:sz="4" w:space="0" w:color="auto"/>
              <w:right w:val="nil"/>
            </w:tcBorders>
            <w:shd w:val="clear" w:color="auto" w:fill="auto"/>
            <w:noWrap/>
            <w:vAlign w:val="center"/>
            <w:hideMark/>
          </w:tcPr>
          <w:p w14:paraId="5944648A"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Diogenidae</w:t>
            </w:r>
            <w:proofErr w:type="spellEnd"/>
            <w:r w:rsidRPr="00973D88">
              <w:rPr>
                <w:rFonts w:eastAsia="Times New Roman" w:cs="Arial"/>
                <w:color w:val="000000"/>
                <w:sz w:val="18"/>
                <w:szCs w:val="18"/>
                <w:lang w:eastAsia="en-AU"/>
              </w:rPr>
              <w:t xml:space="preserve"> - undifferentiated</w:t>
            </w:r>
          </w:p>
        </w:tc>
        <w:tc>
          <w:tcPr>
            <w:tcW w:w="635" w:type="dxa"/>
            <w:tcBorders>
              <w:top w:val="dotted" w:sz="4" w:space="0" w:color="auto"/>
              <w:left w:val="nil"/>
              <w:bottom w:val="dotted" w:sz="4" w:space="0" w:color="auto"/>
              <w:right w:val="nil"/>
            </w:tcBorders>
            <w:shd w:val="clear" w:color="auto" w:fill="auto"/>
            <w:noWrap/>
            <w:vAlign w:val="center"/>
            <w:hideMark/>
          </w:tcPr>
          <w:p w14:paraId="2FD1E5F0"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0.14</w:t>
            </w:r>
          </w:p>
        </w:tc>
        <w:tc>
          <w:tcPr>
            <w:tcW w:w="951" w:type="dxa"/>
            <w:tcBorders>
              <w:top w:val="dotted" w:sz="4" w:space="0" w:color="auto"/>
              <w:left w:val="nil"/>
              <w:bottom w:val="dotted" w:sz="4" w:space="0" w:color="auto"/>
              <w:right w:val="nil"/>
            </w:tcBorders>
            <w:shd w:val="clear" w:color="auto" w:fill="auto"/>
            <w:noWrap/>
            <w:vAlign w:val="center"/>
            <w:hideMark/>
          </w:tcPr>
          <w:p w14:paraId="226EFFEE"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w:t>
            </w:r>
          </w:p>
        </w:tc>
        <w:tc>
          <w:tcPr>
            <w:tcW w:w="766" w:type="dxa"/>
            <w:tcBorders>
              <w:top w:val="dotted" w:sz="4" w:space="0" w:color="auto"/>
              <w:left w:val="nil"/>
              <w:bottom w:val="dotted" w:sz="4" w:space="0" w:color="auto"/>
              <w:right w:val="nil"/>
            </w:tcBorders>
            <w:shd w:val="clear" w:color="auto" w:fill="auto"/>
            <w:noWrap/>
            <w:vAlign w:val="center"/>
            <w:hideMark/>
          </w:tcPr>
          <w:p w14:paraId="175D1BD7"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6A01BA6E"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712715C8" w14:textId="77777777" w:rsidTr="00FC70B6">
        <w:trPr>
          <w:trHeight w:val="253"/>
        </w:trPr>
        <w:tc>
          <w:tcPr>
            <w:tcW w:w="1004" w:type="dxa"/>
            <w:tcBorders>
              <w:top w:val="nil"/>
              <w:left w:val="nil"/>
              <w:bottom w:val="nil"/>
              <w:right w:val="nil"/>
            </w:tcBorders>
            <w:shd w:val="clear" w:color="auto" w:fill="auto"/>
            <w:noWrap/>
            <w:vAlign w:val="center"/>
            <w:hideMark/>
          </w:tcPr>
          <w:p w14:paraId="198E3915"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0030A81C"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65ADE69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Hairy crab</w:t>
            </w:r>
          </w:p>
        </w:tc>
        <w:tc>
          <w:tcPr>
            <w:tcW w:w="1822" w:type="dxa"/>
            <w:tcBorders>
              <w:top w:val="dotted" w:sz="4" w:space="0" w:color="auto"/>
              <w:left w:val="nil"/>
              <w:bottom w:val="dotted" w:sz="4" w:space="0" w:color="auto"/>
              <w:right w:val="nil"/>
            </w:tcBorders>
            <w:shd w:val="clear" w:color="auto" w:fill="auto"/>
            <w:noWrap/>
            <w:vAlign w:val="center"/>
            <w:hideMark/>
          </w:tcPr>
          <w:p w14:paraId="5B749722"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Bathypilumnus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pugilator</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22D6DEE0"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0.02</w:t>
            </w:r>
          </w:p>
        </w:tc>
        <w:tc>
          <w:tcPr>
            <w:tcW w:w="951" w:type="dxa"/>
            <w:tcBorders>
              <w:top w:val="dotted" w:sz="4" w:space="0" w:color="auto"/>
              <w:left w:val="nil"/>
              <w:bottom w:val="dotted" w:sz="4" w:space="0" w:color="auto"/>
              <w:right w:val="nil"/>
            </w:tcBorders>
            <w:shd w:val="clear" w:color="auto" w:fill="auto"/>
            <w:noWrap/>
            <w:vAlign w:val="center"/>
            <w:hideMark/>
          </w:tcPr>
          <w:p w14:paraId="283103F4"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7B71738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4A6A7569"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40572A01" w14:textId="77777777" w:rsidTr="00FC70B6">
        <w:trPr>
          <w:trHeight w:val="253"/>
        </w:trPr>
        <w:tc>
          <w:tcPr>
            <w:tcW w:w="1004" w:type="dxa"/>
            <w:tcBorders>
              <w:top w:val="nil"/>
              <w:left w:val="nil"/>
              <w:bottom w:val="nil"/>
              <w:right w:val="nil"/>
            </w:tcBorders>
            <w:shd w:val="clear" w:color="auto" w:fill="auto"/>
            <w:noWrap/>
            <w:vAlign w:val="center"/>
            <w:hideMark/>
          </w:tcPr>
          <w:p w14:paraId="037B954B"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371B06A2"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22DA4B05" w14:textId="77777777" w:rsidR="008E2185" w:rsidRPr="00973D88" w:rsidRDefault="008E2185" w:rsidP="00FC70B6">
            <w:pPr>
              <w:spacing w:after="0"/>
              <w:rPr>
                <w:rFonts w:eastAsia="Times New Roman" w:cs="Arial"/>
                <w:sz w:val="18"/>
                <w:szCs w:val="18"/>
                <w:lang w:eastAsia="en-AU"/>
              </w:rPr>
            </w:pPr>
          </w:p>
        </w:tc>
        <w:tc>
          <w:tcPr>
            <w:tcW w:w="1822" w:type="dxa"/>
            <w:tcBorders>
              <w:top w:val="dotted" w:sz="4" w:space="0" w:color="auto"/>
              <w:left w:val="nil"/>
              <w:bottom w:val="dotted" w:sz="4" w:space="0" w:color="auto"/>
              <w:right w:val="nil"/>
            </w:tcBorders>
            <w:shd w:val="clear" w:color="auto" w:fill="auto"/>
            <w:noWrap/>
            <w:vAlign w:val="center"/>
            <w:hideMark/>
          </w:tcPr>
          <w:p w14:paraId="2B7CD450"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Pilumnidae</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6EE9BE34"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0.01</w:t>
            </w:r>
          </w:p>
        </w:tc>
        <w:tc>
          <w:tcPr>
            <w:tcW w:w="951" w:type="dxa"/>
            <w:tcBorders>
              <w:top w:val="dotted" w:sz="4" w:space="0" w:color="auto"/>
              <w:left w:val="nil"/>
              <w:bottom w:val="dotted" w:sz="4" w:space="0" w:color="auto"/>
              <w:right w:val="nil"/>
            </w:tcBorders>
            <w:shd w:val="clear" w:color="auto" w:fill="auto"/>
            <w:noWrap/>
            <w:vAlign w:val="center"/>
            <w:hideMark/>
          </w:tcPr>
          <w:p w14:paraId="1832B320"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6</w:t>
            </w:r>
          </w:p>
        </w:tc>
        <w:tc>
          <w:tcPr>
            <w:tcW w:w="766" w:type="dxa"/>
            <w:tcBorders>
              <w:top w:val="dotted" w:sz="4" w:space="0" w:color="auto"/>
              <w:left w:val="nil"/>
              <w:bottom w:val="dotted" w:sz="4" w:space="0" w:color="auto"/>
              <w:right w:val="nil"/>
            </w:tcBorders>
            <w:shd w:val="clear" w:color="auto" w:fill="auto"/>
            <w:noWrap/>
            <w:vAlign w:val="center"/>
            <w:hideMark/>
          </w:tcPr>
          <w:p w14:paraId="6C0E8B3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04FEDC54"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50E175CA" w14:textId="77777777" w:rsidTr="00FC70B6">
        <w:trPr>
          <w:trHeight w:val="253"/>
        </w:trPr>
        <w:tc>
          <w:tcPr>
            <w:tcW w:w="1004" w:type="dxa"/>
            <w:tcBorders>
              <w:top w:val="nil"/>
              <w:left w:val="nil"/>
              <w:bottom w:val="nil"/>
              <w:right w:val="nil"/>
            </w:tcBorders>
            <w:shd w:val="clear" w:color="auto" w:fill="auto"/>
            <w:noWrap/>
            <w:vAlign w:val="center"/>
            <w:hideMark/>
          </w:tcPr>
          <w:p w14:paraId="6AF337A3"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0FAA48CD"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12B7993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Moreton Bay Bug</w:t>
            </w:r>
          </w:p>
        </w:tc>
        <w:tc>
          <w:tcPr>
            <w:tcW w:w="1822" w:type="dxa"/>
            <w:tcBorders>
              <w:top w:val="dotted" w:sz="4" w:space="0" w:color="auto"/>
              <w:left w:val="nil"/>
              <w:bottom w:val="dotted" w:sz="4" w:space="0" w:color="auto"/>
              <w:right w:val="nil"/>
            </w:tcBorders>
            <w:shd w:val="clear" w:color="auto" w:fill="auto"/>
            <w:noWrap/>
            <w:vAlign w:val="center"/>
            <w:hideMark/>
          </w:tcPr>
          <w:p w14:paraId="287CD9E6"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i/>
                <w:iCs/>
                <w:color w:val="000000"/>
                <w:sz w:val="18"/>
                <w:szCs w:val="18"/>
                <w:lang w:eastAsia="en-AU"/>
              </w:rPr>
              <w:t>Thenus</w:t>
            </w:r>
            <w:r w:rsidRPr="00973D88">
              <w:rPr>
                <w:rFonts w:eastAsia="Times New Roman" w:cs="Arial"/>
                <w:color w:val="000000"/>
                <w:sz w:val="18"/>
                <w:szCs w:val="18"/>
                <w:lang w:eastAsia="en-AU"/>
              </w:rPr>
              <w:t xml:space="preserve"> sp.</w:t>
            </w:r>
          </w:p>
        </w:tc>
        <w:tc>
          <w:tcPr>
            <w:tcW w:w="635" w:type="dxa"/>
            <w:tcBorders>
              <w:top w:val="dotted" w:sz="4" w:space="0" w:color="auto"/>
              <w:left w:val="nil"/>
              <w:bottom w:val="dotted" w:sz="4" w:space="0" w:color="auto"/>
              <w:right w:val="nil"/>
            </w:tcBorders>
            <w:shd w:val="clear" w:color="auto" w:fill="auto"/>
            <w:noWrap/>
            <w:vAlign w:val="center"/>
            <w:hideMark/>
          </w:tcPr>
          <w:p w14:paraId="58C01203"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0.05</w:t>
            </w:r>
          </w:p>
        </w:tc>
        <w:tc>
          <w:tcPr>
            <w:tcW w:w="951" w:type="dxa"/>
            <w:tcBorders>
              <w:top w:val="dotted" w:sz="4" w:space="0" w:color="auto"/>
              <w:left w:val="nil"/>
              <w:bottom w:val="dotted" w:sz="4" w:space="0" w:color="auto"/>
              <w:right w:val="nil"/>
            </w:tcBorders>
            <w:shd w:val="clear" w:color="auto" w:fill="auto"/>
            <w:noWrap/>
            <w:vAlign w:val="center"/>
            <w:hideMark/>
          </w:tcPr>
          <w:p w14:paraId="5B7FE58A"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5495C0E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1016AC6C"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3C3E6620" w14:textId="77777777" w:rsidTr="00FC70B6">
        <w:trPr>
          <w:trHeight w:val="253"/>
        </w:trPr>
        <w:tc>
          <w:tcPr>
            <w:tcW w:w="1004" w:type="dxa"/>
            <w:tcBorders>
              <w:top w:val="nil"/>
              <w:left w:val="nil"/>
              <w:bottom w:val="nil"/>
              <w:right w:val="nil"/>
            </w:tcBorders>
            <w:shd w:val="clear" w:color="auto" w:fill="auto"/>
            <w:noWrap/>
            <w:vAlign w:val="center"/>
            <w:hideMark/>
          </w:tcPr>
          <w:p w14:paraId="747095F4"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1E35AE19"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0C64C3AF"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Penaeid prawn</w:t>
            </w:r>
          </w:p>
        </w:tc>
        <w:tc>
          <w:tcPr>
            <w:tcW w:w="1822" w:type="dxa"/>
            <w:tcBorders>
              <w:top w:val="dotted" w:sz="4" w:space="0" w:color="auto"/>
              <w:left w:val="nil"/>
              <w:bottom w:val="dotted" w:sz="4" w:space="0" w:color="auto"/>
              <w:right w:val="nil"/>
            </w:tcBorders>
            <w:shd w:val="clear" w:color="auto" w:fill="auto"/>
            <w:noWrap/>
            <w:vAlign w:val="center"/>
            <w:hideMark/>
          </w:tcPr>
          <w:p w14:paraId="10B3D8CF"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Trachysalambria</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Trachypenaeus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curvirostris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5E913492"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0.07</w:t>
            </w:r>
          </w:p>
        </w:tc>
        <w:tc>
          <w:tcPr>
            <w:tcW w:w="951" w:type="dxa"/>
            <w:tcBorders>
              <w:top w:val="dotted" w:sz="4" w:space="0" w:color="auto"/>
              <w:left w:val="nil"/>
              <w:bottom w:val="dotted" w:sz="4" w:space="0" w:color="auto"/>
              <w:right w:val="nil"/>
            </w:tcBorders>
            <w:shd w:val="clear" w:color="auto" w:fill="auto"/>
            <w:noWrap/>
            <w:vAlign w:val="center"/>
            <w:hideMark/>
          </w:tcPr>
          <w:p w14:paraId="039AA7CC"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15</w:t>
            </w:r>
          </w:p>
        </w:tc>
        <w:tc>
          <w:tcPr>
            <w:tcW w:w="766" w:type="dxa"/>
            <w:tcBorders>
              <w:top w:val="dotted" w:sz="4" w:space="0" w:color="auto"/>
              <w:left w:val="nil"/>
              <w:bottom w:val="dotted" w:sz="4" w:space="0" w:color="auto"/>
              <w:right w:val="nil"/>
            </w:tcBorders>
            <w:shd w:val="clear" w:color="auto" w:fill="auto"/>
            <w:noWrap/>
            <w:vAlign w:val="center"/>
            <w:hideMark/>
          </w:tcPr>
          <w:p w14:paraId="5F240005"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0321A187"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677743BE" w14:textId="77777777" w:rsidTr="00FC70B6">
        <w:trPr>
          <w:trHeight w:val="253"/>
        </w:trPr>
        <w:tc>
          <w:tcPr>
            <w:tcW w:w="1004" w:type="dxa"/>
            <w:tcBorders>
              <w:top w:val="nil"/>
              <w:left w:val="nil"/>
              <w:bottom w:val="nil"/>
              <w:right w:val="nil"/>
            </w:tcBorders>
            <w:shd w:val="clear" w:color="auto" w:fill="auto"/>
            <w:noWrap/>
            <w:vAlign w:val="center"/>
            <w:hideMark/>
          </w:tcPr>
          <w:p w14:paraId="40E0A84D"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05A5782E"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380026E5"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Prawn, Coral</w:t>
            </w:r>
          </w:p>
        </w:tc>
        <w:tc>
          <w:tcPr>
            <w:tcW w:w="1822" w:type="dxa"/>
            <w:tcBorders>
              <w:top w:val="dotted" w:sz="4" w:space="0" w:color="auto"/>
              <w:left w:val="nil"/>
              <w:bottom w:val="dotted" w:sz="4" w:space="0" w:color="auto"/>
              <w:right w:val="nil"/>
            </w:tcBorders>
            <w:shd w:val="clear" w:color="auto" w:fill="auto"/>
            <w:noWrap/>
            <w:vAlign w:val="center"/>
            <w:hideMark/>
          </w:tcPr>
          <w:p w14:paraId="78E10325"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Metapenaeopsis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crassissima</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6B42881E"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0.79</w:t>
            </w:r>
          </w:p>
        </w:tc>
        <w:tc>
          <w:tcPr>
            <w:tcW w:w="951" w:type="dxa"/>
            <w:tcBorders>
              <w:top w:val="dotted" w:sz="4" w:space="0" w:color="auto"/>
              <w:left w:val="nil"/>
              <w:bottom w:val="dotted" w:sz="4" w:space="0" w:color="auto"/>
              <w:right w:val="nil"/>
            </w:tcBorders>
            <w:shd w:val="clear" w:color="auto" w:fill="auto"/>
            <w:noWrap/>
            <w:vAlign w:val="center"/>
            <w:hideMark/>
          </w:tcPr>
          <w:p w14:paraId="726CD377"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89</w:t>
            </w:r>
          </w:p>
        </w:tc>
        <w:tc>
          <w:tcPr>
            <w:tcW w:w="766" w:type="dxa"/>
            <w:tcBorders>
              <w:top w:val="dotted" w:sz="4" w:space="0" w:color="auto"/>
              <w:left w:val="nil"/>
              <w:bottom w:val="dotted" w:sz="4" w:space="0" w:color="auto"/>
              <w:right w:val="nil"/>
            </w:tcBorders>
            <w:shd w:val="clear" w:color="auto" w:fill="auto"/>
            <w:noWrap/>
            <w:vAlign w:val="center"/>
            <w:hideMark/>
          </w:tcPr>
          <w:p w14:paraId="53F98413"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264CB2E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14E529C9" w14:textId="77777777" w:rsidTr="00FC70B6">
        <w:trPr>
          <w:trHeight w:val="253"/>
        </w:trPr>
        <w:tc>
          <w:tcPr>
            <w:tcW w:w="1004" w:type="dxa"/>
            <w:tcBorders>
              <w:top w:val="nil"/>
              <w:left w:val="nil"/>
              <w:bottom w:val="nil"/>
              <w:right w:val="nil"/>
            </w:tcBorders>
            <w:shd w:val="clear" w:color="auto" w:fill="auto"/>
            <w:noWrap/>
            <w:vAlign w:val="center"/>
            <w:hideMark/>
          </w:tcPr>
          <w:p w14:paraId="656EC057"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64D5AE28"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74872B97"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Prawn, Coral (Soft/Broken)</w:t>
            </w:r>
          </w:p>
        </w:tc>
        <w:tc>
          <w:tcPr>
            <w:tcW w:w="1822" w:type="dxa"/>
            <w:tcBorders>
              <w:top w:val="dotted" w:sz="4" w:space="0" w:color="auto"/>
              <w:left w:val="nil"/>
              <w:bottom w:val="dotted" w:sz="4" w:space="0" w:color="auto"/>
              <w:right w:val="nil"/>
            </w:tcBorders>
            <w:shd w:val="clear" w:color="auto" w:fill="auto"/>
            <w:noWrap/>
            <w:vAlign w:val="center"/>
            <w:hideMark/>
          </w:tcPr>
          <w:p w14:paraId="00A031C0"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i/>
                <w:iCs/>
                <w:color w:val="000000"/>
                <w:sz w:val="18"/>
                <w:szCs w:val="18"/>
                <w:lang w:eastAsia="en-AU"/>
              </w:rPr>
              <w:t>Metapenaeopsis</w:t>
            </w:r>
            <w:proofErr w:type="spellEnd"/>
            <w:r w:rsidRPr="00973D88">
              <w:rPr>
                <w:rFonts w:eastAsia="Times New Roman" w:cs="Arial"/>
                <w:color w:val="000000"/>
                <w:sz w:val="18"/>
                <w:szCs w:val="18"/>
                <w:lang w:eastAsia="en-AU"/>
              </w:rPr>
              <w:t xml:space="preserve"> sp.</w:t>
            </w:r>
          </w:p>
        </w:tc>
        <w:tc>
          <w:tcPr>
            <w:tcW w:w="635" w:type="dxa"/>
            <w:tcBorders>
              <w:top w:val="dotted" w:sz="4" w:space="0" w:color="auto"/>
              <w:left w:val="nil"/>
              <w:bottom w:val="dotted" w:sz="4" w:space="0" w:color="auto"/>
              <w:right w:val="nil"/>
            </w:tcBorders>
            <w:shd w:val="clear" w:color="auto" w:fill="auto"/>
            <w:noWrap/>
            <w:vAlign w:val="center"/>
            <w:hideMark/>
          </w:tcPr>
          <w:p w14:paraId="1CA149D3"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0.07</w:t>
            </w:r>
          </w:p>
        </w:tc>
        <w:tc>
          <w:tcPr>
            <w:tcW w:w="951" w:type="dxa"/>
            <w:tcBorders>
              <w:top w:val="dotted" w:sz="4" w:space="0" w:color="auto"/>
              <w:left w:val="nil"/>
              <w:bottom w:val="dotted" w:sz="4" w:space="0" w:color="auto"/>
              <w:right w:val="nil"/>
            </w:tcBorders>
            <w:shd w:val="clear" w:color="auto" w:fill="auto"/>
            <w:noWrap/>
            <w:vAlign w:val="center"/>
            <w:hideMark/>
          </w:tcPr>
          <w:p w14:paraId="7299EA88"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15</w:t>
            </w:r>
          </w:p>
        </w:tc>
        <w:tc>
          <w:tcPr>
            <w:tcW w:w="766" w:type="dxa"/>
            <w:tcBorders>
              <w:top w:val="dotted" w:sz="4" w:space="0" w:color="auto"/>
              <w:left w:val="nil"/>
              <w:bottom w:val="dotted" w:sz="4" w:space="0" w:color="auto"/>
              <w:right w:val="nil"/>
            </w:tcBorders>
            <w:shd w:val="clear" w:color="auto" w:fill="auto"/>
            <w:noWrap/>
            <w:vAlign w:val="center"/>
            <w:hideMark/>
          </w:tcPr>
          <w:p w14:paraId="15C768A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1E0730B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5D2AC331" w14:textId="77777777" w:rsidTr="00FC70B6">
        <w:trPr>
          <w:trHeight w:val="253"/>
        </w:trPr>
        <w:tc>
          <w:tcPr>
            <w:tcW w:w="1004" w:type="dxa"/>
            <w:tcBorders>
              <w:top w:val="nil"/>
              <w:left w:val="nil"/>
              <w:bottom w:val="nil"/>
              <w:right w:val="nil"/>
            </w:tcBorders>
            <w:shd w:val="clear" w:color="auto" w:fill="auto"/>
            <w:noWrap/>
            <w:vAlign w:val="center"/>
            <w:hideMark/>
          </w:tcPr>
          <w:p w14:paraId="3680D22C"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070BA6C6"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6509A3AA"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Spider crab</w:t>
            </w:r>
          </w:p>
        </w:tc>
        <w:tc>
          <w:tcPr>
            <w:tcW w:w="1822" w:type="dxa"/>
            <w:tcBorders>
              <w:top w:val="dotted" w:sz="4" w:space="0" w:color="auto"/>
              <w:left w:val="nil"/>
              <w:bottom w:val="dotted" w:sz="4" w:space="0" w:color="auto"/>
              <w:right w:val="nil"/>
            </w:tcBorders>
            <w:shd w:val="clear" w:color="auto" w:fill="auto"/>
            <w:noWrap/>
            <w:vAlign w:val="center"/>
            <w:hideMark/>
          </w:tcPr>
          <w:p w14:paraId="3DD89144"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Hyastenus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campbelli</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3849B5BF"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0.04</w:t>
            </w:r>
          </w:p>
        </w:tc>
        <w:tc>
          <w:tcPr>
            <w:tcW w:w="951" w:type="dxa"/>
            <w:tcBorders>
              <w:top w:val="dotted" w:sz="4" w:space="0" w:color="auto"/>
              <w:left w:val="nil"/>
              <w:bottom w:val="dotted" w:sz="4" w:space="0" w:color="auto"/>
              <w:right w:val="nil"/>
            </w:tcBorders>
            <w:shd w:val="clear" w:color="auto" w:fill="auto"/>
            <w:noWrap/>
            <w:vAlign w:val="center"/>
            <w:hideMark/>
          </w:tcPr>
          <w:p w14:paraId="7ECE2445"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1</w:t>
            </w:r>
          </w:p>
        </w:tc>
        <w:tc>
          <w:tcPr>
            <w:tcW w:w="766" w:type="dxa"/>
            <w:tcBorders>
              <w:top w:val="dotted" w:sz="4" w:space="0" w:color="auto"/>
              <w:left w:val="nil"/>
              <w:bottom w:val="dotted" w:sz="4" w:space="0" w:color="auto"/>
              <w:right w:val="nil"/>
            </w:tcBorders>
            <w:shd w:val="clear" w:color="auto" w:fill="auto"/>
            <w:noWrap/>
            <w:vAlign w:val="center"/>
            <w:hideMark/>
          </w:tcPr>
          <w:p w14:paraId="45525AA2"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036BE487"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2EAF77E6" w14:textId="77777777" w:rsidTr="00FC70B6">
        <w:trPr>
          <w:trHeight w:val="253"/>
        </w:trPr>
        <w:tc>
          <w:tcPr>
            <w:tcW w:w="1004" w:type="dxa"/>
            <w:tcBorders>
              <w:top w:val="nil"/>
              <w:left w:val="nil"/>
              <w:bottom w:val="nil"/>
              <w:right w:val="nil"/>
            </w:tcBorders>
            <w:shd w:val="clear" w:color="auto" w:fill="auto"/>
            <w:noWrap/>
            <w:vAlign w:val="center"/>
            <w:hideMark/>
          </w:tcPr>
          <w:p w14:paraId="4C8F18D3"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28B83151"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3D48C206" w14:textId="77777777" w:rsidR="008E2185" w:rsidRPr="00973D88" w:rsidRDefault="008E2185" w:rsidP="00FC70B6">
            <w:pPr>
              <w:spacing w:after="0"/>
              <w:rPr>
                <w:rFonts w:eastAsia="Times New Roman" w:cs="Arial"/>
                <w:sz w:val="18"/>
                <w:szCs w:val="18"/>
                <w:lang w:eastAsia="en-AU"/>
              </w:rPr>
            </w:pPr>
          </w:p>
        </w:tc>
        <w:tc>
          <w:tcPr>
            <w:tcW w:w="1822" w:type="dxa"/>
            <w:tcBorders>
              <w:top w:val="dotted" w:sz="4" w:space="0" w:color="auto"/>
              <w:left w:val="nil"/>
              <w:bottom w:val="dotted" w:sz="4" w:space="0" w:color="auto"/>
              <w:right w:val="nil"/>
            </w:tcBorders>
            <w:shd w:val="clear" w:color="auto" w:fill="auto"/>
            <w:noWrap/>
            <w:vAlign w:val="center"/>
            <w:hideMark/>
          </w:tcPr>
          <w:p w14:paraId="2B48329A"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Paranaxia</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keesingi</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0BCA104C"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0.85</w:t>
            </w:r>
          </w:p>
        </w:tc>
        <w:tc>
          <w:tcPr>
            <w:tcW w:w="951" w:type="dxa"/>
            <w:tcBorders>
              <w:top w:val="dotted" w:sz="4" w:space="0" w:color="auto"/>
              <w:left w:val="nil"/>
              <w:bottom w:val="dotted" w:sz="4" w:space="0" w:color="auto"/>
              <w:right w:val="nil"/>
            </w:tcBorders>
            <w:shd w:val="clear" w:color="auto" w:fill="auto"/>
            <w:noWrap/>
            <w:vAlign w:val="center"/>
            <w:hideMark/>
          </w:tcPr>
          <w:p w14:paraId="61DFD89F"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3</w:t>
            </w:r>
          </w:p>
        </w:tc>
        <w:tc>
          <w:tcPr>
            <w:tcW w:w="766" w:type="dxa"/>
            <w:tcBorders>
              <w:top w:val="dotted" w:sz="4" w:space="0" w:color="auto"/>
              <w:left w:val="nil"/>
              <w:bottom w:val="dotted" w:sz="4" w:space="0" w:color="auto"/>
              <w:right w:val="nil"/>
            </w:tcBorders>
            <w:shd w:val="clear" w:color="auto" w:fill="auto"/>
            <w:noWrap/>
            <w:vAlign w:val="center"/>
            <w:hideMark/>
          </w:tcPr>
          <w:p w14:paraId="6386419F"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30906640"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2B0284D7" w14:textId="77777777" w:rsidTr="00FC70B6">
        <w:trPr>
          <w:trHeight w:val="253"/>
        </w:trPr>
        <w:tc>
          <w:tcPr>
            <w:tcW w:w="1004" w:type="dxa"/>
            <w:tcBorders>
              <w:top w:val="nil"/>
              <w:left w:val="nil"/>
              <w:bottom w:val="nil"/>
              <w:right w:val="nil"/>
            </w:tcBorders>
            <w:shd w:val="clear" w:color="auto" w:fill="auto"/>
            <w:noWrap/>
            <w:vAlign w:val="center"/>
            <w:hideMark/>
          </w:tcPr>
          <w:p w14:paraId="1C977372"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79349B6D"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723B9B95"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Western King Prawn</w:t>
            </w:r>
          </w:p>
        </w:tc>
        <w:tc>
          <w:tcPr>
            <w:tcW w:w="1822" w:type="dxa"/>
            <w:tcBorders>
              <w:top w:val="dotted" w:sz="4" w:space="0" w:color="auto"/>
              <w:left w:val="nil"/>
              <w:bottom w:val="dotted" w:sz="4" w:space="0" w:color="auto"/>
              <w:right w:val="nil"/>
            </w:tcBorders>
            <w:shd w:val="clear" w:color="auto" w:fill="auto"/>
            <w:noWrap/>
            <w:vAlign w:val="center"/>
            <w:hideMark/>
          </w:tcPr>
          <w:p w14:paraId="73CC8E0C"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Melicertus</w:t>
            </w:r>
            <w:proofErr w:type="spellEnd"/>
            <w:r w:rsidRPr="00973D88">
              <w:rPr>
                <w:rFonts w:eastAsia="Times New Roman" w:cs="Arial"/>
                <w:i/>
                <w:iCs/>
                <w:color w:val="000000"/>
                <w:sz w:val="18"/>
                <w:szCs w:val="18"/>
                <w:lang w:eastAsia="en-AU"/>
              </w:rPr>
              <w:t xml:space="preserve"> </w:t>
            </w:r>
            <w:proofErr w:type="spellStart"/>
            <w:r w:rsidRPr="00973D88">
              <w:rPr>
                <w:rFonts w:eastAsia="Times New Roman" w:cs="Arial"/>
                <w:i/>
                <w:iCs/>
                <w:color w:val="000000"/>
                <w:sz w:val="18"/>
                <w:szCs w:val="18"/>
                <w:lang w:eastAsia="en-AU"/>
              </w:rPr>
              <w:t>latisulcatus</w:t>
            </w:r>
            <w:proofErr w:type="spellEnd"/>
          </w:p>
        </w:tc>
        <w:tc>
          <w:tcPr>
            <w:tcW w:w="635" w:type="dxa"/>
            <w:tcBorders>
              <w:top w:val="dotted" w:sz="4" w:space="0" w:color="auto"/>
              <w:left w:val="nil"/>
              <w:bottom w:val="dotted" w:sz="4" w:space="0" w:color="auto"/>
              <w:right w:val="nil"/>
            </w:tcBorders>
            <w:shd w:val="clear" w:color="auto" w:fill="auto"/>
            <w:noWrap/>
            <w:vAlign w:val="center"/>
            <w:hideMark/>
          </w:tcPr>
          <w:p w14:paraId="09726A5C"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0.28</w:t>
            </w:r>
          </w:p>
        </w:tc>
        <w:tc>
          <w:tcPr>
            <w:tcW w:w="951" w:type="dxa"/>
            <w:tcBorders>
              <w:top w:val="dotted" w:sz="4" w:space="0" w:color="auto"/>
              <w:left w:val="nil"/>
              <w:bottom w:val="dotted" w:sz="4" w:space="0" w:color="auto"/>
              <w:right w:val="nil"/>
            </w:tcBorders>
            <w:shd w:val="clear" w:color="auto" w:fill="auto"/>
            <w:noWrap/>
            <w:vAlign w:val="center"/>
            <w:hideMark/>
          </w:tcPr>
          <w:p w14:paraId="0566F29D"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7</w:t>
            </w:r>
          </w:p>
        </w:tc>
        <w:tc>
          <w:tcPr>
            <w:tcW w:w="766" w:type="dxa"/>
            <w:tcBorders>
              <w:top w:val="dotted" w:sz="4" w:space="0" w:color="auto"/>
              <w:left w:val="nil"/>
              <w:bottom w:val="dotted" w:sz="4" w:space="0" w:color="auto"/>
              <w:right w:val="nil"/>
            </w:tcBorders>
            <w:shd w:val="clear" w:color="auto" w:fill="auto"/>
            <w:noWrap/>
            <w:vAlign w:val="center"/>
            <w:hideMark/>
          </w:tcPr>
          <w:p w14:paraId="5976246F"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2460A765"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083411F9" w14:textId="77777777" w:rsidTr="00FC70B6">
        <w:trPr>
          <w:trHeight w:val="253"/>
        </w:trPr>
        <w:tc>
          <w:tcPr>
            <w:tcW w:w="1004" w:type="dxa"/>
            <w:tcBorders>
              <w:top w:val="nil"/>
              <w:left w:val="nil"/>
              <w:bottom w:val="nil"/>
              <w:right w:val="nil"/>
            </w:tcBorders>
            <w:shd w:val="clear" w:color="auto" w:fill="auto"/>
            <w:noWrap/>
            <w:vAlign w:val="center"/>
            <w:hideMark/>
          </w:tcPr>
          <w:p w14:paraId="1AAEF9F5" w14:textId="77777777" w:rsidR="008E2185" w:rsidRPr="00973D88" w:rsidRDefault="008E2185" w:rsidP="00FC70B6">
            <w:pPr>
              <w:spacing w:after="0"/>
              <w:rPr>
                <w:rFonts w:eastAsia="Times New Roman" w:cs="Arial"/>
                <w:color w:val="000000"/>
                <w:sz w:val="18"/>
                <w:szCs w:val="18"/>
                <w:lang w:eastAsia="en-AU"/>
              </w:rPr>
            </w:pPr>
          </w:p>
        </w:tc>
        <w:tc>
          <w:tcPr>
            <w:tcW w:w="944" w:type="dxa"/>
            <w:tcBorders>
              <w:top w:val="dotted" w:sz="4" w:space="0" w:color="auto"/>
              <w:left w:val="nil"/>
              <w:bottom w:val="dotted" w:sz="4" w:space="0" w:color="auto"/>
              <w:right w:val="nil"/>
            </w:tcBorders>
            <w:shd w:val="clear" w:color="auto" w:fill="auto"/>
            <w:noWrap/>
            <w:vAlign w:val="center"/>
            <w:hideMark/>
          </w:tcPr>
          <w:p w14:paraId="45B7FB47" w14:textId="77777777" w:rsidR="008E2185" w:rsidRPr="00973D88" w:rsidRDefault="008E2185" w:rsidP="00FC70B6">
            <w:pPr>
              <w:spacing w:after="0"/>
              <w:rPr>
                <w:rFonts w:eastAsia="Times New Roman" w:cs="Arial"/>
                <w:sz w:val="18"/>
                <w:szCs w:val="18"/>
                <w:lang w:eastAsia="en-AU"/>
              </w:rPr>
            </w:pPr>
          </w:p>
        </w:tc>
        <w:tc>
          <w:tcPr>
            <w:tcW w:w="1473" w:type="dxa"/>
            <w:tcBorders>
              <w:top w:val="dotted" w:sz="4" w:space="0" w:color="auto"/>
              <w:left w:val="nil"/>
              <w:bottom w:val="dotted" w:sz="4" w:space="0" w:color="auto"/>
              <w:right w:val="nil"/>
            </w:tcBorders>
            <w:shd w:val="clear" w:color="auto" w:fill="auto"/>
            <w:noWrap/>
            <w:vAlign w:val="center"/>
            <w:hideMark/>
          </w:tcPr>
          <w:p w14:paraId="3E2FB360"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Western Rock Lobster</w:t>
            </w:r>
          </w:p>
        </w:tc>
        <w:tc>
          <w:tcPr>
            <w:tcW w:w="1822" w:type="dxa"/>
            <w:tcBorders>
              <w:top w:val="dotted" w:sz="4" w:space="0" w:color="auto"/>
              <w:left w:val="nil"/>
              <w:bottom w:val="dotted" w:sz="4" w:space="0" w:color="auto"/>
              <w:right w:val="nil"/>
            </w:tcBorders>
            <w:shd w:val="clear" w:color="auto" w:fill="auto"/>
            <w:noWrap/>
            <w:vAlign w:val="center"/>
            <w:hideMark/>
          </w:tcPr>
          <w:p w14:paraId="470148E2" w14:textId="77777777" w:rsidR="008E2185" w:rsidRPr="00973D88" w:rsidRDefault="008E2185" w:rsidP="00FC70B6">
            <w:pPr>
              <w:spacing w:after="0"/>
              <w:rPr>
                <w:rFonts w:eastAsia="Times New Roman" w:cs="Arial"/>
                <w:i/>
                <w:iCs/>
                <w:color w:val="000000"/>
                <w:sz w:val="18"/>
                <w:szCs w:val="18"/>
                <w:lang w:eastAsia="en-AU"/>
              </w:rPr>
            </w:pPr>
            <w:proofErr w:type="spellStart"/>
            <w:r w:rsidRPr="00973D88">
              <w:rPr>
                <w:rFonts w:eastAsia="Times New Roman" w:cs="Arial"/>
                <w:i/>
                <w:iCs/>
                <w:color w:val="000000"/>
                <w:sz w:val="18"/>
                <w:szCs w:val="18"/>
                <w:lang w:eastAsia="en-AU"/>
              </w:rPr>
              <w:t>Panulirus</w:t>
            </w:r>
            <w:proofErr w:type="spellEnd"/>
            <w:r w:rsidRPr="00973D88">
              <w:rPr>
                <w:rFonts w:eastAsia="Times New Roman" w:cs="Arial"/>
                <w:i/>
                <w:iCs/>
                <w:color w:val="000000"/>
                <w:sz w:val="18"/>
                <w:szCs w:val="18"/>
                <w:lang w:eastAsia="en-AU"/>
              </w:rPr>
              <w:t xml:space="preserve"> cygnus</w:t>
            </w:r>
          </w:p>
        </w:tc>
        <w:tc>
          <w:tcPr>
            <w:tcW w:w="635" w:type="dxa"/>
            <w:tcBorders>
              <w:top w:val="dotted" w:sz="4" w:space="0" w:color="auto"/>
              <w:left w:val="nil"/>
              <w:bottom w:val="dotted" w:sz="4" w:space="0" w:color="auto"/>
              <w:right w:val="nil"/>
            </w:tcBorders>
            <w:shd w:val="clear" w:color="auto" w:fill="auto"/>
            <w:noWrap/>
            <w:vAlign w:val="center"/>
            <w:hideMark/>
          </w:tcPr>
          <w:p w14:paraId="1755EC3B"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4.83</w:t>
            </w:r>
          </w:p>
        </w:tc>
        <w:tc>
          <w:tcPr>
            <w:tcW w:w="951" w:type="dxa"/>
            <w:tcBorders>
              <w:top w:val="dotted" w:sz="4" w:space="0" w:color="auto"/>
              <w:left w:val="nil"/>
              <w:bottom w:val="dotted" w:sz="4" w:space="0" w:color="auto"/>
              <w:right w:val="nil"/>
            </w:tcBorders>
            <w:shd w:val="clear" w:color="auto" w:fill="auto"/>
            <w:noWrap/>
            <w:vAlign w:val="center"/>
            <w:hideMark/>
          </w:tcPr>
          <w:p w14:paraId="56545D03"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7</w:t>
            </w:r>
          </w:p>
        </w:tc>
        <w:tc>
          <w:tcPr>
            <w:tcW w:w="766" w:type="dxa"/>
            <w:tcBorders>
              <w:top w:val="dotted" w:sz="4" w:space="0" w:color="auto"/>
              <w:left w:val="nil"/>
              <w:bottom w:val="dotted" w:sz="4" w:space="0" w:color="auto"/>
              <w:right w:val="nil"/>
            </w:tcBorders>
            <w:shd w:val="clear" w:color="auto" w:fill="auto"/>
            <w:noWrap/>
            <w:vAlign w:val="center"/>
            <w:hideMark/>
          </w:tcPr>
          <w:p w14:paraId="7D812429"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c>
          <w:tcPr>
            <w:tcW w:w="797" w:type="dxa"/>
            <w:tcBorders>
              <w:top w:val="dotted" w:sz="4" w:space="0" w:color="auto"/>
              <w:left w:val="nil"/>
              <w:bottom w:val="dotted" w:sz="4" w:space="0" w:color="auto"/>
              <w:right w:val="nil"/>
            </w:tcBorders>
            <w:shd w:val="clear" w:color="auto" w:fill="auto"/>
            <w:noWrap/>
            <w:vAlign w:val="center"/>
            <w:hideMark/>
          </w:tcPr>
          <w:p w14:paraId="5E55448F"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&lt;1%</w:t>
            </w:r>
          </w:p>
        </w:tc>
      </w:tr>
      <w:tr w:rsidR="008E2185" w:rsidRPr="0014117C" w14:paraId="2CF37A67" w14:textId="77777777" w:rsidTr="00FC70B6">
        <w:trPr>
          <w:trHeight w:val="253"/>
        </w:trPr>
        <w:tc>
          <w:tcPr>
            <w:tcW w:w="1004" w:type="dxa"/>
            <w:tcBorders>
              <w:top w:val="nil"/>
              <w:left w:val="nil"/>
              <w:bottom w:val="single" w:sz="4" w:space="0" w:color="auto"/>
              <w:right w:val="nil"/>
            </w:tcBorders>
            <w:shd w:val="clear" w:color="auto" w:fill="auto"/>
            <w:noWrap/>
            <w:vAlign w:val="center"/>
            <w:hideMark/>
          </w:tcPr>
          <w:p w14:paraId="50A21FC6"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Subtotal</w:t>
            </w:r>
          </w:p>
        </w:tc>
        <w:tc>
          <w:tcPr>
            <w:tcW w:w="944" w:type="dxa"/>
            <w:tcBorders>
              <w:top w:val="dotted" w:sz="4" w:space="0" w:color="auto"/>
              <w:left w:val="nil"/>
              <w:bottom w:val="single" w:sz="4" w:space="0" w:color="auto"/>
              <w:right w:val="nil"/>
            </w:tcBorders>
            <w:shd w:val="clear" w:color="auto" w:fill="auto"/>
            <w:noWrap/>
            <w:vAlign w:val="center"/>
            <w:hideMark/>
          </w:tcPr>
          <w:p w14:paraId="76A9D01C"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 </w:t>
            </w:r>
          </w:p>
        </w:tc>
        <w:tc>
          <w:tcPr>
            <w:tcW w:w="1473" w:type="dxa"/>
            <w:tcBorders>
              <w:top w:val="dotted" w:sz="4" w:space="0" w:color="auto"/>
              <w:left w:val="nil"/>
              <w:bottom w:val="single" w:sz="4" w:space="0" w:color="auto"/>
              <w:right w:val="nil"/>
            </w:tcBorders>
            <w:shd w:val="clear" w:color="auto" w:fill="auto"/>
            <w:noWrap/>
            <w:vAlign w:val="center"/>
            <w:hideMark/>
          </w:tcPr>
          <w:p w14:paraId="6BA1B290"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 </w:t>
            </w:r>
          </w:p>
        </w:tc>
        <w:tc>
          <w:tcPr>
            <w:tcW w:w="1822" w:type="dxa"/>
            <w:tcBorders>
              <w:top w:val="dotted" w:sz="4" w:space="0" w:color="auto"/>
              <w:left w:val="nil"/>
              <w:bottom w:val="single" w:sz="4" w:space="0" w:color="auto"/>
              <w:right w:val="nil"/>
            </w:tcBorders>
            <w:shd w:val="clear" w:color="auto" w:fill="auto"/>
            <w:noWrap/>
            <w:vAlign w:val="center"/>
            <w:hideMark/>
          </w:tcPr>
          <w:p w14:paraId="354C29D6"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 </w:t>
            </w:r>
          </w:p>
        </w:tc>
        <w:tc>
          <w:tcPr>
            <w:tcW w:w="635" w:type="dxa"/>
            <w:tcBorders>
              <w:top w:val="dotted" w:sz="4" w:space="0" w:color="auto"/>
              <w:left w:val="nil"/>
              <w:bottom w:val="single" w:sz="4" w:space="0" w:color="auto"/>
              <w:right w:val="nil"/>
            </w:tcBorders>
            <w:shd w:val="clear" w:color="auto" w:fill="auto"/>
            <w:noWrap/>
            <w:vAlign w:val="center"/>
            <w:hideMark/>
          </w:tcPr>
          <w:p w14:paraId="45EDC365" w14:textId="77777777" w:rsidR="008E2185" w:rsidRPr="00973D88" w:rsidRDefault="008E2185" w:rsidP="00FC70B6">
            <w:pPr>
              <w:spacing w:after="0"/>
              <w:jc w:val="center"/>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8.69</w:t>
            </w:r>
          </w:p>
        </w:tc>
        <w:tc>
          <w:tcPr>
            <w:tcW w:w="951" w:type="dxa"/>
            <w:tcBorders>
              <w:top w:val="dotted" w:sz="4" w:space="0" w:color="auto"/>
              <w:left w:val="nil"/>
              <w:bottom w:val="single" w:sz="4" w:space="0" w:color="auto"/>
              <w:right w:val="nil"/>
            </w:tcBorders>
            <w:shd w:val="clear" w:color="auto" w:fill="auto"/>
            <w:noWrap/>
            <w:vAlign w:val="center"/>
            <w:hideMark/>
          </w:tcPr>
          <w:p w14:paraId="4D6DCC90" w14:textId="77777777" w:rsidR="008E2185" w:rsidRPr="00973D88" w:rsidRDefault="008E2185" w:rsidP="00FC70B6">
            <w:pPr>
              <w:spacing w:after="0"/>
              <w:jc w:val="center"/>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183</w:t>
            </w:r>
          </w:p>
        </w:tc>
        <w:tc>
          <w:tcPr>
            <w:tcW w:w="766" w:type="dxa"/>
            <w:tcBorders>
              <w:top w:val="dotted" w:sz="4" w:space="0" w:color="auto"/>
              <w:left w:val="nil"/>
              <w:bottom w:val="single" w:sz="4" w:space="0" w:color="auto"/>
              <w:right w:val="nil"/>
            </w:tcBorders>
            <w:shd w:val="clear" w:color="auto" w:fill="auto"/>
            <w:noWrap/>
            <w:vAlign w:val="center"/>
            <w:hideMark/>
          </w:tcPr>
          <w:p w14:paraId="084D861C"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1%</w:t>
            </w:r>
          </w:p>
        </w:tc>
        <w:tc>
          <w:tcPr>
            <w:tcW w:w="797" w:type="dxa"/>
            <w:tcBorders>
              <w:top w:val="dotted" w:sz="4" w:space="0" w:color="auto"/>
              <w:left w:val="nil"/>
              <w:bottom w:val="single" w:sz="4" w:space="0" w:color="auto"/>
              <w:right w:val="nil"/>
            </w:tcBorders>
            <w:shd w:val="clear" w:color="auto" w:fill="auto"/>
            <w:noWrap/>
            <w:vAlign w:val="center"/>
            <w:hideMark/>
          </w:tcPr>
          <w:p w14:paraId="211E92D3" w14:textId="77777777" w:rsidR="008E2185" w:rsidRPr="00973D88" w:rsidRDefault="008E2185" w:rsidP="00FC70B6">
            <w:pPr>
              <w:spacing w:after="0"/>
              <w:rPr>
                <w:rFonts w:eastAsia="Times New Roman" w:cs="Arial"/>
                <w:b/>
                <w:bCs/>
                <w:i/>
                <w:iCs/>
                <w:color w:val="000000"/>
                <w:sz w:val="18"/>
                <w:szCs w:val="18"/>
                <w:lang w:eastAsia="en-AU"/>
              </w:rPr>
            </w:pPr>
            <w:r w:rsidRPr="00973D88">
              <w:rPr>
                <w:rFonts w:eastAsia="Times New Roman" w:cs="Arial"/>
                <w:b/>
                <w:bCs/>
                <w:i/>
                <w:iCs/>
                <w:color w:val="000000"/>
                <w:sz w:val="18"/>
                <w:szCs w:val="18"/>
                <w:lang w:eastAsia="en-AU"/>
              </w:rPr>
              <w:t>1%</w:t>
            </w:r>
          </w:p>
        </w:tc>
      </w:tr>
      <w:tr w:rsidR="008E2185" w:rsidRPr="0014117C" w14:paraId="0BF602C0" w14:textId="77777777" w:rsidTr="00FC70B6">
        <w:trPr>
          <w:trHeight w:val="253"/>
        </w:trPr>
        <w:tc>
          <w:tcPr>
            <w:tcW w:w="1004" w:type="dxa"/>
            <w:tcBorders>
              <w:top w:val="nil"/>
              <w:left w:val="nil"/>
              <w:bottom w:val="single" w:sz="4" w:space="0" w:color="auto"/>
              <w:right w:val="nil"/>
            </w:tcBorders>
            <w:shd w:val="clear" w:color="auto" w:fill="auto"/>
            <w:noWrap/>
            <w:vAlign w:val="center"/>
            <w:hideMark/>
          </w:tcPr>
          <w:p w14:paraId="13AB7B6A"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Cnidaria</w:t>
            </w:r>
          </w:p>
        </w:tc>
        <w:tc>
          <w:tcPr>
            <w:tcW w:w="944" w:type="dxa"/>
            <w:tcBorders>
              <w:top w:val="nil"/>
              <w:left w:val="nil"/>
              <w:bottom w:val="single" w:sz="4" w:space="0" w:color="auto"/>
              <w:right w:val="nil"/>
            </w:tcBorders>
            <w:shd w:val="clear" w:color="auto" w:fill="auto"/>
            <w:noWrap/>
            <w:vAlign w:val="center"/>
            <w:hideMark/>
          </w:tcPr>
          <w:p w14:paraId="34AA5B9D"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color w:val="000000"/>
                <w:sz w:val="18"/>
                <w:szCs w:val="18"/>
                <w:lang w:eastAsia="en-AU"/>
              </w:rPr>
              <w:t>Octocorallia</w:t>
            </w:r>
            <w:proofErr w:type="spellEnd"/>
          </w:p>
        </w:tc>
        <w:tc>
          <w:tcPr>
            <w:tcW w:w="1473" w:type="dxa"/>
            <w:tcBorders>
              <w:top w:val="nil"/>
              <w:left w:val="nil"/>
              <w:bottom w:val="single" w:sz="4" w:space="0" w:color="auto"/>
              <w:right w:val="nil"/>
            </w:tcBorders>
            <w:shd w:val="clear" w:color="auto" w:fill="auto"/>
            <w:noWrap/>
            <w:vAlign w:val="center"/>
            <w:hideMark/>
          </w:tcPr>
          <w:p w14:paraId="0689622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Soft Corals</w:t>
            </w:r>
          </w:p>
        </w:tc>
        <w:tc>
          <w:tcPr>
            <w:tcW w:w="1822" w:type="dxa"/>
            <w:tcBorders>
              <w:top w:val="nil"/>
              <w:left w:val="nil"/>
              <w:bottom w:val="single" w:sz="4" w:space="0" w:color="auto"/>
              <w:right w:val="nil"/>
            </w:tcBorders>
            <w:shd w:val="clear" w:color="auto" w:fill="auto"/>
            <w:noWrap/>
            <w:vAlign w:val="center"/>
            <w:hideMark/>
          </w:tcPr>
          <w:p w14:paraId="5F87ADB6" w14:textId="77777777" w:rsidR="008E2185" w:rsidRPr="00973D88" w:rsidRDefault="008E2185" w:rsidP="00FC70B6">
            <w:pPr>
              <w:spacing w:after="0"/>
              <w:rPr>
                <w:rFonts w:eastAsia="Times New Roman" w:cs="Arial"/>
                <w:color w:val="000000"/>
                <w:sz w:val="18"/>
                <w:szCs w:val="18"/>
                <w:lang w:eastAsia="en-AU"/>
              </w:rPr>
            </w:pPr>
            <w:proofErr w:type="spellStart"/>
            <w:r w:rsidRPr="00973D88">
              <w:rPr>
                <w:rFonts w:eastAsia="Times New Roman" w:cs="Arial"/>
                <w:i/>
                <w:iCs/>
                <w:color w:val="000000"/>
                <w:sz w:val="18"/>
                <w:szCs w:val="18"/>
                <w:lang w:eastAsia="en-AU"/>
              </w:rPr>
              <w:t>Dendronephthya</w:t>
            </w:r>
            <w:proofErr w:type="spellEnd"/>
            <w:r w:rsidRPr="00973D88">
              <w:rPr>
                <w:rFonts w:eastAsia="Times New Roman" w:cs="Arial"/>
                <w:color w:val="000000"/>
                <w:sz w:val="18"/>
                <w:szCs w:val="18"/>
                <w:lang w:eastAsia="en-AU"/>
              </w:rPr>
              <w:t xml:space="preserve"> spp.</w:t>
            </w:r>
          </w:p>
        </w:tc>
        <w:tc>
          <w:tcPr>
            <w:tcW w:w="635" w:type="dxa"/>
            <w:tcBorders>
              <w:top w:val="nil"/>
              <w:left w:val="nil"/>
              <w:bottom w:val="single" w:sz="4" w:space="0" w:color="auto"/>
              <w:right w:val="nil"/>
            </w:tcBorders>
            <w:shd w:val="clear" w:color="auto" w:fill="auto"/>
            <w:noWrap/>
            <w:vAlign w:val="center"/>
            <w:hideMark/>
          </w:tcPr>
          <w:p w14:paraId="732011C1"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2.34</w:t>
            </w:r>
          </w:p>
        </w:tc>
        <w:tc>
          <w:tcPr>
            <w:tcW w:w="951" w:type="dxa"/>
            <w:tcBorders>
              <w:top w:val="nil"/>
              <w:left w:val="nil"/>
              <w:bottom w:val="single" w:sz="4" w:space="0" w:color="auto"/>
              <w:right w:val="nil"/>
            </w:tcBorders>
            <w:shd w:val="clear" w:color="auto" w:fill="auto"/>
            <w:noWrap/>
            <w:vAlign w:val="center"/>
            <w:hideMark/>
          </w:tcPr>
          <w:p w14:paraId="305615DF"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5</w:t>
            </w:r>
          </w:p>
        </w:tc>
        <w:tc>
          <w:tcPr>
            <w:tcW w:w="766" w:type="dxa"/>
            <w:tcBorders>
              <w:top w:val="nil"/>
              <w:left w:val="nil"/>
              <w:bottom w:val="single" w:sz="4" w:space="0" w:color="auto"/>
              <w:right w:val="nil"/>
            </w:tcBorders>
            <w:shd w:val="clear" w:color="auto" w:fill="auto"/>
            <w:noWrap/>
            <w:vAlign w:val="center"/>
            <w:hideMark/>
          </w:tcPr>
          <w:p w14:paraId="7191D01E"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&lt;1%</w:t>
            </w:r>
          </w:p>
        </w:tc>
        <w:tc>
          <w:tcPr>
            <w:tcW w:w="797" w:type="dxa"/>
            <w:tcBorders>
              <w:top w:val="nil"/>
              <w:left w:val="nil"/>
              <w:bottom w:val="single" w:sz="4" w:space="0" w:color="auto"/>
              <w:right w:val="nil"/>
            </w:tcBorders>
            <w:shd w:val="clear" w:color="auto" w:fill="auto"/>
            <w:noWrap/>
            <w:vAlign w:val="center"/>
            <w:hideMark/>
          </w:tcPr>
          <w:p w14:paraId="01EA1360"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&lt;1%</w:t>
            </w:r>
          </w:p>
        </w:tc>
      </w:tr>
      <w:tr w:rsidR="008E2185" w:rsidRPr="0014117C" w14:paraId="2C441DE1" w14:textId="77777777" w:rsidTr="00FC70B6">
        <w:trPr>
          <w:trHeight w:val="253"/>
        </w:trPr>
        <w:tc>
          <w:tcPr>
            <w:tcW w:w="1004" w:type="dxa"/>
            <w:tcBorders>
              <w:top w:val="nil"/>
              <w:left w:val="nil"/>
              <w:bottom w:val="nil"/>
              <w:right w:val="nil"/>
            </w:tcBorders>
            <w:shd w:val="clear" w:color="auto" w:fill="auto"/>
            <w:noWrap/>
            <w:vAlign w:val="center"/>
            <w:hideMark/>
          </w:tcPr>
          <w:p w14:paraId="77D42E0E"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Porif</w:t>
            </w:r>
            <w:r>
              <w:rPr>
                <w:rFonts w:eastAsia="Times New Roman" w:cs="Arial"/>
                <w:b/>
                <w:bCs/>
                <w:color w:val="000000"/>
                <w:sz w:val="18"/>
                <w:szCs w:val="18"/>
                <w:lang w:eastAsia="en-AU"/>
              </w:rPr>
              <w:t>e</w:t>
            </w:r>
            <w:r w:rsidRPr="00973D88">
              <w:rPr>
                <w:rFonts w:eastAsia="Times New Roman" w:cs="Arial"/>
                <w:b/>
                <w:bCs/>
                <w:color w:val="000000"/>
                <w:sz w:val="18"/>
                <w:szCs w:val="18"/>
                <w:lang w:eastAsia="en-AU"/>
              </w:rPr>
              <w:t>ra</w:t>
            </w:r>
          </w:p>
        </w:tc>
        <w:tc>
          <w:tcPr>
            <w:tcW w:w="944" w:type="dxa"/>
            <w:tcBorders>
              <w:top w:val="nil"/>
              <w:left w:val="nil"/>
              <w:bottom w:val="nil"/>
              <w:right w:val="nil"/>
            </w:tcBorders>
            <w:shd w:val="clear" w:color="auto" w:fill="auto"/>
            <w:noWrap/>
            <w:vAlign w:val="center"/>
            <w:hideMark/>
          </w:tcPr>
          <w:p w14:paraId="21F7C9A9"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Unspecified sponge</w:t>
            </w:r>
          </w:p>
        </w:tc>
        <w:tc>
          <w:tcPr>
            <w:tcW w:w="1473" w:type="dxa"/>
            <w:tcBorders>
              <w:top w:val="nil"/>
              <w:left w:val="nil"/>
              <w:bottom w:val="nil"/>
              <w:right w:val="nil"/>
            </w:tcBorders>
            <w:shd w:val="clear" w:color="auto" w:fill="auto"/>
            <w:noWrap/>
            <w:vAlign w:val="center"/>
            <w:hideMark/>
          </w:tcPr>
          <w:p w14:paraId="3A002965"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Sponge - General</w:t>
            </w:r>
          </w:p>
        </w:tc>
        <w:tc>
          <w:tcPr>
            <w:tcW w:w="1822" w:type="dxa"/>
            <w:tcBorders>
              <w:top w:val="nil"/>
              <w:left w:val="nil"/>
              <w:bottom w:val="nil"/>
              <w:right w:val="nil"/>
            </w:tcBorders>
            <w:shd w:val="clear" w:color="auto" w:fill="auto"/>
            <w:noWrap/>
            <w:vAlign w:val="center"/>
            <w:hideMark/>
          </w:tcPr>
          <w:p w14:paraId="3340C8BB" w14:textId="77777777" w:rsidR="008E2185" w:rsidRPr="00973D88" w:rsidRDefault="008E2185" w:rsidP="00FC70B6">
            <w:pPr>
              <w:spacing w:after="0"/>
              <w:rPr>
                <w:rFonts w:eastAsia="Times New Roman" w:cs="Arial"/>
                <w:color w:val="000000"/>
                <w:sz w:val="18"/>
                <w:szCs w:val="18"/>
                <w:lang w:eastAsia="en-AU"/>
              </w:rPr>
            </w:pPr>
            <w:r w:rsidRPr="00973D88">
              <w:rPr>
                <w:rFonts w:eastAsia="Times New Roman" w:cs="Arial"/>
                <w:color w:val="000000"/>
                <w:sz w:val="18"/>
                <w:szCs w:val="18"/>
                <w:lang w:eastAsia="en-AU"/>
              </w:rPr>
              <w:t>Porifera - undifferentiated</w:t>
            </w:r>
          </w:p>
        </w:tc>
        <w:tc>
          <w:tcPr>
            <w:tcW w:w="635" w:type="dxa"/>
            <w:tcBorders>
              <w:top w:val="nil"/>
              <w:left w:val="nil"/>
              <w:bottom w:val="nil"/>
              <w:right w:val="nil"/>
            </w:tcBorders>
            <w:shd w:val="clear" w:color="auto" w:fill="auto"/>
            <w:noWrap/>
            <w:vAlign w:val="center"/>
            <w:hideMark/>
          </w:tcPr>
          <w:p w14:paraId="57617AE2"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22.11</w:t>
            </w:r>
          </w:p>
        </w:tc>
        <w:tc>
          <w:tcPr>
            <w:tcW w:w="951" w:type="dxa"/>
            <w:tcBorders>
              <w:top w:val="nil"/>
              <w:left w:val="nil"/>
              <w:bottom w:val="nil"/>
              <w:right w:val="nil"/>
            </w:tcBorders>
            <w:shd w:val="clear" w:color="auto" w:fill="auto"/>
            <w:noWrap/>
            <w:vAlign w:val="center"/>
            <w:hideMark/>
          </w:tcPr>
          <w:p w14:paraId="51B41ED8" w14:textId="77777777" w:rsidR="008E2185" w:rsidRPr="00973D88" w:rsidRDefault="008E2185" w:rsidP="00FC70B6">
            <w:pPr>
              <w:spacing w:after="0"/>
              <w:jc w:val="center"/>
              <w:rPr>
                <w:rFonts w:eastAsia="Times New Roman" w:cs="Arial"/>
                <w:color w:val="000000"/>
                <w:sz w:val="18"/>
                <w:szCs w:val="18"/>
                <w:lang w:eastAsia="en-AU"/>
              </w:rPr>
            </w:pPr>
            <w:r w:rsidRPr="00973D88">
              <w:rPr>
                <w:rFonts w:eastAsia="Times New Roman" w:cs="Arial"/>
                <w:color w:val="000000"/>
                <w:sz w:val="18"/>
                <w:szCs w:val="18"/>
                <w:lang w:eastAsia="en-AU"/>
              </w:rPr>
              <w:t>37</w:t>
            </w:r>
          </w:p>
        </w:tc>
        <w:tc>
          <w:tcPr>
            <w:tcW w:w="766" w:type="dxa"/>
            <w:tcBorders>
              <w:top w:val="nil"/>
              <w:left w:val="nil"/>
              <w:bottom w:val="nil"/>
              <w:right w:val="nil"/>
            </w:tcBorders>
            <w:shd w:val="clear" w:color="auto" w:fill="auto"/>
            <w:noWrap/>
            <w:vAlign w:val="center"/>
            <w:hideMark/>
          </w:tcPr>
          <w:p w14:paraId="06103025" w14:textId="77777777" w:rsidR="008E2185" w:rsidRPr="00973D88" w:rsidRDefault="008E2185" w:rsidP="00FC70B6">
            <w:pPr>
              <w:spacing w:after="0"/>
              <w:rPr>
                <w:rFonts w:eastAsia="Times New Roman" w:cs="Arial"/>
                <w:b/>
                <w:bCs/>
                <w:sz w:val="18"/>
                <w:szCs w:val="18"/>
                <w:lang w:eastAsia="en-AU"/>
              </w:rPr>
            </w:pPr>
            <w:r w:rsidRPr="00973D88">
              <w:rPr>
                <w:rFonts w:eastAsia="Times New Roman" w:cs="Arial"/>
                <w:b/>
                <w:bCs/>
                <w:sz w:val="18"/>
                <w:szCs w:val="18"/>
                <w:lang w:eastAsia="en-AU"/>
              </w:rPr>
              <w:t>2%</w:t>
            </w:r>
          </w:p>
        </w:tc>
        <w:tc>
          <w:tcPr>
            <w:tcW w:w="797" w:type="dxa"/>
            <w:tcBorders>
              <w:top w:val="nil"/>
              <w:left w:val="nil"/>
              <w:bottom w:val="nil"/>
              <w:right w:val="nil"/>
            </w:tcBorders>
            <w:shd w:val="clear" w:color="auto" w:fill="auto"/>
            <w:noWrap/>
            <w:vAlign w:val="center"/>
            <w:hideMark/>
          </w:tcPr>
          <w:p w14:paraId="3613AF98"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&lt;1%</w:t>
            </w:r>
          </w:p>
        </w:tc>
      </w:tr>
      <w:tr w:rsidR="008E2185" w:rsidRPr="0014117C" w14:paraId="79ADDBAE" w14:textId="77777777" w:rsidTr="00FC70B6">
        <w:trPr>
          <w:trHeight w:val="253"/>
        </w:trPr>
        <w:tc>
          <w:tcPr>
            <w:tcW w:w="1004" w:type="dxa"/>
            <w:tcBorders>
              <w:top w:val="single" w:sz="4" w:space="0" w:color="auto"/>
              <w:left w:val="nil"/>
              <w:bottom w:val="single" w:sz="4" w:space="0" w:color="auto"/>
              <w:right w:val="nil"/>
            </w:tcBorders>
            <w:shd w:val="clear" w:color="auto" w:fill="auto"/>
            <w:noWrap/>
            <w:vAlign w:val="center"/>
            <w:hideMark/>
          </w:tcPr>
          <w:p w14:paraId="4C3B1B67"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TOTAL</w:t>
            </w:r>
          </w:p>
        </w:tc>
        <w:tc>
          <w:tcPr>
            <w:tcW w:w="944" w:type="dxa"/>
            <w:tcBorders>
              <w:top w:val="single" w:sz="4" w:space="0" w:color="auto"/>
              <w:left w:val="nil"/>
              <w:bottom w:val="single" w:sz="4" w:space="0" w:color="auto"/>
              <w:right w:val="nil"/>
            </w:tcBorders>
            <w:shd w:val="clear" w:color="auto" w:fill="auto"/>
            <w:noWrap/>
            <w:vAlign w:val="center"/>
            <w:hideMark/>
          </w:tcPr>
          <w:p w14:paraId="12971005"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 </w:t>
            </w:r>
          </w:p>
        </w:tc>
        <w:tc>
          <w:tcPr>
            <w:tcW w:w="1473" w:type="dxa"/>
            <w:tcBorders>
              <w:top w:val="single" w:sz="4" w:space="0" w:color="auto"/>
              <w:left w:val="nil"/>
              <w:bottom w:val="single" w:sz="4" w:space="0" w:color="auto"/>
              <w:right w:val="nil"/>
            </w:tcBorders>
            <w:shd w:val="clear" w:color="auto" w:fill="auto"/>
            <w:noWrap/>
            <w:vAlign w:val="center"/>
            <w:hideMark/>
          </w:tcPr>
          <w:p w14:paraId="484E3BE0"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 </w:t>
            </w:r>
          </w:p>
        </w:tc>
        <w:tc>
          <w:tcPr>
            <w:tcW w:w="1822" w:type="dxa"/>
            <w:tcBorders>
              <w:top w:val="single" w:sz="4" w:space="0" w:color="auto"/>
              <w:left w:val="nil"/>
              <w:bottom w:val="single" w:sz="4" w:space="0" w:color="auto"/>
              <w:right w:val="nil"/>
            </w:tcBorders>
            <w:shd w:val="clear" w:color="auto" w:fill="auto"/>
            <w:noWrap/>
            <w:vAlign w:val="center"/>
            <w:hideMark/>
          </w:tcPr>
          <w:p w14:paraId="7C5BD2B8" w14:textId="77777777" w:rsidR="008E2185" w:rsidRPr="00973D88" w:rsidRDefault="008E2185" w:rsidP="00FC70B6">
            <w:pPr>
              <w:spacing w:after="0"/>
              <w:rPr>
                <w:rFonts w:eastAsia="Times New Roman" w:cs="Arial"/>
                <w:b/>
                <w:bCs/>
                <w:color w:val="000000"/>
                <w:sz w:val="18"/>
                <w:szCs w:val="18"/>
                <w:lang w:eastAsia="en-AU"/>
              </w:rPr>
            </w:pPr>
            <w:r w:rsidRPr="00973D88">
              <w:rPr>
                <w:rFonts w:eastAsia="Times New Roman" w:cs="Arial"/>
                <w:b/>
                <w:bCs/>
                <w:color w:val="000000"/>
                <w:sz w:val="18"/>
                <w:szCs w:val="18"/>
                <w:lang w:eastAsia="en-AU"/>
              </w:rPr>
              <w:t> </w:t>
            </w:r>
          </w:p>
        </w:tc>
        <w:tc>
          <w:tcPr>
            <w:tcW w:w="635" w:type="dxa"/>
            <w:tcBorders>
              <w:top w:val="single" w:sz="4" w:space="0" w:color="auto"/>
              <w:left w:val="nil"/>
              <w:bottom w:val="single" w:sz="4" w:space="0" w:color="auto"/>
              <w:right w:val="nil"/>
            </w:tcBorders>
            <w:shd w:val="clear" w:color="auto" w:fill="auto"/>
            <w:noWrap/>
            <w:vAlign w:val="center"/>
            <w:hideMark/>
          </w:tcPr>
          <w:p w14:paraId="69AFCE95" w14:textId="77777777" w:rsidR="008E2185" w:rsidRPr="00973D88" w:rsidRDefault="008E2185" w:rsidP="00FC70B6">
            <w:pPr>
              <w:spacing w:after="0"/>
              <w:jc w:val="center"/>
              <w:rPr>
                <w:rFonts w:eastAsia="Times New Roman" w:cs="Arial"/>
                <w:b/>
                <w:bCs/>
                <w:color w:val="000000"/>
                <w:sz w:val="18"/>
                <w:szCs w:val="18"/>
                <w:lang w:eastAsia="en-AU"/>
              </w:rPr>
            </w:pPr>
            <w:r w:rsidRPr="00973D88">
              <w:rPr>
                <w:rFonts w:eastAsia="Times New Roman" w:cs="Arial"/>
                <w:b/>
                <w:bCs/>
                <w:color w:val="000000"/>
                <w:sz w:val="18"/>
                <w:szCs w:val="18"/>
                <w:lang w:eastAsia="en-AU"/>
              </w:rPr>
              <w:t>1</w:t>
            </w:r>
            <w:r>
              <w:rPr>
                <w:rFonts w:eastAsia="Times New Roman" w:cs="Arial"/>
                <w:b/>
                <w:bCs/>
                <w:color w:val="000000"/>
                <w:sz w:val="18"/>
                <w:szCs w:val="18"/>
                <w:lang w:eastAsia="en-AU"/>
              </w:rPr>
              <w:t>,</w:t>
            </w:r>
            <w:r w:rsidRPr="00973D88">
              <w:rPr>
                <w:rFonts w:eastAsia="Times New Roman" w:cs="Arial"/>
                <w:b/>
                <w:bCs/>
                <w:color w:val="000000"/>
                <w:sz w:val="18"/>
                <w:szCs w:val="18"/>
                <w:lang w:eastAsia="en-AU"/>
              </w:rPr>
              <w:t>398.70</w:t>
            </w:r>
          </w:p>
        </w:tc>
        <w:tc>
          <w:tcPr>
            <w:tcW w:w="951" w:type="dxa"/>
            <w:tcBorders>
              <w:top w:val="single" w:sz="4" w:space="0" w:color="auto"/>
              <w:left w:val="nil"/>
              <w:bottom w:val="single" w:sz="4" w:space="0" w:color="auto"/>
              <w:right w:val="nil"/>
            </w:tcBorders>
            <w:shd w:val="clear" w:color="auto" w:fill="auto"/>
            <w:noWrap/>
            <w:vAlign w:val="center"/>
            <w:hideMark/>
          </w:tcPr>
          <w:p w14:paraId="18952025" w14:textId="77777777" w:rsidR="008E2185" w:rsidRPr="00973D88" w:rsidRDefault="008E2185" w:rsidP="00FC70B6">
            <w:pPr>
              <w:spacing w:after="0"/>
              <w:jc w:val="center"/>
              <w:rPr>
                <w:rFonts w:eastAsia="Times New Roman" w:cs="Arial"/>
                <w:b/>
                <w:bCs/>
                <w:color w:val="000000"/>
                <w:sz w:val="18"/>
                <w:szCs w:val="18"/>
                <w:lang w:eastAsia="en-AU"/>
              </w:rPr>
            </w:pPr>
            <w:r w:rsidRPr="00973D88">
              <w:rPr>
                <w:rFonts w:eastAsia="Times New Roman" w:cs="Arial"/>
                <w:b/>
                <w:bCs/>
                <w:color w:val="000000"/>
                <w:sz w:val="18"/>
                <w:szCs w:val="18"/>
                <w:lang w:eastAsia="en-AU"/>
              </w:rPr>
              <w:t>22</w:t>
            </w:r>
            <w:r>
              <w:rPr>
                <w:rFonts w:eastAsia="Times New Roman" w:cs="Arial"/>
                <w:b/>
                <w:bCs/>
                <w:color w:val="000000"/>
                <w:sz w:val="18"/>
                <w:szCs w:val="18"/>
                <w:lang w:eastAsia="en-AU"/>
              </w:rPr>
              <w:t>,</w:t>
            </w:r>
            <w:r w:rsidRPr="00973D88">
              <w:rPr>
                <w:rFonts w:eastAsia="Times New Roman" w:cs="Arial"/>
                <w:b/>
                <w:bCs/>
                <w:color w:val="000000"/>
                <w:sz w:val="18"/>
                <w:szCs w:val="18"/>
                <w:lang w:eastAsia="en-AU"/>
              </w:rPr>
              <w:t>670</w:t>
            </w:r>
          </w:p>
        </w:tc>
        <w:tc>
          <w:tcPr>
            <w:tcW w:w="766" w:type="dxa"/>
            <w:tcBorders>
              <w:top w:val="single" w:sz="4" w:space="0" w:color="auto"/>
              <w:left w:val="nil"/>
              <w:bottom w:val="single" w:sz="4" w:space="0" w:color="auto"/>
              <w:right w:val="nil"/>
            </w:tcBorders>
            <w:shd w:val="clear" w:color="auto" w:fill="auto"/>
            <w:noWrap/>
            <w:vAlign w:val="center"/>
            <w:hideMark/>
          </w:tcPr>
          <w:p w14:paraId="2BFEE224" w14:textId="77777777" w:rsidR="008E2185" w:rsidRPr="00973D88" w:rsidRDefault="008E2185" w:rsidP="00FC70B6">
            <w:pPr>
              <w:spacing w:after="0"/>
              <w:rPr>
                <w:rFonts w:eastAsia="Times New Roman" w:cs="Arial"/>
                <w:b/>
                <w:bCs/>
                <w:sz w:val="18"/>
                <w:szCs w:val="18"/>
                <w:lang w:eastAsia="en-AU"/>
              </w:rPr>
            </w:pPr>
            <w:r w:rsidRPr="00973D88">
              <w:rPr>
                <w:rFonts w:eastAsia="Times New Roman" w:cs="Arial"/>
                <w:b/>
                <w:bCs/>
                <w:sz w:val="18"/>
                <w:szCs w:val="18"/>
                <w:lang w:eastAsia="en-AU"/>
              </w:rPr>
              <w:t>100%</w:t>
            </w:r>
          </w:p>
        </w:tc>
        <w:tc>
          <w:tcPr>
            <w:tcW w:w="797" w:type="dxa"/>
            <w:tcBorders>
              <w:top w:val="single" w:sz="4" w:space="0" w:color="auto"/>
              <w:left w:val="nil"/>
              <w:bottom w:val="single" w:sz="4" w:space="0" w:color="auto"/>
              <w:right w:val="nil"/>
            </w:tcBorders>
            <w:shd w:val="clear" w:color="auto" w:fill="auto"/>
            <w:noWrap/>
            <w:vAlign w:val="center"/>
            <w:hideMark/>
          </w:tcPr>
          <w:p w14:paraId="6C36497B" w14:textId="77777777" w:rsidR="008E2185" w:rsidRPr="00973D88" w:rsidRDefault="008E2185" w:rsidP="00FC70B6">
            <w:pPr>
              <w:spacing w:after="0"/>
              <w:rPr>
                <w:rFonts w:eastAsia="Times New Roman" w:cs="Arial"/>
                <w:b/>
                <w:bCs/>
                <w:sz w:val="18"/>
                <w:szCs w:val="18"/>
                <w:lang w:eastAsia="en-AU"/>
              </w:rPr>
            </w:pPr>
            <w:r w:rsidRPr="00973D88">
              <w:rPr>
                <w:rFonts w:eastAsia="Times New Roman" w:cs="Arial"/>
                <w:b/>
                <w:bCs/>
                <w:sz w:val="18"/>
                <w:szCs w:val="18"/>
                <w:lang w:eastAsia="en-AU"/>
              </w:rPr>
              <w:t>100%</w:t>
            </w:r>
          </w:p>
        </w:tc>
      </w:tr>
    </w:tbl>
    <w:p w14:paraId="1DD1A6E9" w14:textId="17CC78D0" w:rsidR="00390D6E" w:rsidRDefault="00390D6E" w:rsidP="008E2185">
      <w:pPr>
        <w:pStyle w:val="BodyText"/>
        <w:rPr>
          <w:rFonts w:asciiTheme="majorHAnsi" w:hAnsiTheme="majorHAnsi" w:cstheme="majorHAnsi"/>
          <w:lang w:val="en-US"/>
        </w:rPr>
      </w:pPr>
      <w:r>
        <w:rPr>
          <w:rFonts w:asciiTheme="majorHAnsi" w:hAnsiTheme="majorHAnsi" w:cstheme="majorHAnsi"/>
          <w:lang w:val="en-US"/>
        </w:rPr>
        <w:br w:type="page"/>
      </w:r>
    </w:p>
    <w:p w14:paraId="5F4A9AB4" w14:textId="699FE01A" w:rsidR="008E2185" w:rsidRDefault="008E2185" w:rsidP="00390D6E">
      <w:pPr>
        <w:pStyle w:val="Heading1"/>
        <w:rPr>
          <w:lang w:val="en-US"/>
        </w:rPr>
      </w:pPr>
      <w:bookmarkStart w:id="100" w:name="_Toc179450013"/>
      <w:bookmarkStart w:id="101" w:name="_Toc183695848"/>
      <w:r w:rsidRPr="004C5D6E">
        <w:rPr>
          <w:lang w:val="en-US"/>
        </w:rPr>
        <w:lastRenderedPageBreak/>
        <w:t xml:space="preserve">Appendix </w:t>
      </w:r>
      <w:r>
        <w:rPr>
          <w:lang w:val="en-US"/>
        </w:rPr>
        <w:t>3 –</w:t>
      </w:r>
      <w:r w:rsidRPr="004C5D6E">
        <w:rPr>
          <w:lang w:val="en-US"/>
        </w:rPr>
        <w:t xml:space="preserve"> Fishing </w:t>
      </w:r>
      <w:r>
        <w:rPr>
          <w:lang w:val="en-US"/>
        </w:rPr>
        <w:t xml:space="preserve">catch and </w:t>
      </w:r>
      <w:r w:rsidRPr="004C5D6E">
        <w:rPr>
          <w:lang w:val="en-US"/>
        </w:rPr>
        <w:t>effort</w:t>
      </w:r>
      <w:bookmarkEnd w:id="100"/>
      <w:bookmarkEnd w:id="101"/>
      <w:r w:rsidRPr="004C5D6E">
        <w:rPr>
          <w:lang w:val="en-US"/>
        </w:rPr>
        <w:t xml:space="preserve"> </w:t>
      </w:r>
    </w:p>
    <w:p w14:paraId="4C1DC9E0" w14:textId="77777777" w:rsidR="008E2185" w:rsidRDefault="008E2185" w:rsidP="008E2185">
      <w:pPr>
        <w:spacing w:after="0"/>
        <w:rPr>
          <w:b/>
          <w:u w:val="single"/>
          <w:lang w:val="en-US"/>
        </w:rPr>
      </w:pPr>
      <w:r w:rsidRPr="00C32477">
        <w:rPr>
          <w:b/>
          <w:u w:val="single"/>
          <w:lang w:val="en-US"/>
        </w:rPr>
        <w:t xml:space="preserve">ABROLHOS ISLANDS AND MID WEST TRAWL MANAGED FISHERY </w:t>
      </w:r>
    </w:p>
    <w:p w14:paraId="190D9827" w14:textId="77777777" w:rsidR="00FE3963" w:rsidRDefault="00FE3963" w:rsidP="00390D6E"/>
    <w:p w14:paraId="7D1C51BA" w14:textId="55F64E2C" w:rsidR="0031582D" w:rsidRDefault="008E2185" w:rsidP="00FE3963">
      <w:pPr>
        <w:pStyle w:val="Caption"/>
      </w:pPr>
      <w:r>
        <w:t xml:space="preserve">Table </w:t>
      </w:r>
      <w:r>
        <w:fldChar w:fldCharType="begin"/>
      </w:r>
      <w:r>
        <w:instrText xml:space="preserve"> SEQ Table \* ARABIC </w:instrText>
      </w:r>
      <w:r>
        <w:fldChar w:fldCharType="separate"/>
      </w:r>
      <w:r w:rsidR="00AB15B7">
        <w:rPr>
          <w:noProof/>
        </w:rPr>
        <w:t>4</w:t>
      </w:r>
      <w:r>
        <w:fldChar w:fldCharType="end"/>
      </w:r>
      <w:r>
        <w:t>: Annual scallop catch and effort for the AIMWTMF.</w:t>
      </w:r>
    </w:p>
    <w:p w14:paraId="1CC152B2" w14:textId="63438166" w:rsidR="0031582D" w:rsidRDefault="0031582D" w:rsidP="00FE3963">
      <w:pPr>
        <w:pStyle w:val="Caption"/>
      </w:pPr>
      <w:r w:rsidRPr="00FC2935">
        <w:rPr>
          <w:noProof/>
        </w:rPr>
        <w:drawing>
          <wp:anchor distT="0" distB="0" distL="114300" distR="114300" simplePos="0" relativeHeight="251658245" behindDoc="1" locked="0" layoutInCell="1" allowOverlap="1" wp14:anchorId="0816F104" wp14:editId="391DF2B8">
            <wp:simplePos x="0" y="0"/>
            <wp:positionH relativeFrom="margin">
              <wp:posOffset>241935</wp:posOffset>
            </wp:positionH>
            <wp:positionV relativeFrom="paragraph">
              <wp:posOffset>2540</wp:posOffset>
            </wp:positionV>
            <wp:extent cx="5448300" cy="6254750"/>
            <wp:effectExtent l="0" t="0" r="0" b="0"/>
            <wp:wrapTight wrapText="bothSides">
              <wp:wrapPolygon edited="0">
                <wp:start x="1964" y="0"/>
                <wp:lineTo x="1964" y="2105"/>
                <wp:lineTo x="0" y="2434"/>
                <wp:lineTo x="0" y="3092"/>
                <wp:lineTo x="453" y="3158"/>
                <wp:lineTo x="0" y="3552"/>
                <wp:lineTo x="0" y="4079"/>
                <wp:lineTo x="453" y="4210"/>
                <wp:lineTo x="0" y="4539"/>
                <wp:lineTo x="0" y="5066"/>
                <wp:lineTo x="529" y="5263"/>
                <wp:lineTo x="0" y="5526"/>
                <wp:lineTo x="0" y="5987"/>
                <wp:lineTo x="529" y="6316"/>
                <wp:lineTo x="0" y="6447"/>
                <wp:lineTo x="0" y="10526"/>
                <wp:lineTo x="529" y="10526"/>
                <wp:lineTo x="0" y="10986"/>
                <wp:lineTo x="0" y="11578"/>
                <wp:lineTo x="453" y="11578"/>
                <wp:lineTo x="0" y="11973"/>
                <wp:lineTo x="0" y="12565"/>
                <wp:lineTo x="529" y="12631"/>
                <wp:lineTo x="0" y="12960"/>
                <wp:lineTo x="0" y="13552"/>
                <wp:lineTo x="453" y="13684"/>
                <wp:lineTo x="0" y="13947"/>
                <wp:lineTo x="0" y="14473"/>
                <wp:lineTo x="453" y="14736"/>
                <wp:lineTo x="0" y="14934"/>
                <wp:lineTo x="0" y="15526"/>
                <wp:lineTo x="453" y="15789"/>
                <wp:lineTo x="0" y="15986"/>
                <wp:lineTo x="0" y="19999"/>
                <wp:lineTo x="453" y="19999"/>
                <wp:lineTo x="0" y="20460"/>
                <wp:lineTo x="0" y="20986"/>
                <wp:lineTo x="378" y="21118"/>
                <wp:lineTo x="0" y="21512"/>
                <wp:lineTo x="21524" y="21512"/>
                <wp:lineTo x="21524" y="0"/>
                <wp:lineTo x="1964" y="0"/>
              </wp:wrapPolygon>
            </wp:wrapTight>
            <wp:docPr id="19953263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48300" cy="6254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12C04F" w14:textId="37FF43E7" w:rsidR="0031582D" w:rsidRDefault="0031582D" w:rsidP="00FE3963">
      <w:pPr>
        <w:pStyle w:val="Caption"/>
      </w:pPr>
    </w:p>
    <w:p w14:paraId="7FE3649F" w14:textId="2337FD90" w:rsidR="0031582D" w:rsidRDefault="0031582D" w:rsidP="00FE3963">
      <w:pPr>
        <w:pStyle w:val="Caption"/>
      </w:pPr>
    </w:p>
    <w:p w14:paraId="34F49A53" w14:textId="05AD452D" w:rsidR="008E2185" w:rsidRPr="00C32477" w:rsidRDefault="008E2185" w:rsidP="00FE3963">
      <w:pPr>
        <w:pStyle w:val="Caption"/>
        <w:rPr>
          <w:b/>
          <w:u w:val="single"/>
          <w:lang w:val="en-US"/>
        </w:rPr>
      </w:pPr>
    </w:p>
    <w:p w14:paraId="26D139BF" w14:textId="77777777" w:rsidR="008E2185" w:rsidRDefault="008E2185" w:rsidP="008E2185">
      <w:pPr>
        <w:rPr>
          <w:b/>
          <w:highlight w:val="cyan"/>
          <w:lang w:val="en-US"/>
        </w:rPr>
      </w:pPr>
    </w:p>
    <w:p w14:paraId="137A3B16" w14:textId="77777777" w:rsidR="00FE3963" w:rsidRDefault="00FE3963" w:rsidP="008E2185">
      <w:pPr>
        <w:pStyle w:val="Caption"/>
      </w:pPr>
    </w:p>
    <w:p w14:paraId="5E83556D" w14:textId="77777777" w:rsidR="00FE3963" w:rsidRDefault="00FE3963" w:rsidP="008E2185">
      <w:pPr>
        <w:pStyle w:val="Caption"/>
      </w:pPr>
    </w:p>
    <w:p w14:paraId="6267A9A3" w14:textId="77777777" w:rsidR="00FE3963" w:rsidRDefault="00FE3963" w:rsidP="008E2185">
      <w:pPr>
        <w:pStyle w:val="Caption"/>
      </w:pPr>
    </w:p>
    <w:p w14:paraId="66F830F5" w14:textId="77777777" w:rsidR="00FE3963" w:rsidRDefault="00FE3963" w:rsidP="008E2185">
      <w:pPr>
        <w:pStyle w:val="Caption"/>
      </w:pPr>
    </w:p>
    <w:p w14:paraId="3D96DC3A" w14:textId="77777777" w:rsidR="00FE3963" w:rsidRDefault="00FE3963" w:rsidP="008E2185">
      <w:pPr>
        <w:pStyle w:val="Caption"/>
      </w:pPr>
    </w:p>
    <w:p w14:paraId="6E2E9C90" w14:textId="77777777" w:rsidR="00FE3963" w:rsidRDefault="00FE3963" w:rsidP="008E2185">
      <w:pPr>
        <w:pStyle w:val="Caption"/>
      </w:pPr>
    </w:p>
    <w:p w14:paraId="1755B06F" w14:textId="77777777" w:rsidR="0031582D" w:rsidRDefault="0031582D" w:rsidP="008E2185">
      <w:pPr>
        <w:pStyle w:val="Caption"/>
      </w:pPr>
    </w:p>
    <w:p w14:paraId="353294F0" w14:textId="77777777" w:rsidR="0031582D" w:rsidRDefault="0031582D" w:rsidP="008E2185">
      <w:pPr>
        <w:pStyle w:val="Caption"/>
      </w:pPr>
    </w:p>
    <w:p w14:paraId="41D2CA56" w14:textId="77777777" w:rsidR="0031582D" w:rsidRDefault="0031582D" w:rsidP="008E2185">
      <w:pPr>
        <w:pStyle w:val="Caption"/>
      </w:pPr>
    </w:p>
    <w:p w14:paraId="4A67AB4C" w14:textId="77777777" w:rsidR="0031582D" w:rsidRDefault="0031582D" w:rsidP="008E2185">
      <w:pPr>
        <w:pStyle w:val="Caption"/>
      </w:pPr>
    </w:p>
    <w:p w14:paraId="18A69689" w14:textId="77777777" w:rsidR="0031582D" w:rsidRDefault="0031582D" w:rsidP="008E2185">
      <w:pPr>
        <w:pStyle w:val="Caption"/>
      </w:pPr>
    </w:p>
    <w:p w14:paraId="265D7898" w14:textId="77777777" w:rsidR="0031582D" w:rsidRDefault="0031582D" w:rsidP="0031582D"/>
    <w:p w14:paraId="69019035" w14:textId="77777777" w:rsidR="0031582D" w:rsidRDefault="0031582D" w:rsidP="0031582D"/>
    <w:p w14:paraId="1366A115" w14:textId="77777777" w:rsidR="0031582D" w:rsidRDefault="0031582D" w:rsidP="0031582D"/>
    <w:p w14:paraId="684F28EE" w14:textId="19075AD3" w:rsidR="00390D6E" w:rsidRDefault="00390D6E" w:rsidP="0031582D">
      <w:r>
        <w:br w:type="page"/>
      </w:r>
    </w:p>
    <w:p w14:paraId="3DC72FF6" w14:textId="6151F43B" w:rsidR="008E2185" w:rsidRDefault="008E2185" w:rsidP="008E2185">
      <w:pPr>
        <w:pStyle w:val="Caption"/>
        <w:rPr>
          <w:lang w:val="en-US"/>
        </w:rPr>
      </w:pPr>
      <w:r w:rsidRPr="00085CFA">
        <w:lastRenderedPageBreak/>
        <w:t xml:space="preserve">Table </w:t>
      </w:r>
      <w:r w:rsidRPr="00085CFA">
        <w:fldChar w:fldCharType="begin"/>
      </w:r>
      <w:r w:rsidRPr="00085CFA">
        <w:instrText xml:space="preserve"> SEQ Table \* ARABIC </w:instrText>
      </w:r>
      <w:r w:rsidRPr="00085CFA">
        <w:fldChar w:fldCharType="separate"/>
      </w:r>
      <w:r w:rsidR="00AB15B7">
        <w:rPr>
          <w:noProof/>
        </w:rPr>
        <w:t>5</w:t>
      </w:r>
      <w:r w:rsidRPr="00085CFA">
        <w:fldChar w:fldCharType="end"/>
      </w:r>
      <w:r w:rsidRPr="00085CFA">
        <w:t>:</w:t>
      </w:r>
      <w:r>
        <w:t xml:space="preserve"> </w:t>
      </w:r>
      <w:r w:rsidRPr="00A3443D">
        <w:t>Cumulative (2010-19) compared to annual SBPMF(AIMWTMF) effort levels within the allowable fishing area of the AIMWTMF</w:t>
      </w:r>
      <w:r w:rsidRPr="00F97EC3">
        <w:rPr>
          <w:lang w:val="en-US"/>
        </w:rPr>
        <w:t xml:space="preserve"> (km</w:t>
      </w:r>
      <w:r w:rsidRPr="00F97EC3">
        <w:rPr>
          <w:vertAlign w:val="superscript"/>
          <w:lang w:val="en-US"/>
        </w:rPr>
        <w:t>2</w:t>
      </w:r>
      <w:r w:rsidRPr="00F97EC3">
        <w:rPr>
          <w:lang w:val="en-US"/>
        </w:rPr>
        <w:t>).</w:t>
      </w:r>
    </w:p>
    <w:tbl>
      <w:tblPr>
        <w:tblpPr w:leftFromText="180" w:rightFromText="180" w:vertAnchor="text" w:tblpXSpec="center" w:tblpY="1"/>
        <w:tblOverlap w:val="never"/>
        <w:tblW w:w="4293" w:type="dxa"/>
        <w:tblBorders>
          <w:top w:val="single" w:sz="4" w:space="0" w:color="auto"/>
          <w:bottom w:val="single" w:sz="4" w:space="0" w:color="auto"/>
        </w:tblBorders>
        <w:tblLayout w:type="fixed"/>
        <w:tblLook w:val="04A0" w:firstRow="1" w:lastRow="0" w:firstColumn="1" w:lastColumn="0" w:noHBand="0" w:noVBand="1"/>
      </w:tblPr>
      <w:tblGrid>
        <w:gridCol w:w="1046"/>
        <w:gridCol w:w="1050"/>
        <w:gridCol w:w="1050"/>
        <w:gridCol w:w="1147"/>
      </w:tblGrid>
      <w:tr w:rsidR="00390D6E" w:rsidRPr="00F97EC3" w14:paraId="14559DA9" w14:textId="77777777" w:rsidTr="00DB0943">
        <w:trPr>
          <w:cantSplit/>
          <w:trHeight w:val="428"/>
          <w:tblHeader/>
        </w:trPr>
        <w:tc>
          <w:tcPr>
            <w:tcW w:w="1046" w:type="dxa"/>
            <w:tcBorders>
              <w:top w:val="single" w:sz="12" w:space="0" w:color="auto"/>
              <w:bottom w:val="single" w:sz="12" w:space="0" w:color="auto"/>
            </w:tcBorders>
            <w:shd w:val="clear" w:color="auto" w:fill="F2F2F2" w:themeFill="background1" w:themeFillShade="F2"/>
            <w:vAlign w:val="center"/>
          </w:tcPr>
          <w:p w14:paraId="426222E9" w14:textId="77777777" w:rsidR="00390D6E" w:rsidRPr="00F97EC3" w:rsidRDefault="00390D6E" w:rsidP="00DB0943">
            <w:pPr>
              <w:pBdr>
                <w:top w:val="nil"/>
                <w:left w:val="nil"/>
                <w:bottom w:val="nil"/>
                <w:right w:val="nil"/>
              </w:pBdr>
              <w:spacing w:after="40"/>
              <w:ind w:left="100" w:right="100"/>
              <w:jc w:val="center"/>
              <w:rPr>
                <w:rFonts w:ascii="Arial" w:eastAsia="Arial" w:hAnsi="Arial" w:cs="Arial"/>
                <w:color w:val="111111"/>
                <w:sz w:val="20"/>
                <w:szCs w:val="20"/>
                <w:lang w:val="en-US"/>
              </w:rPr>
            </w:pPr>
            <w:r w:rsidRPr="00F97EC3">
              <w:rPr>
                <w:rFonts w:ascii="Arial" w:eastAsia="Arial" w:hAnsi="Arial" w:cs="Arial"/>
                <w:color w:val="111111"/>
                <w:sz w:val="20"/>
                <w:szCs w:val="20"/>
                <w:lang w:val="en-US"/>
              </w:rPr>
              <w:t>Year</w:t>
            </w:r>
          </w:p>
        </w:tc>
        <w:tc>
          <w:tcPr>
            <w:tcW w:w="1050" w:type="dxa"/>
            <w:tcBorders>
              <w:top w:val="single" w:sz="12" w:space="0" w:color="auto"/>
              <w:bottom w:val="single" w:sz="12" w:space="0" w:color="auto"/>
            </w:tcBorders>
            <w:shd w:val="clear" w:color="auto" w:fill="F2F2F2" w:themeFill="background1" w:themeFillShade="F2"/>
            <w:tcMar>
              <w:top w:w="0" w:type="dxa"/>
              <w:left w:w="0" w:type="dxa"/>
              <w:bottom w:w="0" w:type="dxa"/>
              <w:right w:w="0" w:type="dxa"/>
            </w:tcMar>
            <w:vAlign w:val="center"/>
          </w:tcPr>
          <w:p w14:paraId="49E2229B" w14:textId="77777777" w:rsidR="00390D6E" w:rsidRPr="00F97EC3" w:rsidRDefault="00390D6E" w:rsidP="00DB0943">
            <w:pPr>
              <w:pBdr>
                <w:top w:val="nil"/>
                <w:left w:val="nil"/>
                <w:bottom w:val="nil"/>
                <w:right w:val="nil"/>
              </w:pBdr>
              <w:spacing w:after="40"/>
              <w:ind w:left="100" w:right="100"/>
              <w:jc w:val="center"/>
              <w:rPr>
                <w:rFonts w:ascii="Arial" w:hAnsi="Arial" w:cs="Arial"/>
                <w:sz w:val="20"/>
                <w:szCs w:val="20"/>
                <w:lang w:val="en-US"/>
              </w:rPr>
            </w:pPr>
            <w:r w:rsidRPr="00F97EC3">
              <w:rPr>
                <w:rFonts w:ascii="Arial" w:eastAsia="Arial" w:hAnsi="Arial" w:cs="Arial"/>
                <w:color w:val="111111"/>
                <w:sz w:val="20"/>
                <w:szCs w:val="20"/>
                <w:lang w:val="en-US"/>
              </w:rPr>
              <w:t>Total Spatial Effort of Fishery (km</w:t>
            </w:r>
            <w:r w:rsidRPr="00F97EC3">
              <w:rPr>
                <w:rFonts w:ascii="Arial" w:eastAsia="Arial" w:hAnsi="Arial" w:cs="Arial"/>
                <w:color w:val="111111"/>
                <w:sz w:val="20"/>
                <w:szCs w:val="20"/>
                <w:vertAlign w:val="superscript"/>
                <w:lang w:val="en-US"/>
              </w:rPr>
              <w:t>2</w:t>
            </w:r>
            <w:r w:rsidRPr="00F97EC3">
              <w:rPr>
                <w:rFonts w:ascii="Arial" w:eastAsia="Arial" w:hAnsi="Arial" w:cs="Arial"/>
                <w:color w:val="111111"/>
                <w:sz w:val="20"/>
                <w:szCs w:val="20"/>
                <w:lang w:val="en-US"/>
              </w:rPr>
              <w:t>)</w:t>
            </w:r>
          </w:p>
        </w:tc>
        <w:tc>
          <w:tcPr>
            <w:tcW w:w="1050" w:type="dxa"/>
            <w:tcBorders>
              <w:top w:val="single" w:sz="12" w:space="0" w:color="auto"/>
              <w:bottom w:val="single" w:sz="12" w:space="0" w:color="auto"/>
            </w:tcBorders>
            <w:shd w:val="clear" w:color="auto" w:fill="F2F2F2" w:themeFill="background1" w:themeFillShade="F2"/>
            <w:vAlign w:val="center"/>
          </w:tcPr>
          <w:p w14:paraId="0356659C" w14:textId="77777777" w:rsidR="00390D6E" w:rsidRPr="00F97EC3" w:rsidRDefault="00390D6E" w:rsidP="00DB0943">
            <w:pPr>
              <w:pBdr>
                <w:top w:val="nil"/>
                <w:left w:val="nil"/>
                <w:bottom w:val="nil"/>
                <w:right w:val="nil"/>
              </w:pBdr>
              <w:spacing w:after="40"/>
              <w:ind w:left="100" w:right="100"/>
              <w:jc w:val="center"/>
              <w:rPr>
                <w:rFonts w:ascii="Arial" w:eastAsia="Arial" w:hAnsi="Arial" w:cs="Arial"/>
                <w:color w:val="111111"/>
                <w:sz w:val="20"/>
                <w:szCs w:val="20"/>
                <w:lang w:val="en-US"/>
              </w:rPr>
            </w:pPr>
            <w:r w:rsidRPr="00F97EC3">
              <w:rPr>
                <w:rFonts w:ascii="Arial" w:eastAsia="Arial" w:hAnsi="Arial" w:cs="Arial"/>
                <w:color w:val="111111"/>
                <w:sz w:val="20"/>
                <w:szCs w:val="20"/>
                <w:lang w:val="en-US"/>
              </w:rPr>
              <w:t>Spatial Effort within FHPA</w:t>
            </w:r>
          </w:p>
          <w:p w14:paraId="2484C839" w14:textId="77777777" w:rsidR="00390D6E" w:rsidRPr="00F97EC3" w:rsidRDefault="00390D6E" w:rsidP="00DB0943">
            <w:pPr>
              <w:pBdr>
                <w:top w:val="nil"/>
                <w:left w:val="nil"/>
                <w:bottom w:val="nil"/>
                <w:right w:val="nil"/>
              </w:pBdr>
              <w:spacing w:after="40"/>
              <w:ind w:left="100" w:right="100"/>
              <w:jc w:val="center"/>
              <w:rPr>
                <w:rFonts w:ascii="Arial" w:eastAsia="Arial" w:hAnsi="Arial" w:cs="Arial"/>
                <w:color w:val="111111"/>
                <w:sz w:val="20"/>
                <w:szCs w:val="20"/>
                <w:lang w:val="en-US"/>
              </w:rPr>
            </w:pPr>
            <w:r w:rsidRPr="00F97EC3">
              <w:rPr>
                <w:rFonts w:ascii="Arial" w:eastAsia="Arial" w:hAnsi="Arial" w:cs="Arial"/>
                <w:color w:val="111111"/>
                <w:sz w:val="20"/>
                <w:szCs w:val="20"/>
                <w:lang w:val="en-US"/>
              </w:rPr>
              <w:t>(km</w:t>
            </w:r>
            <w:r w:rsidRPr="00F97EC3">
              <w:rPr>
                <w:rFonts w:ascii="Arial" w:eastAsia="Arial" w:hAnsi="Arial" w:cs="Arial"/>
                <w:color w:val="111111"/>
                <w:sz w:val="20"/>
                <w:szCs w:val="20"/>
                <w:vertAlign w:val="superscript"/>
                <w:lang w:val="en-US"/>
              </w:rPr>
              <w:t>2</w:t>
            </w:r>
            <w:r w:rsidRPr="00F97EC3">
              <w:rPr>
                <w:rFonts w:ascii="Arial" w:eastAsia="Arial" w:hAnsi="Arial" w:cs="Arial"/>
                <w:color w:val="111111"/>
                <w:sz w:val="20"/>
                <w:szCs w:val="20"/>
                <w:lang w:val="en-US"/>
              </w:rPr>
              <w:t>)</w:t>
            </w:r>
          </w:p>
        </w:tc>
        <w:tc>
          <w:tcPr>
            <w:tcW w:w="1147" w:type="dxa"/>
            <w:tcBorders>
              <w:top w:val="single" w:sz="12" w:space="0" w:color="auto"/>
              <w:bottom w:val="single" w:sz="12" w:space="0" w:color="auto"/>
            </w:tcBorders>
            <w:shd w:val="clear" w:color="auto" w:fill="F2F2F2" w:themeFill="background1" w:themeFillShade="F2"/>
            <w:tcMar>
              <w:top w:w="0" w:type="dxa"/>
              <w:left w:w="0" w:type="dxa"/>
              <w:bottom w:w="0" w:type="dxa"/>
              <w:right w:w="0" w:type="dxa"/>
            </w:tcMar>
            <w:vAlign w:val="center"/>
          </w:tcPr>
          <w:p w14:paraId="1501EF2D" w14:textId="77777777" w:rsidR="00390D6E" w:rsidRPr="00F97EC3" w:rsidRDefault="00390D6E" w:rsidP="00DB0943">
            <w:pPr>
              <w:pBdr>
                <w:top w:val="nil"/>
                <w:left w:val="nil"/>
                <w:bottom w:val="nil"/>
                <w:right w:val="nil"/>
              </w:pBdr>
              <w:spacing w:after="40"/>
              <w:ind w:left="100" w:right="100"/>
              <w:jc w:val="center"/>
              <w:rPr>
                <w:rFonts w:ascii="Arial" w:eastAsia="Arial" w:hAnsi="Arial" w:cs="Arial"/>
                <w:color w:val="111111"/>
                <w:sz w:val="20"/>
                <w:szCs w:val="20"/>
                <w:lang w:val="en-US"/>
              </w:rPr>
            </w:pPr>
          </w:p>
          <w:p w14:paraId="06415B3B" w14:textId="77777777" w:rsidR="00390D6E" w:rsidRPr="00F97EC3" w:rsidRDefault="00390D6E" w:rsidP="00DB0943">
            <w:pPr>
              <w:pBdr>
                <w:top w:val="nil"/>
                <w:left w:val="nil"/>
                <w:bottom w:val="nil"/>
                <w:right w:val="nil"/>
              </w:pBdr>
              <w:spacing w:after="40"/>
              <w:ind w:left="100" w:right="100"/>
              <w:jc w:val="center"/>
              <w:rPr>
                <w:rFonts w:ascii="Arial" w:hAnsi="Arial" w:cs="Arial"/>
                <w:sz w:val="20"/>
                <w:szCs w:val="20"/>
                <w:lang w:val="en-US"/>
              </w:rPr>
            </w:pPr>
            <w:r w:rsidRPr="00F97EC3">
              <w:rPr>
                <w:rFonts w:ascii="Arial" w:eastAsia="Arial" w:hAnsi="Arial" w:cs="Arial"/>
                <w:color w:val="111111"/>
                <w:sz w:val="20"/>
                <w:szCs w:val="20"/>
                <w:lang w:val="en-US"/>
              </w:rPr>
              <w:t>Vessels Operating</w:t>
            </w:r>
          </w:p>
        </w:tc>
      </w:tr>
      <w:tr w:rsidR="00390D6E" w:rsidRPr="00F97EC3" w14:paraId="10E01DEE" w14:textId="77777777" w:rsidTr="00DB0943">
        <w:trPr>
          <w:cantSplit/>
          <w:trHeight w:val="117"/>
        </w:trPr>
        <w:tc>
          <w:tcPr>
            <w:tcW w:w="1046" w:type="dxa"/>
            <w:tcBorders>
              <w:top w:val="single" w:sz="4" w:space="0" w:color="auto"/>
              <w:bottom w:val="nil"/>
            </w:tcBorders>
            <w:shd w:val="clear" w:color="auto" w:fill="FFFFFF"/>
            <w:vAlign w:val="center"/>
          </w:tcPr>
          <w:p w14:paraId="338E0ADA" w14:textId="77777777" w:rsidR="00390D6E" w:rsidRPr="00F97EC3" w:rsidRDefault="00390D6E" w:rsidP="00DB0943">
            <w:pPr>
              <w:pBdr>
                <w:top w:val="nil"/>
                <w:left w:val="nil"/>
                <w:bottom w:val="nil"/>
                <w:right w:val="nil"/>
              </w:pBdr>
              <w:spacing w:after="0"/>
              <w:jc w:val="center"/>
              <w:rPr>
                <w:rFonts w:ascii="Arial" w:hAnsi="Arial" w:cs="Arial"/>
                <w:color w:val="000000"/>
                <w:sz w:val="20"/>
                <w:szCs w:val="20"/>
                <w:lang w:val="en-US"/>
              </w:rPr>
            </w:pPr>
            <w:r w:rsidRPr="00F97EC3">
              <w:rPr>
                <w:rFonts w:ascii="Arial" w:hAnsi="Arial" w:cs="Arial"/>
                <w:color w:val="000000"/>
                <w:sz w:val="20"/>
                <w:szCs w:val="20"/>
                <w:lang w:val="en-US"/>
              </w:rPr>
              <w:t>2010-19</w:t>
            </w:r>
          </w:p>
          <w:p w14:paraId="6B431859" w14:textId="77777777" w:rsidR="00390D6E" w:rsidRPr="00F97EC3" w:rsidRDefault="00390D6E" w:rsidP="00DB0943">
            <w:pPr>
              <w:pBdr>
                <w:top w:val="nil"/>
                <w:left w:val="nil"/>
                <w:bottom w:val="nil"/>
                <w:right w:val="nil"/>
              </w:pBdr>
              <w:spacing w:after="0"/>
              <w:jc w:val="center"/>
              <w:rPr>
                <w:rFonts w:ascii="Arial" w:eastAsia="Arial" w:hAnsi="Arial" w:cs="Arial"/>
                <w:sz w:val="20"/>
                <w:szCs w:val="20"/>
                <w:lang w:val="en-US"/>
              </w:rPr>
            </w:pPr>
            <w:r w:rsidRPr="00F97EC3">
              <w:rPr>
                <w:rFonts w:ascii="Arial" w:hAnsi="Arial" w:cs="Arial"/>
                <w:color w:val="000000"/>
                <w:sz w:val="20"/>
                <w:szCs w:val="20"/>
                <w:lang w:val="en-US"/>
              </w:rPr>
              <w:t>2001</w:t>
            </w:r>
          </w:p>
        </w:tc>
        <w:tc>
          <w:tcPr>
            <w:tcW w:w="1050" w:type="dxa"/>
            <w:tcBorders>
              <w:top w:val="single" w:sz="4" w:space="0" w:color="auto"/>
              <w:bottom w:val="nil"/>
            </w:tcBorders>
            <w:shd w:val="clear" w:color="auto" w:fill="FFFFFF"/>
            <w:tcMar>
              <w:top w:w="0" w:type="dxa"/>
              <w:left w:w="0" w:type="dxa"/>
              <w:bottom w:w="0" w:type="dxa"/>
              <w:right w:w="0" w:type="dxa"/>
            </w:tcMar>
            <w:vAlign w:val="center"/>
          </w:tcPr>
          <w:p w14:paraId="0809EF4B" w14:textId="77777777" w:rsidR="00390D6E" w:rsidRPr="00F97EC3" w:rsidRDefault="00390D6E" w:rsidP="00DB0943">
            <w:pPr>
              <w:pBdr>
                <w:top w:val="nil"/>
                <w:left w:val="nil"/>
                <w:bottom w:val="nil"/>
                <w:right w:val="nil"/>
              </w:pBdr>
              <w:spacing w:after="0"/>
              <w:jc w:val="center"/>
              <w:rPr>
                <w:rFonts w:ascii="Arial" w:hAnsi="Arial" w:cs="Arial"/>
                <w:sz w:val="20"/>
                <w:szCs w:val="20"/>
                <w:lang w:val="en-US"/>
              </w:rPr>
            </w:pPr>
            <w:r w:rsidRPr="00F97EC3">
              <w:rPr>
                <w:rFonts w:ascii="Arial" w:hAnsi="Arial" w:cs="Arial"/>
                <w:sz w:val="20"/>
                <w:szCs w:val="20"/>
                <w:lang w:val="en-US"/>
              </w:rPr>
              <w:t>573</w:t>
            </w:r>
          </w:p>
          <w:p w14:paraId="002DC586" w14:textId="77777777" w:rsidR="00390D6E" w:rsidRPr="00F97EC3" w:rsidRDefault="00390D6E" w:rsidP="00DB0943">
            <w:pPr>
              <w:pBdr>
                <w:top w:val="nil"/>
                <w:left w:val="nil"/>
                <w:bottom w:val="nil"/>
                <w:right w:val="nil"/>
              </w:pBdr>
              <w:spacing w:after="0"/>
              <w:jc w:val="center"/>
              <w:rPr>
                <w:rFonts w:ascii="Arial" w:hAnsi="Arial" w:cs="Arial"/>
                <w:sz w:val="20"/>
                <w:szCs w:val="20"/>
                <w:lang w:val="en-US"/>
              </w:rPr>
            </w:pPr>
            <w:r w:rsidRPr="00F97EC3">
              <w:rPr>
                <w:rFonts w:ascii="Arial" w:hAnsi="Arial" w:cs="Arial"/>
                <w:sz w:val="20"/>
                <w:szCs w:val="20"/>
                <w:lang w:val="en-US"/>
              </w:rPr>
              <w:t>189</w:t>
            </w:r>
          </w:p>
        </w:tc>
        <w:tc>
          <w:tcPr>
            <w:tcW w:w="1050" w:type="dxa"/>
            <w:tcBorders>
              <w:top w:val="single" w:sz="4" w:space="0" w:color="auto"/>
              <w:bottom w:val="nil"/>
            </w:tcBorders>
            <w:shd w:val="clear" w:color="auto" w:fill="FFFFFF"/>
            <w:vAlign w:val="bottom"/>
          </w:tcPr>
          <w:p w14:paraId="76FF5EC6" w14:textId="77777777" w:rsidR="00390D6E" w:rsidRPr="00F97EC3" w:rsidRDefault="00390D6E" w:rsidP="00DB0943">
            <w:pPr>
              <w:pBdr>
                <w:top w:val="nil"/>
                <w:left w:val="nil"/>
                <w:bottom w:val="nil"/>
                <w:right w:val="nil"/>
              </w:pBdr>
              <w:spacing w:after="0"/>
              <w:jc w:val="center"/>
              <w:rPr>
                <w:rFonts w:ascii="Arial" w:hAnsi="Arial" w:cs="Arial"/>
                <w:color w:val="000000"/>
                <w:sz w:val="20"/>
                <w:szCs w:val="20"/>
                <w:lang w:val="en-US"/>
              </w:rPr>
            </w:pPr>
            <w:r w:rsidRPr="00F97EC3">
              <w:rPr>
                <w:rFonts w:ascii="Arial" w:hAnsi="Arial" w:cs="Arial"/>
                <w:color w:val="000000"/>
                <w:sz w:val="20"/>
                <w:szCs w:val="20"/>
                <w:lang w:val="en-US"/>
              </w:rPr>
              <w:t>380</w:t>
            </w:r>
          </w:p>
          <w:p w14:paraId="3DE3BB81" w14:textId="77777777" w:rsidR="00390D6E" w:rsidRPr="00F97EC3" w:rsidRDefault="00390D6E" w:rsidP="00DB0943">
            <w:pPr>
              <w:pBdr>
                <w:top w:val="nil"/>
                <w:left w:val="nil"/>
                <w:bottom w:val="nil"/>
                <w:right w:val="nil"/>
              </w:pBdr>
              <w:spacing w:after="0"/>
              <w:jc w:val="center"/>
              <w:rPr>
                <w:rFonts w:ascii="Arial" w:eastAsia="Arial" w:hAnsi="Arial" w:cs="Arial"/>
                <w:sz w:val="20"/>
                <w:szCs w:val="20"/>
                <w:lang w:val="en-US"/>
              </w:rPr>
            </w:pPr>
            <w:r w:rsidRPr="00F97EC3">
              <w:rPr>
                <w:rFonts w:ascii="Arial" w:hAnsi="Arial" w:cs="Arial"/>
                <w:color w:val="000000"/>
                <w:sz w:val="20"/>
                <w:szCs w:val="20"/>
                <w:lang w:val="en-US"/>
              </w:rPr>
              <w:t>96</w:t>
            </w:r>
          </w:p>
        </w:tc>
        <w:tc>
          <w:tcPr>
            <w:tcW w:w="1147" w:type="dxa"/>
            <w:tcBorders>
              <w:top w:val="single" w:sz="4" w:space="0" w:color="auto"/>
              <w:bottom w:val="nil"/>
            </w:tcBorders>
            <w:shd w:val="clear" w:color="auto" w:fill="FFFFFF"/>
            <w:tcMar>
              <w:top w:w="0" w:type="dxa"/>
              <w:left w:w="0" w:type="dxa"/>
              <w:bottom w:w="0" w:type="dxa"/>
              <w:right w:w="0" w:type="dxa"/>
            </w:tcMar>
            <w:vAlign w:val="center"/>
          </w:tcPr>
          <w:p w14:paraId="649D298A" w14:textId="77777777" w:rsidR="00390D6E" w:rsidRPr="00F97EC3" w:rsidRDefault="00390D6E" w:rsidP="00DB0943">
            <w:pPr>
              <w:pBdr>
                <w:top w:val="nil"/>
                <w:left w:val="nil"/>
                <w:bottom w:val="nil"/>
                <w:right w:val="nil"/>
              </w:pBdr>
              <w:spacing w:after="0"/>
              <w:jc w:val="center"/>
              <w:rPr>
                <w:rFonts w:ascii="Arial" w:hAnsi="Arial" w:cs="Arial"/>
                <w:color w:val="000000"/>
                <w:sz w:val="20"/>
                <w:szCs w:val="20"/>
                <w:lang w:val="en-US"/>
              </w:rPr>
            </w:pPr>
            <w:r w:rsidRPr="00F97EC3">
              <w:rPr>
                <w:rFonts w:ascii="Arial" w:hAnsi="Arial" w:cs="Arial"/>
                <w:color w:val="000000"/>
                <w:sz w:val="20"/>
                <w:szCs w:val="20"/>
                <w:lang w:val="en-US"/>
              </w:rPr>
              <w:t>Various</w:t>
            </w:r>
          </w:p>
          <w:p w14:paraId="7C4F7FA0" w14:textId="77777777" w:rsidR="00390D6E" w:rsidRPr="00F97EC3" w:rsidRDefault="00390D6E" w:rsidP="00DB0943">
            <w:pPr>
              <w:pBdr>
                <w:top w:val="nil"/>
                <w:left w:val="nil"/>
                <w:bottom w:val="nil"/>
                <w:right w:val="nil"/>
              </w:pBdr>
              <w:spacing w:after="0"/>
              <w:jc w:val="center"/>
              <w:rPr>
                <w:rFonts w:ascii="Arial" w:hAnsi="Arial" w:cs="Arial"/>
                <w:sz w:val="20"/>
                <w:szCs w:val="20"/>
                <w:lang w:val="en-US"/>
              </w:rPr>
            </w:pPr>
            <w:r w:rsidRPr="00F97EC3">
              <w:rPr>
                <w:rFonts w:ascii="Arial" w:hAnsi="Arial" w:cs="Arial"/>
                <w:color w:val="000000"/>
                <w:sz w:val="20"/>
                <w:szCs w:val="20"/>
                <w:lang w:val="en-US"/>
              </w:rPr>
              <w:t>16</w:t>
            </w:r>
          </w:p>
        </w:tc>
      </w:tr>
      <w:tr w:rsidR="00390D6E" w:rsidRPr="00F97EC3" w14:paraId="2104DF93" w14:textId="77777777" w:rsidTr="00DB0943">
        <w:trPr>
          <w:cantSplit/>
          <w:trHeight w:val="74"/>
        </w:trPr>
        <w:tc>
          <w:tcPr>
            <w:tcW w:w="1046" w:type="dxa"/>
            <w:tcBorders>
              <w:top w:val="nil"/>
            </w:tcBorders>
            <w:shd w:val="clear" w:color="auto" w:fill="FFFFFF"/>
            <w:vAlign w:val="center"/>
          </w:tcPr>
          <w:p w14:paraId="00E8F03B" w14:textId="77777777" w:rsidR="00390D6E" w:rsidRPr="00F97EC3" w:rsidRDefault="00390D6E" w:rsidP="00DB0943">
            <w:pPr>
              <w:pBdr>
                <w:top w:val="nil"/>
                <w:left w:val="nil"/>
                <w:bottom w:val="nil"/>
                <w:right w:val="nil"/>
              </w:pBdr>
              <w:spacing w:after="0"/>
              <w:jc w:val="center"/>
              <w:rPr>
                <w:rFonts w:ascii="Arial" w:eastAsia="Arial" w:hAnsi="Arial" w:cs="Arial"/>
                <w:sz w:val="20"/>
                <w:szCs w:val="20"/>
                <w:lang w:val="en-US"/>
              </w:rPr>
            </w:pPr>
            <w:r w:rsidRPr="00F97EC3">
              <w:rPr>
                <w:rFonts w:ascii="Arial" w:hAnsi="Arial" w:cs="Arial"/>
                <w:color w:val="000000"/>
                <w:sz w:val="20"/>
                <w:szCs w:val="20"/>
                <w:lang w:val="en-US"/>
              </w:rPr>
              <w:t>2004</w:t>
            </w:r>
          </w:p>
        </w:tc>
        <w:tc>
          <w:tcPr>
            <w:tcW w:w="1050" w:type="dxa"/>
            <w:tcBorders>
              <w:top w:val="nil"/>
            </w:tcBorders>
            <w:shd w:val="clear" w:color="auto" w:fill="FFFFFF"/>
            <w:tcMar>
              <w:top w:w="0" w:type="dxa"/>
              <w:left w:w="0" w:type="dxa"/>
              <w:bottom w:w="0" w:type="dxa"/>
              <w:right w:w="0" w:type="dxa"/>
            </w:tcMar>
            <w:vAlign w:val="center"/>
          </w:tcPr>
          <w:p w14:paraId="0354C6D4" w14:textId="77777777" w:rsidR="00390D6E" w:rsidRPr="00F97EC3" w:rsidRDefault="00390D6E" w:rsidP="00DB0943">
            <w:pPr>
              <w:pBdr>
                <w:top w:val="nil"/>
                <w:left w:val="nil"/>
                <w:bottom w:val="nil"/>
                <w:right w:val="nil"/>
              </w:pBdr>
              <w:spacing w:after="0"/>
              <w:jc w:val="center"/>
              <w:rPr>
                <w:rFonts w:ascii="Arial" w:eastAsia="Arial" w:hAnsi="Arial" w:cs="Arial"/>
                <w:sz w:val="20"/>
                <w:szCs w:val="20"/>
                <w:lang w:val="en-US"/>
              </w:rPr>
            </w:pPr>
            <w:r w:rsidRPr="00F97EC3">
              <w:rPr>
                <w:rFonts w:ascii="Arial" w:hAnsi="Arial" w:cs="Arial"/>
                <w:sz w:val="20"/>
                <w:szCs w:val="20"/>
                <w:lang w:val="en-US"/>
              </w:rPr>
              <w:t>93</w:t>
            </w:r>
          </w:p>
        </w:tc>
        <w:tc>
          <w:tcPr>
            <w:tcW w:w="1050" w:type="dxa"/>
            <w:tcBorders>
              <w:top w:val="nil"/>
            </w:tcBorders>
            <w:shd w:val="clear" w:color="auto" w:fill="FFFFFF"/>
            <w:vAlign w:val="bottom"/>
          </w:tcPr>
          <w:p w14:paraId="665C59C1" w14:textId="77777777" w:rsidR="00390D6E" w:rsidRPr="00F97EC3" w:rsidRDefault="00390D6E" w:rsidP="00DB0943">
            <w:pPr>
              <w:pBdr>
                <w:top w:val="nil"/>
                <w:left w:val="nil"/>
                <w:bottom w:val="nil"/>
                <w:right w:val="nil"/>
              </w:pBdr>
              <w:spacing w:after="0"/>
              <w:jc w:val="center"/>
              <w:rPr>
                <w:rFonts w:ascii="Arial" w:eastAsia="Arial" w:hAnsi="Arial" w:cs="Arial"/>
                <w:sz w:val="20"/>
                <w:szCs w:val="20"/>
                <w:lang w:val="en-US"/>
              </w:rPr>
            </w:pPr>
            <w:r w:rsidRPr="00F97EC3">
              <w:rPr>
                <w:rFonts w:ascii="Arial" w:hAnsi="Arial" w:cs="Arial"/>
                <w:color w:val="000000"/>
                <w:sz w:val="20"/>
                <w:szCs w:val="20"/>
                <w:lang w:val="en-US"/>
              </w:rPr>
              <w:t>66</w:t>
            </w:r>
          </w:p>
        </w:tc>
        <w:tc>
          <w:tcPr>
            <w:tcW w:w="1147" w:type="dxa"/>
            <w:tcBorders>
              <w:top w:val="nil"/>
            </w:tcBorders>
            <w:shd w:val="clear" w:color="auto" w:fill="FFFFFF"/>
            <w:tcMar>
              <w:top w:w="0" w:type="dxa"/>
              <w:left w:w="0" w:type="dxa"/>
              <w:bottom w:w="0" w:type="dxa"/>
              <w:right w:w="0" w:type="dxa"/>
            </w:tcMar>
            <w:vAlign w:val="center"/>
          </w:tcPr>
          <w:p w14:paraId="7FEC22ED" w14:textId="77777777" w:rsidR="00390D6E" w:rsidRPr="00F97EC3" w:rsidRDefault="00390D6E" w:rsidP="00DB0943">
            <w:pPr>
              <w:pBdr>
                <w:top w:val="nil"/>
                <w:left w:val="nil"/>
                <w:bottom w:val="nil"/>
                <w:right w:val="nil"/>
              </w:pBdr>
              <w:spacing w:after="0"/>
              <w:jc w:val="center"/>
              <w:rPr>
                <w:rFonts w:ascii="Arial" w:eastAsia="Arial" w:hAnsi="Arial" w:cs="Arial"/>
                <w:color w:val="111111"/>
                <w:sz w:val="20"/>
                <w:szCs w:val="20"/>
                <w:lang w:val="en-US"/>
              </w:rPr>
            </w:pPr>
            <w:r w:rsidRPr="00F97EC3">
              <w:rPr>
                <w:rFonts w:ascii="Arial" w:hAnsi="Arial" w:cs="Arial"/>
                <w:color w:val="000000"/>
                <w:sz w:val="20"/>
                <w:szCs w:val="20"/>
                <w:lang w:val="en-US"/>
              </w:rPr>
              <w:t>16</w:t>
            </w:r>
          </w:p>
        </w:tc>
      </w:tr>
      <w:tr w:rsidR="00390D6E" w:rsidRPr="00F97EC3" w14:paraId="763EBFB2" w14:textId="77777777" w:rsidTr="00DB0943">
        <w:trPr>
          <w:cantSplit/>
          <w:trHeight w:val="103"/>
        </w:trPr>
        <w:tc>
          <w:tcPr>
            <w:tcW w:w="1046" w:type="dxa"/>
            <w:tcBorders>
              <w:top w:val="nil"/>
            </w:tcBorders>
            <w:shd w:val="clear" w:color="auto" w:fill="FFFFFF"/>
            <w:vAlign w:val="center"/>
          </w:tcPr>
          <w:p w14:paraId="5301DF72"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2005</w:t>
            </w:r>
          </w:p>
        </w:tc>
        <w:tc>
          <w:tcPr>
            <w:tcW w:w="1050" w:type="dxa"/>
            <w:tcBorders>
              <w:top w:val="nil"/>
            </w:tcBorders>
            <w:shd w:val="clear" w:color="auto" w:fill="FFFFFF"/>
            <w:tcMar>
              <w:top w:w="0" w:type="dxa"/>
              <w:left w:w="0" w:type="dxa"/>
              <w:bottom w:w="0" w:type="dxa"/>
              <w:right w:w="0" w:type="dxa"/>
            </w:tcMar>
            <w:vAlign w:val="center"/>
          </w:tcPr>
          <w:p w14:paraId="09E5F87A" w14:textId="77777777" w:rsidR="00390D6E" w:rsidRPr="00F97EC3" w:rsidRDefault="00390D6E" w:rsidP="00DB0943">
            <w:pPr>
              <w:spacing w:after="0"/>
              <w:jc w:val="center"/>
              <w:rPr>
                <w:rFonts w:ascii="Arial" w:hAnsi="Arial" w:cs="Arial"/>
                <w:sz w:val="20"/>
                <w:szCs w:val="20"/>
                <w:lang w:val="en-US"/>
              </w:rPr>
            </w:pPr>
            <w:r w:rsidRPr="00F97EC3">
              <w:rPr>
                <w:rFonts w:ascii="Arial" w:hAnsi="Arial" w:cs="Arial"/>
                <w:sz w:val="20"/>
                <w:szCs w:val="20"/>
                <w:lang w:val="en-US"/>
              </w:rPr>
              <w:t>416</w:t>
            </w:r>
          </w:p>
        </w:tc>
        <w:tc>
          <w:tcPr>
            <w:tcW w:w="1050" w:type="dxa"/>
            <w:tcBorders>
              <w:top w:val="nil"/>
            </w:tcBorders>
            <w:shd w:val="clear" w:color="auto" w:fill="FFFFFF"/>
            <w:vAlign w:val="bottom"/>
          </w:tcPr>
          <w:p w14:paraId="567A0E8D"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291</w:t>
            </w:r>
          </w:p>
        </w:tc>
        <w:tc>
          <w:tcPr>
            <w:tcW w:w="1147" w:type="dxa"/>
            <w:tcBorders>
              <w:top w:val="nil"/>
            </w:tcBorders>
            <w:shd w:val="clear" w:color="auto" w:fill="FFFFFF"/>
            <w:tcMar>
              <w:top w:w="0" w:type="dxa"/>
              <w:left w:w="0" w:type="dxa"/>
              <w:bottom w:w="0" w:type="dxa"/>
              <w:right w:w="0" w:type="dxa"/>
            </w:tcMar>
            <w:vAlign w:val="center"/>
          </w:tcPr>
          <w:p w14:paraId="238D13D6"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17</w:t>
            </w:r>
          </w:p>
        </w:tc>
      </w:tr>
      <w:tr w:rsidR="00390D6E" w:rsidRPr="00F97EC3" w14:paraId="305F18EE" w14:textId="77777777" w:rsidTr="00DB0943">
        <w:trPr>
          <w:cantSplit/>
          <w:trHeight w:val="39"/>
        </w:trPr>
        <w:tc>
          <w:tcPr>
            <w:tcW w:w="1046" w:type="dxa"/>
            <w:tcBorders>
              <w:top w:val="nil"/>
            </w:tcBorders>
            <w:shd w:val="clear" w:color="auto" w:fill="FFFFFF"/>
            <w:vAlign w:val="center"/>
          </w:tcPr>
          <w:p w14:paraId="604D1064"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2006</w:t>
            </w:r>
          </w:p>
        </w:tc>
        <w:tc>
          <w:tcPr>
            <w:tcW w:w="1050" w:type="dxa"/>
            <w:tcBorders>
              <w:top w:val="nil"/>
            </w:tcBorders>
            <w:shd w:val="clear" w:color="auto" w:fill="FFFFFF"/>
            <w:tcMar>
              <w:top w:w="0" w:type="dxa"/>
              <w:left w:w="0" w:type="dxa"/>
              <w:bottom w:w="0" w:type="dxa"/>
              <w:right w:w="0" w:type="dxa"/>
            </w:tcMar>
            <w:vAlign w:val="center"/>
          </w:tcPr>
          <w:p w14:paraId="077AA892" w14:textId="77777777" w:rsidR="00390D6E" w:rsidRPr="00F97EC3" w:rsidRDefault="00390D6E" w:rsidP="00DB0943">
            <w:pPr>
              <w:spacing w:after="0"/>
              <w:jc w:val="center"/>
              <w:rPr>
                <w:rFonts w:ascii="Arial" w:hAnsi="Arial" w:cs="Arial"/>
                <w:sz w:val="20"/>
                <w:szCs w:val="20"/>
                <w:lang w:val="en-US"/>
              </w:rPr>
            </w:pPr>
            <w:r w:rsidRPr="00F97EC3">
              <w:rPr>
                <w:rFonts w:ascii="Arial" w:hAnsi="Arial" w:cs="Arial"/>
                <w:sz w:val="20"/>
                <w:szCs w:val="20"/>
                <w:lang w:val="en-US"/>
              </w:rPr>
              <w:t>79</w:t>
            </w:r>
          </w:p>
        </w:tc>
        <w:tc>
          <w:tcPr>
            <w:tcW w:w="1050" w:type="dxa"/>
            <w:tcBorders>
              <w:top w:val="nil"/>
            </w:tcBorders>
            <w:shd w:val="clear" w:color="auto" w:fill="FFFFFF"/>
            <w:vAlign w:val="bottom"/>
          </w:tcPr>
          <w:p w14:paraId="07A18D29"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71</w:t>
            </w:r>
          </w:p>
        </w:tc>
        <w:tc>
          <w:tcPr>
            <w:tcW w:w="1147" w:type="dxa"/>
            <w:tcBorders>
              <w:top w:val="nil"/>
            </w:tcBorders>
            <w:shd w:val="clear" w:color="auto" w:fill="FFFFFF"/>
            <w:tcMar>
              <w:top w:w="0" w:type="dxa"/>
              <w:left w:w="0" w:type="dxa"/>
              <w:bottom w:w="0" w:type="dxa"/>
              <w:right w:w="0" w:type="dxa"/>
            </w:tcMar>
            <w:vAlign w:val="center"/>
          </w:tcPr>
          <w:p w14:paraId="5BB10023"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14</w:t>
            </w:r>
          </w:p>
        </w:tc>
      </w:tr>
      <w:tr w:rsidR="00390D6E" w:rsidRPr="00F97EC3" w14:paraId="23F14700" w14:textId="77777777" w:rsidTr="00DB0943">
        <w:trPr>
          <w:cantSplit/>
          <w:trHeight w:val="39"/>
        </w:trPr>
        <w:tc>
          <w:tcPr>
            <w:tcW w:w="1046" w:type="dxa"/>
            <w:tcBorders>
              <w:top w:val="nil"/>
            </w:tcBorders>
            <w:shd w:val="clear" w:color="auto" w:fill="FFFFFF"/>
            <w:vAlign w:val="center"/>
          </w:tcPr>
          <w:p w14:paraId="4B4C309C"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2007</w:t>
            </w:r>
          </w:p>
        </w:tc>
        <w:tc>
          <w:tcPr>
            <w:tcW w:w="1050" w:type="dxa"/>
            <w:tcBorders>
              <w:top w:val="nil"/>
            </w:tcBorders>
            <w:shd w:val="clear" w:color="auto" w:fill="FFFFFF"/>
            <w:tcMar>
              <w:top w:w="0" w:type="dxa"/>
              <w:left w:w="0" w:type="dxa"/>
              <w:bottom w:w="0" w:type="dxa"/>
              <w:right w:w="0" w:type="dxa"/>
            </w:tcMar>
            <w:vAlign w:val="center"/>
          </w:tcPr>
          <w:p w14:paraId="44F1BBD2" w14:textId="77777777" w:rsidR="00390D6E" w:rsidRPr="00F97EC3" w:rsidRDefault="00390D6E" w:rsidP="00DB0943">
            <w:pPr>
              <w:spacing w:after="0"/>
              <w:jc w:val="center"/>
              <w:rPr>
                <w:rFonts w:ascii="Arial" w:hAnsi="Arial" w:cs="Arial"/>
                <w:sz w:val="20"/>
                <w:szCs w:val="20"/>
                <w:lang w:val="en-US"/>
              </w:rPr>
            </w:pPr>
            <w:r w:rsidRPr="00F97EC3">
              <w:rPr>
                <w:rFonts w:ascii="Arial" w:hAnsi="Arial" w:cs="Arial"/>
                <w:sz w:val="20"/>
                <w:szCs w:val="20"/>
                <w:lang w:val="en-US"/>
              </w:rPr>
              <w:t>47</w:t>
            </w:r>
          </w:p>
        </w:tc>
        <w:tc>
          <w:tcPr>
            <w:tcW w:w="1050" w:type="dxa"/>
            <w:tcBorders>
              <w:top w:val="nil"/>
            </w:tcBorders>
            <w:shd w:val="clear" w:color="auto" w:fill="FFFFFF"/>
            <w:vAlign w:val="bottom"/>
          </w:tcPr>
          <w:p w14:paraId="08BF3764"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40</w:t>
            </w:r>
          </w:p>
        </w:tc>
        <w:tc>
          <w:tcPr>
            <w:tcW w:w="1147" w:type="dxa"/>
            <w:tcBorders>
              <w:top w:val="nil"/>
            </w:tcBorders>
            <w:shd w:val="clear" w:color="auto" w:fill="FFFFFF"/>
            <w:tcMar>
              <w:top w:w="0" w:type="dxa"/>
              <w:left w:w="0" w:type="dxa"/>
              <w:bottom w:w="0" w:type="dxa"/>
              <w:right w:w="0" w:type="dxa"/>
            </w:tcMar>
            <w:vAlign w:val="center"/>
          </w:tcPr>
          <w:p w14:paraId="2ABCB179"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14</w:t>
            </w:r>
          </w:p>
        </w:tc>
      </w:tr>
      <w:tr w:rsidR="00390D6E" w:rsidRPr="00F97EC3" w14:paraId="408A4E00" w14:textId="77777777" w:rsidTr="00DB0943">
        <w:trPr>
          <w:cantSplit/>
          <w:trHeight w:val="39"/>
        </w:trPr>
        <w:tc>
          <w:tcPr>
            <w:tcW w:w="1046" w:type="dxa"/>
            <w:tcBorders>
              <w:top w:val="nil"/>
            </w:tcBorders>
            <w:shd w:val="clear" w:color="auto" w:fill="FFFFFF"/>
            <w:vAlign w:val="center"/>
          </w:tcPr>
          <w:p w14:paraId="7A3D8EE2"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2008</w:t>
            </w:r>
          </w:p>
        </w:tc>
        <w:tc>
          <w:tcPr>
            <w:tcW w:w="1050" w:type="dxa"/>
            <w:tcBorders>
              <w:top w:val="nil"/>
            </w:tcBorders>
            <w:shd w:val="clear" w:color="auto" w:fill="FFFFFF"/>
            <w:tcMar>
              <w:top w:w="0" w:type="dxa"/>
              <w:left w:w="0" w:type="dxa"/>
              <w:bottom w:w="0" w:type="dxa"/>
              <w:right w:w="0" w:type="dxa"/>
            </w:tcMar>
            <w:vAlign w:val="center"/>
          </w:tcPr>
          <w:p w14:paraId="269F63AC" w14:textId="77777777" w:rsidR="00390D6E" w:rsidRPr="00F97EC3" w:rsidRDefault="00390D6E" w:rsidP="00DB0943">
            <w:pPr>
              <w:spacing w:after="0"/>
              <w:jc w:val="center"/>
              <w:rPr>
                <w:rFonts w:ascii="Arial" w:hAnsi="Arial" w:cs="Arial"/>
                <w:sz w:val="20"/>
                <w:szCs w:val="20"/>
                <w:lang w:val="en-US"/>
              </w:rPr>
            </w:pPr>
            <w:r w:rsidRPr="00F97EC3">
              <w:rPr>
                <w:rFonts w:ascii="Arial" w:hAnsi="Arial" w:cs="Arial"/>
                <w:sz w:val="20"/>
                <w:szCs w:val="20"/>
                <w:lang w:val="en-US"/>
              </w:rPr>
              <w:t>210</w:t>
            </w:r>
          </w:p>
        </w:tc>
        <w:tc>
          <w:tcPr>
            <w:tcW w:w="1050" w:type="dxa"/>
            <w:tcBorders>
              <w:top w:val="nil"/>
            </w:tcBorders>
            <w:shd w:val="clear" w:color="auto" w:fill="FFFFFF"/>
            <w:vAlign w:val="bottom"/>
          </w:tcPr>
          <w:p w14:paraId="4BBF82CB"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190</w:t>
            </w:r>
          </w:p>
        </w:tc>
        <w:tc>
          <w:tcPr>
            <w:tcW w:w="1147" w:type="dxa"/>
            <w:tcBorders>
              <w:top w:val="nil"/>
            </w:tcBorders>
            <w:shd w:val="clear" w:color="auto" w:fill="FFFFFF"/>
            <w:tcMar>
              <w:top w:w="0" w:type="dxa"/>
              <w:left w:w="0" w:type="dxa"/>
              <w:bottom w:w="0" w:type="dxa"/>
              <w:right w:w="0" w:type="dxa"/>
            </w:tcMar>
            <w:vAlign w:val="center"/>
          </w:tcPr>
          <w:p w14:paraId="0D098043"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15</w:t>
            </w:r>
          </w:p>
        </w:tc>
      </w:tr>
      <w:tr w:rsidR="00390D6E" w:rsidRPr="00F97EC3" w14:paraId="4E131F49" w14:textId="77777777" w:rsidTr="00DB0943">
        <w:trPr>
          <w:cantSplit/>
          <w:trHeight w:val="39"/>
        </w:trPr>
        <w:tc>
          <w:tcPr>
            <w:tcW w:w="1046" w:type="dxa"/>
            <w:tcBorders>
              <w:top w:val="nil"/>
            </w:tcBorders>
            <w:shd w:val="clear" w:color="auto" w:fill="FFFFFF"/>
            <w:vAlign w:val="center"/>
          </w:tcPr>
          <w:p w14:paraId="14DF30AB"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2010</w:t>
            </w:r>
          </w:p>
        </w:tc>
        <w:tc>
          <w:tcPr>
            <w:tcW w:w="1050" w:type="dxa"/>
            <w:tcBorders>
              <w:top w:val="nil"/>
            </w:tcBorders>
            <w:shd w:val="clear" w:color="auto" w:fill="FFFFFF"/>
            <w:tcMar>
              <w:top w:w="0" w:type="dxa"/>
              <w:left w:w="0" w:type="dxa"/>
              <w:bottom w:w="0" w:type="dxa"/>
              <w:right w:w="0" w:type="dxa"/>
            </w:tcMar>
            <w:vAlign w:val="center"/>
          </w:tcPr>
          <w:p w14:paraId="515ABB5B" w14:textId="77777777" w:rsidR="00390D6E" w:rsidRPr="00F97EC3" w:rsidRDefault="00390D6E" w:rsidP="00DB0943">
            <w:pPr>
              <w:spacing w:after="0"/>
              <w:jc w:val="center"/>
              <w:rPr>
                <w:rFonts w:ascii="Arial" w:hAnsi="Arial" w:cs="Arial"/>
                <w:sz w:val="20"/>
                <w:szCs w:val="20"/>
                <w:lang w:val="en-US"/>
              </w:rPr>
            </w:pPr>
            <w:r w:rsidRPr="00F97EC3">
              <w:rPr>
                <w:rFonts w:ascii="Arial" w:hAnsi="Arial" w:cs="Arial"/>
                <w:sz w:val="20"/>
                <w:szCs w:val="20"/>
                <w:lang w:val="en-US"/>
              </w:rPr>
              <w:t>188</w:t>
            </w:r>
          </w:p>
        </w:tc>
        <w:tc>
          <w:tcPr>
            <w:tcW w:w="1050" w:type="dxa"/>
            <w:tcBorders>
              <w:top w:val="nil"/>
            </w:tcBorders>
            <w:shd w:val="clear" w:color="auto" w:fill="FFFFFF"/>
            <w:vAlign w:val="bottom"/>
          </w:tcPr>
          <w:p w14:paraId="20D2647B"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170</w:t>
            </w:r>
          </w:p>
        </w:tc>
        <w:tc>
          <w:tcPr>
            <w:tcW w:w="1147" w:type="dxa"/>
            <w:tcBorders>
              <w:top w:val="nil"/>
            </w:tcBorders>
            <w:shd w:val="clear" w:color="auto" w:fill="FFFFFF"/>
            <w:tcMar>
              <w:top w:w="0" w:type="dxa"/>
              <w:left w:w="0" w:type="dxa"/>
              <w:bottom w:w="0" w:type="dxa"/>
              <w:right w:w="0" w:type="dxa"/>
            </w:tcMar>
            <w:vAlign w:val="center"/>
          </w:tcPr>
          <w:p w14:paraId="42659508"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15</w:t>
            </w:r>
          </w:p>
        </w:tc>
      </w:tr>
      <w:tr w:rsidR="00390D6E" w:rsidRPr="00F97EC3" w14:paraId="3C6F21E3" w14:textId="77777777" w:rsidTr="00DB0943">
        <w:trPr>
          <w:cantSplit/>
          <w:trHeight w:val="39"/>
        </w:trPr>
        <w:tc>
          <w:tcPr>
            <w:tcW w:w="1046" w:type="dxa"/>
            <w:tcBorders>
              <w:top w:val="nil"/>
              <w:bottom w:val="nil"/>
            </w:tcBorders>
            <w:shd w:val="clear" w:color="auto" w:fill="FFFFFF"/>
            <w:vAlign w:val="center"/>
          </w:tcPr>
          <w:p w14:paraId="4EA40305"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2011</w:t>
            </w:r>
          </w:p>
        </w:tc>
        <w:tc>
          <w:tcPr>
            <w:tcW w:w="1050" w:type="dxa"/>
            <w:tcBorders>
              <w:top w:val="nil"/>
              <w:bottom w:val="nil"/>
            </w:tcBorders>
            <w:shd w:val="clear" w:color="auto" w:fill="FFFFFF"/>
            <w:tcMar>
              <w:top w:w="0" w:type="dxa"/>
              <w:left w:w="0" w:type="dxa"/>
              <w:bottom w:w="0" w:type="dxa"/>
              <w:right w:w="0" w:type="dxa"/>
            </w:tcMar>
            <w:vAlign w:val="center"/>
          </w:tcPr>
          <w:p w14:paraId="0514A5F2" w14:textId="77777777" w:rsidR="00390D6E" w:rsidRPr="00F97EC3" w:rsidRDefault="00390D6E" w:rsidP="00DB0943">
            <w:pPr>
              <w:spacing w:after="0"/>
              <w:jc w:val="center"/>
              <w:rPr>
                <w:rFonts w:ascii="Arial" w:hAnsi="Arial" w:cs="Arial"/>
                <w:sz w:val="20"/>
                <w:szCs w:val="20"/>
                <w:lang w:val="en-US"/>
              </w:rPr>
            </w:pPr>
            <w:r w:rsidRPr="00F97EC3">
              <w:rPr>
                <w:rFonts w:ascii="Arial" w:hAnsi="Arial" w:cs="Arial"/>
                <w:sz w:val="20"/>
                <w:szCs w:val="20"/>
                <w:lang w:val="en-US"/>
              </w:rPr>
              <w:t>237</w:t>
            </w:r>
          </w:p>
        </w:tc>
        <w:tc>
          <w:tcPr>
            <w:tcW w:w="1050" w:type="dxa"/>
            <w:tcBorders>
              <w:top w:val="nil"/>
              <w:bottom w:val="nil"/>
            </w:tcBorders>
            <w:shd w:val="clear" w:color="auto" w:fill="FFFFFF"/>
            <w:vAlign w:val="bottom"/>
          </w:tcPr>
          <w:p w14:paraId="042EE133"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229</w:t>
            </w:r>
          </w:p>
        </w:tc>
        <w:tc>
          <w:tcPr>
            <w:tcW w:w="1147" w:type="dxa"/>
            <w:tcBorders>
              <w:top w:val="nil"/>
              <w:bottom w:val="nil"/>
            </w:tcBorders>
            <w:shd w:val="clear" w:color="auto" w:fill="FFFFFF"/>
            <w:tcMar>
              <w:top w:w="0" w:type="dxa"/>
              <w:left w:w="0" w:type="dxa"/>
              <w:bottom w:w="0" w:type="dxa"/>
              <w:right w:w="0" w:type="dxa"/>
            </w:tcMar>
            <w:vAlign w:val="center"/>
          </w:tcPr>
          <w:p w14:paraId="1582226B"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8</w:t>
            </w:r>
          </w:p>
        </w:tc>
      </w:tr>
      <w:tr w:rsidR="00390D6E" w:rsidRPr="00F97EC3" w14:paraId="3B9F40FE" w14:textId="77777777" w:rsidTr="00DB0943">
        <w:trPr>
          <w:cantSplit/>
          <w:trHeight w:val="39"/>
        </w:trPr>
        <w:tc>
          <w:tcPr>
            <w:tcW w:w="1046" w:type="dxa"/>
            <w:tcBorders>
              <w:top w:val="nil"/>
              <w:bottom w:val="nil"/>
            </w:tcBorders>
            <w:shd w:val="clear" w:color="auto" w:fill="FFFFFF"/>
            <w:vAlign w:val="center"/>
          </w:tcPr>
          <w:p w14:paraId="0E73D217"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sz w:val="20"/>
                <w:szCs w:val="20"/>
                <w:lang w:val="en-US"/>
              </w:rPr>
              <w:t>2017</w:t>
            </w:r>
          </w:p>
        </w:tc>
        <w:tc>
          <w:tcPr>
            <w:tcW w:w="1050" w:type="dxa"/>
            <w:tcBorders>
              <w:top w:val="nil"/>
              <w:bottom w:val="nil"/>
            </w:tcBorders>
            <w:shd w:val="clear" w:color="auto" w:fill="FFFFFF"/>
            <w:tcMar>
              <w:top w:w="0" w:type="dxa"/>
              <w:left w:w="0" w:type="dxa"/>
              <w:bottom w:w="0" w:type="dxa"/>
              <w:right w:w="0" w:type="dxa"/>
            </w:tcMar>
            <w:vAlign w:val="bottom"/>
          </w:tcPr>
          <w:p w14:paraId="0C4F80EB" w14:textId="77777777" w:rsidR="00390D6E" w:rsidRPr="00F97EC3" w:rsidRDefault="00390D6E" w:rsidP="00DB0943">
            <w:pPr>
              <w:spacing w:after="0"/>
              <w:jc w:val="center"/>
              <w:rPr>
                <w:rFonts w:ascii="Arial" w:hAnsi="Arial" w:cs="Arial"/>
                <w:sz w:val="20"/>
                <w:szCs w:val="20"/>
                <w:lang w:val="en-US"/>
              </w:rPr>
            </w:pPr>
            <w:r w:rsidRPr="00F97EC3">
              <w:rPr>
                <w:rFonts w:ascii="Arial" w:hAnsi="Arial" w:cs="Arial"/>
                <w:color w:val="000000"/>
                <w:sz w:val="20"/>
                <w:szCs w:val="20"/>
                <w:lang w:val="en-US"/>
              </w:rPr>
              <w:t>139</w:t>
            </w:r>
          </w:p>
        </w:tc>
        <w:tc>
          <w:tcPr>
            <w:tcW w:w="1050" w:type="dxa"/>
            <w:tcBorders>
              <w:top w:val="nil"/>
              <w:bottom w:val="nil"/>
            </w:tcBorders>
            <w:shd w:val="clear" w:color="auto" w:fill="FFFFFF"/>
            <w:vAlign w:val="center"/>
          </w:tcPr>
          <w:p w14:paraId="61117290"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sz w:val="20"/>
                <w:szCs w:val="20"/>
                <w:lang w:val="en-US"/>
              </w:rPr>
              <w:t>120</w:t>
            </w:r>
          </w:p>
        </w:tc>
        <w:tc>
          <w:tcPr>
            <w:tcW w:w="1147" w:type="dxa"/>
            <w:tcBorders>
              <w:top w:val="nil"/>
              <w:bottom w:val="nil"/>
            </w:tcBorders>
            <w:shd w:val="clear" w:color="auto" w:fill="FFFFFF"/>
            <w:tcMar>
              <w:top w:w="0" w:type="dxa"/>
              <w:left w:w="0" w:type="dxa"/>
              <w:bottom w:w="0" w:type="dxa"/>
              <w:right w:w="0" w:type="dxa"/>
            </w:tcMar>
            <w:vAlign w:val="center"/>
          </w:tcPr>
          <w:p w14:paraId="7564EB2E"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4</w:t>
            </w:r>
          </w:p>
        </w:tc>
      </w:tr>
      <w:tr w:rsidR="00390D6E" w:rsidRPr="00F97EC3" w14:paraId="11257B4A" w14:textId="77777777" w:rsidTr="00DB0943">
        <w:trPr>
          <w:cantSplit/>
          <w:trHeight w:val="39"/>
        </w:trPr>
        <w:tc>
          <w:tcPr>
            <w:tcW w:w="1046" w:type="dxa"/>
            <w:tcBorders>
              <w:top w:val="nil"/>
            </w:tcBorders>
            <w:shd w:val="clear" w:color="auto" w:fill="FFFFFF"/>
            <w:vAlign w:val="center"/>
          </w:tcPr>
          <w:p w14:paraId="678D1EB9"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sz w:val="20"/>
                <w:szCs w:val="20"/>
                <w:lang w:val="en-US"/>
              </w:rPr>
              <w:t>2018</w:t>
            </w:r>
          </w:p>
        </w:tc>
        <w:tc>
          <w:tcPr>
            <w:tcW w:w="1050" w:type="dxa"/>
            <w:tcBorders>
              <w:top w:val="nil"/>
            </w:tcBorders>
            <w:shd w:val="clear" w:color="auto" w:fill="FFFFFF"/>
            <w:tcMar>
              <w:top w:w="0" w:type="dxa"/>
              <w:left w:w="0" w:type="dxa"/>
              <w:bottom w:w="0" w:type="dxa"/>
              <w:right w:w="0" w:type="dxa"/>
            </w:tcMar>
            <w:vAlign w:val="bottom"/>
          </w:tcPr>
          <w:p w14:paraId="2BE07FDE" w14:textId="77777777" w:rsidR="00390D6E" w:rsidRPr="00F97EC3" w:rsidRDefault="00390D6E" w:rsidP="00DB0943">
            <w:pPr>
              <w:spacing w:after="0"/>
              <w:jc w:val="center"/>
              <w:rPr>
                <w:rFonts w:ascii="Arial" w:hAnsi="Arial" w:cs="Arial"/>
                <w:sz w:val="20"/>
                <w:szCs w:val="20"/>
                <w:lang w:val="en-US"/>
              </w:rPr>
            </w:pPr>
            <w:r w:rsidRPr="00F97EC3">
              <w:rPr>
                <w:rFonts w:ascii="Arial" w:hAnsi="Arial" w:cs="Arial"/>
                <w:color w:val="000000"/>
                <w:sz w:val="20"/>
                <w:szCs w:val="20"/>
                <w:lang w:val="en-US"/>
              </w:rPr>
              <w:t>107</w:t>
            </w:r>
          </w:p>
        </w:tc>
        <w:tc>
          <w:tcPr>
            <w:tcW w:w="1050" w:type="dxa"/>
            <w:tcBorders>
              <w:top w:val="nil"/>
            </w:tcBorders>
            <w:shd w:val="clear" w:color="auto" w:fill="FFFFFF"/>
            <w:vAlign w:val="center"/>
          </w:tcPr>
          <w:p w14:paraId="5E962743"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sz w:val="20"/>
                <w:szCs w:val="20"/>
                <w:lang w:val="en-US"/>
              </w:rPr>
              <w:t>95</w:t>
            </w:r>
          </w:p>
        </w:tc>
        <w:tc>
          <w:tcPr>
            <w:tcW w:w="1147" w:type="dxa"/>
            <w:tcBorders>
              <w:top w:val="nil"/>
            </w:tcBorders>
            <w:shd w:val="clear" w:color="auto" w:fill="FFFFFF"/>
            <w:tcMar>
              <w:top w:w="0" w:type="dxa"/>
              <w:left w:w="0" w:type="dxa"/>
              <w:bottom w:w="0" w:type="dxa"/>
              <w:right w:w="0" w:type="dxa"/>
            </w:tcMar>
            <w:vAlign w:val="center"/>
          </w:tcPr>
          <w:p w14:paraId="416D1759" w14:textId="77777777" w:rsidR="00390D6E" w:rsidRPr="00F97EC3" w:rsidRDefault="00390D6E" w:rsidP="00DB0943">
            <w:pPr>
              <w:spacing w:after="0"/>
              <w:jc w:val="center"/>
              <w:rPr>
                <w:rFonts w:ascii="Arial" w:hAnsi="Arial" w:cs="Arial"/>
                <w:color w:val="000000"/>
                <w:sz w:val="20"/>
                <w:szCs w:val="20"/>
                <w:lang w:val="en-US"/>
              </w:rPr>
            </w:pPr>
            <w:r w:rsidRPr="00F97EC3">
              <w:rPr>
                <w:rFonts w:ascii="Arial" w:hAnsi="Arial" w:cs="Arial"/>
                <w:color w:val="000000"/>
                <w:sz w:val="20"/>
                <w:szCs w:val="20"/>
                <w:lang w:val="en-US"/>
              </w:rPr>
              <w:t>4</w:t>
            </w:r>
          </w:p>
        </w:tc>
      </w:tr>
      <w:tr w:rsidR="00390D6E" w:rsidRPr="00F97EC3" w14:paraId="04BE8684" w14:textId="77777777" w:rsidTr="00DB0943">
        <w:trPr>
          <w:cantSplit/>
          <w:trHeight w:val="103"/>
        </w:trPr>
        <w:tc>
          <w:tcPr>
            <w:tcW w:w="1046" w:type="dxa"/>
            <w:shd w:val="clear" w:color="auto" w:fill="FFFFFF"/>
            <w:vAlign w:val="center"/>
          </w:tcPr>
          <w:p w14:paraId="65F78412" w14:textId="77777777" w:rsidR="00390D6E" w:rsidRPr="00F97EC3" w:rsidRDefault="00390D6E" w:rsidP="00DB0943">
            <w:pPr>
              <w:pBdr>
                <w:top w:val="nil"/>
                <w:left w:val="nil"/>
                <w:bottom w:val="nil"/>
                <w:right w:val="nil"/>
              </w:pBdr>
              <w:spacing w:after="0"/>
              <w:ind w:left="100" w:right="100"/>
              <w:jc w:val="center"/>
              <w:rPr>
                <w:rFonts w:ascii="Arial" w:hAnsi="Arial" w:cs="Arial"/>
                <w:sz w:val="20"/>
                <w:szCs w:val="20"/>
                <w:lang w:val="en-US"/>
              </w:rPr>
            </w:pPr>
            <w:r w:rsidRPr="00F97EC3">
              <w:rPr>
                <w:rFonts w:ascii="Arial" w:hAnsi="Arial" w:cs="Arial"/>
                <w:sz w:val="20"/>
                <w:szCs w:val="20"/>
                <w:lang w:val="en-US"/>
              </w:rPr>
              <w:t>2019</w:t>
            </w:r>
          </w:p>
          <w:p w14:paraId="63929D99" w14:textId="77777777" w:rsidR="00390D6E" w:rsidRPr="00F97EC3" w:rsidRDefault="00390D6E" w:rsidP="00DB0943">
            <w:pPr>
              <w:pBdr>
                <w:top w:val="nil"/>
                <w:left w:val="nil"/>
                <w:bottom w:val="nil"/>
                <w:right w:val="nil"/>
              </w:pBdr>
              <w:spacing w:after="0"/>
              <w:ind w:left="100" w:right="100"/>
              <w:jc w:val="center"/>
              <w:rPr>
                <w:rFonts w:ascii="Arial" w:hAnsi="Arial" w:cs="Arial"/>
                <w:sz w:val="20"/>
                <w:szCs w:val="20"/>
                <w:lang w:val="en-US"/>
              </w:rPr>
            </w:pPr>
            <w:r w:rsidRPr="00F97EC3">
              <w:rPr>
                <w:rFonts w:ascii="Arial" w:hAnsi="Arial" w:cs="Arial"/>
                <w:sz w:val="20"/>
                <w:szCs w:val="20"/>
                <w:lang w:val="en-US"/>
              </w:rPr>
              <w:t>2020</w:t>
            </w:r>
          </w:p>
          <w:p w14:paraId="0AB4E87A" w14:textId="77777777" w:rsidR="00390D6E" w:rsidRPr="00F97EC3" w:rsidRDefault="00390D6E" w:rsidP="00DB0943">
            <w:pPr>
              <w:pBdr>
                <w:top w:val="nil"/>
                <w:left w:val="nil"/>
                <w:bottom w:val="nil"/>
                <w:right w:val="nil"/>
              </w:pBdr>
              <w:spacing w:after="0"/>
              <w:ind w:left="100" w:right="100"/>
              <w:jc w:val="center"/>
              <w:rPr>
                <w:rFonts w:ascii="Arial" w:hAnsi="Arial" w:cs="Arial"/>
                <w:sz w:val="20"/>
                <w:szCs w:val="20"/>
                <w:lang w:val="en-US"/>
              </w:rPr>
            </w:pPr>
            <w:r w:rsidRPr="00F97EC3">
              <w:rPr>
                <w:rFonts w:ascii="Arial" w:hAnsi="Arial" w:cs="Arial"/>
                <w:sz w:val="20"/>
                <w:szCs w:val="20"/>
                <w:lang w:val="en-US"/>
              </w:rPr>
              <w:t>2021</w:t>
            </w:r>
          </w:p>
        </w:tc>
        <w:tc>
          <w:tcPr>
            <w:tcW w:w="1050" w:type="dxa"/>
            <w:shd w:val="clear" w:color="auto" w:fill="FFFFFF"/>
            <w:tcMar>
              <w:top w:w="0" w:type="dxa"/>
              <w:left w:w="0" w:type="dxa"/>
              <w:bottom w:w="0" w:type="dxa"/>
              <w:right w:w="0" w:type="dxa"/>
            </w:tcMar>
            <w:vAlign w:val="bottom"/>
          </w:tcPr>
          <w:p w14:paraId="59474764" w14:textId="77777777" w:rsidR="00390D6E" w:rsidRPr="00F97EC3" w:rsidRDefault="00390D6E" w:rsidP="00DB0943">
            <w:pPr>
              <w:pBdr>
                <w:top w:val="nil"/>
                <w:left w:val="nil"/>
                <w:bottom w:val="nil"/>
                <w:right w:val="nil"/>
              </w:pBdr>
              <w:spacing w:after="0"/>
              <w:ind w:left="100" w:right="100"/>
              <w:jc w:val="center"/>
              <w:rPr>
                <w:rFonts w:ascii="Arial" w:hAnsi="Arial" w:cs="Arial"/>
                <w:color w:val="000000"/>
                <w:sz w:val="20"/>
                <w:szCs w:val="20"/>
                <w:lang w:val="en-US"/>
              </w:rPr>
            </w:pPr>
            <w:r w:rsidRPr="00F97EC3">
              <w:rPr>
                <w:rFonts w:ascii="Arial" w:hAnsi="Arial" w:cs="Arial"/>
                <w:color w:val="000000"/>
                <w:sz w:val="20"/>
                <w:szCs w:val="20"/>
                <w:lang w:val="en-US"/>
              </w:rPr>
              <w:t>333</w:t>
            </w:r>
          </w:p>
          <w:p w14:paraId="1E8AB493" w14:textId="77777777" w:rsidR="00390D6E" w:rsidRPr="00F97EC3" w:rsidRDefault="00390D6E" w:rsidP="00DB0943">
            <w:pPr>
              <w:pBdr>
                <w:top w:val="nil"/>
                <w:left w:val="nil"/>
                <w:bottom w:val="nil"/>
                <w:right w:val="nil"/>
              </w:pBdr>
              <w:spacing w:after="0"/>
              <w:ind w:left="100" w:right="100"/>
              <w:jc w:val="center"/>
              <w:rPr>
                <w:rFonts w:ascii="Arial" w:hAnsi="Arial" w:cs="Arial"/>
                <w:sz w:val="20"/>
                <w:szCs w:val="20"/>
                <w:lang w:val="en-US"/>
              </w:rPr>
            </w:pPr>
            <w:r w:rsidRPr="00F97EC3">
              <w:rPr>
                <w:rFonts w:ascii="Arial" w:hAnsi="Arial" w:cs="Arial"/>
                <w:sz w:val="20"/>
                <w:szCs w:val="20"/>
                <w:lang w:val="en-US"/>
              </w:rPr>
              <w:t>165</w:t>
            </w:r>
          </w:p>
          <w:p w14:paraId="4A3E3ECC" w14:textId="77777777" w:rsidR="00390D6E" w:rsidRPr="00F97EC3" w:rsidRDefault="00390D6E" w:rsidP="00DB0943">
            <w:pPr>
              <w:pBdr>
                <w:top w:val="nil"/>
                <w:left w:val="nil"/>
                <w:bottom w:val="nil"/>
                <w:right w:val="nil"/>
              </w:pBdr>
              <w:spacing w:after="0"/>
              <w:ind w:left="100" w:right="100"/>
              <w:jc w:val="center"/>
              <w:rPr>
                <w:rFonts w:ascii="Arial" w:hAnsi="Arial" w:cs="Arial"/>
                <w:sz w:val="20"/>
                <w:szCs w:val="20"/>
                <w:lang w:val="en-US"/>
              </w:rPr>
            </w:pPr>
            <w:r w:rsidRPr="00F97EC3">
              <w:rPr>
                <w:rFonts w:ascii="Arial" w:hAnsi="Arial" w:cs="Arial"/>
                <w:sz w:val="20"/>
                <w:szCs w:val="20"/>
                <w:lang w:val="en-US"/>
              </w:rPr>
              <w:t>167</w:t>
            </w:r>
          </w:p>
        </w:tc>
        <w:tc>
          <w:tcPr>
            <w:tcW w:w="1050" w:type="dxa"/>
            <w:shd w:val="clear" w:color="auto" w:fill="FFFFFF"/>
            <w:vAlign w:val="center"/>
          </w:tcPr>
          <w:p w14:paraId="50FBF851" w14:textId="77777777" w:rsidR="00390D6E" w:rsidRPr="00F97EC3" w:rsidRDefault="00390D6E" w:rsidP="00DB0943">
            <w:pPr>
              <w:pBdr>
                <w:top w:val="nil"/>
                <w:left w:val="nil"/>
                <w:bottom w:val="nil"/>
                <w:right w:val="nil"/>
              </w:pBdr>
              <w:spacing w:after="0"/>
              <w:ind w:left="100" w:right="100"/>
              <w:jc w:val="center"/>
              <w:rPr>
                <w:rFonts w:ascii="Arial" w:hAnsi="Arial" w:cs="Arial"/>
                <w:sz w:val="20"/>
                <w:szCs w:val="20"/>
                <w:lang w:val="en-US"/>
              </w:rPr>
            </w:pPr>
            <w:r w:rsidRPr="00F97EC3">
              <w:rPr>
                <w:rFonts w:ascii="Arial" w:hAnsi="Arial" w:cs="Arial"/>
                <w:sz w:val="20"/>
                <w:szCs w:val="20"/>
                <w:lang w:val="en-US"/>
              </w:rPr>
              <w:t>156</w:t>
            </w:r>
          </w:p>
          <w:p w14:paraId="6D721DF4" w14:textId="77777777" w:rsidR="00390D6E" w:rsidRPr="00F97EC3" w:rsidRDefault="00390D6E" w:rsidP="00DB0943">
            <w:pPr>
              <w:pBdr>
                <w:top w:val="nil"/>
                <w:left w:val="nil"/>
                <w:bottom w:val="nil"/>
                <w:right w:val="nil"/>
              </w:pBdr>
              <w:spacing w:after="0"/>
              <w:ind w:left="100" w:right="100"/>
              <w:jc w:val="center"/>
              <w:rPr>
                <w:rFonts w:ascii="Arial" w:eastAsia="Arial" w:hAnsi="Arial" w:cs="Arial"/>
                <w:sz w:val="20"/>
                <w:szCs w:val="20"/>
                <w:lang w:val="en-US"/>
              </w:rPr>
            </w:pPr>
            <w:r w:rsidRPr="00F97EC3">
              <w:rPr>
                <w:rFonts w:ascii="Arial" w:eastAsia="Arial" w:hAnsi="Arial" w:cs="Arial"/>
                <w:sz w:val="20"/>
                <w:szCs w:val="20"/>
                <w:lang w:val="en-US"/>
              </w:rPr>
              <w:t>35</w:t>
            </w:r>
          </w:p>
          <w:p w14:paraId="4DF4145F" w14:textId="77777777" w:rsidR="00390D6E" w:rsidRPr="00F97EC3" w:rsidRDefault="00390D6E" w:rsidP="00DB0943">
            <w:pPr>
              <w:pBdr>
                <w:top w:val="nil"/>
                <w:left w:val="nil"/>
                <w:bottom w:val="nil"/>
                <w:right w:val="nil"/>
              </w:pBdr>
              <w:spacing w:after="0"/>
              <w:ind w:left="100" w:right="100"/>
              <w:jc w:val="center"/>
              <w:rPr>
                <w:rFonts w:ascii="Arial" w:eastAsia="Arial" w:hAnsi="Arial" w:cs="Arial"/>
                <w:sz w:val="20"/>
                <w:szCs w:val="20"/>
                <w:lang w:val="en-US"/>
              </w:rPr>
            </w:pPr>
            <w:r w:rsidRPr="00F97EC3">
              <w:rPr>
                <w:rFonts w:ascii="Arial" w:eastAsia="Arial" w:hAnsi="Arial" w:cs="Arial"/>
                <w:sz w:val="20"/>
                <w:szCs w:val="20"/>
                <w:lang w:val="en-US"/>
              </w:rPr>
              <w:t>92</w:t>
            </w:r>
          </w:p>
        </w:tc>
        <w:tc>
          <w:tcPr>
            <w:tcW w:w="1147" w:type="dxa"/>
            <w:shd w:val="clear" w:color="auto" w:fill="FFFFFF"/>
            <w:tcMar>
              <w:top w:w="0" w:type="dxa"/>
              <w:left w:w="0" w:type="dxa"/>
              <w:bottom w:w="0" w:type="dxa"/>
              <w:right w:w="0" w:type="dxa"/>
            </w:tcMar>
            <w:vAlign w:val="center"/>
          </w:tcPr>
          <w:p w14:paraId="27BE6EBC" w14:textId="77777777" w:rsidR="00390D6E" w:rsidRPr="00F97EC3" w:rsidRDefault="00390D6E" w:rsidP="00DB0943">
            <w:pPr>
              <w:pBdr>
                <w:top w:val="nil"/>
                <w:left w:val="nil"/>
                <w:bottom w:val="nil"/>
                <w:right w:val="nil"/>
              </w:pBdr>
              <w:spacing w:after="0"/>
              <w:ind w:left="100" w:right="100"/>
              <w:jc w:val="center"/>
              <w:rPr>
                <w:rFonts w:ascii="Arial" w:hAnsi="Arial" w:cs="Arial"/>
                <w:color w:val="000000"/>
                <w:sz w:val="20"/>
                <w:szCs w:val="20"/>
                <w:lang w:val="en-US"/>
              </w:rPr>
            </w:pPr>
            <w:r w:rsidRPr="00F97EC3">
              <w:rPr>
                <w:rFonts w:ascii="Arial" w:hAnsi="Arial" w:cs="Arial"/>
                <w:color w:val="000000"/>
                <w:sz w:val="20"/>
                <w:szCs w:val="20"/>
                <w:lang w:val="en-US"/>
              </w:rPr>
              <w:t>5</w:t>
            </w:r>
          </w:p>
          <w:p w14:paraId="4FAADD31" w14:textId="77777777" w:rsidR="00390D6E" w:rsidRPr="00F97EC3" w:rsidRDefault="00390D6E" w:rsidP="00DB0943">
            <w:pPr>
              <w:pBdr>
                <w:top w:val="nil"/>
                <w:left w:val="nil"/>
                <w:bottom w:val="nil"/>
                <w:right w:val="nil"/>
              </w:pBdr>
              <w:spacing w:after="0"/>
              <w:ind w:left="100" w:right="100"/>
              <w:jc w:val="center"/>
              <w:rPr>
                <w:rFonts w:ascii="Arial" w:hAnsi="Arial" w:cs="Arial"/>
                <w:sz w:val="20"/>
                <w:szCs w:val="20"/>
                <w:lang w:val="en-US"/>
              </w:rPr>
            </w:pPr>
            <w:r w:rsidRPr="00F97EC3">
              <w:rPr>
                <w:rFonts w:ascii="Arial" w:hAnsi="Arial" w:cs="Arial"/>
                <w:sz w:val="20"/>
                <w:szCs w:val="20"/>
                <w:lang w:val="en-US"/>
              </w:rPr>
              <w:t>3</w:t>
            </w:r>
          </w:p>
          <w:p w14:paraId="68F471CC" w14:textId="77777777" w:rsidR="00390D6E" w:rsidRPr="00F97EC3" w:rsidRDefault="00390D6E" w:rsidP="00DB0943">
            <w:pPr>
              <w:pBdr>
                <w:top w:val="nil"/>
                <w:left w:val="nil"/>
                <w:bottom w:val="nil"/>
                <w:right w:val="nil"/>
              </w:pBdr>
              <w:spacing w:after="0"/>
              <w:ind w:left="100" w:right="100"/>
              <w:jc w:val="center"/>
              <w:rPr>
                <w:rFonts w:ascii="Arial" w:hAnsi="Arial" w:cs="Arial"/>
                <w:sz w:val="20"/>
                <w:szCs w:val="20"/>
                <w:lang w:val="en-US"/>
              </w:rPr>
            </w:pPr>
            <w:r w:rsidRPr="00F97EC3">
              <w:rPr>
                <w:rFonts w:ascii="Arial" w:hAnsi="Arial" w:cs="Arial"/>
                <w:sz w:val="20"/>
                <w:szCs w:val="20"/>
                <w:lang w:val="en-US"/>
              </w:rPr>
              <w:t>3</w:t>
            </w:r>
          </w:p>
        </w:tc>
      </w:tr>
      <w:tr w:rsidR="00390D6E" w:rsidRPr="00F97EC3" w14:paraId="3AFBB009" w14:textId="77777777" w:rsidTr="00DB0943">
        <w:trPr>
          <w:cantSplit/>
          <w:trHeight w:val="103"/>
        </w:trPr>
        <w:tc>
          <w:tcPr>
            <w:tcW w:w="1046" w:type="dxa"/>
            <w:shd w:val="clear" w:color="auto" w:fill="FFFFFF"/>
            <w:vAlign w:val="center"/>
          </w:tcPr>
          <w:p w14:paraId="1C3B1C8B" w14:textId="77777777" w:rsidR="00390D6E" w:rsidRPr="00F97EC3" w:rsidRDefault="00390D6E" w:rsidP="00DB0943">
            <w:pPr>
              <w:pBdr>
                <w:top w:val="nil"/>
                <w:left w:val="nil"/>
                <w:bottom w:val="nil"/>
                <w:right w:val="nil"/>
              </w:pBdr>
              <w:spacing w:after="0"/>
              <w:ind w:left="100" w:right="100"/>
              <w:jc w:val="center"/>
              <w:rPr>
                <w:rFonts w:ascii="Arial" w:hAnsi="Arial" w:cs="Arial"/>
                <w:i/>
                <w:iCs/>
                <w:sz w:val="20"/>
                <w:szCs w:val="20"/>
                <w:lang w:val="en-US"/>
              </w:rPr>
            </w:pPr>
            <w:r w:rsidRPr="00F97EC3">
              <w:rPr>
                <w:rFonts w:ascii="Arial" w:hAnsi="Arial" w:cs="Arial"/>
                <w:i/>
                <w:iCs/>
                <w:sz w:val="20"/>
                <w:szCs w:val="20"/>
                <w:lang w:val="en-US"/>
              </w:rPr>
              <w:t>2022</w:t>
            </w:r>
          </w:p>
        </w:tc>
        <w:tc>
          <w:tcPr>
            <w:tcW w:w="1050" w:type="dxa"/>
            <w:shd w:val="clear" w:color="auto" w:fill="FFFFFF"/>
            <w:tcMar>
              <w:top w:w="0" w:type="dxa"/>
              <w:left w:w="0" w:type="dxa"/>
              <w:bottom w:w="0" w:type="dxa"/>
              <w:right w:w="0" w:type="dxa"/>
            </w:tcMar>
            <w:vAlign w:val="bottom"/>
          </w:tcPr>
          <w:p w14:paraId="22C2C8E1" w14:textId="77777777" w:rsidR="00390D6E" w:rsidRPr="00F97EC3" w:rsidRDefault="00390D6E" w:rsidP="00DB0943">
            <w:pPr>
              <w:pBdr>
                <w:top w:val="nil"/>
                <w:left w:val="nil"/>
                <w:bottom w:val="nil"/>
                <w:right w:val="nil"/>
              </w:pBdr>
              <w:spacing w:after="0"/>
              <w:ind w:left="100" w:right="100"/>
              <w:jc w:val="center"/>
              <w:rPr>
                <w:rFonts w:ascii="Arial" w:hAnsi="Arial" w:cs="Arial"/>
                <w:i/>
                <w:iCs/>
                <w:color w:val="000000"/>
                <w:sz w:val="20"/>
                <w:szCs w:val="20"/>
                <w:lang w:val="en-US"/>
              </w:rPr>
            </w:pPr>
            <w:r w:rsidRPr="00F97EC3">
              <w:rPr>
                <w:rFonts w:ascii="Arial" w:hAnsi="Arial" w:cs="Arial"/>
                <w:i/>
                <w:iCs/>
                <w:color w:val="000000"/>
                <w:sz w:val="20"/>
                <w:szCs w:val="20"/>
                <w:lang w:val="en-US"/>
              </w:rPr>
              <w:t>0</w:t>
            </w:r>
          </w:p>
        </w:tc>
        <w:tc>
          <w:tcPr>
            <w:tcW w:w="1050" w:type="dxa"/>
            <w:shd w:val="clear" w:color="auto" w:fill="FFFFFF"/>
            <w:vAlign w:val="center"/>
          </w:tcPr>
          <w:p w14:paraId="25A1250D" w14:textId="77777777" w:rsidR="00390D6E" w:rsidRPr="00F97EC3" w:rsidRDefault="00390D6E" w:rsidP="00DB0943">
            <w:pPr>
              <w:pBdr>
                <w:top w:val="nil"/>
                <w:left w:val="nil"/>
                <w:bottom w:val="nil"/>
                <w:right w:val="nil"/>
              </w:pBdr>
              <w:spacing w:after="0"/>
              <w:ind w:left="100" w:right="100"/>
              <w:jc w:val="center"/>
              <w:rPr>
                <w:rFonts w:ascii="Arial" w:hAnsi="Arial" w:cs="Arial"/>
                <w:i/>
                <w:iCs/>
                <w:sz w:val="20"/>
                <w:szCs w:val="20"/>
                <w:lang w:val="en-US"/>
              </w:rPr>
            </w:pPr>
            <w:r w:rsidRPr="00F97EC3">
              <w:rPr>
                <w:rFonts w:ascii="Arial" w:hAnsi="Arial" w:cs="Arial"/>
                <w:i/>
                <w:iCs/>
                <w:sz w:val="20"/>
                <w:szCs w:val="20"/>
                <w:lang w:val="en-US"/>
              </w:rPr>
              <w:t>0</w:t>
            </w:r>
          </w:p>
        </w:tc>
        <w:tc>
          <w:tcPr>
            <w:tcW w:w="1147" w:type="dxa"/>
            <w:shd w:val="clear" w:color="auto" w:fill="FFFFFF"/>
            <w:tcMar>
              <w:top w:w="0" w:type="dxa"/>
              <w:left w:w="0" w:type="dxa"/>
              <w:bottom w:w="0" w:type="dxa"/>
              <w:right w:w="0" w:type="dxa"/>
            </w:tcMar>
            <w:vAlign w:val="center"/>
          </w:tcPr>
          <w:p w14:paraId="321717E0" w14:textId="77777777" w:rsidR="00390D6E" w:rsidRPr="00F97EC3" w:rsidRDefault="00390D6E" w:rsidP="00DB0943">
            <w:pPr>
              <w:pBdr>
                <w:top w:val="nil"/>
                <w:left w:val="nil"/>
                <w:bottom w:val="nil"/>
                <w:right w:val="nil"/>
              </w:pBdr>
              <w:spacing w:after="0"/>
              <w:ind w:left="100" w:right="100"/>
              <w:jc w:val="center"/>
              <w:rPr>
                <w:rFonts w:ascii="Arial" w:hAnsi="Arial" w:cs="Arial"/>
                <w:i/>
                <w:iCs/>
                <w:color w:val="000000"/>
                <w:sz w:val="20"/>
                <w:szCs w:val="20"/>
                <w:lang w:val="en-US"/>
              </w:rPr>
            </w:pPr>
            <w:r w:rsidRPr="00F97EC3">
              <w:rPr>
                <w:rFonts w:ascii="Arial" w:hAnsi="Arial" w:cs="Arial"/>
                <w:i/>
                <w:iCs/>
                <w:color w:val="000000"/>
                <w:sz w:val="20"/>
                <w:szCs w:val="20"/>
                <w:lang w:val="en-US"/>
              </w:rPr>
              <w:t>0</w:t>
            </w:r>
          </w:p>
        </w:tc>
      </w:tr>
      <w:tr w:rsidR="00390D6E" w:rsidRPr="00F97EC3" w14:paraId="58277D9D" w14:textId="77777777" w:rsidTr="00DB0943">
        <w:trPr>
          <w:cantSplit/>
          <w:trHeight w:val="103"/>
        </w:trPr>
        <w:tc>
          <w:tcPr>
            <w:tcW w:w="1046" w:type="dxa"/>
            <w:shd w:val="clear" w:color="auto" w:fill="FFFFFF"/>
            <w:vAlign w:val="center"/>
          </w:tcPr>
          <w:p w14:paraId="649D23EE" w14:textId="77777777" w:rsidR="00390D6E" w:rsidRPr="00F97EC3" w:rsidRDefault="00390D6E" w:rsidP="00DB0943">
            <w:pPr>
              <w:pBdr>
                <w:top w:val="nil"/>
                <w:left w:val="nil"/>
                <w:bottom w:val="nil"/>
                <w:right w:val="nil"/>
              </w:pBdr>
              <w:spacing w:after="0"/>
              <w:ind w:left="100" w:right="100"/>
              <w:jc w:val="center"/>
              <w:rPr>
                <w:rFonts w:ascii="Arial" w:hAnsi="Arial" w:cs="Arial"/>
                <w:sz w:val="20"/>
                <w:szCs w:val="20"/>
                <w:lang w:val="en-US"/>
              </w:rPr>
            </w:pPr>
            <w:r w:rsidRPr="00F97EC3">
              <w:rPr>
                <w:rFonts w:ascii="Arial" w:hAnsi="Arial" w:cs="Arial"/>
                <w:sz w:val="20"/>
                <w:szCs w:val="20"/>
                <w:lang w:val="en-US"/>
              </w:rPr>
              <w:t>2023</w:t>
            </w:r>
          </w:p>
        </w:tc>
        <w:tc>
          <w:tcPr>
            <w:tcW w:w="1050" w:type="dxa"/>
            <w:shd w:val="clear" w:color="auto" w:fill="FFFFFF"/>
            <w:tcMar>
              <w:top w:w="0" w:type="dxa"/>
              <w:left w:w="0" w:type="dxa"/>
              <w:bottom w:w="0" w:type="dxa"/>
              <w:right w:w="0" w:type="dxa"/>
            </w:tcMar>
            <w:vAlign w:val="bottom"/>
          </w:tcPr>
          <w:p w14:paraId="7B78596B" w14:textId="77777777" w:rsidR="00390D6E" w:rsidRPr="00F97EC3" w:rsidRDefault="00390D6E" w:rsidP="00DB0943">
            <w:pPr>
              <w:pBdr>
                <w:top w:val="nil"/>
                <w:left w:val="nil"/>
                <w:bottom w:val="nil"/>
                <w:right w:val="nil"/>
              </w:pBdr>
              <w:spacing w:after="0"/>
              <w:ind w:left="100" w:right="100"/>
              <w:jc w:val="center"/>
              <w:rPr>
                <w:rFonts w:ascii="Arial" w:hAnsi="Arial" w:cs="Arial"/>
                <w:color w:val="000000"/>
                <w:sz w:val="20"/>
                <w:szCs w:val="20"/>
                <w:lang w:val="en-US"/>
              </w:rPr>
            </w:pPr>
            <w:r w:rsidRPr="00F97EC3">
              <w:rPr>
                <w:rFonts w:ascii="Arial" w:hAnsi="Arial" w:cs="Arial"/>
                <w:color w:val="000000"/>
                <w:sz w:val="20"/>
                <w:szCs w:val="20"/>
                <w:lang w:val="en-US"/>
              </w:rPr>
              <w:t>457</w:t>
            </w:r>
          </w:p>
        </w:tc>
        <w:tc>
          <w:tcPr>
            <w:tcW w:w="1050" w:type="dxa"/>
            <w:shd w:val="clear" w:color="auto" w:fill="FFFFFF"/>
            <w:vAlign w:val="center"/>
          </w:tcPr>
          <w:p w14:paraId="530B56A8" w14:textId="77777777" w:rsidR="00390D6E" w:rsidRPr="00F97EC3" w:rsidRDefault="00390D6E" w:rsidP="00DB0943">
            <w:pPr>
              <w:pBdr>
                <w:top w:val="nil"/>
                <w:left w:val="nil"/>
                <w:bottom w:val="nil"/>
                <w:right w:val="nil"/>
              </w:pBdr>
              <w:spacing w:after="0"/>
              <w:ind w:left="100" w:right="100"/>
              <w:jc w:val="center"/>
              <w:rPr>
                <w:rFonts w:ascii="Arial" w:hAnsi="Arial" w:cs="Arial"/>
                <w:sz w:val="20"/>
                <w:szCs w:val="20"/>
                <w:lang w:val="en-US"/>
              </w:rPr>
            </w:pPr>
            <w:r w:rsidRPr="00F97EC3">
              <w:rPr>
                <w:rFonts w:ascii="Arial" w:hAnsi="Arial" w:cs="Arial"/>
                <w:sz w:val="20"/>
                <w:szCs w:val="20"/>
                <w:lang w:val="en-US"/>
              </w:rPr>
              <w:t>118</w:t>
            </w:r>
          </w:p>
        </w:tc>
        <w:tc>
          <w:tcPr>
            <w:tcW w:w="1147" w:type="dxa"/>
            <w:shd w:val="clear" w:color="auto" w:fill="FFFFFF"/>
            <w:tcMar>
              <w:top w:w="0" w:type="dxa"/>
              <w:left w:w="0" w:type="dxa"/>
              <w:bottom w:w="0" w:type="dxa"/>
              <w:right w:w="0" w:type="dxa"/>
            </w:tcMar>
            <w:vAlign w:val="center"/>
          </w:tcPr>
          <w:p w14:paraId="75083D60" w14:textId="77777777" w:rsidR="00390D6E" w:rsidRPr="00F97EC3" w:rsidRDefault="00390D6E" w:rsidP="00DB0943">
            <w:pPr>
              <w:pBdr>
                <w:top w:val="nil"/>
                <w:left w:val="nil"/>
                <w:bottom w:val="nil"/>
                <w:right w:val="nil"/>
              </w:pBdr>
              <w:spacing w:after="0"/>
              <w:ind w:left="100" w:right="100"/>
              <w:jc w:val="center"/>
              <w:rPr>
                <w:rFonts w:ascii="Arial" w:hAnsi="Arial" w:cs="Arial"/>
                <w:color w:val="000000"/>
                <w:sz w:val="20"/>
                <w:szCs w:val="20"/>
                <w:lang w:val="en-US"/>
              </w:rPr>
            </w:pPr>
            <w:r w:rsidRPr="00F97EC3">
              <w:rPr>
                <w:rFonts w:ascii="Arial" w:hAnsi="Arial" w:cs="Arial"/>
                <w:color w:val="000000"/>
                <w:sz w:val="20"/>
                <w:szCs w:val="20"/>
                <w:lang w:val="en-US"/>
              </w:rPr>
              <w:t>4</w:t>
            </w:r>
          </w:p>
        </w:tc>
      </w:tr>
    </w:tbl>
    <w:p w14:paraId="5A63D152" w14:textId="77777777" w:rsidR="00390D6E" w:rsidRPr="00390D6E" w:rsidRDefault="00390D6E" w:rsidP="00390D6E">
      <w:pPr>
        <w:rPr>
          <w:highlight w:val="cyan"/>
          <w:lang w:val="en-US"/>
        </w:rPr>
      </w:pPr>
    </w:p>
    <w:p w14:paraId="3D6D95E3" w14:textId="77777777" w:rsidR="008E2185" w:rsidRPr="004C5D6E" w:rsidRDefault="008E2185" w:rsidP="008E2185">
      <w:pPr>
        <w:rPr>
          <w:b/>
          <w:bCs/>
          <w:i/>
          <w:iCs/>
          <w:lang w:val="en-US"/>
        </w:rPr>
      </w:pPr>
    </w:p>
    <w:p w14:paraId="301BF99C" w14:textId="77777777" w:rsidR="008E2185" w:rsidRPr="003B0EE3" w:rsidRDefault="008E2185" w:rsidP="008E2185">
      <w:pPr>
        <w:pStyle w:val="BodyText"/>
        <w:rPr>
          <w:rFonts w:asciiTheme="majorHAnsi" w:hAnsiTheme="majorHAnsi" w:cstheme="majorHAnsi"/>
          <w:lang w:val="en-US"/>
        </w:rPr>
      </w:pPr>
    </w:p>
    <w:p w14:paraId="3C43AED6" w14:textId="77777777" w:rsidR="008E2185" w:rsidRDefault="008E2185" w:rsidP="008E2185"/>
    <w:p w14:paraId="0B97276E" w14:textId="77777777" w:rsidR="008E2185" w:rsidRDefault="008E2185" w:rsidP="008E2185"/>
    <w:p w14:paraId="40D058B7" w14:textId="77777777" w:rsidR="008E2185" w:rsidRDefault="008E2185" w:rsidP="008E2185"/>
    <w:p w14:paraId="13E82F56" w14:textId="77777777" w:rsidR="008E2185" w:rsidRDefault="008E2185" w:rsidP="008E2185"/>
    <w:p w14:paraId="4D6CBB53" w14:textId="77777777" w:rsidR="008E2185" w:rsidRDefault="008E2185" w:rsidP="008E2185"/>
    <w:p w14:paraId="5F5B4B1F" w14:textId="77777777" w:rsidR="008E2185" w:rsidRDefault="008E2185" w:rsidP="008E2185"/>
    <w:p w14:paraId="4C5DDAA6" w14:textId="77777777" w:rsidR="008E2185" w:rsidRDefault="008E2185" w:rsidP="008E2185"/>
    <w:p w14:paraId="4799EBD8" w14:textId="77777777" w:rsidR="008E2185" w:rsidRDefault="008E2185" w:rsidP="008E2185"/>
    <w:p w14:paraId="76F999A1" w14:textId="77777777" w:rsidR="008E2185" w:rsidRDefault="008E2185" w:rsidP="008E2185"/>
    <w:p w14:paraId="60879F5C" w14:textId="77777777" w:rsidR="008E2185" w:rsidRDefault="008E2185" w:rsidP="008E2185"/>
    <w:p w14:paraId="4DF97F96" w14:textId="77777777" w:rsidR="008E2185" w:rsidRDefault="008E2185" w:rsidP="008E2185"/>
    <w:p w14:paraId="77A07E4C" w14:textId="77777777" w:rsidR="008E2185" w:rsidRDefault="008E2185" w:rsidP="008E2185"/>
    <w:p w14:paraId="631A1D86" w14:textId="77777777" w:rsidR="008E2185" w:rsidRPr="00F97EC3" w:rsidRDefault="008E2185" w:rsidP="008E2185">
      <w:pPr>
        <w:keepNext/>
        <w:spacing w:after="0"/>
        <w:jc w:val="both"/>
        <w:rPr>
          <w:rFonts w:ascii="Arial" w:hAnsi="Arial"/>
          <w:b/>
          <w:sz w:val="20"/>
          <w:lang w:val="en-US"/>
        </w:rPr>
      </w:pPr>
      <w:r w:rsidRPr="00F97EC3">
        <w:rPr>
          <w:rFonts w:ascii="Arial" w:hAnsi="Arial"/>
          <w:b/>
          <w:noProof/>
          <w:sz w:val="20"/>
          <w:lang w:val="en-US"/>
        </w:rPr>
        <w:lastRenderedPageBreak/>
        <w:drawing>
          <wp:inline distT="0" distB="0" distL="0" distR="0" wp14:anchorId="7FCD61AF" wp14:editId="12399BE4">
            <wp:extent cx="5067300" cy="7167891"/>
            <wp:effectExtent l="0" t="0" r="0" b="0"/>
            <wp:docPr id="429279949" name="Picture 1" descr="A map of the spatial changes in fishing effort in the Abrolhos Islands and Mid West Trawl Managed Fishery, comparing fishing effort in 2023 with the cumulative trawl footprint derived from 2010-2019 fishing activ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279949" name="Picture 1" descr="A map of the spatial changes in fishing effort in the Abrolhos Islands and Mid West Trawl Managed Fishery, comparing fishing effort in 2023 with the cumulative trawl footprint derived from 2010-2019 fishing activities. "/>
                    <pic:cNvPicPr/>
                  </pic:nvPicPr>
                  <pic:blipFill>
                    <a:blip r:embed="rId63"/>
                    <a:stretch>
                      <a:fillRect/>
                    </a:stretch>
                  </pic:blipFill>
                  <pic:spPr>
                    <a:xfrm>
                      <a:off x="0" y="0"/>
                      <a:ext cx="5077461" cy="7182264"/>
                    </a:xfrm>
                    <a:prstGeom prst="rect">
                      <a:avLst/>
                    </a:prstGeom>
                  </pic:spPr>
                </pic:pic>
              </a:graphicData>
            </a:graphic>
          </wp:inline>
        </w:drawing>
      </w:r>
    </w:p>
    <w:p w14:paraId="7BEB7784" w14:textId="64EA112C" w:rsidR="00390D6E" w:rsidRDefault="008E2185" w:rsidP="008E2185">
      <w:pPr>
        <w:pStyle w:val="Caption"/>
        <w:rPr>
          <w:lang w:val="en-US"/>
        </w:rPr>
      </w:pPr>
      <w:r>
        <w:t xml:space="preserve">Append. Figure </w:t>
      </w:r>
      <w:r>
        <w:fldChar w:fldCharType="begin"/>
      </w:r>
      <w:r>
        <w:instrText xml:space="preserve"> SEQ Figure \* ARABIC </w:instrText>
      </w:r>
      <w:r>
        <w:fldChar w:fldCharType="separate"/>
      </w:r>
      <w:r w:rsidR="00AB15B7">
        <w:rPr>
          <w:noProof/>
        </w:rPr>
        <w:t>8</w:t>
      </w:r>
      <w:r>
        <w:fldChar w:fldCharType="end"/>
      </w:r>
      <w:r>
        <w:t xml:space="preserve">: </w:t>
      </w:r>
      <w:r w:rsidRPr="00BF4203">
        <w:t xml:space="preserve">Spatial change in the AIMWTMF fishing effort for 2023 compared to the 2010-19 cumulative trawl footprint. Blue blocks indicate a retraction, yellow blocks indicate an </w:t>
      </w:r>
      <w:proofErr w:type="gramStart"/>
      <w:r w:rsidRPr="00BF4203">
        <w:t>expansion</w:t>
      </w:r>
      <w:proofErr w:type="gramEnd"/>
      <w:r w:rsidRPr="00BF4203">
        <w:t xml:space="preserve"> and green blocks indicate areas which remain fished between the 2010-19 </w:t>
      </w:r>
      <w:r w:rsidRPr="00F97EC3">
        <w:rPr>
          <w:lang w:val="en-US"/>
        </w:rPr>
        <w:t>cumulative and 2023 footprints. Individual blocks are representative of a 0.25 km</w:t>
      </w:r>
      <w:r w:rsidRPr="00F97EC3">
        <w:rPr>
          <w:vertAlign w:val="superscript"/>
          <w:lang w:val="en-US"/>
        </w:rPr>
        <w:t>2</w:t>
      </w:r>
      <w:r w:rsidRPr="00F97EC3">
        <w:rPr>
          <w:lang w:val="en-US"/>
        </w:rPr>
        <w:t xml:space="preserve"> area and have not been trimmed by management zones.</w:t>
      </w:r>
      <w:r w:rsidR="00390D6E">
        <w:rPr>
          <w:lang w:val="en-US"/>
        </w:rPr>
        <w:br w:type="page"/>
      </w:r>
    </w:p>
    <w:p w14:paraId="10543910" w14:textId="77777777" w:rsidR="008E2185" w:rsidRDefault="008E2185" w:rsidP="008E2185">
      <w:pPr>
        <w:rPr>
          <w:b/>
          <w:bCs/>
          <w:u w:val="single"/>
        </w:rPr>
      </w:pPr>
      <w:r>
        <w:rPr>
          <w:b/>
          <w:bCs/>
          <w:u w:val="single"/>
        </w:rPr>
        <w:lastRenderedPageBreak/>
        <w:t>SOUTH COAST TRAWL FISHERY</w:t>
      </w:r>
    </w:p>
    <w:p w14:paraId="0A1DE79E" w14:textId="0D3FE8FB" w:rsidR="008E2185" w:rsidRPr="003F640B" w:rsidRDefault="008E2185" w:rsidP="008E2185">
      <w:pPr>
        <w:pStyle w:val="Caption"/>
        <w:rPr>
          <w:b/>
          <w:bCs/>
          <w:u w:val="single"/>
        </w:rPr>
      </w:pPr>
      <w:bookmarkStart w:id="102" w:name="_Ref179449207"/>
      <w:r w:rsidRPr="006218B3">
        <w:rPr>
          <w:noProof/>
        </w:rPr>
        <w:drawing>
          <wp:anchor distT="0" distB="0" distL="114300" distR="114300" simplePos="0" relativeHeight="251658244" behindDoc="1" locked="0" layoutInCell="1" allowOverlap="1" wp14:anchorId="2143131D" wp14:editId="2541006D">
            <wp:simplePos x="0" y="0"/>
            <wp:positionH relativeFrom="margin">
              <wp:align>left</wp:align>
            </wp:positionH>
            <wp:positionV relativeFrom="paragraph">
              <wp:posOffset>389255</wp:posOffset>
            </wp:positionV>
            <wp:extent cx="6171565" cy="6134100"/>
            <wp:effectExtent l="0" t="0" r="635" b="0"/>
            <wp:wrapTight wrapText="bothSides">
              <wp:wrapPolygon edited="0">
                <wp:start x="0" y="0"/>
                <wp:lineTo x="0" y="21533"/>
                <wp:lineTo x="21536" y="21533"/>
                <wp:lineTo x="21536" y="0"/>
                <wp:lineTo x="0" y="0"/>
              </wp:wrapPolygon>
            </wp:wrapTight>
            <wp:docPr id="10042221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75279" cy="6137476"/>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fldChar w:fldCharType="begin"/>
      </w:r>
      <w:r>
        <w:instrText xml:space="preserve"> SEQ Table \* ARABIC </w:instrText>
      </w:r>
      <w:r>
        <w:fldChar w:fldCharType="separate"/>
      </w:r>
      <w:r w:rsidR="00AB15B7">
        <w:rPr>
          <w:noProof/>
        </w:rPr>
        <w:t>6</w:t>
      </w:r>
      <w:r>
        <w:fldChar w:fldCharType="end"/>
      </w:r>
      <w:bookmarkEnd w:id="102"/>
      <w:r>
        <w:t xml:space="preserve">: </w:t>
      </w:r>
      <w:r w:rsidRPr="00B364DE">
        <w:t>Historical catch and effort in the South Coast</w:t>
      </w:r>
      <w:r>
        <w:t xml:space="preserve"> F</w:t>
      </w:r>
      <w:r w:rsidRPr="00B364DE">
        <w:t>ishery. (NF – No fishing)</w:t>
      </w:r>
      <w:r>
        <w:t>.</w:t>
      </w:r>
    </w:p>
    <w:p w14:paraId="384B52D8" w14:textId="2A2794BC" w:rsidR="00390D6E" w:rsidRDefault="00390D6E" w:rsidP="008E2185">
      <w:pPr>
        <w:pStyle w:val="Caption"/>
      </w:pPr>
      <w:r>
        <w:br w:type="page"/>
      </w:r>
    </w:p>
    <w:p w14:paraId="7ABD3F7B" w14:textId="66C64A85" w:rsidR="008E2185" w:rsidRDefault="008E2185" w:rsidP="008E2185">
      <w:pPr>
        <w:pStyle w:val="Caption"/>
      </w:pPr>
      <w:r>
        <w:lastRenderedPageBreak/>
        <w:t xml:space="preserve">Table </w:t>
      </w:r>
      <w:r>
        <w:fldChar w:fldCharType="begin"/>
      </w:r>
      <w:r>
        <w:instrText xml:space="preserve"> SEQ Table \* ARABIC </w:instrText>
      </w:r>
      <w:r>
        <w:fldChar w:fldCharType="separate"/>
      </w:r>
      <w:r w:rsidR="00AB15B7">
        <w:rPr>
          <w:noProof/>
        </w:rPr>
        <w:t>7</w:t>
      </w:r>
      <w:r>
        <w:fldChar w:fldCharType="end"/>
      </w:r>
      <w:r>
        <w:t>: Area trawled by scallop vessels in the SCTF. Total Fishery is 57299.8 km2 or 16706.0 nm2 (NF - No fishing).</w:t>
      </w:r>
    </w:p>
    <w:p w14:paraId="493958A1" w14:textId="77777777" w:rsidR="008E2185" w:rsidRDefault="008E2185" w:rsidP="008E2185">
      <w:pPr>
        <w:rPr>
          <w:b/>
          <w:bCs/>
          <w:u w:val="single"/>
        </w:rPr>
      </w:pPr>
      <w:r w:rsidRPr="00460669">
        <w:rPr>
          <w:noProof/>
        </w:rPr>
        <w:drawing>
          <wp:inline distT="0" distB="0" distL="0" distR="0" wp14:anchorId="49BA149D" wp14:editId="02B59BA9">
            <wp:extent cx="3571875" cy="3124986"/>
            <wp:effectExtent l="0" t="0" r="0" b="0"/>
            <wp:docPr id="11842302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89994" cy="3140838"/>
                    </a:xfrm>
                    <a:prstGeom prst="rect">
                      <a:avLst/>
                    </a:prstGeom>
                    <a:noFill/>
                    <a:ln>
                      <a:noFill/>
                    </a:ln>
                  </pic:spPr>
                </pic:pic>
              </a:graphicData>
            </a:graphic>
          </wp:inline>
        </w:drawing>
      </w:r>
    </w:p>
    <w:p w14:paraId="0C44EA3F" w14:textId="42E13E9A" w:rsidR="009C0A9E" w:rsidRDefault="009C0A9E" w:rsidP="00E34FDB">
      <w:pPr>
        <w:rPr>
          <w:b/>
          <w:bCs/>
          <w:u w:val="single"/>
        </w:rPr>
      </w:pPr>
    </w:p>
    <w:p w14:paraId="226EC681" w14:textId="77777777" w:rsidR="008921CA" w:rsidRDefault="008921CA" w:rsidP="009C0A9E">
      <w:pPr>
        <w:pStyle w:val="DisclaimerHeading"/>
      </w:pPr>
    </w:p>
    <w:p w14:paraId="46EB218A" w14:textId="77777777" w:rsidR="008921CA" w:rsidRDefault="008921CA" w:rsidP="009C0A9E">
      <w:pPr>
        <w:pStyle w:val="DisclaimerHeading"/>
      </w:pPr>
    </w:p>
    <w:p w14:paraId="2A699CA2" w14:textId="77777777" w:rsidR="00FC26E2" w:rsidRDefault="00FC26E2" w:rsidP="009C0A9E">
      <w:pPr>
        <w:pStyle w:val="DisclaimerHeading"/>
      </w:pPr>
    </w:p>
    <w:p w14:paraId="1F6C52BA" w14:textId="77777777" w:rsidR="00FC26E2" w:rsidRDefault="00FC26E2" w:rsidP="009C0A9E">
      <w:pPr>
        <w:pStyle w:val="DisclaimerHeading"/>
      </w:pPr>
    </w:p>
    <w:p w14:paraId="530D41C2" w14:textId="77777777" w:rsidR="00FC26E2" w:rsidRDefault="00FC26E2" w:rsidP="009C0A9E">
      <w:pPr>
        <w:pStyle w:val="DisclaimerHeading"/>
      </w:pPr>
    </w:p>
    <w:p w14:paraId="2EB3F627" w14:textId="77777777" w:rsidR="00FC26E2" w:rsidRDefault="00FC26E2" w:rsidP="009C0A9E">
      <w:pPr>
        <w:pStyle w:val="DisclaimerHeading"/>
      </w:pPr>
    </w:p>
    <w:p w14:paraId="48D7B247" w14:textId="77777777" w:rsidR="00FC26E2" w:rsidRDefault="00FC26E2" w:rsidP="009C0A9E">
      <w:pPr>
        <w:pStyle w:val="DisclaimerHeading"/>
      </w:pPr>
    </w:p>
    <w:p w14:paraId="2E36B58F" w14:textId="77777777" w:rsidR="00FC26E2" w:rsidRDefault="00FC26E2" w:rsidP="009C0A9E">
      <w:pPr>
        <w:pStyle w:val="DisclaimerHeading"/>
      </w:pPr>
    </w:p>
    <w:p w14:paraId="539B0AB1" w14:textId="77777777" w:rsidR="008921CA" w:rsidRDefault="008921CA" w:rsidP="009C0A9E">
      <w:pPr>
        <w:pStyle w:val="DisclaimerHeading"/>
      </w:pPr>
    </w:p>
    <w:p w14:paraId="62218C39" w14:textId="77777777" w:rsidR="008921CA" w:rsidRDefault="008921CA" w:rsidP="009C0A9E">
      <w:pPr>
        <w:pStyle w:val="DisclaimerHeading"/>
      </w:pPr>
    </w:p>
    <w:p w14:paraId="73D674AA" w14:textId="01C478FA" w:rsidR="00FC26E2" w:rsidRDefault="00FC26E2" w:rsidP="00FC26E2">
      <w:pPr>
        <w:pStyle w:val="Heading1"/>
        <w:rPr>
          <w:lang w:val="en-US"/>
        </w:rPr>
      </w:pPr>
      <w:bookmarkStart w:id="103" w:name="_Toc183695849"/>
      <w:r w:rsidRPr="004C5D6E">
        <w:rPr>
          <w:lang w:val="en-US"/>
        </w:rPr>
        <w:lastRenderedPageBreak/>
        <w:t xml:space="preserve">Appendix </w:t>
      </w:r>
      <w:r>
        <w:rPr>
          <w:lang w:val="en-US"/>
        </w:rPr>
        <w:t>4 –</w:t>
      </w:r>
      <w:r w:rsidRPr="004C5D6E">
        <w:rPr>
          <w:lang w:val="en-US"/>
        </w:rPr>
        <w:t xml:space="preserve"> </w:t>
      </w:r>
      <w:r w:rsidR="00DA739D">
        <w:rPr>
          <w:lang w:val="en-US"/>
        </w:rPr>
        <w:t xml:space="preserve">AIMWTMF </w:t>
      </w:r>
      <w:r>
        <w:rPr>
          <w:lang w:val="en-US"/>
        </w:rPr>
        <w:t>Weight of Evidence Stock Assessment Report (2024)</w:t>
      </w:r>
      <w:bookmarkEnd w:id="103"/>
      <w:r>
        <w:rPr>
          <w:lang w:val="en-US"/>
        </w:rPr>
        <w:t xml:space="preserve"> </w:t>
      </w:r>
    </w:p>
    <w:p w14:paraId="1EC1828A" w14:textId="1EFC42D0" w:rsidR="00FC26E2" w:rsidRPr="00FC26E2" w:rsidRDefault="00FC26E2" w:rsidP="00FC26E2">
      <w:pPr>
        <w:rPr>
          <w:b/>
          <w:bCs/>
          <w:u w:val="single"/>
        </w:rPr>
      </w:pPr>
      <w:bookmarkStart w:id="104" w:name="_Hlk183690234"/>
      <w:r>
        <w:rPr>
          <w:b/>
          <w:bCs/>
        </w:rPr>
        <w:t>ECOSYSTEM BASED FISHERIES ASSESSMENT FOR THE ABROLHOS ISLANDS SAUCER SCALLOP FISHERY - 2023</w:t>
      </w:r>
    </w:p>
    <w:p w14:paraId="66930D00" w14:textId="77777777" w:rsidR="00FC26E2" w:rsidRDefault="00FC26E2" w:rsidP="00FC26E2">
      <w:pPr>
        <w:pStyle w:val="Compact"/>
      </w:pPr>
      <w:r>
        <w:t xml:space="preserve">Arani </w:t>
      </w:r>
      <w:proofErr w:type="spellStart"/>
      <w:r>
        <w:t>Chandrapavan</w:t>
      </w:r>
      <w:proofErr w:type="spellEnd"/>
      <w:r>
        <w:t>, Sharon Wilkin, Scott Evans and Jason How</w:t>
      </w:r>
    </w:p>
    <w:p w14:paraId="3266AF17" w14:textId="77777777" w:rsidR="00FC26E2" w:rsidRDefault="00FC26E2" w:rsidP="00FC26E2">
      <w:pPr>
        <w:pStyle w:val="Compact"/>
      </w:pPr>
      <w:r>
        <w:t>11</w:t>
      </w:r>
      <w:r w:rsidRPr="00F00315">
        <w:t xml:space="preserve"> </w:t>
      </w:r>
      <w:r>
        <w:t xml:space="preserve">March </w:t>
      </w:r>
      <w:r w:rsidRPr="00F00315">
        <w:t>2024</w:t>
      </w:r>
    </w:p>
    <w:p w14:paraId="6A123CDB" w14:textId="77777777" w:rsidR="00FC26E2" w:rsidRDefault="00FC26E2" w:rsidP="00FC26E2">
      <w:pPr>
        <w:pStyle w:val="Compact"/>
        <w:rPr>
          <w:b/>
          <w:bCs/>
        </w:rPr>
      </w:pPr>
    </w:p>
    <w:p w14:paraId="2AFABDC5" w14:textId="75C1ECE1" w:rsidR="00FC26E2" w:rsidRPr="0095616E" w:rsidRDefault="00FC26E2" w:rsidP="00FC26E2">
      <w:pPr>
        <w:pStyle w:val="Compact"/>
        <w:rPr>
          <w:b/>
          <w:bCs/>
          <w:sz w:val="28"/>
          <w:szCs w:val="28"/>
        </w:rPr>
      </w:pPr>
      <w:r w:rsidRPr="0095616E">
        <w:rPr>
          <w:b/>
          <w:bCs/>
          <w:sz w:val="28"/>
          <w:szCs w:val="28"/>
        </w:rPr>
        <w:t>Weight of Evidence Stock Assessment</w:t>
      </w:r>
    </w:p>
    <w:tbl>
      <w:tblPr>
        <w:tblStyle w:val="TableGrid"/>
        <w:tblW w:w="9815" w:type="dxa"/>
        <w:tblInd w:w="-431" w:type="dxa"/>
        <w:tblLook w:val="04A0" w:firstRow="1" w:lastRow="0" w:firstColumn="1" w:lastColumn="0" w:noHBand="0" w:noVBand="1"/>
      </w:tblPr>
      <w:tblGrid>
        <w:gridCol w:w="1663"/>
        <w:gridCol w:w="8152"/>
      </w:tblGrid>
      <w:tr w:rsidR="00DF389F" w14:paraId="1C21A39F" w14:textId="77777777" w:rsidTr="00DF389F">
        <w:trPr>
          <w:cnfStyle w:val="100000000000" w:firstRow="1" w:lastRow="0" w:firstColumn="0" w:lastColumn="0" w:oddVBand="0" w:evenVBand="0" w:oddHBand="0" w:evenHBand="0" w:firstRowFirstColumn="0" w:firstRowLastColumn="0" w:lastRowFirstColumn="0" w:lastRowLastColumn="0"/>
        </w:trPr>
        <w:tc>
          <w:tcPr>
            <w:tcW w:w="1663" w:type="dxa"/>
          </w:tcPr>
          <w:bookmarkEnd w:id="104"/>
          <w:p w14:paraId="4A789131" w14:textId="7A6C54B8" w:rsidR="00FC26E2" w:rsidRPr="0095616E" w:rsidRDefault="00FC26E2" w:rsidP="00FC26E2">
            <w:pPr>
              <w:pStyle w:val="Compact"/>
              <w:rPr>
                <w:rFonts w:asciiTheme="majorHAnsi" w:hAnsiTheme="majorHAnsi" w:cstheme="majorHAnsi"/>
                <w:b w:val="0"/>
                <w:bCs/>
              </w:rPr>
            </w:pPr>
            <w:r w:rsidRPr="0095616E">
              <w:rPr>
                <w:rFonts w:asciiTheme="majorHAnsi" w:hAnsiTheme="majorHAnsi" w:cstheme="majorHAnsi"/>
              </w:rPr>
              <w:t>Category</w:t>
            </w:r>
          </w:p>
        </w:tc>
        <w:tc>
          <w:tcPr>
            <w:tcW w:w="8152" w:type="dxa"/>
          </w:tcPr>
          <w:p w14:paraId="0E66E310" w14:textId="28FB0FEE" w:rsidR="00FC26E2" w:rsidRPr="0095616E" w:rsidRDefault="00FC26E2" w:rsidP="00FC26E2">
            <w:pPr>
              <w:pStyle w:val="Compact"/>
              <w:rPr>
                <w:rFonts w:asciiTheme="majorHAnsi" w:hAnsiTheme="majorHAnsi" w:cstheme="majorHAnsi"/>
                <w:b w:val="0"/>
                <w:bCs/>
              </w:rPr>
            </w:pPr>
            <w:r w:rsidRPr="0095616E">
              <w:rPr>
                <w:rFonts w:asciiTheme="majorHAnsi" w:hAnsiTheme="majorHAnsi" w:cstheme="majorHAnsi"/>
              </w:rPr>
              <w:t>Line of Evidence</w:t>
            </w:r>
          </w:p>
        </w:tc>
      </w:tr>
      <w:tr w:rsidR="00FC26E2" w14:paraId="0AF24701" w14:textId="77777777" w:rsidTr="00DF389F">
        <w:tc>
          <w:tcPr>
            <w:tcW w:w="1663" w:type="dxa"/>
          </w:tcPr>
          <w:p w14:paraId="22A84B93" w14:textId="1CEF9534" w:rsidR="00FC26E2" w:rsidRPr="0095616E" w:rsidRDefault="00FC26E2" w:rsidP="00FC26E2">
            <w:pPr>
              <w:pStyle w:val="Compact"/>
              <w:rPr>
                <w:rFonts w:asciiTheme="majorHAnsi" w:hAnsiTheme="majorHAnsi" w:cstheme="majorHAnsi"/>
              </w:rPr>
            </w:pPr>
            <w:r w:rsidRPr="0095616E">
              <w:rPr>
                <w:rFonts w:asciiTheme="majorHAnsi" w:hAnsiTheme="majorHAnsi" w:cstheme="majorHAnsi"/>
              </w:rPr>
              <w:t xml:space="preserve">L0 </w:t>
            </w:r>
            <w:r w:rsidRPr="0095616E">
              <w:rPr>
                <w:rFonts w:asciiTheme="majorHAnsi" w:hAnsiTheme="majorHAnsi" w:cstheme="majorHAnsi"/>
              </w:rPr>
              <w:br/>
              <w:t>Biology &amp; vulnerability</w:t>
            </w:r>
          </w:p>
        </w:tc>
        <w:tc>
          <w:tcPr>
            <w:tcW w:w="8152" w:type="dxa"/>
          </w:tcPr>
          <w:p w14:paraId="2D680771" w14:textId="2E3BBCE4" w:rsidR="00FC26E2" w:rsidRPr="0095616E" w:rsidRDefault="00FC26E2" w:rsidP="00FC26E2">
            <w:pPr>
              <w:pStyle w:val="Compact"/>
              <w:rPr>
                <w:rFonts w:asciiTheme="majorHAnsi" w:hAnsiTheme="majorHAnsi" w:cstheme="majorHAnsi"/>
              </w:rPr>
            </w:pPr>
            <w:r w:rsidRPr="0095616E">
              <w:rPr>
                <w:rFonts w:asciiTheme="majorHAnsi" w:hAnsiTheme="majorHAnsi" w:cstheme="majorHAnsi"/>
              </w:rPr>
              <w:t xml:space="preserve">The PSA score is </w:t>
            </w:r>
            <w:r w:rsidRPr="0095616E">
              <w:rPr>
                <w:rFonts w:asciiTheme="majorHAnsi" w:hAnsiTheme="majorHAnsi" w:cstheme="majorHAnsi"/>
                <w:b/>
                <w:bCs/>
                <w:color w:val="21574C" w:themeColor="accent3"/>
              </w:rPr>
              <w:t>LOW</w:t>
            </w:r>
            <w:r w:rsidRPr="0095616E">
              <w:rPr>
                <w:rFonts w:asciiTheme="majorHAnsi" w:hAnsiTheme="majorHAnsi" w:cstheme="majorHAnsi"/>
              </w:rPr>
              <w:t xml:space="preserve"> for this species. The score reflects this species being short-lived (maximum age ~2-3 years), highly fecund, broadcast spawning strategy, medium trophic level, but being highly selected by the fishing gear and exhibits low to moderate post-release mortality and negative impacts of increasing water temperatures. </w:t>
            </w:r>
          </w:p>
        </w:tc>
      </w:tr>
      <w:tr w:rsidR="00FC26E2" w14:paraId="0995F9D6" w14:textId="77777777" w:rsidTr="00DF389F">
        <w:tc>
          <w:tcPr>
            <w:tcW w:w="9815" w:type="dxa"/>
            <w:gridSpan w:val="2"/>
            <w:shd w:val="clear" w:color="auto" w:fill="D3F5FF" w:themeFill="accent1" w:themeFillTint="1A"/>
          </w:tcPr>
          <w:p w14:paraId="2F16D62F" w14:textId="77777777" w:rsidR="00FC26E2" w:rsidRPr="0095616E" w:rsidRDefault="00FC26E2" w:rsidP="00FC26E2">
            <w:pPr>
              <w:rPr>
                <w:rFonts w:asciiTheme="majorHAnsi" w:hAnsiTheme="majorHAnsi" w:cstheme="majorHAnsi"/>
                <w:b/>
                <w:bCs/>
                <w:u w:val="single"/>
              </w:rPr>
            </w:pPr>
            <w:r w:rsidRPr="0095616E">
              <w:rPr>
                <w:rFonts w:asciiTheme="majorHAnsi" w:hAnsiTheme="majorHAnsi" w:cstheme="majorHAnsi"/>
                <w:b/>
                <w:bCs/>
                <w:u w:val="single"/>
              </w:rPr>
              <w:t>L0 PSA Assessment</w:t>
            </w:r>
          </w:p>
          <w:p w14:paraId="1A23A4B7" w14:textId="77777777" w:rsidR="00FC26E2" w:rsidRPr="0095616E" w:rsidRDefault="00FC26E2" w:rsidP="00972AC9">
            <w:pPr>
              <w:pStyle w:val="Compact"/>
              <w:numPr>
                <w:ilvl w:val="0"/>
                <w:numId w:val="22"/>
              </w:numPr>
              <w:rPr>
                <w:rFonts w:asciiTheme="majorHAnsi" w:hAnsiTheme="majorHAnsi" w:cstheme="majorHAnsi"/>
                <w:b/>
                <w:bCs/>
              </w:rPr>
            </w:pPr>
            <w:r w:rsidRPr="0095616E">
              <w:rPr>
                <w:rFonts w:asciiTheme="majorHAnsi" w:hAnsiTheme="majorHAnsi" w:cstheme="majorHAnsi"/>
                <w:b/>
                <w:bCs/>
              </w:rPr>
              <w:t>Scallops are a highly productive species</w:t>
            </w:r>
          </w:p>
          <w:p w14:paraId="6472B993" w14:textId="77777777" w:rsidR="00FC26E2" w:rsidRPr="0095616E" w:rsidRDefault="00FC26E2" w:rsidP="00972AC9">
            <w:pPr>
              <w:pStyle w:val="Compact"/>
              <w:numPr>
                <w:ilvl w:val="0"/>
                <w:numId w:val="22"/>
              </w:numPr>
              <w:rPr>
                <w:rFonts w:asciiTheme="majorHAnsi" w:hAnsiTheme="majorHAnsi" w:cstheme="majorHAnsi"/>
                <w:b/>
                <w:bCs/>
              </w:rPr>
            </w:pPr>
            <w:r w:rsidRPr="0095616E">
              <w:rPr>
                <w:rFonts w:asciiTheme="majorHAnsi" w:hAnsiTheme="majorHAnsi" w:cstheme="majorHAnsi"/>
                <w:b/>
                <w:bCs/>
              </w:rPr>
              <w:t>There is strong selectivity by fishing gear, though post-release mortality is low to moderate</w:t>
            </w:r>
          </w:p>
          <w:p w14:paraId="72177951" w14:textId="204625FB" w:rsidR="00FC26E2" w:rsidRPr="0095616E" w:rsidRDefault="00FC26E2" w:rsidP="00FC26E2">
            <w:pPr>
              <w:pStyle w:val="Compact"/>
              <w:rPr>
                <w:rFonts w:asciiTheme="majorHAnsi" w:hAnsiTheme="majorHAnsi" w:cstheme="majorHAnsi"/>
              </w:rPr>
            </w:pPr>
            <w:r w:rsidRPr="0095616E">
              <w:rPr>
                <w:rFonts w:asciiTheme="majorHAnsi" w:hAnsiTheme="majorHAnsi" w:cstheme="majorHAnsi"/>
              </w:rPr>
              <w:t xml:space="preserve">Therefore, this species is at </w:t>
            </w:r>
            <w:r w:rsidRPr="0095616E">
              <w:rPr>
                <w:rFonts w:asciiTheme="majorHAnsi" w:hAnsiTheme="majorHAnsi" w:cstheme="majorHAnsi"/>
                <w:b/>
                <w:bCs/>
                <w:color w:val="21574C" w:themeColor="accent3"/>
              </w:rPr>
              <w:t>LOW</w:t>
            </w:r>
            <w:r w:rsidRPr="0095616E">
              <w:rPr>
                <w:rFonts w:asciiTheme="majorHAnsi" w:hAnsiTheme="majorHAnsi" w:cstheme="majorHAnsi"/>
              </w:rPr>
              <w:t xml:space="preserve"> risk based on its biology and vulnerability.</w:t>
            </w:r>
          </w:p>
        </w:tc>
      </w:tr>
      <w:tr w:rsidR="00FC26E2" w14:paraId="6288A460" w14:textId="77777777" w:rsidTr="00DF389F">
        <w:tc>
          <w:tcPr>
            <w:tcW w:w="1663" w:type="dxa"/>
          </w:tcPr>
          <w:p w14:paraId="227318CE" w14:textId="4C57C128" w:rsidR="00FC26E2" w:rsidRPr="0095616E" w:rsidRDefault="00FC26E2" w:rsidP="00FC26E2">
            <w:pPr>
              <w:pStyle w:val="Compact"/>
              <w:rPr>
                <w:rFonts w:asciiTheme="majorHAnsi" w:hAnsiTheme="majorHAnsi" w:cstheme="majorHAnsi"/>
              </w:rPr>
            </w:pPr>
            <w:r w:rsidRPr="0095616E">
              <w:rPr>
                <w:rFonts w:asciiTheme="majorHAnsi" w:hAnsiTheme="majorHAnsi" w:cstheme="majorHAnsi"/>
              </w:rPr>
              <w:t>L1 Catch</w:t>
            </w:r>
          </w:p>
        </w:tc>
        <w:tc>
          <w:tcPr>
            <w:tcW w:w="8152" w:type="dxa"/>
          </w:tcPr>
          <w:p w14:paraId="5D99F13F" w14:textId="1E6C9DA8" w:rsidR="00FC26E2" w:rsidRPr="0095616E" w:rsidRDefault="00FC26E2" w:rsidP="00FC26E2">
            <w:pPr>
              <w:rPr>
                <w:rFonts w:asciiTheme="majorHAnsi" w:hAnsiTheme="majorHAnsi" w:cstheme="majorHAnsi"/>
              </w:rPr>
            </w:pPr>
            <w:r w:rsidRPr="0095616E">
              <w:rPr>
                <w:rFonts w:asciiTheme="majorHAnsi" w:hAnsiTheme="majorHAnsi" w:cstheme="majorHAnsi"/>
              </w:rPr>
              <w:t>Annual scallop landings (meat weight) have fluctuated markedly from &lt; 20 t to up to 1300 t, with landings in most years being between 30 and 300 t (</w:t>
            </w:r>
            <w:r w:rsidR="00153E12">
              <w:rPr>
                <w:rFonts w:asciiTheme="majorHAnsi" w:hAnsiTheme="majorHAnsi" w:cstheme="majorHAnsi"/>
              </w:rPr>
              <w:t>Table 8</w:t>
            </w:r>
            <w:r w:rsidRPr="0095616E">
              <w:rPr>
                <w:rFonts w:asciiTheme="majorHAnsi" w:hAnsiTheme="majorHAnsi" w:cstheme="majorHAnsi"/>
              </w:rPr>
              <w:t xml:space="preserve">). The fishery has also been closed to fishing due to low abundance of scallops between 2012 and 2016 and scallop quality related to growth stunting during 2009. </w:t>
            </w:r>
          </w:p>
          <w:p w14:paraId="75C8F64B" w14:textId="083F89AE" w:rsidR="00FC26E2" w:rsidRPr="0095616E" w:rsidRDefault="00FC26E2" w:rsidP="00FC26E2">
            <w:pPr>
              <w:rPr>
                <w:rFonts w:asciiTheme="majorHAnsi" w:hAnsiTheme="majorHAnsi" w:cstheme="majorHAnsi"/>
              </w:rPr>
            </w:pPr>
            <w:r w:rsidRPr="0095616E">
              <w:rPr>
                <w:rFonts w:asciiTheme="majorHAnsi" w:hAnsiTheme="majorHAnsi" w:cstheme="majorHAnsi"/>
              </w:rPr>
              <w:t>Stock level was depleted at the end of 2021 leading to the closure of the fishery during 2022, however subsequent recruitment was not impaired, and the stock recovered to allow for commercial fishing during 2023. The 2023 catch landings of 263.4 t was the highest since 2016 (</w:t>
            </w:r>
            <w:r w:rsidR="00153E12">
              <w:rPr>
                <w:rFonts w:asciiTheme="majorHAnsi" w:hAnsiTheme="majorHAnsi" w:cstheme="majorHAnsi"/>
              </w:rPr>
              <w:t xml:space="preserve">Figure </w:t>
            </w:r>
            <w:r w:rsidR="00E12EF1">
              <w:rPr>
                <w:rFonts w:asciiTheme="majorHAnsi" w:hAnsiTheme="majorHAnsi" w:cstheme="majorHAnsi"/>
              </w:rPr>
              <w:t>9</w:t>
            </w:r>
            <w:r w:rsidRPr="0095616E">
              <w:rPr>
                <w:rFonts w:asciiTheme="majorHAnsi" w:hAnsiTheme="majorHAnsi" w:cstheme="majorHAnsi"/>
              </w:rPr>
              <w:t>) and well above the predicted catch range of 140-235 t.</w:t>
            </w:r>
          </w:p>
          <w:p w14:paraId="4DBE8270" w14:textId="2C5F053F" w:rsidR="00AD4C11" w:rsidRPr="0095616E" w:rsidRDefault="00AD4C11" w:rsidP="00FC26E2">
            <w:pPr>
              <w:rPr>
                <w:rFonts w:asciiTheme="majorHAnsi" w:hAnsiTheme="majorHAnsi" w:cstheme="majorHAnsi"/>
              </w:rPr>
            </w:pPr>
          </w:p>
          <w:p w14:paraId="399D977A" w14:textId="77777777" w:rsidR="00FC26E2" w:rsidRPr="0095616E" w:rsidRDefault="00FC26E2" w:rsidP="00FC26E2">
            <w:pPr>
              <w:pStyle w:val="Compact"/>
              <w:rPr>
                <w:rFonts w:asciiTheme="majorHAnsi" w:hAnsiTheme="majorHAnsi" w:cstheme="majorHAnsi"/>
              </w:rPr>
            </w:pPr>
            <w:r w:rsidRPr="0095616E">
              <w:rPr>
                <w:rFonts w:asciiTheme="majorHAnsi" w:hAnsiTheme="majorHAnsi" w:cstheme="majorHAnsi"/>
                <w:noProof/>
              </w:rPr>
              <w:lastRenderedPageBreak/>
              <w:drawing>
                <wp:inline distT="0" distB="0" distL="0" distR="0" wp14:anchorId="539654B4" wp14:editId="4AD38BCC">
                  <wp:extent cx="4965590" cy="2979354"/>
                  <wp:effectExtent l="0" t="0" r="6985" b="0"/>
                  <wp:docPr id="1050923182" name="Picture 10" descr="A bar graph depicting the annual catch of scallops by the AIMWTMF, as reported in the AIMWTMF 2024 Weight of Evidence Stock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923182" name="Picture 10" descr="A bar graph depicting the annual catch of scallops by the AIMWTMF, as reported in the AIMWTMF 2024 Weight of Evidence Stock Assessment. "/>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74828" cy="2984897"/>
                          </a:xfrm>
                          <a:prstGeom prst="rect">
                            <a:avLst/>
                          </a:prstGeom>
                        </pic:spPr>
                      </pic:pic>
                    </a:graphicData>
                  </a:graphic>
                </wp:inline>
              </w:drawing>
            </w:r>
          </w:p>
          <w:p w14:paraId="348B6403" w14:textId="4CBC9C22" w:rsidR="00FC26E2" w:rsidRPr="0095616E" w:rsidRDefault="00FC26E2" w:rsidP="00AD4C11">
            <w:pPr>
              <w:pStyle w:val="Caption"/>
              <w:rPr>
                <w:rFonts w:asciiTheme="majorHAnsi" w:hAnsiTheme="majorHAnsi" w:cstheme="majorHAnsi"/>
              </w:rPr>
            </w:pPr>
            <w:r w:rsidRPr="0095616E">
              <w:rPr>
                <w:rFonts w:asciiTheme="majorHAnsi" w:hAnsiTheme="majorHAnsi" w:cstheme="majorHAnsi"/>
              </w:rPr>
              <w:t xml:space="preserve">Figure </w:t>
            </w:r>
            <w:r w:rsidRPr="0095616E">
              <w:rPr>
                <w:rFonts w:asciiTheme="majorHAnsi" w:hAnsiTheme="majorHAnsi" w:cstheme="majorHAnsi"/>
              </w:rPr>
              <w:fldChar w:fldCharType="begin"/>
            </w:r>
            <w:r w:rsidRPr="0095616E">
              <w:rPr>
                <w:rFonts w:asciiTheme="majorHAnsi" w:hAnsiTheme="majorHAnsi" w:cstheme="majorHAnsi"/>
              </w:rPr>
              <w:instrText xml:space="preserve"> SEQ Figure \* ARABIC </w:instrText>
            </w:r>
            <w:r w:rsidRPr="0095616E">
              <w:rPr>
                <w:rFonts w:asciiTheme="majorHAnsi" w:hAnsiTheme="majorHAnsi" w:cstheme="majorHAnsi"/>
              </w:rPr>
              <w:fldChar w:fldCharType="separate"/>
            </w:r>
            <w:r w:rsidR="00AB15B7">
              <w:rPr>
                <w:rFonts w:asciiTheme="majorHAnsi" w:hAnsiTheme="majorHAnsi" w:cstheme="majorHAnsi"/>
                <w:noProof/>
              </w:rPr>
              <w:t>9</w:t>
            </w:r>
            <w:r w:rsidRPr="0095616E">
              <w:rPr>
                <w:rFonts w:asciiTheme="majorHAnsi" w:hAnsiTheme="majorHAnsi" w:cstheme="majorHAnsi"/>
              </w:rPr>
              <w:fldChar w:fldCharType="end"/>
            </w:r>
            <w:r w:rsidRPr="0095616E">
              <w:rPr>
                <w:rFonts w:asciiTheme="majorHAnsi" w:hAnsiTheme="majorHAnsi" w:cstheme="majorHAnsi"/>
              </w:rPr>
              <w:t xml:space="preserve"> Annual catch (meat weight; t) of scallops from the Abrolhos Islands </w:t>
            </w:r>
            <w:proofErr w:type="spellStart"/>
            <w:r w:rsidRPr="0095616E">
              <w:rPr>
                <w:rFonts w:asciiTheme="majorHAnsi" w:hAnsiTheme="majorHAnsi" w:cstheme="majorHAnsi"/>
              </w:rPr>
              <w:t>Mid West</w:t>
            </w:r>
            <w:proofErr w:type="spellEnd"/>
            <w:r w:rsidRPr="0095616E">
              <w:rPr>
                <w:rFonts w:asciiTheme="majorHAnsi" w:hAnsiTheme="majorHAnsi" w:cstheme="majorHAnsi"/>
              </w:rPr>
              <w:t xml:space="preserve"> Trawl Managed Fishery. Fishery was closed during 2009, 2012-2016 and 2022.</w:t>
            </w:r>
          </w:p>
        </w:tc>
      </w:tr>
      <w:tr w:rsidR="00AD4C11" w14:paraId="4754BF46" w14:textId="77777777" w:rsidTr="00DF389F">
        <w:tc>
          <w:tcPr>
            <w:tcW w:w="1663" w:type="dxa"/>
          </w:tcPr>
          <w:p w14:paraId="3BBF6F6A" w14:textId="6FB69664" w:rsidR="00AD4C11" w:rsidRPr="0095616E" w:rsidRDefault="00AD4C11" w:rsidP="00AD4C11">
            <w:pPr>
              <w:pStyle w:val="Compact"/>
              <w:rPr>
                <w:rFonts w:asciiTheme="majorHAnsi" w:hAnsiTheme="majorHAnsi" w:cstheme="majorHAnsi"/>
              </w:rPr>
            </w:pPr>
            <w:r w:rsidRPr="0095616E">
              <w:rPr>
                <w:rFonts w:asciiTheme="majorHAnsi" w:hAnsiTheme="majorHAnsi" w:cstheme="majorHAnsi"/>
              </w:rPr>
              <w:lastRenderedPageBreak/>
              <w:t>L1 Spatial/ Temporal Catch Distribution</w:t>
            </w:r>
          </w:p>
        </w:tc>
        <w:tc>
          <w:tcPr>
            <w:tcW w:w="8152" w:type="dxa"/>
          </w:tcPr>
          <w:p w14:paraId="4AB45BA9" w14:textId="06C5E97B" w:rsidR="00AD4C11" w:rsidRPr="0095616E" w:rsidRDefault="00AD4C11" w:rsidP="00AD4C11">
            <w:pPr>
              <w:rPr>
                <w:rFonts w:asciiTheme="majorHAnsi" w:hAnsiTheme="majorHAnsi" w:cstheme="majorHAnsi"/>
              </w:rPr>
            </w:pPr>
            <w:r w:rsidRPr="0095616E">
              <w:rPr>
                <w:rFonts w:asciiTheme="majorHAnsi" w:hAnsiTheme="majorHAnsi" w:cstheme="majorHAnsi"/>
              </w:rPr>
              <w:t xml:space="preserve">There are </w:t>
            </w:r>
            <w:proofErr w:type="gramStart"/>
            <w:r w:rsidRPr="0095616E">
              <w:rPr>
                <w:rFonts w:asciiTheme="majorHAnsi" w:hAnsiTheme="majorHAnsi" w:cstheme="majorHAnsi"/>
              </w:rPr>
              <w:t>a number of</w:t>
            </w:r>
            <w:proofErr w:type="gramEnd"/>
            <w:r w:rsidRPr="0095616E">
              <w:rPr>
                <w:rFonts w:asciiTheme="majorHAnsi" w:hAnsiTheme="majorHAnsi" w:cstheme="majorHAnsi"/>
              </w:rPr>
              <w:t xml:space="preserve"> different scallop grounds which are accessed by the AIMWTMF (</w:t>
            </w:r>
            <w:r w:rsidR="005A62ED">
              <w:rPr>
                <w:rFonts w:asciiTheme="majorHAnsi" w:hAnsiTheme="majorHAnsi" w:cstheme="majorHAnsi"/>
              </w:rPr>
              <w:t>Figure 10</w:t>
            </w:r>
            <w:r w:rsidRPr="0095616E">
              <w:rPr>
                <w:rFonts w:asciiTheme="majorHAnsi" w:hAnsiTheme="majorHAnsi" w:cstheme="majorHAnsi"/>
              </w:rPr>
              <w:t xml:space="preserve">). Approximately ~80% of the catch in 2023 was retained from within the northern range of established fishing grounds which is </w:t>
            </w:r>
            <w:proofErr w:type="gramStart"/>
            <w:r w:rsidRPr="0095616E">
              <w:rPr>
                <w:rFonts w:asciiTheme="majorHAnsi" w:hAnsiTheme="majorHAnsi" w:cstheme="majorHAnsi"/>
              </w:rPr>
              <w:t>similar to</w:t>
            </w:r>
            <w:proofErr w:type="gramEnd"/>
            <w:r w:rsidRPr="0095616E">
              <w:rPr>
                <w:rFonts w:asciiTheme="majorHAnsi" w:hAnsiTheme="majorHAnsi" w:cstheme="majorHAnsi"/>
              </w:rPr>
              <w:t xml:space="preserve"> 2021fishing season (</w:t>
            </w:r>
            <w:r w:rsidR="005A62ED">
              <w:rPr>
                <w:rFonts w:asciiTheme="majorHAnsi" w:hAnsiTheme="majorHAnsi" w:cstheme="majorHAnsi"/>
              </w:rPr>
              <w:t>Figure 10</w:t>
            </w:r>
            <w:r w:rsidRPr="0095616E">
              <w:rPr>
                <w:rFonts w:asciiTheme="majorHAnsi" w:hAnsiTheme="majorHAnsi" w:cstheme="majorHAnsi"/>
              </w:rPr>
              <w:t xml:space="preserve">). However, there was a slight expansion during 2023 with grounds fished to the east of Hummocks, </w:t>
            </w:r>
            <w:proofErr w:type="spellStart"/>
            <w:r w:rsidRPr="0095616E">
              <w:rPr>
                <w:rFonts w:asciiTheme="majorHAnsi" w:hAnsiTheme="majorHAnsi" w:cstheme="majorHAnsi"/>
              </w:rPr>
              <w:t>Geelvink</w:t>
            </w:r>
            <w:proofErr w:type="spellEnd"/>
            <w:r w:rsidRPr="0095616E">
              <w:rPr>
                <w:rFonts w:asciiTheme="majorHAnsi" w:hAnsiTheme="majorHAnsi" w:cstheme="majorHAnsi"/>
              </w:rPr>
              <w:t xml:space="preserve"> and West Boundary. The overall similarity of catch distributions between 2021 and 2023, indicates that serial depletion does not appear to be occurring.</w:t>
            </w:r>
          </w:p>
          <w:p w14:paraId="042D3A70" w14:textId="77777777" w:rsidR="00AD4C11" w:rsidRPr="0095616E" w:rsidRDefault="00AD4C11" w:rsidP="00AD4C11">
            <w:pPr>
              <w:rPr>
                <w:rFonts w:asciiTheme="majorHAnsi" w:hAnsiTheme="majorHAnsi" w:cstheme="majorHAnsi"/>
              </w:rPr>
            </w:pPr>
          </w:p>
          <w:p w14:paraId="56279E92" w14:textId="77777777" w:rsidR="00AD4C11" w:rsidRPr="0095616E" w:rsidRDefault="00AD4C11" w:rsidP="00AD4C11">
            <w:pPr>
              <w:rPr>
                <w:rFonts w:asciiTheme="majorHAnsi" w:hAnsiTheme="majorHAnsi" w:cstheme="majorHAnsi"/>
              </w:rPr>
            </w:pPr>
            <w:r w:rsidRPr="0095616E">
              <w:rPr>
                <w:rFonts w:asciiTheme="majorHAnsi" w:hAnsiTheme="majorHAnsi" w:cstheme="majorHAnsi"/>
                <w:noProof/>
              </w:rPr>
              <w:drawing>
                <wp:inline distT="0" distB="0" distL="0" distR="0" wp14:anchorId="6668A665" wp14:editId="1B48B7B1">
                  <wp:extent cx="4869318" cy="3382179"/>
                  <wp:effectExtent l="0" t="0" r="7620" b="8890"/>
                  <wp:docPr id="2099687857" name="Picture 2" descr="Two maps indicating the proportion of annual scallop catch in 2021 and 2023 from 5 x 5 nautical mile blo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87857" name="Picture 2" descr="Two maps indicating the proportion of annual scallop catch in 2021 and 2023 from 5 x 5 nautical mile blocks. "/>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88517" cy="3395515"/>
                          </a:xfrm>
                          <a:prstGeom prst="rect">
                            <a:avLst/>
                          </a:prstGeom>
                          <a:noFill/>
                        </pic:spPr>
                      </pic:pic>
                    </a:graphicData>
                  </a:graphic>
                </wp:inline>
              </w:drawing>
            </w:r>
          </w:p>
          <w:p w14:paraId="48FB369B" w14:textId="5E677E82" w:rsidR="00AD4C11" w:rsidRPr="0095616E" w:rsidRDefault="00AD4C11" w:rsidP="00AD4C11">
            <w:pPr>
              <w:pStyle w:val="Caption"/>
              <w:rPr>
                <w:rFonts w:asciiTheme="majorHAnsi" w:hAnsiTheme="majorHAnsi" w:cstheme="majorHAnsi"/>
              </w:rPr>
            </w:pPr>
            <w:r w:rsidRPr="0095616E">
              <w:rPr>
                <w:rFonts w:asciiTheme="majorHAnsi" w:hAnsiTheme="majorHAnsi" w:cstheme="majorHAnsi"/>
              </w:rPr>
              <w:lastRenderedPageBreak/>
              <w:t xml:space="preserve">Figure </w:t>
            </w:r>
            <w:r w:rsidRPr="0095616E">
              <w:rPr>
                <w:rFonts w:asciiTheme="majorHAnsi" w:hAnsiTheme="majorHAnsi" w:cstheme="majorHAnsi"/>
              </w:rPr>
              <w:fldChar w:fldCharType="begin"/>
            </w:r>
            <w:r w:rsidRPr="0095616E">
              <w:rPr>
                <w:rFonts w:asciiTheme="majorHAnsi" w:hAnsiTheme="majorHAnsi" w:cstheme="majorHAnsi"/>
              </w:rPr>
              <w:instrText xml:space="preserve"> SEQ Figure \* ARABIC </w:instrText>
            </w:r>
            <w:r w:rsidRPr="0095616E">
              <w:rPr>
                <w:rFonts w:asciiTheme="majorHAnsi" w:hAnsiTheme="majorHAnsi" w:cstheme="majorHAnsi"/>
              </w:rPr>
              <w:fldChar w:fldCharType="separate"/>
            </w:r>
            <w:r w:rsidR="00AB15B7">
              <w:rPr>
                <w:rFonts w:asciiTheme="majorHAnsi" w:hAnsiTheme="majorHAnsi" w:cstheme="majorHAnsi"/>
                <w:noProof/>
              </w:rPr>
              <w:t>10</w:t>
            </w:r>
            <w:r w:rsidRPr="0095616E">
              <w:rPr>
                <w:rFonts w:asciiTheme="majorHAnsi" w:hAnsiTheme="majorHAnsi" w:cstheme="majorHAnsi"/>
              </w:rPr>
              <w:fldChar w:fldCharType="end"/>
            </w:r>
            <w:r w:rsidRPr="0095616E">
              <w:rPr>
                <w:rFonts w:asciiTheme="majorHAnsi" w:hAnsiTheme="majorHAnsi" w:cstheme="majorHAnsi"/>
              </w:rPr>
              <w:t xml:space="preserve"> Proportion of annual catch of scallops in 2021 (left) and 2023 (right) from 5 x 5 nautical mile blocks. </w:t>
            </w:r>
          </w:p>
          <w:p w14:paraId="686AC3E7" w14:textId="312FAA44" w:rsidR="00AD4C11" w:rsidRPr="0095616E" w:rsidRDefault="00AD4C11" w:rsidP="00AD4C11">
            <w:pPr>
              <w:rPr>
                <w:rFonts w:asciiTheme="majorHAnsi" w:hAnsiTheme="majorHAnsi" w:cstheme="majorHAnsi"/>
              </w:rPr>
            </w:pPr>
            <w:r w:rsidRPr="0095616E">
              <w:rPr>
                <w:rFonts w:asciiTheme="majorHAnsi" w:hAnsiTheme="majorHAnsi" w:cstheme="majorHAnsi"/>
              </w:rPr>
              <w:t xml:space="preserve">Catch in 2023 was also accessed during the typical period for this fishery, from April – July. Occasional fishing has occurred either side of this </w:t>
            </w:r>
            <w:proofErr w:type="gramStart"/>
            <w:r w:rsidRPr="0095616E">
              <w:rPr>
                <w:rFonts w:asciiTheme="majorHAnsi" w:hAnsiTheme="majorHAnsi" w:cstheme="majorHAnsi"/>
              </w:rPr>
              <w:t>time period</w:t>
            </w:r>
            <w:proofErr w:type="gramEnd"/>
            <w:r w:rsidRPr="0095616E">
              <w:rPr>
                <w:rFonts w:asciiTheme="majorHAnsi" w:hAnsiTheme="majorHAnsi" w:cstheme="majorHAnsi"/>
              </w:rPr>
              <w:t xml:space="preserve"> (March and August), though these catches have been comparatively lower than the main months (</w:t>
            </w:r>
            <w:r w:rsidR="005A62ED">
              <w:rPr>
                <w:rFonts w:asciiTheme="majorHAnsi" w:hAnsiTheme="majorHAnsi" w:cstheme="majorHAnsi"/>
              </w:rPr>
              <w:t>Figure 11</w:t>
            </w:r>
            <w:r w:rsidRPr="0095616E">
              <w:rPr>
                <w:rFonts w:asciiTheme="majorHAnsi" w:hAnsiTheme="majorHAnsi" w:cstheme="majorHAnsi"/>
              </w:rPr>
              <w:fldChar w:fldCharType="begin"/>
            </w:r>
            <w:r w:rsidRPr="0095616E">
              <w:rPr>
                <w:rFonts w:asciiTheme="majorHAnsi" w:hAnsiTheme="majorHAnsi" w:cstheme="majorHAnsi"/>
              </w:rPr>
              <w:instrText xml:space="preserve"> REF _Ref156390319 \h  \* MERGEFORMAT </w:instrText>
            </w:r>
            <w:r w:rsidRPr="0095616E">
              <w:rPr>
                <w:rFonts w:asciiTheme="majorHAnsi" w:hAnsiTheme="majorHAnsi" w:cstheme="majorHAnsi"/>
              </w:rPr>
            </w:r>
            <w:r w:rsidRPr="0095616E">
              <w:rPr>
                <w:rFonts w:asciiTheme="majorHAnsi" w:hAnsiTheme="majorHAnsi" w:cstheme="majorHAnsi"/>
              </w:rPr>
              <w:fldChar w:fldCharType="separate"/>
            </w:r>
            <w:r w:rsidRPr="0095616E">
              <w:rPr>
                <w:rFonts w:asciiTheme="majorHAnsi" w:hAnsiTheme="majorHAnsi" w:cstheme="majorHAnsi"/>
              </w:rPr>
              <w:fldChar w:fldCharType="end"/>
            </w:r>
            <w:r w:rsidRPr="0095616E">
              <w:rPr>
                <w:rFonts w:asciiTheme="majorHAnsi" w:hAnsiTheme="majorHAnsi" w:cstheme="majorHAnsi"/>
              </w:rPr>
              <w:t>).</w:t>
            </w:r>
          </w:p>
          <w:p w14:paraId="62EA6ED3" w14:textId="77777777" w:rsidR="00AD4C11" w:rsidRPr="0095616E" w:rsidRDefault="00AD4C11" w:rsidP="00AD4C11">
            <w:pPr>
              <w:rPr>
                <w:rFonts w:asciiTheme="majorHAnsi" w:hAnsiTheme="majorHAnsi" w:cstheme="majorHAnsi"/>
              </w:rPr>
            </w:pPr>
            <w:r w:rsidRPr="0095616E">
              <w:rPr>
                <w:rFonts w:asciiTheme="majorHAnsi" w:hAnsiTheme="majorHAnsi" w:cstheme="majorHAnsi"/>
                <w:noProof/>
              </w:rPr>
              <w:drawing>
                <wp:inline distT="0" distB="0" distL="0" distR="0" wp14:anchorId="2576BB03" wp14:editId="626EDD80">
                  <wp:extent cx="4795284" cy="2877170"/>
                  <wp:effectExtent l="0" t="0" r="5715" b="0"/>
                  <wp:docPr id="2117712476" name="Picture 8" descr="A graph showing different colored squares that represent the proportion of catch retained in each month by the AIMWTMF, as reported in the AIMWTMF 2024 Weight of Evidence Stock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712476" name="Picture 8" descr="A graph showing different colored squares that represent the proportion of catch retained in each month by the AIMWTMF, as reported in the AIMWTMF 2024 Weight of Evidence Stock Assessment. "/>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805106" cy="2883063"/>
                          </a:xfrm>
                          <a:prstGeom prst="rect">
                            <a:avLst/>
                          </a:prstGeom>
                        </pic:spPr>
                      </pic:pic>
                    </a:graphicData>
                  </a:graphic>
                </wp:inline>
              </w:drawing>
            </w:r>
          </w:p>
          <w:p w14:paraId="3A220CE0" w14:textId="3113F3BD" w:rsidR="00AD4C11" w:rsidRPr="0095616E" w:rsidRDefault="00AD4C11" w:rsidP="00AD4C11">
            <w:pPr>
              <w:rPr>
                <w:rFonts w:asciiTheme="majorHAnsi" w:hAnsiTheme="majorHAnsi" w:cstheme="majorHAnsi"/>
                <w:i/>
                <w:iCs/>
              </w:rPr>
            </w:pPr>
            <w:r w:rsidRPr="0095616E">
              <w:rPr>
                <w:rFonts w:asciiTheme="majorHAnsi" w:hAnsiTheme="majorHAnsi" w:cstheme="majorHAnsi"/>
                <w:i/>
                <w:iCs/>
              </w:rPr>
              <w:t xml:space="preserve">Figure </w:t>
            </w:r>
            <w:r w:rsidRPr="0095616E">
              <w:rPr>
                <w:rFonts w:asciiTheme="majorHAnsi" w:hAnsiTheme="majorHAnsi" w:cstheme="majorHAnsi"/>
                <w:i/>
                <w:iCs/>
              </w:rPr>
              <w:fldChar w:fldCharType="begin"/>
            </w:r>
            <w:r w:rsidRPr="0095616E">
              <w:rPr>
                <w:rFonts w:asciiTheme="majorHAnsi" w:hAnsiTheme="majorHAnsi" w:cstheme="majorHAnsi"/>
                <w:i/>
                <w:iCs/>
              </w:rPr>
              <w:instrText xml:space="preserve"> SEQ Figure \* ARABIC </w:instrText>
            </w:r>
            <w:r w:rsidRPr="0095616E">
              <w:rPr>
                <w:rFonts w:asciiTheme="majorHAnsi" w:hAnsiTheme="majorHAnsi" w:cstheme="majorHAnsi"/>
                <w:i/>
                <w:iCs/>
              </w:rPr>
              <w:fldChar w:fldCharType="separate"/>
            </w:r>
            <w:r w:rsidR="00AB15B7">
              <w:rPr>
                <w:rFonts w:asciiTheme="majorHAnsi" w:hAnsiTheme="majorHAnsi" w:cstheme="majorHAnsi"/>
                <w:i/>
                <w:iCs/>
                <w:noProof/>
              </w:rPr>
              <w:t>11</w:t>
            </w:r>
            <w:r w:rsidRPr="0095616E">
              <w:rPr>
                <w:rFonts w:asciiTheme="majorHAnsi" w:hAnsiTheme="majorHAnsi" w:cstheme="majorHAnsi"/>
                <w:i/>
                <w:iCs/>
              </w:rPr>
              <w:fldChar w:fldCharType="end"/>
            </w:r>
            <w:r w:rsidRPr="0095616E">
              <w:rPr>
                <w:rFonts w:asciiTheme="majorHAnsi" w:hAnsiTheme="majorHAnsi" w:cstheme="majorHAnsi"/>
                <w:i/>
                <w:iCs/>
              </w:rPr>
              <w:t xml:space="preserve"> Proportion of catch (see legend) retained in each month by year for scallops accessed by the</w:t>
            </w:r>
            <w:r w:rsidRPr="0095616E">
              <w:rPr>
                <w:rFonts w:asciiTheme="majorHAnsi" w:hAnsiTheme="majorHAnsi" w:cstheme="majorHAnsi"/>
                <w:i/>
                <w:iCs/>
                <w:color w:val="21574C" w:themeColor="accent3"/>
              </w:rPr>
              <w:t xml:space="preserve"> </w:t>
            </w:r>
            <w:r w:rsidRPr="0095616E">
              <w:rPr>
                <w:rFonts w:asciiTheme="majorHAnsi" w:hAnsiTheme="majorHAnsi" w:cstheme="majorHAnsi"/>
                <w:i/>
                <w:iCs/>
              </w:rPr>
              <w:t xml:space="preserve">AIMWTMF. Thick lines </w:t>
            </w:r>
            <w:proofErr w:type="gramStart"/>
            <w:r w:rsidRPr="0095616E">
              <w:rPr>
                <w:rFonts w:asciiTheme="majorHAnsi" w:hAnsiTheme="majorHAnsi" w:cstheme="majorHAnsi"/>
                <w:i/>
                <w:iCs/>
              </w:rPr>
              <w:t>denotes</w:t>
            </w:r>
            <w:proofErr w:type="gramEnd"/>
            <w:r w:rsidRPr="0095616E">
              <w:rPr>
                <w:rFonts w:asciiTheme="majorHAnsi" w:hAnsiTheme="majorHAnsi" w:cstheme="majorHAnsi"/>
                <w:i/>
                <w:iCs/>
              </w:rPr>
              <w:t xml:space="preserve"> the start and end of the fishing season</w:t>
            </w:r>
          </w:p>
        </w:tc>
      </w:tr>
      <w:tr w:rsidR="00AD4C11" w14:paraId="6955ACC0" w14:textId="77777777" w:rsidTr="00DF389F">
        <w:tc>
          <w:tcPr>
            <w:tcW w:w="1663" w:type="dxa"/>
          </w:tcPr>
          <w:p w14:paraId="5F3740A8" w14:textId="2A3B59A9" w:rsidR="00AD4C11" w:rsidRPr="0095616E" w:rsidRDefault="00AD4C11" w:rsidP="00AD4C11">
            <w:pPr>
              <w:pStyle w:val="Compact"/>
              <w:rPr>
                <w:rFonts w:asciiTheme="majorHAnsi" w:hAnsiTheme="majorHAnsi" w:cstheme="majorHAnsi"/>
              </w:rPr>
            </w:pPr>
            <w:r w:rsidRPr="0095616E">
              <w:rPr>
                <w:rFonts w:asciiTheme="majorHAnsi" w:hAnsiTheme="majorHAnsi" w:cstheme="majorHAnsi"/>
              </w:rPr>
              <w:lastRenderedPageBreak/>
              <w:t>L1 Catch MSY</w:t>
            </w:r>
          </w:p>
        </w:tc>
        <w:tc>
          <w:tcPr>
            <w:tcW w:w="8152" w:type="dxa"/>
          </w:tcPr>
          <w:p w14:paraId="65B845AB" w14:textId="41EB79EB" w:rsidR="00AD4C11" w:rsidRPr="0095616E" w:rsidRDefault="00AD4C11" w:rsidP="00AD4C11">
            <w:pPr>
              <w:rPr>
                <w:rFonts w:asciiTheme="majorHAnsi" w:hAnsiTheme="majorHAnsi" w:cstheme="majorHAnsi"/>
              </w:rPr>
            </w:pPr>
            <w:r w:rsidRPr="0095616E">
              <w:rPr>
                <w:rFonts w:asciiTheme="majorHAnsi" w:hAnsiTheme="majorHAnsi" w:cstheme="majorHAnsi"/>
              </w:rPr>
              <w:t>A catch MSY assessment has not been undertaken for this component of the resource to date</w:t>
            </w:r>
          </w:p>
        </w:tc>
      </w:tr>
      <w:tr w:rsidR="00AD4C11" w14:paraId="1DCBB36A" w14:textId="77777777" w:rsidTr="00DF389F">
        <w:tc>
          <w:tcPr>
            <w:tcW w:w="9815" w:type="dxa"/>
            <w:gridSpan w:val="2"/>
            <w:shd w:val="clear" w:color="auto" w:fill="D3F5FF" w:themeFill="accent1" w:themeFillTint="1A"/>
          </w:tcPr>
          <w:p w14:paraId="79529D68" w14:textId="77777777" w:rsidR="00AD4C11" w:rsidRPr="0095616E" w:rsidRDefault="00AD4C11" w:rsidP="00AD4C11">
            <w:pPr>
              <w:rPr>
                <w:rFonts w:asciiTheme="majorHAnsi" w:hAnsiTheme="majorHAnsi" w:cstheme="majorHAnsi"/>
                <w:b/>
                <w:bCs/>
                <w:u w:val="single"/>
              </w:rPr>
            </w:pPr>
            <w:r w:rsidRPr="0095616E">
              <w:rPr>
                <w:rFonts w:asciiTheme="majorHAnsi" w:hAnsiTheme="majorHAnsi" w:cstheme="majorHAnsi"/>
                <w:b/>
                <w:bCs/>
                <w:u w:val="single"/>
              </w:rPr>
              <w:t xml:space="preserve">L1 Assessment </w:t>
            </w:r>
          </w:p>
          <w:p w14:paraId="716DA68C" w14:textId="77777777" w:rsidR="00AD4C11" w:rsidRPr="0095616E" w:rsidRDefault="00AD4C11" w:rsidP="00972AC9">
            <w:pPr>
              <w:pStyle w:val="Compact"/>
              <w:numPr>
                <w:ilvl w:val="0"/>
                <w:numId w:val="22"/>
              </w:numPr>
              <w:rPr>
                <w:rFonts w:asciiTheme="majorHAnsi" w:hAnsiTheme="majorHAnsi" w:cstheme="majorHAnsi"/>
                <w:b/>
                <w:bCs/>
              </w:rPr>
            </w:pPr>
            <w:r w:rsidRPr="0095616E">
              <w:rPr>
                <w:rFonts w:asciiTheme="majorHAnsi" w:hAnsiTheme="majorHAnsi" w:cstheme="majorHAnsi"/>
                <w:b/>
                <w:bCs/>
              </w:rPr>
              <w:t>Catch of 263.4 t was within typical catch ranges (30 – 300 t)</w:t>
            </w:r>
          </w:p>
          <w:p w14:paraId="169B4E29" w14:textId="77777777" w:rsidR="00AD4C11" w:rsidRPr="0095616E" w:rsidRDefault="00AD4C11" w:rsidP="00972AC9">
            <w:pPr>
              <w:pStyle w:val="Compact"/>
              <w:numPr>
                <w:ilvl w:val="0"/>
                <w:numId w:val="22"/>
              </w:numPr>
              <w:rPr>
                <w:rFonts w:asciiTheme="majorHAnsi" w:hAnsiTheme="majorHAnsi" w:cstheme="majorHAnsi"/>
                <w:b/>
                <w:bCs/>
              </w:rPr>
            </w:pPr>
            <w:r w:rsidRPr="0095616E">
              <w:rPr>
                <w:rFonts w:asciiTheme="majorHAnsi" w:hAnsiTheme="majorHAnsi" w:cstheme="majorHAnsi"/>
                <w:b/>
                <w:bCs/>
              </w:rPr>
              <w:t>Catch landings exceeded the catch prediction range of 140 - 235 tonnes</w:t>
            </w:r>
          </w:p>
          <w:p w14:paraId="5F1233C3" w14:textId="77777777" w:rsidR="00AD4C11" w:rsidRPr="0095616E" w:rsidRDefault="00AD4C11" w:rsidP="00972AC9">
            <w:pPr>
              <w:pStyle w:val="Compact"/>
              <w:numPr>
                <w:ilvl w:val="0"/>
                <w:numId w:val="22"/>
              </w:numPr>
              <w:rPr>
                <w:rFonts w:asciiTheme="majorHAnsi" w:hAnsiTheme="majorHAnsi" w:cstheme="majorHAnsi"/>
                <w:b/>
                <w:bCs/>
              </w:rPr>
            </w:pPr>
            <w:r w:rsidRPr="0095616E">
              <w:rPr>
                <w:rFonts w:asciiTheme="majorHAnsi" w:hAnsiTheme="majorHAnsi" w:cstheme="majorHAnsi"/>
                <w:b/>
                <w:bCs/>
              </w:rPr>
              <w:t>Similar interannual catch distribution across the fishing grounds</w:t>
            </w:r>
          </w:p>
          <w:p w14:paraId="59A804C4" w14:textId="5858BADF" w:rsidR="00AD4C11" w:rsidRPr="0095616E" w:rsidRDefault="00AD4C11" w:rsidP="00AD4C11">
            <w:pPr>
              <w:rPr>
                <w:rFonts w:asciiTheme="majorHAnsi" w:hAnsiTheme="majorHAnsi" w:cstheme="majorHAnsi"/>
              </w:rPr>
            </w:pPr>
            <w:r w:rsidRPr="0095616E">
              <w:rPr>
                <w:rFonts w:asciiTheme="majorHAnsi" w:hAnsiTheme="majorHAnsi" w:cstheme="majorHAnsi"/>
              </w:rPr>
              <w:t>Based on the results from the multiple catch indicators (level of catch and catch distribution) there is no indication of unacceptable stock depletion</w:t>
            </w:r>
          </w:p>
        </w:tc>
      </w:tr>
      <w:tr w:rsidR="00DF389F" w14:paraId="5210A38B" w14:textId="77777777" w:rsidTr="00DF389F">
        <w:tc>
          <w:tcPr>
            <w:tcW w:w="1663" w:type="dxa"/>
            <w:shd w:val="clear" w:color="auto" w:fill="auto"/>
          </w:tcPr>
          <w:p w14:paraId="4567C4AF" w14:textId="2C24BA28" w:rsidR="00AD4C11" w:rsidRPr="0095616E" w:rsidRDefault="00AD4C11" w:rsidP="00AD4C11">
            <w:pPr>
              <w:rPr>
                <w:rFonts w:asciiTheme="majorHAnsi" w:hAnsiTheme="majorHAnsi" w:cstheme="majorHAnsi"/>
                <w:b/>
                <w:bCs/>
                <w:u w:val="single"/>
              </w:rPr>
            </w:pPr>
            <w:r w:rsidRPr="0095616E">
              <w:rPr>
                <w:rFonts w:asciiTheme="majorHAnsi" w:hAnsiTheme="majorHAnsi" w:cstheme="majorHAnsi"/>
              </w:rPr>
              <w:t>L2 Effort</w:t>
            </w:r>
          </w:p>
        </w:tc>
        <w:tc>
          <w:tcPr>
            <w:tcW w:w="8152" w:type="dxa"/>
            <w:shd w:val="clear" w:color="auto" w:fill="auto"/>
          </w:tcPr>
          <w:p w14:paraId="18066DF8" w14:textId="74C67E76" w:rsidR="00AD4C11" w:rsidRPr="0095616E" w:rsidRDefault="00AD4C11" w:rsidP="00AD4C11">
            <w:pPr>
              <w:rPr>
                <w:rFonts w:asciiTheme="majorHAnsi" w:hAnsiTheme="majorHAnsi" w:cstheme="majorHAnsi"/>
              </w:rPr>
            </w:pPr>
            <w:r w:rsidRPr="0095616E">
              <w:rPr>
                <w:rFonts w:asciiTheme="majorHAnsi" w:hAnsiTheme="majorHAnsi" w:cstheme="majorHAnsi"/>
              </w:rPr>
              <w:t>Vessel numbers have remained stable since the closure period from 2012 – 2016 (</w:t>
            </w:r>
            <w:r w:rsidRPr="0095616E">
              <w:rPr>
                <w:rFonts w:asciiTheme="majorHAnsi" w:hAnsiTheme="majorHAnsi" w:cstheme="majorHAnsi"/>
              </w:rPr>
              <w:fldChar w:fldCharType="begin"/>
            </w:r>
            <w:r w:rsidRPr="0095616E">
              <w:rPr>
                <w:rFonts w:asciiTheme="majorHAnsi" w:hAnsiTheme="majorHAnsi" w:cstheme="majorHAnsi"/>
              </w:rPr>
              <w:instrText xml:space="preserve"> REF _Ref155944889 \h  \* MERGEFORMAT </w:instrText>
            </w:r>
            <w:r w:rsidRPr="0095616E">
              <w:rPr>
                <w:rFonts w:asciiTheme="majorHAnsi" w:hAnsiTheme="majorHAnsi" w:cstheme="majorHAnsi"/>
              </w:rPr>
            </w:r>
            <w:r w:rsidRPr="0095616E">
              <w:rPr>
                <w:rFonts w:asciiTheme="majorHAnsi" w:hAnsiTheme="majorHAnsi" w:cstheme="majorHAnsi"/>
              </w:rPr>
              <w:fldChar w:fldCharType="separate"/>
            </w:r>
            <w:r w:rsidRPr="0095616E">
              <w:rPr>
                <w:rFonts w:asciiTheme="majorHAnsi" w:hAnsiTheme="majorHAnsi" w:cstheme="majorHAnsi"/>
              </w:rPr>
              <w:fldChar w:fldCharType="end"/>
            </w:r>
            <w:r w:rsidR="005A62ED">
              <w:rPr>
                <w:rFonts w:asciiTheme="majorHAnsi" w:hAnsiTheme="majorHAnsi" w:cstheme="majorHAnsi"/>
              </w:rPr>
              <w:t>Figure 12</w:t>
            </w:r>
            <w:r w:rsidRPr="0095616E">
              <w:rPr>
                <w:rFonts w:asciiTheme="majorHAnsi" w:hAnsiTheme="majorHAnsi" w:cstheme="majorHAnsi"/>
              </w:rPr>
              <w:t>a). Four of the ten licensed boats operated at the Abrolhos Islands in 2023 resulting in 56 fathoms of net headrope (out of a maximum of 140 fathoms) being utilised. A total of 114 days fishing and 4351 trawl hours (standardised effort to 14-fathom headrope) were recorded for the 2023 season (</w:t>
            </w:r>
            <w:r w:rsidRPr="0095616E">
              <w:rPr>
                <w:rFonts w:asciiTheme="majorHAnsi" w:hAnsiTheme="majorHAnsi" w:cstheme="majorHAnsi"/>
              </w:rPr>
              <w:fldChar w:fldCharType="begin"/>
            </w:r>
            <w:r w:rsidRPr="0095616E">
              <w:rPr>
                <w:rFonts w:asciiTheme="majorHAnsi" w:hAnsiTheme="majorHAnsi" w:cstheme="majorHAnsi"/>
              </w:rPr>
              <w:instrText xml:space="preserve"> REF _Ref155944889 \h </w:instrText>
            </w:r>
            <w:r w:rsidR="0095616E">
              <w:rPr>
                <w:rFonts w:asciiTheme="majorHAnsi" w:hAnsiTheme="majorHAnsi" w:cstheme="majorHAnsi"/>
              </w:rPr>
              <w:instrText xml:space="preserve"> \* MERGEFORMAT </w:instrText>
            </w:r>
            <w:r w:rsidRPr="0095616E">
              <w:rPr>
                <w:rFonts w:asciiTheme="majorHAnsi" w:hAnsiTheme="majorHAnsi" w:cstheme="majorHAnsi"/>
              </w:rPr>
            </w:r>
            <w:r w:rsidRPr="0095616E">
              <w:rPr>
                <w:rFonts w:asciiTheme="majorHAnsi" w:hAnsiTheme="majorHAnsi" w:cstheme="majorHAnsi"/>
              </w:rPr>
              <w:fldChar w:fldCharType="separate"/>
            </w:r>
            <w:r w:rsidR="005A62ED">
              <w:rPr>
                <w:rFonts w:asciiTheme="majorHAnsi" w:hAnsiTheme="majorHAnsi" w:cstheme="majorHAnsi"/>
              </w:rPr>
              <w:t xml:space="preserve"> Figure 12</w:t>
            </w:r>
            <w:r w:rsidRPr="0095616E">
              <w:rPr>
                <w:rFonts w:asciiTheme="majorHAnsi" w:hAnsiTheme="majorHAnsi" w:cstheme="majorHAnsi"/>
              </w:rPr>
              <w:fldChar w:fldCharType="end"/>
            </w:r>
            <w:r w:rsidRPr="0095616E">
              <w:rPr>
                <w:rFonts w:asciiTheme="majorHAnsi" w:hAnsiTheme="majorHAnsi" w:cstheme="majorHAnsi"/>
              </w:rPr>
              <w:t>a). This is higher than previous seasons which typically varied between 700 and 2700 trawl hours when the fishery was open (</w:t>
            </w:r>
            <w:r w:rsidRPr="0095616E">
              <w:rPr>
                <w:rFonts w:asciiTheme="majorHAnsi" w:hAnsiTheme="majorHAnsi" w:cstheme="majorHAnsi"/>
              </w:rPr>
              <w:fldChar w:fldCharType="begin"/>
            </w:r>
            <w:r w:rsidRPr="0095616E">
              <w:rPr>
                <w:rFonts w:asciiTheme="majorHAnsi" w:hAnsiTheme="majorHAnsi" w:cstheme="majorHAnsi"/>
              </w:rPr>
              <w:instrText xml:space="preserve"> REF _Ref155944889 \h  \* MERGEFORMAT </w:instrText>
            </w:r>
            <w:r w:rsidRPr="0095616E">
              <w:rPr>
                <w:rFonts w:asciiTheme="majorHAnsi" w:hAnsiTheme="majorHAnsi" w:cstheme="majorHAnsi"/>
              </w:rPr>
            </w:r>
            <w:r w:rsidRPr="0095616E">
              <w:rPr>
                <w:rFonts w:asciiTheme="majorHAnsi" w:hAnsiTheme="majorHAnsi" w:cstheme="majorHAnsi"/>
              </w:rPr>
              <w:fldChar w:fldCharType="separate"/>
            </w:r>
            <w:r w:rsidR="005A62ED">
              <w:rPr>
                <w:rFonts w:asciiTheme="majorHAnsi" w:hAnsiTheme="majorHAnsi" w:cstheme="majorHAnsi"/>
              </w:rPr>
              <w:t xml:space="preserve"> Figure 12</w:t>
            </w:r>
            <w:r w:rsidRPr="0095616E">
              <w:rPr>
                <w:rFonts w:asciiTheme="majorHAnsi" w:hAnsiTheme="majorHAnsi" w:cstheme="majorHAnsi"/>
              </w:rPr>
              <w:fldChar w:fldCharType="end"/>
            </w:r>
            <w:r w:rsidRPr="0095616E">
              <w:rPr>
                <w:rFonts w:asciiTheme="majorHAnsi" w:hAnsiTheme="majorHAnsi" w:cstheme="majorHAnsi"/>
              </w:rPr>
              <w:t>b).</w:t>
            </w:r>
          </w:p>
          <w:p w14:paraId="49B589FA" w14:textId="77777777" w:rsidR="00AD4C11" w:rsidRPr="0095616E" w:rsidRDefault="00AD4C11" w:rsidP="00AD4C11">
            <w:pPr>
              <w:pStyle w:val="SoFBodytext"/>
              <w:spacing w:line="288" w:lineRule="auto"/>
              <w:jc w:val="both"/>
              <w:rPr>
                <w:rFonts w:asciiTheme="majorHAnsi" w:hAnsiTheme="majorHAnsi" w:cstheme="majorHAnsi"/>
              </w:rPr>
            </w:pPr>
            <w:r w:rsidRPr="0095616E">
              <w:rPr>
                <w:rFonts w:asciiTheme="majorHAnsi" w:hAnsiTheme="majorHAnsi" w:cstheme="majorHAnsi"/>
                <w:noProof/>
              </w:rPr>
              <w:lastRenderedPageBreak/>
              <w:drawing>
                <wp:inline distT="0" distB="0" distL="0" distR="0" wp14:anchorId="10039131" wp14:editId="39AEF230">
                  <wp:extent cx="4949687" cy="3712265"/>
                  <wp:effectExtent l="0" t="0" r="3810" b="2540"/>
                  <wp:docPr id="261010904" name="Picture 11" descr="Two graphs showing the a) number of vessels and b) trawl hours for the AIMWTMF, as reported in the AIMWTMF 2024 Weight of Evidence Stock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10904" name="Picture 11" descr="Two graphs showing the a) number of vessels and b) trawl hours for the AIMWTMF, as reported in the AIMWTMF 2024 Weight of Evidence Stock Assessment. "/>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55813" cy="3716859"/>
                          </a:xfrm>
                          <a:prstGeom prst="rect">
                            <a:avLst/>
                          </a:prstGeom>
                        </pic:spPr>
                      </pic:pic>
                    </a:graphicData>
                  </a:graphic>
                </wp:inline>
              </w:drawing>
            </w:r>
          </w:p>
          <w:p w14:paraId="104F6CE1" w14:textId="0B1B4F8C" w:rsidR="00AD4C11" w:rsidRPr="0095616E" w:rsidRDefault="00AD4C11" w:rsidP="00AD4C11">
            <w:pPr>
              <w:rPr>
                <w:rFonts w:asciiTheme="majorHAnsi" w:hAnsiTheme="majorHAnsi" w:cstheme="majorHAnsi"/>
                <w:b/>
                <w:bCs/>
                <w:i/>
                <w:iCs/>
                <w:u w:val="single"/>
              </w:rPr>
            </w:pPr>
            <w:r w:rsidRPr="0095616E">
              <w:rPr>
                <w:rFonts w:asciiTheme="majorHAnsi" w:hAnsiTheme="majorHAnsi" w:cstheme="majorHAnsi"/>
                <w:i/>
                <w:iCs/>
              </w:rPr>
              <w:t xml:space="preserve">Figure </w:t>
            </w:r>
            <w:r w:rsidRPr="0095616E">
              <w:rPr>
                <w:rFonts w:asciiTheme="majorHAnsi" w:hAnsiTheme="majorHAnsi" w:cstheme="majorHAnsi"/>
                <w:i/>
                <w:iCs/>
              </w:rPr>
              <w:fldChar w:fldCharType="begin"/>
            </w:r>
            <w:r w:rsidRPr="0095616E">
              <w:rPr>
                <w:rFonts w:asciiTheme="majorHAnsi" w:hAnsiTheme="majorHAnsi" w:cstheme="majorHAnsi"/>
                <w:i/>
                <w:iCs/>
              </w:rPr>
              <w:instrText xml:space="preserve"> SEQ Figure \* ARABIC </w:instrText>
            </w:r>
            <w:r w:rsidRPr="0095616E">
              <w:rPr>
                <w:rFonts w:asciiTheme="majorHAnsi" w:hAnsiTheme="majorHAnsi" w:cstheme="majorHAnsi"/>
                <w:i/>
                <w:iCs/>
              </w:rPr>
              <w:fldChar w:fldCharType="separate"/>
            </w:r>
            <w:r w:rsidR="00AB15B7">
              <w:rPr>
                <w:rFonts w:asciiTheme="majorHAnsi" w:hAnsiTheme="majorHAnsi" w:cstheme="majorHAnsi"/>
                <w:i/>
                <w:iCs/>
                <w:noProof/>
              </w:rPr>
              <w:t>12</w:t>
            </w:r>
            <w:r w:rsidRPr="0095616E">
              <w:rPr>
                <w:rFonts w:asciiTheme="majorHAnsi" w:hAnsiTheme="majorHAnsi" w:cstheme="majorHAnsi"/>
                <w:i/>
                <w:iCs/>
              </w:rPr>
              <w:fldChar w:fldCharType="end"/>
            </w:r>
            <w:r w:rsidRPr="0095616E">
              <w:rPr>
                <w:rFonts w:asciiTheme="majorHAnsi" w:hAnsiTheme="majorHAnsi" w:cstheme="majorHAnsi"/>
                <w:i/>
                <w:iCs/>
              </w:rPr>
              <w:t xml:space="preserve"> Annual a) number of vessels, and b) trawl hours (x1000) for the AIMWTMF</w:t>
            </w:r>
          </w:p>
        </w:tc>
      </w:tr>
      <w:tr w:rsidR="00AD4C11" w14:paraId="30E22B25" w14:textId="77777777" w:rsidTr="00DF389F">
        <w:tc>
          <w:tcPr>
            <w:tcW w:w="1663" w:type="dxa"/>
            <w:shd w:val="clear" w:color="auto" w:fill="auto"/>
          </w:tcPr>
          <w:p w14:paraId="41BCC154" w14:textId="56BAC358" w:rsidR="00AD4C11" w:rsidRPr="0095616E" w:rsidRDefault="00AD4C11" w:rsidP="00AD4C11">
            <w:pPr>
              <w:rPr>
                <w:rFonts w:asciiTheme="majorHAnsi" w:hAnsiTheme="majorHAnsi" w:cstheme="majorHAnsi"/>
              </w:rPr>
            </w:pPr>
            <w:r w:rsidRPr="0095616E">
              <w:rPr>
                <w:rFonts w:asciiTheme="majorHAnsi" w:hAnsiTheme="majorHAnsi" w:cstheme="majorHAnsi"/>
              </w:rPr>
              <w:lastRenderedPageBreak/>
              <w:t>L2 Catch Rate</w:t>
            </w:r>
          </w:p>
        </w:tc>
        <w:tc>
          <w:tcPr>
            <w:tcW w:w="8152" w:type="dxa"/>
            <w:shd w:val="clear" w:color="auto" w:fill="auto"/>
          </w:tcPr>
          <w:p w14:paraId="24A6E742" w14:textId="54D362D2" w:rsidR="00AD4C11" w:rsidRPr="0095616E" w:rsidRDefault="00AD4C11" w:rsidP="00AD4C11">
            <w:pPr>
              <w:rPr>
                <w:rFonts w:asciiTheme="majorHAnsi" w:hAnsiTheme="majorHAnsi" w:cstheme="majorHAnsi"/>
              </w:rPr>
            </w:pPr>
            <w:r w:rsidRPr="0095616E">
              <w:rPr>
                <w:rFonts w:asciiTheme="majorHAnsi" w:hAnsiTheme="majorHAnsi" w:cstheme="majorHAnsi"/>
              </w:rPr>
              <w:t>Catch rates for scallops in the AIMWTMF are highly variable, with variation increasing with increasing catch rates (</w:t>
            </w:r>
            <w:r w:rsidR="005A62ED">
              <w:rPr>
                <w:rFonts w:asciiTheme="majorHAnsi" w:hAnsiTheme="majorHAnsi" w:cstheme="majorHAnsi"/>
              </w:rPr>
              <w:t xml:space="preserve">Figure </w:t>
            </w:r>
            <w:r w:rsidR="009D711C">
              <w:rPr>
                <w:rFonts w:asciiTheme="majorHAnsi" w:hAnsiTheme="majorHAnsi" w:cstheme="majorHAnsi"/>
              </w:rPr>
              <w:t>13</w:t>
            </w:r>
            <w:r w:rsidRPr="0095616E">
              <w:rPr>
                <w:rFonts w:asciiTheme="majorHAnsi" w:hAnsiTheme="majorHAnsi" w:cstheme="majorHAnsi"/>
              </w:rPr>
              <w:t xml:space="preserve">a). In 2023, the mean catch rate (kg meat / hr) was 85.2 kg / hr which is </w:t>
            </w:r>
            <w:proofErr w:type="gramStart"/>
            <w:r w:rsidRPr="0095616E">
              <w:rPr>
                <w:rFonts w:asciiTheme="majorHAnsi" w:hAnsiTheme="majorHAnsi" w:cstheme="majorHAnsi"/>
              </w:rPr>
              <w:t>similar to</w:t>
            </w:r>
            <w:proofErr w:type="gramEnd"/>
            <w:r w:rsidRPr="0095616E">
              <w:rPr>
                <w:rFonts w:asciiTheme="majorHAnsi" w:hAnsiTheme="majorHAnsi" w:cstheme="majorHAnsi"/>
              </w:rPr>
              <w:t xml:space="preserve"> 2017 and 2019, though markedly lower than the last two seasons fished (2020 &amp; 2021) where it was between 259 and 134 kg / hr respectively (</w:t>
            </w:r>
            <w:r w:rsidR="005A62ED">
              <w:rPr>
                <w:rFonts w:asciiTheme="majorHAnsi" w:hAnsiTheme="majorHAnsi" w:cstheme="majorHAnsi"/>
              </w:rPr>
              <w:t>Figure 5</w:t>
            </w:r>
            <w:r w:rsidRPr="0095616E">
              <w:rPr>
                <w:rFonts w:asciiTheme="majorHAnsi" w:hAnsiTheme="majorHAnsi" w:cstheme="majorHAnsi"/>
              </w:rPr>
              <w:t xml:space="preserve">a). This is largely influenced by the spread and concentration of scallops between fishing areas and other operational factors. </w:t>
            </w:r>
          </w:p>
          <w:p w14:paraId="32029FC0" w14:textId="77777777" w:rsidR="00AD4C11" w:rsidRPr="0095616E" w:rsidRDefault="00AD4C11" w:rsidP="00AD4C11">
            <w:pPr>
              <w:rPr>
                <w:rFonts w:asciiTheme="majorHAnsi" w:hAnsiTheme="majorHAnsi" w:cstheme="majorHAnsi"/>
              </w:rPr>
            </w:pPr>
          </w:p>
          <w:p w14:paraId="29B75B3F" w14:textId="6F4A022F" w:rsidR="00AD4C11" w:rsidRPr="0095616E" w:rsidRDefault="00AD4C11" w:rsidP="00AD4C11">
            <w:pPr>
              <w:rPr>
                <w:rFonts w:asciiTheme="majorHAnsi" w:hAnsiTheme="majorHAnsi" w:cstheme="majorHAnsi"/>
              </w:rPr>
            </w:pPr>
            <w:r w:rsidRPr="0095616E">
              <w:rPr>
                <w:rFonts w:asciiTheme="majorHAnsi" w:hAnsiTheme="majorHAnsi" w:cstheme="majorHAnsi"/>
              </w:rPr>
              <w:t>The intra-annual variation in catch rates is also due in part to the depletion which occurs throughout the season. Daily catch rates ranged from 1 311 to 155 kg / day throughout the season (</w:t>
            </w:r>
            <w:r w:rsidR="005A62ED">
              <w:rPr>
                <w:rFonts w:asciiTheme="majorHAnsi" w:hAnsiTheme="majorHAnsi" w:cstheme="majorHAnsi"/>
              </w:rPr>
              <w:t xml:space="preserve">Figure </w:t>
            </w:r>
            <w:r w:rsidR="009D711C">
              <w:rPr>
                <w:rFonts w:asciiTheme="majorHAnsi" w:hAnsiTheme="majorHAnsi" w:cstheme="majorHAnsi"/>
              </w:rPr>
              <w:t>13</w:t>
            </w:r>
            <w:r w:rsidRPr="0095616E">
              <w:rPr>
                <w:rFonts w:asciiTheme="majorHAnsi" w:hAnsiTheme="majorHAnsi" w:cstheme="majorHAnsi"/>
              </w:rPr>
              <w:t>b). However, the decline in daily catch rates did not fall below the threshold level of 150 kg / day (over seven consecutive days) which would necessitate the fishery closing. The increasing daily catch rate at the end of the season was due to less vessels fishing this component of the Resource while other vessels moved to access the south coast component of the Resource.</w:t>
            </w:r>
          </w:p>
          <w:p w14:paraId="7629034A" w14:textId="77777777" w:rsidR="00AD4C11" w:rsidRPr="0095616E" w:rsidRDefault="00AD4C11" w:rsidP="00AD4C11">
            <w:pPr>
              <w:rPr>
                <w:rFonts w:asciiTheme="majorHAnsi" w:hAnsiTheme="majorHAnsi" w:cstheme="majorHAnsi"/>
              </w:rPr>
            </w:pPr>
            <w:r w:rsidRPr="0095616E">
              <w:rPr>
                <w:rFonts w:asciiTheme="majorHAnsi" w:hAnsiTheme="majorHAnsi" w:cstheme="majorHAnsi"/>
                <w:noProof/>
              </w:rPr>
              <w:lastRenderedPageBreak/>
              <w:drawing>
                <wp:inline distT="0" distB="0" distL="0" distR="0" wp14:anchorId="054FB983" wp14:editId="395AB82A">
                  <wp:extent cx="4973541" cy="2984125"/>
                  <wp:effectExtent l="0" t="0" r="0" b="6985"/>
                  <wp:docPr id="77439179" name="Picture 2" descr="A series of graphs showing catch rates of scallops in the AIMWTMF, as reported in the AIMWTMF 2024 Weight of Evidence Stock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39179" name="Picture 2" descr="A series of graphs showing catch rates of scallops in the AIMWTMF, as reported in the AIMWTMF 2024 Weight of Evidence Stock Assessment. "/>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81490" cy="2988894"/>
                          </a:xfrm>
                          <a:prstGeom prst="rect">
                            <a:avLst/>
                          </a:prstGeom>
                        </pic:spPr>
                      </pic:pic>
                    </a:graphicData>
                  </a:graphic>
                </wp:inline>
              </w:drawing>
            </w:r>
          </w:p>
          <w:p w14:paraId="01518EDB" w14:textId="0224E58C" w:rsidR="00AD4C11" w:rsidRPr="0095616E" w:rsidRDefault="00AD4C11" w:rsidP="00AD4C11">
            <w:pPr>
              <w:rPr>
                <w:rFonts w:asciiTheme="majorHAnsi" w:hAnsiTheme="majorHAnsi" w:cstheme="majorHAnsi"/>
                <w:i/>
                <w:iCs/>
              </w:rPr>
            </w:pPr>
            <w:r w:rsidRPr="0095616E">
              <w:rPr>
                <w:rFonts w:asciiTheme="majorHAnsi" w:hAnsiTheme="majorHAnsi" w:cstheme="majorHAnsi"/>
                <w:i/>
                <w:iCs/>
              </w:rPr>
              <w:t xml:space="preserve">Figure </w:t>
            </w:r>
            <w:r w:rsidRPr="0095616E">
              <w:rPr>
                <w:rFonts w:asciiTheme="majorHAnsi" w:hAnsiTheme="majorHAnsi" w:cstheme="majorHAnsi"/>
                <w:i/>
                <w:iCs/>
              </w:rPr>
              <w:fldChar w:fldCharType="begin"/>
            </w:r>
            <w:r w:rsidRPr="0095616E">
              <w:rPr>
                <w:rFonts w:asciiTheme="majorHAnsi" w:hAnsiTheme="majorHAnsi" w:cstheme="majorHAnsi"/>
                <w:i/>
                <w:iCs/>
              </w:rPr>
              <w:instrText xml:space="preserve"> SEQ Figure \* ARABIC </w:instrText>
            </w:r>
            <w:r w:rsidRPr="0095616E">
              <w:rPr>
                <w:rFonts w:asciiTheme="majorHAnsi" w:hAnsiTheme="majorHAnsi" w:cstheme="majorHAnsi"/>
                <w:i/>
                <w:iCs/>
              </w:rPr>
              <w:fldChar w:fldCharType="separate"/>
            </w:r>
            <w:r w:rsidR="00AB15B7">
              <w:rPr>
                <w:rFonts w:asciiTheme="majorHAnsi" w:hAnsiTheme="majorHAnsi" w:cstheme="majorHAnsi"/>
                <w:i/>
                <w:iCs/>
                <w:noProof/>
              </w:rPr>
              <w:t>13</w:t>
            </w:r>
            <w:r w:rsidRPr="0095616E">
              <w:rPr>
                <w:rFonts w:asciiTheme="majorHAnsi" w:hAnsiTheme="majorHAnsi" w:cstheme="majorHAnsi"/>
                <w:i/>
                <w:iCs/>
              </w:rPr>
              <w:fldChar w:fldCharType="end"/>
            </w:r>
            <w:r w:rsidRPr="0095616E">
              <w:rPr>
                <w:rFonts w:asciiTheme="majorHAnsi" w:hAnsiTheme="majorHAnsi" w:cstheme="majorHAnsi"/>
                <w:i/>
                <w:iCs/>
              </w:rPr>
              <w:t xml:space="preserve"> Catch rates of scallops for the AIMWTMF a) annual mean meat weight per hour (± 95 CI; grey shading) and b) daily meat weight relative to the 150 kg threshold (orange line) during the 2023 fishing season.</w:t>
            </w:r>
          </w:p>
        </w:tc>
      </w:tr>
      <w:tr w:rsidR="00AD4C11" w14:paraId="12EF1572" w14:textId="77777777" w:rsidTr="00DF389F">
        <w:tc>
          <w:tcPr>
            <w:tcW w:w="9815" w:type="dxa"/>
            <w:gridSpan w:val="2"/>
            <w:shd w:val="clear" w:color="auto" w:fill="D3F5FF" w:themeFill="accent1" w:themeFillTint="1A"/>
          </w:tcPr>
          <w:p w14:paraId="70DE3447" w14:textId="77777777" w:rsidR="00AD4C11" w:rsidRPr="0095616E" w:rsidRDefault="00AD4C11" w:rsidP="00AD4C11">
            <w:pPr>
              <w:rPr>
                <w:rFonts w:asciiTheme="majorHAnsi" w:hAnsiTheme="majorHAnsi" w:cstheme="majorHAnsi"/>
                <w:b/>
                <w:bCs/>
                <w:u w:val="single"/>
              </w:rPr>
            </w:pPr>
            <w:r w:rsidRPr="0095616E">
              <w:rPr>
                <w:rFonts w:asciiTheme="majorHAnsi" w:hAnsiTheme="majorHAnsi" w:cstheme="majorHAnsi"/>
                <w:b/>
                <w:bCs/>
                <w:u w:val="single"/>
              </w:rPr>
              <w:lastRenderedPageBreak/>
              <w:t>L2 Assessment</w:t>
            </w:r>
          </w:p>
          <w:p w14:paraId="1788859A" w14:textId="77777777" w:rsidR="00AD4C11" w:rsidRPr="0095616E" w:rsidRDefault="00AD4C11" w:rsidP="00972AC9">
            <w:pPr>
              <w:pStyle w:val="Compact"/>
              <w:numPr>
                <w:ilvl w:val="0"/>
                <w:numId w:val="23"/>
              </w:numPr>
              <w:rPr>
                <w:rFonts w:asciiTheme="majorHAnsi" w:hAnsiTheme="majorHAnsi" w:cstheme="majorHAnsi"/>
                <w:b/>
                <w:bCs/>
              </w:rPr>
            </w:pPr>
            <w:r w:rsidRPr="0095616E">
              <w:rPr>
                <w:rFonts w:asciiTheme="majorHAnsi" w:hAnsiTheme="majorHAnsi" w:cstheme="majorHAnsi"/>
                <w:b/>
                <w:bCs/>
              </w:rPr>
              <w:t>Effort levels higher than typical range due to higher catches</w:t>
            </w:r>
          </w:p>
          <w:p w14:paraId="6B7A1785" w14:textId="77777777" w:rsidR="00AD4C11" w:rsidRPr="0095616E" w:rsidRDefault="00AD4C11" w:rsidP="00972AC9">
            <w:pPr>
              <w:pStyle w:val="Compact"/>
              <w:numPr>
                <w:ilvl w:val="0"/>
                <w:numId w:val="23"/>
              </w:numPr>
              <w:rPr>
                <w:rFonts w:asciiTheme="majorHAnsi" w:hAnsiTheme="majorHAnsi" w:cstheme="majorHAnsi"/>
                <w:b/>
                <w:bCs/>
              </w:rPr>
            </w:pPr>
            <w:r w:rsidRPr="0095616E">
              <w:rPr>
                <w:rFonts w:asciiTheme="majorHAnsi" w:hAnsiTheme="majorHAnsi" w:cstheme="majorHAnsi"/>
                <w:b/>
                <w:bCs/>
              </w:rPr>
              <w:t>Annual catch rates were lower than recent years but within historic range</w:t>
            </w:r>
          </w:p>
          <w:p w14:paraId="45E53A75" w14:textId="77777777" w:rsidR="00AD4C11" w:rsidRPr="0095616E" w:rsidRDefault="00AD4C11" w:rsidP="00972AC9">
            <w:pPr>
              <w:pStyle w:val="Compact"/>
              <w:numPr>
                <w:ilvl w:val="0"/>
                <w:numId w:val="23"/>
              </w:numPr>
              <w:rPr>
                <w:rFonts w:asciiTheme="majorHAnsi" w:hAnsiTheme="majorHAnsi" w:cstheme="majorHAnsi"/>
                <w:b/>
                <w:bCs/>
              </w:rPr>
            </w:pPr>
            <w:r w:rsidRPr="0095616E">
              <w:rPr>
                <w:rFonts w:asciiTheme="majorHAnsi" w:hAnsiTheme="majorHAnsi" w:cstheme="majorHAnsi"/>
                <w:b/>
                <w:bCs/>
              </w:rPr>
              <w:t xml:space="preserve">Daily catch rates remained above the threshold level </w:t>
            </w:r>
          </w:p>
          <w:p w14:paraId="6FBBCE87" w14:textId="06007F23" w:rsidR="00AD4C11" w:rsidRPr="0095616E" w:rsidRDefault="00AD4C11" w:rsidP="00AD4C11">
            <w:pPr>
              <w:rPr>
                <w:rFonts w:asciiTheme="majorHAnsi" w:hAnsiTheme="majorHAnsi" w:cstheme="majorHAnsi"/>
              </w:rPr>
            </w:pPr>
            <w:r w:rsidRPr="0095616E">
              <w:rPr>
                <w:rFonts w:asciiTheme="majorHAnsi" w:hAnsiTheme="majorHAnsi" w:cstheme="majorHAnsi"/>
              </w:rPr>
              <w:t>Based on the results from the catch rate indicators there is minimal indication of an unacceptable level of stock depletion</w:t>
            </w:r>
          </w:p>
        </w:tc>
      </w:tr>
      <w:tr w:rsidR="00AD4C11" w14:paraId="13237E04" w14:textId="77777777" w:rsidTr="00DF389F">
        <w:tc>
          <w:tcPr>
            <w:tcW w:w="1663" w:type="dxa"/>
            <w:shd w:val="clear" w:color="auto" w:fill="auto"/>
          </w:tcPr>
          <w:p w14:paraId="6762F98F" w14:textId="2E63C703" w:rsidR="00AD4C11" w:rsidRPr="0095616E" w:rsidRDefault="00AD4C11" w:rsidP="00AD4C11">
            <w:pPr>
              <w:rPr>
                <w:rFonts w:asciiTheme="majorHAnsi" w:hAnsiTheme="majorHAnsi" w:cstheme="majorHAnsi"/>
              </w:rPr>
            </w:pPr>
            <w:r w:rsidRPr="0095616E">
              <w:rPr>
                <w:rFonts w:asciiTheme="majorHAnsi" w:hAnsiTheme="majorHAnsi" w:cstheme="majorHAnsi"/>
              </w:rPr>
              <w:t>L3 Size Composition</w:t>
            </w:r>
          </w:p>
        </w:tc>
        <w:tc>
          <w:tcPr>
            <w:tcW w:w="8152" w:type="dxa"/>
            <w:shd w:val="clear" w:color="auto" w:fill="auto"/>
          </w:tcPr>
          <w:p w14:paraId="00296AF6" w14:textId="05E6E058" w:rsidR="00AD4C11" w:rsidRPr="0095616E" w:rsidRDefault="00AD4C11" w:rsidP="00AD4C11">
            <w:pPr>
              <w:rPr>
                <w:rFonts w:asciiTheme="majorHAnsi" w:hAnsiTheme="majorHAnsi" w:cstheme="majorHAnsi"/>
              </w:rPr>
            </w:pPr>
            <w:r w:rsidRPr="0095616E">
              <w:rPr>
                <w:rFonts w:asciiTheme="majorHAnsi" w:hAnsiTheme="majorHAnsi" w:cstheme="majorHAnsi"/>
              </w:rPr>
              <w:t>Fishery-independent sampling in February and November annually indicates two cohorts on each sampling occasion representing 0+ (recruits) and 1+ (residuals). Generally, growth progression over two years starts from a mean 45 mm shell height (SH) in February year 0 (3-4 months), to a mean ~90 mm SH in November year 0 and the following February year 1. In February 2021, the 0+ recruitment cohort was the lowest since the recovery of the fishery which translated to a very low 1+ cohort by November 2021. But despite this low abundance of spawning stock, the following recruitment observed in February 2022 improved greatly and a strong 1+ residual cohort was evident in November 2022. This cohort was fished during 2023 that provided for 263.4 tonnes being landed (</w:t>
            </w:r>
            <w:r w:rsidR="009D711C">
              <w:rPr>
                <w:rFonts w:asciiTheme="majorHAnsi" w:hAnsiTheme="majorHAnsi" w:cstheme="majorHAnsi"/>
              </w:rPr>
              <w:t>Figure 14</w:t>
            </w:r>
            <w:r w:rsidRPr="0095616E">
              <w:rPr>
                <w:rFonts w:asciiTheme="majorHAnsi" w:hAnsiTheme="majorHAnsi" w:cstheme="majorHAnsi"/>
              </w:rPr>
              <w:t>).</w:t>
            </w:r>
          </w:p>
          <w:p w14:paraId="4FF9067B" w14:textId="77777777" w:rsidR="00AD4C11" w:rsidRPr="0095616E" w:rsidRDefault="00AD4C11" w:rsidP="00AD4C11">
            <w:pPr>
              <w:rPr>
                <w:rFonts w:asciiTheme="majorHAnsi" w:hAnsiTheme="majorHAnsi" w:cstheme="majorHAnsi"/>
              </w:rPr>
            </w:pPr>
          </w:p>
          <w:p w14:paraId="1F7A867B" w14:textId="640C8231" w:rsidR="00AD4C11" w:rsidRPr="0095616E" w:rsidRDefault="00AD4C11" w:rsidP="00AD4C11">
            <w:pPr>
              <w:rPr>
                <w:rFonts w:asciiTheme="majorHAnsi" w:hAnsiTheme="majorHAnsi" w:cstheme="majorHAnsi"/>
              </w:rPr>
            </w:pPr>
            <w:r w:rsidRPr="0095616E">
              <w:rPr>
                <w:rFonts w:asciiTheme="majorHAnsi" w:hAnsiTheme="majorHAnsi" w:cstheme="majorHAnsi"/>
              </w:rPr>
              <w:t>The 2023 November survey had an average shell height for the 0+ cohort of ~84 mm (range: 50 to 115 mm SH). Scallops less than ~70 m SH sampled during November are generally considered either as very slow growing or growth stunted individuals which is a common occurrence for this species (</w:t>
            </w:r>
            <w:r w:rsidR="009D711C">
              <w:rPr>
                <w:rFonts w:asciiTheme="majorHAnsi" w:hAnsiTheme="majorHAnsi" w:cstheme="majorHAnsi"/>
              </w:rPr>
              <w:t>Figure 14</w:t>
            </w:r>
            <w:r w:rsidRPr="0095616E">
              <w:rPr>
                <w:rFonts w:asciiTheme="majorHAnsi" w:hAnsiTheme="majorHAnsi" w:cstheme="majorHAnsi"/>
              </w:rPr>
              <w:t xml:space="preserve">). The most recent 2024 February survey indicated no significant shift in the size range of 1+ scallops since November 2023 while the newly recruiting 0+ cohort ranged between 20- and 60-mm SH as in previous years. This suggests possible stunting of the residual cohort. Additionally, the strength of the 2024 recruitment cohort is below average and </w:t>
            </w:r>
            <w:proofErr w:type="gramStart"/>
            <w:r w:rsidRPr="0095616E">
              <w:rPr>
                <w:rFonts w:asciiTheme="majorHAnsi" w:hAnsiTheme="majorHAnsi" w:cstheme="majorHAnsi"/>
              </w:rPr>
              <w:t>similar to</w:t>
            </w:r>
            <w:proofErr w:type="gramEnd"/>
            <w:r w:rsidRPr="0095616E">
              <w:rPr>
                <w:rFonts w:asciiTheme="majorHAnsi" w:hAnsiTheme="majorHAnsi" w:cstheme="majorHAnsi"/>
              </w:rPr>
              <w:t xml:space="preserve"> February 2020 survey results.  </w:t>
            </w:r>
          </w:p>
          <w:p w14:paraId="3A85D22F" w14:textId="77777777" w:rsidR="00AD4C11" w:rsidRPr="0095616E" w:rsidRDefault="00AD4C11" w:rsidP="00AD4C11">
            <w:pPr>
              <w:rPr>
                <w:rFonts w:asciiTheme="majorHAnsi" w:hAnsiTheme="majorHAnsi" w:cstheme="majorHAnsi"/>
              </w:rPr>
            </w:pPr>
          </w:p>
          <w:p w14:paraId="3ADD2313" w14:textId="0C436935" w:rsidR="00AD4C11" w:rsidRPr="0095616E" w:rsidRDefault="00AD4C11" w:rsidP="00AD4C11">
            <w:pPr>
              <w:rPr>
                <w:rFonts w:asciiTheme="majorHAnsi" w:hAnsiTheme="majorHAnsi" w:cstheme="majorHAnsi"/>
              </w:rPr>
            </w:pPr>
            <w:r w:rsidRPr="0095616E">
              <w:rPr>
                <w:rFonts w:asciiTheme="majorHAnsi" w:hAnsiTheme="majorHAnsi" w:cstheme="majorHAnsi"/>
              </w:rPr>
              <w:t>Stressed, diseased or physiologically compromised scallops impact scallop quality, which can visually manifest as: biofouling of top and bottom valves, splotches of purple and green colouration on or within shell matrix, fragile thin shells that appear to be old and brittle, poor meat quality that is crumbly and unproportionally small for its shell size</w:t>
            </w:r>
            <w:r w:rsidR="009D711C">
              <w:rPr>
                <w:rFonts w:asciiTheme="majorHAnsi" w:hAnsiTheme="majorHAnsi" w:cstheme="majorHAnsi"/>
              </w:rPr>
              <w:t xml:space="preserve"> (Figure 16)</w:t>
            </w:r>
            <w:r w:rsidRPr="0095616E">
              <w:rPr>
                <w:rFonts w:asciiTheme="majorHAnsi" w:hAnsiTheme="majorHAnsi" w:cstheme="majorHAnsi"/>
              </w:rPr>
              <w:t>.</w:t>
            </w:r>
          </w:p>
          <w:p w14:paraId="50976D1D" w14:textId="77777777" w:rsidR="00AD4C11" w:rsidRPr="0095616E" w:rsidRDefault="00AD4C11" w:rsidP="00AD4C11">
            <w:pPr>
              <w:rPr>
                <w:rFonts w:asciiTheme="majorHAnsi" w:hAnsiTheme="majorHAnsi" w:cstheme="majorHAnsi"/>
              </w:rPr>
            </w:pPr>
          </w:p>
          <w:p w14:paraId="5C41C9E0" w14:textId="77777777" w:rsidR="00AD4C11" w:rsidRPr="0095616E" w:rsidRDefault="00AD4C11" w:rsidP="00AD4C11">
            <w:pPr>
              <w:rPr>
                <w:rFonts w:asciiTheme="majorHAnsi" w:hAnsiTheme="majorHAnsi" w:cstheme="majorHAnsi"/>
              </w:rPr>
            </w:pPr>
            <w:r w:rsidRPr="0095616E">
              <w:rPr>
                <w:rFonts w:asciiTheme="majorHAnsi" w:hAnsiTheme="majorHAnsi" w:cstheme="majorHAnsi"/>
              </w:rPr>
              <w:t xml:space="preserve">Examination of size composition data at a finer spatial scale, indicated differential impacts of poor growth and quality of scallops for the various fishing grounds. These occurrences first appeared at a few sites in the Hummocks in </w:t>
            </w:r>
            <w:proofErr w:type="gramStart"/>
            <w:r w:rsidRPr="0095616E">
              <w:rPr>
                <w:rFonts w:asciiTheme="majorHAnsi" w:hAnsiTheme="majorHAnsi" w:cstheme="majorHAnsi"/>
              </w:rPr>
              <w:t>November 2023, but</w:t>
            </w:r>
            <w:proofErr w:type="gramEnd"/>
            <w:r w:rsidRPr="0095616E">
              <w:rPr>
                <w:rFonts w:asciiTheme="majorHAnsi" w:hAnsiTheme="majorHAnsi" w:cstheme="majorHAnsi"/>
              </w:rPr>
              <w:t xml:space="preserve"> occurred at most sites in the February 2024 survey. </w:t>
            </w:r>
          </w:p>
          <w:p w14:paraId="62EA7622" w14:textId="77777777" w:rsidR="00AD4C11" w:rsidRPr="0095616E" w:rsidRDefault="00AD4C11" w:rsidP="00AD4C11">
            <w:pPr>
              <w:rPr>
                <w:rFonts w:asciiTheme="majorHAnsi" w:hAnsiTheme="majorHAnsi" w:cstheme="majorHAnsi"/>
              </w:rPr>
            </w:pPr>
          </w:p>
          <w:p w14:paraId="57C2D56F" w14:textId="0318C75D" w:rsidR="00AD4C11" w:rsidRPr="0095616E" w:rsidRDefault="00AD4C11" w:rsidP="00AD4C11">
            <w:pPr>
              <w:rPr>
                <w:rFonts w:asciiTheme="majorHAnsi" w:hAnsiTheme="majorHAnsi" w:cstheme="majorHAnsi"/>
              </w:rPr>
            </w:pPr>
            <w:r w:rsidRPr="0095616E">
              <w:rPr>
                <w:rFonts w:asciiTheme="majorHAnsi" w:hAnsiTheme="majorHAnsi" w:cstheme="majorHAnsi"/>
              </w:rPr>
              <w:t xml:space="preserve">In the 2024 February survey, a qualitative assessment of the catch composition indicated almost 90-100% of scallops at the Hummocks and 50% of the scallops at the Southern Group were of poor shell and meat quality with a high degree of growth stunting. </w:t>
            </w:r>
            <w:proofErr w:type="gramStart"/>
            <w:r w:rsidRPr="0095616E">
              <w:rPr>
                <w:rFonts w:asciiTheme="majorHAnsi" w:hAnsiTheme="majorHAnsi" w:cstheme="majorHAnsi"/>
              </w:rPr>
              <w:t>The majority of</w:t>
            </w:r>
            <w:proofErr w:type="gramEnd"/>
            <w:r w:rsidRPr="0095616E">
              <w:rPr>
                <w:rFonts w:asciiTheme="majorHAnsi" w:hAnsiTheme="majorHAnsi" w:cstheme="majorHAnsi"/>
              </w:rPr>
              <w:t xml:space="preserve"> residual scallops at </w:t>
            </w:r>
            <w:proofErr w:type="spellStart"/>
            <w:r w:rsidRPr="0095616E">
              <w:rPr>
                <w:rFonts w:asciiTheme="majorHAnsi" w:hAnsiTheme="majorHAnsi" w:cstheme="majorHAnsi"/>
              </w:rPr>
              <w:t>Zeewijk</w:t>
            </w:r>
            <w:proofErr w:type="spellEnd"/>
            <w:r w:rsidRPr="0095616E">
              <w:rPr>
                <w:rFonts w:asciiTheme="majorHAnsi" w:hAnsiTheme="majorHAnsi" w:cstheme="majorHAnsi"/>
              </w:rPr>
              <w:t xml:space="preserve"> Channel appear to have died (</w:t>
            </w:r>
            <w:r w:rsidR="009D711C">
              <w:rPr>
                <w:rFonts w:asciiTheme="majorHAnsi" w:hAnsiTheme="majorHAnsi" w:cstheme="majorHAnsi"/>
              </w:rPr>
              <w:t>Figure 15</w:t>
            </w:r>
            <w:r w:rsidRPr="0095616E">
              <w:rPr>
                <w:rFonts w:asciiTheme="majorHAnsi" w:hAnsiTheme="majorHAnsi" w:cstheme="majorHAnsi"/>
              </w:rPr>
              <w:t xml:space="preserve">), while a large amount of dead scallop shells came up in the trawl shot from South </w:t>
            </w:r>
            <w:proofErr w:type="spellStart"/>
            <w:r w:rsidRPr="0095616E">
              <w:rPr>
                <w:rFonts w:asciiTheme="majorHAnsi" w:hAnsiTheme="majorHAnsi" w:cstheme="majorHAnsi"/>
              </w:rPr>
              <w:t>Wallabi</w:t>
            </w:r>
            <w:proofErr w:type="spellEnd"/>
            <w:r w:rsidRPr="0095616E">
              <w:rPr>
                <w:rFonts w:asciiTheme="majorHAnsi" w:hAnsiTheme="majorHAnsi" w:cstheme="majorHAnsi"/>
              </w:rPr>
              <w:t xml:space="preserve">. Approximately 70% scallops at the Easter Group and one site at East Beacon were also of poor shell and meat quality. The </w:t>
            </w:r>
            <w:proofErr w:type="spellStart"/>
            <w:r w:rsidRPr="0095616E">
              <w:rPr>
                <w:rFonts w:asciiTheme="majorHAnsi" w:hAnsiTheme="majorHAnsi" w:cstheme="majorHAnsi"/>
              </w:rPr>
              <w:t>Wallabli</w:t>
            </w:r>
            <w:proofErr w:type="spellEnd"/>
            <w:r w:rsidRPr="0095616E">
              <w:rPr>
                <w:rFonts w:asciiTheme="majorHAnsi" w:hAnsiTheme="majorHAnsi" w:cstheme="majorHAnsi"/>
              </w:rPr>
              <w:t xml:space="preserve"> and North Patch fishing grounds all indicated &lt; 5% of stunted and poor shell quality scallops (</w:t>
            </w:r>
            <w:r w:rsidR="009D711C">
              <w:rPr>
                <w:rFonts w:asciiTheme="majorHAnsi" w:hAnsiTheme="majorHAnsi" w:cstheme="majorHAnsi"/>
              </w:rPr>
              <w:t>Figure 15</w:t>
            </w:r>
            <w:r w:rsidRPr="0095616E">
              <w:rPr>
                <w:rFonts w:asciiTheme="majorHAnsi" w:hAnsiTheme="majorHAnsi" w:cstheme="majorHAnsi"/>
              </w:rPr>
              <w:t xml:space="preserve">). </w:t>
            </w:r>
          </w:p>
          <w:p w14:paraId="6882F06B" w14:textId="77777777" w:rsidR="00AD4C11" w:rsidRPr="0095616E" w:rsidRDefault="00AD4C11" w:rsidP="00AD4C11">
            <w:pPr>
              <w:rPr>
                <w:rFonts w:asciiTheme="majorHAnsi" w:hAnsiTheme="majorHAnsi" w:cstheme="majorHAnsi"/>
              </w:rPr>
            </w:pPr>
          </w:p>
          <w:p w14:paraId="024E24B2" w14:textId="65D3D8CE" w:rsidR="00AD4C11" w:rsidRPr="0095616E" w:rsidRDefault="00AD4C11" w:rsidP="00AD4C11">
            <w:pPr>
              <w:rPr>
                <w:rFonts w:asciiTheme="majorHAnsi" w:hAnsiTheme="majorHAnsi" w:cstheme="majorHAnsi"/>
              </w:rPr>
            </w:pPr>
            <w:r w:rsidRPr="0095616E">
              <w:rPr>
                <w:rFonts w:asciiTheme="majorHAnsi" w:hAnsiTheme="majorHAnsi" w:cstheme="majorHAnsi"/>
                <w:noProof/>
              </w:rPr>
              <w:lastRenderedPageBreak/>
              <w:drawing>
                <wp:inline distT="0" distB="0" distL="0" distR="0" wp14:anchorId="0B313E9D" wp14:editId="600B6F0A">
                  <wp:extent cx="4334510" cy="6858635"/>
                  <wp:effectExtent l="0" t="0" r="8890" b="0"/>
                  <wp:docPr id="1537688704" name="Picture 1" descr="A series of graphs depicting the shift in scallop shell height between residual November and February surveys since 2016, as reported in the AIMWTMF 2024 Weight of Evidence Stock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88704" name="Picture 1" descr="A series of graphs depicting the shift in scallop shell height between residual November and February surveys since 2016, as reported in the AIMWTMF 2024 Weight of Evidence Stock Assessment.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34510" cy="6858635"/>
                          </a:xfrm>
                          <a:prstGeom prst="rect">
                            <a:avLst/>
                          </a:prstGeom>
                          <a:noFill/>
                        </pic:spPr>
                      </pic:pic>
                    </a:graphicData>
                  </a:graphic>
                </wp:inline>
              </w:drawing>
            </w:r>
          </w:p>
          <w:p w14:paraId="0AE282C1" w14:textId="77777777" w:rsidR="00AD4C11" w:rsidRPr="0095616E" w:rsidRDefault="00AD4C11" w:rsidP="00AD4C11">
            <w:pPr>
              <w:pStyle w:val="Compact"/>
              <w:jc w:val="center"/>
              <w:rPr>
                <w:rFonts w:asciiTheme="majorHAnsi" w:hAnsiTheme="majorHAnsi" w:cstheme="majorHAnsi"/>
              </w:rPr>
            </w:pPr>
            <w:r w:rsidRPr="0095616E">
              <w:rPr>
                <w:rFonts w:asciiTheme="majorHAnsi" w:hAnsiTheme="majorHAnsi" w:cstheme="majorHAnsi"/>
                <w:noProof/>
              </w:rPr>
              <w:lastRenderedPageBreak/>
              <w:drawing>
                <wp:inline distT="0" distB="0" distL="0" distR="0" wp14:anchorId="21391C76" wp14:editId="5B141AA1">
                  <wp:extent cx="4334510" cy="6858635"/>
                  <wp:effectExtent l="0" t="0" r="8890" b="0"/>
                  <wp:docPr id="933488714" name="Picture 1" descr="A series of graphs depicting the shift in scallop shell height between residual November and February surveys since 2016, as reported in the AIMWTMF 2024 Weight of Evidence Stock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88714" name="Picture 1" descr="A series of graphs depicting the shift in scallop shell height between residual November and February surveys since 2016, as reported in the AIMWTMF 2024 Weight of Evidence Stock Assessment.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34510" cy="6858635"/>
                          </a:xfrm>
                          <a:prstGeom prst="rect">
                            <a:avLst/>
                          </a:prstGeom>
                          <a:noFill/>
                        </pic:spPr>
                      </pic:pic>
                    </a:graphicData>
                  </a:graphic>
                </wp:inline>
              </w:drawing>
            </w:r>
          </w:p>
          <w:p w14:paraId="2EBEE189" w14:textId="62C4078F" w:rsidR="00AD4C11" w:rsidRPr="0095616E" w:rsidRDefault="00AD4C11" w:rsidP="00AD4C11">
            <w:pPr>
              <w:pStyle w:val="Caption"/>
              <w:rPr>
                <w:rFonts w:asciiTheme="majorHAnsi" w:hAnsiTheme="majorHAnsi" w:cstheme="majorHAnsi"/>
                <w:iCs w:val="0"/>
              </w:rPr>
            </w:pPr>
            <w:r w:rsidRPr="0095616E">
              <w:rPr>
                <w:rFonts w:asciiTheme="majorHAnsi" w:hAnsiTheme="majorHAnsi" w:cstheme="majorHAnsi"/>
              </w:rPr>
              <w:t xml:space="preserve">Figure </w:t>
            </w:r>
            <w:r w:rsidRPr="0095616E">
              <w:rPr>
                <w:rFonts w:asciiTheme="majorHAnsi" w:hAnsiTheme="majorHAnsi" w:cstheme="majorHAnsi"/>
              </w:rPr>
              <w:fldChar w:fldCharType="begin"/>
            </w:r>
            <w:r w:rsidRPr="0095616E">
              <w:rPr>
                <w:rFonts w:asciiTheme="majorHAnsi" w:hAnsiTheme="majorHAnsi" w:cstheme="majorHAnsi"/>
              </w:rPr>
              <w:instrText xml:space="preserve"> SEQ Figure \* ARABIC </w:instrText>
            </w:r>
            <w:r w:rsidRPr="0095616E">
              <w:rPr>
                <w:rFonts w:asciiTheme="majorHAnsi" w:hAnsiTheme="majorHAnsi" w:cstheme="majorHAnsi"/>
              </w:rPr>
              <w:fldChar w:fldCharType="separate"/>
            </w:r>
            <w:r w:rsidR="00AB15B7">
              <w:rPr>
                <w:rFonts w:asciiTheme="majorHAnsi" w:hAnsiTheme="majorHAnsi" w:cstheme="majorHAnsi"/>
                <w:noProof/>
              </w:rPr>
              <w:t>14</w:t>
            </w:r>
            <w:r w:rsidRPr="0095616E">
              <w:rPr>
                <w:rFonts w:asciiTheme="majorHAnsi" w:hAnsiTheme="majorHAnsi" w:cstheme="majorHAnsi"/>
              </w:rPr>
              <w:fldChar w:fldCharType="end"/>
            </w:r>
            <w:r w:rsidRPr="0095616E">
              <w:rPr>
                <w:rFonts w:asciiTheme="majorHAnsi" w:hAnsiTheme="majorHAnsi" w:cstheme="majorHAnsi"/>
              </w:rPr>
              <w:t xml:space="preserve"> Shifts in shell height frequencies of </w:t>
            </w:r>
            <w:proofErr w:type="spellStart"/>
            <w:r w:rsidRPr="0095616E">
              <w:rPr>
                <w:rFonts w:asciiTheme="majorHAnsi" w:hAnsiTheme="majorHAnsi" w:cstheme="majorHAnsi"/>
              </w:rPr>
              <w:t>Ylistrum</w:t>
            </w:r>
            <w:proofErr w:type="spellEnd"/>
            <w:r w:rsidRPr="0095616E">
              <w:rPr>
                <w:rFonts w:asciiTheme="majorHAnsi" w:hAnsiTheme="majorHAnsi" w:cstheme="majorHAnsi"/>
              </w:rPr>
              <w:t xml:space="preserve"> </w:t>
            </w:r>
            <w:proofErr w:type="spellStart"/>
            <w:r w:rsidRPr="0095616E">
              <w:rPr>
                <w:rFonts w:asciiTheme="majorHAnsi" w:hAnsiTheme="majorHAnsi" w:cstheme="majorHAnsi"/>
              </w:rPr>
              <w:t>balloti</w:t>
            </w:r>
            <w:proofErr w:type="spellEnd"/>
            <w:r w:rsidRPr="0095616E">
              <w:rPr>
                <w:rFonts w:asciiTheme="majorHAnsi" w:hAnsiTheme="majorHAnsi" w:cstheme="majorHAnsi"/>
              </w:rPr>
              <w:t xml:space="preserve"> between November (y</w:t>
            </w:r>
            <w:proofErr w:type="gramStart"/>
            <w:r w:rsidRPr="0095616E">
              <w:rPr>
                <w:rFonts w:asciiTheme="majorHAnsi" w:hAnsiTheme="majorHAnsi" w:cstheme="majorHAnsi"/>
              </w:rPr>
              <w:t>)(</w:t>
            </w:r>
            <w:proofErr w:type="gramEnd"/>
            <w:r w:rsidRPr="0095616E">
              <w:rPr>
                <w:rFonts w:asciiTheme="majorHAnsi" w:hAnsiTheme="majorHAnsi" w:cstheme="majorHAnsi"/>
              </w:rPr>
              <w:t>black line) and February (y+1)(blue line) stock surveys since 2016, across all survey sites</w:t>
            </w:r>
          </w:p>
          <w:p w14:paraId="6BDF10CF" w14:textId="3F35838E" w:rsidR="00AD4C11" w:rsidRPr="0095616E" w:rsidRDefault="00AD4C11" w:rsidP="00AD4C11">
            <w:pPr>
              <w:pStyle w:val="Caption"/>
              <w:rPr>
                <w:rFonts w:asciiTheme="majorHAnsi" w:hAnsiTheme="majorHAnsi" w:cstheme="majorHAnsi"/>
                <w:iCs w:val="0"/>
              </w:rPr>
            </w:pPr>
            <w:r w:rsidRPr="0095616E">
              <w:rPr>
                <w:rFonts w:asciiTheme="majorHAnsi" w:hAnsiTheme="majorHAnsi" w:cstheme="majorHAnsi"/>
                <w:iCs w:val="0"/>
                <w:noProof/>
              </w:rPr>
              <w:lastRenderedPageBreak/>
              <w:drawing>
                <wp:inline distT="0" distB="0" distL="0" distR="0" wp14:anchorId="0304B19C" wp14:editId="17805E82">
                  <wp:extent cx="4816607" cy="5034708"/>
                  <wp:effectExtent l="0" t="0" r="3175" b="0"/>
                  <wp:docPr id="1515610273" name="Picture 6" descr="A series of graphs depicting the shift in scallop shell height between November 2023 and February 2024, as reported in the AIMWTMF 2024 Weight of Evidence Stock Assessment.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10273" name="Picture 6" descr="A series of graphs depicting the shift in scallop shell height between November 2023 and February 2024, as reported in the AIMWTMF 2024 Weight of Evidence Stock Assessment. .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25891" cy="5044413"/>
                          </a:xfrm>
                          <a:prstGeom prst="rect">
                            <a:avLst/>
                          </a:prstGeom>
                          <a:noFill/>
                        </pic:spPr>
                      </pic:pic>
                    </a:graphicData>
                  </a:graphic>
                </wp:inline>
              </w:drawing>
            </w:r>
          </w:p>
          <w:p w14:paraId="6794D42A" w14:textId="77777777" w:rsidR="00AD4C11" w:rsidRPr="0095616E" w:rsidRDefault="00AD4C11" w:rsidP="00AD4C11">
            <w:pPr>
              <w:pStyle w:val="Caption"/>
              <w:rPr>
                <w:rFonts w:asciiTheme="majorHAnsi" w:hAnsiTheme="majorHAnsi" w:cstheme="majorHAnsi"/>
                <w:iCs w:val="0"/>
              </w:rPr>
            </w:pPr>
          </w:p>
          <w:p w14:paraId="539C3456" w14:textId="77777777" w:rsidR="00AD4C11" w:rsidRPr="0095616E" w:rsidRDefault="00AD4C11" w:rsidP="00AD4C11">
            <w:pPr>
              <w:pStyle w:val="Caption"/>
              <w:keepNext/>
              <w:rPr>
                <w:rFonts w:asciiTheme="majorHAnsi" w:hAnsiTheme="majorHAnsi" w:cstheme="majorHAnsi"/>
              </w:rPr>
            </w:pPr>
            <w:r w:rsidRPr="0095616E">
              <w:rPr>
                <w:rFonts w:asciiTheme="majorHAnsi" w:hAnsiTheme="majorHAnsi" w:cstheme="majorHAnsi"/>
                <w:iCs w:val="0"/>
                <w:noProof/>
              </w:rPr>
              <w:lastRenderedPageBreak/>
              <w:drawing>
                <wp:inline distT="0" distB="0" distL="0" distR="0" wp14:anchorId="1B9FD2BB" wp14:editId="17367BAC">
                  <wp:extent cx="4816607" cy="5034708"/>
                  <wp:effectExtent l="0" t="0" r="3175" b="0"/>
                  <wp:docPr id="372005984" name="Picture 6" descr="A series of graphs depicting the shift in scallop shell height between November 2023 and February 2024, as reported in the AIMWTMF 2024 Weight of Evidence Stock Assessment.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05984" name="Picture 6" descr="A series of graphs depicting the shift in scallop shell height between November 2023 and February 2024, as reported in the AIMWTMF 2024 Weight of Evidence Stock Assessment. .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25891" cy="5044413"/>
                          </a:xfrm>
                          <a:prstGeom prst="rect">
                            <a:avLst/>
                          </a:prstGeom>
                          <a:noFill/>
                        </pic:spPr>
                      </pic:pic>
                    </a:graphicData>
                  </a:graphic>
                </wp:inline>
              </w:drawing>
            </w:r>
          </w:p>
          <w:p w14:paraId="2A90A25B" w14:textId="1DFFE73A" w:rsidR="00AD4C11" w:rsidRPr="0095616E" w:rsidRDefault="00AD4C11" w:rsidP="00AD4C11">
            <w:pPr>
              <w:pStyle w:val="Caption"/>
              <w:rPr>
                <w:rFonts w:asciiTheme="majorHAnsi" w:hAnsiTheme="majorHAnsi" w:cstheme="majorHAnsi"/>
              </w:rPr>
            </w:pPr>
            <w:r w:rsidRPr="0095616E">
              <w:rPr>
                <w:rFonts w:asciiTheme="majorHAnsi" w:hAnsiTheme="majorHAnsi" w:cstheme="majorHAnsi"/>
              </w:rPr>
              <w:t xml:space="preserve">Figure </w:t>
            </w:r>
            <w:r w:rsidRPr="0095616E">
              <w:rPr>
                <w:rFonts w:asciiTheme="majorHAnsi" w:hAnsiTheme="majorHAnsi" w:cstheme="majorHAnsi"/>
              </w:rPr>
              <w:fldChar w:fldCharType="begin"/>
            </w:r>
            <w:r w:rsidRPr="0095616E">
              <w:rPr>
                <w:rFonts w:asciiTheme="majorHAnsi" w:hAnsiTheme="majorHAnsi" w:cstheme="majorHAnsi"/>
              </w:rPr>
              <w:instrText xml:space="preserve"> SEQ Figure \* ARABIC </w:instrText>
            </w:r>
            <w:r w:rsidRPr="0095616E">
              <w:rPr>
                <w:rFonts w:asciiTheme="majorHAnsi" w:hAnsiTheme="majorHAnsi" w:cstheme="majorHAnsi"/>
              </w:rPr>
              <w:fldChar w:fldCharType="separate"/>
            </w:r>
            <w:r w:rsidR="00AB15B7">
              <w:rPr>
                <w:rFonts w:asciiTheme="majorHAnsi" w:hAnsiTheme="majorHAnsi" w:cstheme="majorHAnsi"/>
                <w:noProof/>
              </w:rPr>
              <w:t>15</w:t>
            </w:r>
            <w:r w:rsidRPr="0095616E">
              <w:rPr>
                <w:rFonts w:asciiTheme="majorHAnsi" w:hAnsiTheme="majorHAnsi" w:cstheme="majorHAnsi"/>
              </w:rPr>
              <w:fldChar w:fldCharType="end"/>
            </w:r>
            <w:r w:rsidRPr="0095616E">
              <w:rPr>
                <w:rFonts w:asciiTheme="majorHAnsi" w:hAnsiTheme="majorHAnsi" w:cstheme="majorHAnsi"/>
              </w:rPr>
              <w:t xml:space="preserve"> Shifts in shell height frequencies of </w:t>
            </w:r>
            <w:proofErr w:type="spellStart"/>
            <w:r w:rsidRPr="0095616E">
              <w:rPr>
                <w:rFonts w:asciiTheme="majorHAnsi" w:hAnsiTheme="majorHAnsi" w:cstheme="majorHAnsi"/>
              </w:rPr>
              <w:t>Ylistrum</w:t>
            </w:r>
            <w:proofErr w:type="spellEnd"/>
            <w:r w:rsidRPr="0095616E">
              <w:rPr>
                <w:rFonts w:asciiTheme="majorHAnsi" w:hAnsiTheme="majorHAnsi" w:cstheme="majorHAnsi"/>
              </w:rPr>
              <w:t xml:space="preserve"> </w:t>
            </w:r>
            <w:proofErr w:type="spellStart"/>
            <w:r w:rsidRPr="0095616E">
              <w:rPr>
                <w:rFonts w:asciiTheme="majorHAnsi" w:hAnsiTheme="majorHAnsi" w:cstheme="majorHAnsi"/>
              </w:rPr>
              <w:t>balloti</w:t>
            </w:r>
            <w:proofErr w:type="spellEnd"/>
            <w:r w:rsidRPr="0095616E">
              <w:rPr>
                <w:rFonts w:asciiTheme="majorHAnsi" w:hAnsiTheme="majorHAnsi" w:cstheme="majorHAnsi"/>
              </w:rPr>
              <w:t xml:space="preserve"> between November 2023 (y</w:t>
            </w:r>
            <w:proofErr w:type="gramStart"/>
            <w:r w:rsidRPr="0095616E">
              <w:rPr>
                <w:rFonts w:asciiTheme="majorHAnsi" w:hAnsiTheme="majorHAnsi" w:cstheme="majorHAnsi"/>
              </w:rPr>
              <w:t>)(</w:t>
            </w:r>
            <w:proofErr w:type="gramEnd"/>
            <w:r w:rsidRPr="0095616E">
              <w:rPr>
                <w:rFonts w:asciiTheme="majorHAnsi" w:hAnsiTheme="majorHAnsi" w:cstheme="majorHAnsi"/>
              </w:rPr>
              <w:t xml:space="preserve">black line) and February 2024 (y+1)(blue line) surveys at the seven key fishing grounds.  </w:t>
            </w:r>
          </w:p>
          <w:p w14:paraId="09B1521B" w14:textId="77777777" w:rsidR="00AD4C11" w:rsidRPr="0095616E" w:rsidRDefault="00AD4C11" w:rsidP="00AD4C11">
            <w:pPr>
              <w:keepNext/>
              <w:rPr>
                <w:rFonts w:asciiTheme="majorHAnsi" w:hAnsiTheme="majorHAnsi" w:cstheme="majorHAnsi"/>
              </w:rPr>
            </w:pPr>
            <w:r w:rsidRPr="0095616E">
              <w:rPr>
                <w:rFonts w:asciiTheme="majorHAnsi" w:hAnsiTheme="majorHAnsi" w:cstheme="majorHAnsi"/>
                <w:noProof/>
              </w:rPr>
              <w:drawing>
                <wp:inline distT="0" distB="0" distL="0" distR="0" wp14:anchorId="6059AB06" wp14:editId="2F6B108A">
                  <wp:extent cx="4774543" cy="2678234"/>
                  <wp:effectExtent l="0" t="0" r="7620" b="8255"/>
                  <wp:docPr id="1933521413" name="Picture 7" descr="Images of scallops that are of poor shell condition, as collected during the November 2023 and February 2024 surv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521413" name="Picture 7" descr="Images of scallops that are of poor shell condition, as collected during the November 2023 and February 2024 survey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95468" cy="2689972"/>
                          </a:xfrm>
                          <a:prstGeom prst="rect">
                            <a:avLst/>
                          </a:prstGeom>
                          <a:noFill/>
                        </pic:spPr>
                      </pic:pic>
                    </a:graphicData>
                  </a:graphic>
                </wp:inline>
              </w:drawing>
            </w:r>
          </w:p>
          <w:p w14:paraId="5B0CBFB6" w14:textId="4F61E086" w:rsidR="00AD4C11" w:rsidRPr="0095616E" w:rsidRDefault="00AD4C11" w:rsidP="00AD4C11">
            <w:pPr>
              <w:tabs>
                <w:tab w:val="left" w:pos="1260"/>
                <w:tab w:val="left" w:pos="5310"/>
              </w:tabs>
              <w:rPr>
                <w:rFonts w:asciiTheme="majorHAnsi" w:hAnsiTheme="majorHAnsi" w:cstheme="majorHAnsi"/>
                <w:i/>
                <w:iCs/>
              </w:rPr>
            </w:pPr>
            <w:r w:rsidRPr="0095616E">
              <w:rPr>
                <w:rFonts w:asciiTheme="majorHAnsi" w:hAnsiTheme="majorHAnsi" w:cstheme="majorHAnsi"/>
                <w:i/>
                <w:iCs/>
              </w:rPr>
              <w:lastRenderedPageBreak/>
              <w:t xml:space="preserve">Figure </w:t>
            </w:r>
            <w:r w:rsidRPr="0095616E">
              <w:rPr>
                <w:rFonts w:asciiTheme="majorHAnsi" w:hAnsiTheme="majorHAnsi" w:cstheme="majorHAnsi"/>
                <w:i/>
                <w:iCs/>
              </w:rPr>
              <w:fldChar w:fldCharType="begin"/>
            </w:r>
            <w:r w:rsidRPr="0095616E">
              <w:rPr>
                <w:rFonts w:asciiTheme="majorHAnsi" w:hAnsiTheme="majorHAnsi" w:cstheme="majorHAnsi"/>
                <w:i/>
                <w:iCs/>
              </w:rPr>
              <w:instrText xml:space="preserve"> SEQ Figure \* ARABIC </w:instrText>
            </w:r>
            <w:r w:rsidRPr="0095616E">
              <w:rPr>
                <w:rFonts w:asciiTheme="majorHAnsi" w:hAnsiTheme="majorHAnsi" w:cstheme="majorHAnsi"/>
                <w:i/>
                <w:iCs/>
              </w:rPr>
              <w:fldChar w:fldCharType="separate"/>
            </w:r>
            <w:r w:rsidR="00AB15B7">
              <w:rPr>
                <w:rFonts w:asciiTheme="majorHAnsi" w:hAnsiTheme="majorHAnsi" w:cstheme="majorHAnsi"/>
                <w:i/>
                <w:iCs/>
                <w:noProof/>
              </w:rPr>
              <w:t>16</w:t>
            </w:r>
            <w:r w:rsidRPr="0095616E">
              <w:rPr>
                <w:rFonts w:asciiTheme="majorHAnsi" w:hAnsiTheme="majorHAnsi" w:cstheme="majorHAnsi"/>
                <w:i/>
                <w:iCs/>
              </w:rPr>
              <w:fldChar w:fldCharType="end"/>
            </w:r>
            <w:r w:rsidRPr="0095616E">
              <w:rPr>
                <w:rFonts w:asciiTheme="majorHAnsi" w:hAnsiTheme="majorHAnsi" w:cstheme="majorHAnsi"/>
                <w:i/>
                <w:iCs/>
              </w:rPr>
              <w:t xml:space="preserve"> . Images of scallops that are of poor shell condition from the November 2023 and February 2024 surveys.</w:t>
            </w:r>
          </w:p>
        </w:tc>
      </w:tr>
      <w:tr w:rsidR="00AD4C11" w14:paraId="32E7D45B" w14:textId="77777777" w:rsidTr="00DF389F">
        <w:tc>
          <w:tcPr>
            <w:tcW w:w="9815" w:type="dxa"/>
            <w:gridSpan w:val="2"/>
            <w:shd w:val="clear" w:color="auto" w:fill="D3F5FF" w:themeFill="accent1" w:themeFillTint="1A"/>
          </w:tcPr>
          <w:p w14:paraId="7AF78CEF" w14:textId="77777777" w:rsidR="00AD4C11" w:rsidRPr="0095616E" w:rsidRDefault="00AD4C11" w:rsidP="00AD4C11">
            <w:pPr>
              <w:rPr>
                <w:rFonts w:asciiTheme="majorHAnsi" w:hAnsiTheme="majorHAnsi" w:cstheme="majorHAnsi"/>
                <w:b/>
                <w:bCs/>
                <w:u w:val="single"/>
              </w:rPr>
            </w:pPr>
            <w:r w:rsidRPr="0095616E">
              <w:rPr>
                <w:rFonts w:asciiTheme="majorHAnsi" w:hAnsiTheme="majorHAnsi" w:cstheme="majorHAnsi"/>
                <w:b/>
                <w:bCs/>
                <w:u w:val="single"/>
              </w:rPr>
              <w:lastRenderedPageBreak/>
              <w:t>L3 Assessment</w:t>
            </w:r>
          </w:p>
          <w:p w14:paraId="05E6AA09" w14:textId="77777777" w:rsidR="00AD4C11" w:rsidRPr="0095616E" w:rsidRDefault="00AD4C11" w:rsidP="00972AC9">
            <w:pPr>
              <w:pStyle w:val="Compact"/>
              <w:numPr>
                <w:ilvl w:val="0"/>
                <w:numId w:val="23"/>
              </w:numPr>
              <w:rPr>
                <w:rFonts w:asciiTheme="majorHAnsi" w:hAnsiTheme="majorHAnsi" w:cstheme="majorHAnsi"/>
                <w:b/>
                <w:bCs/>
              </w:rPr>
            </w:pPr>
            <w:r w:rsidRPr="0095616E">
              <w:rPr>
                <w:rFonts w:asciiTheme="majorHAnsi" w:hAnsiTheme="majorHAnsi" w:cstheme="majorHAnsi"/>
                <w:b/>
                <w:bCs/>
              </w:rPr>
              <w:t>There was an average residual cohort evident in November 2023 which further reduced by February 2024, accompanied by a poor recruitment cohort.</w:t>
            </w:r>
          </w:p>
          <w:p w14:paraId="7D15BC76" w14:textId="77777777" w:rsidR="00AD4C11" w:rsidRPr="0095616E" w:rsidRDefault="00AD4C11" w:rsidP="00972AC9">
            <w:pPr>
              <w:pStyle w:val="Compact"/>
              <w:numPr>
                <w:ilvl w:val="0"/>
                <w:numId w:val="23"/>
              </w:numPr>
              <w:rPr>
                <w:rFonts w:asciiTheme="majorHAnsi" w:hAnsiTheme="majorHAnsi" w:cstheme="majorHAnsi"/>
                <w:b/>
                <w:bCs/>
              </w:rPr>
            </w:pPr>
            <w:r w:rsidRPr="0095616E">
              <w:rPr>
                <w:rFonts w:asciiTheme="majorHAnsi" w:hAnsiTheme="majorHAnsi" w:cstheme="majorHAnsi"/>
                <w:b/>
                <w:bCs/>
              </w:rPr>
              <w:t>There is evidence of stunting (retarded growth) and poor scallop quality in the Hummocks fishing ground during November 2023</w:t>
            </w:r>
          </w:p>
          <w:p w14:paraId="45EBE69D" w14:textId="77777777" w:rsidR="00AD4C11" w:rsidRPr="0095616E" w:rsidRDefault="00AD4C11" w:rsidP="00972AC9">
            <w:pPr>
              <w:pStyle w:val="Compact"/>
              <w:numPr>
                <w:ilvl w:val="0"/>
                <w:numId w:val="23"/>
              </w:numPr>
              <w:rPr>
                <w:rFonts w:asciiTheme="majorHAnsi" w:hAnsiTheme="majorHAnsi" w:cstheme="majorHAnsi"/>
                <w:b/>
                <w:bCs/>
              </w:rPr>
            </w:pPr>
            <w:r w:rsidRPr="0095616E">
              <w:rPr>
                <w:rFonts w:asciiTheme="majorHAnsi" w:hAnsiTheme="majorHAnsi" w:cstheme="majorHAnsi"/>
                <w:b/>
                <w:bCs/>
              </w:rPr>
              <w:t>Qualitative assessments indicated that there were quality issues with scallops, which was more prevalent in the southern fishing grounds and greater prevalence moving further north during the February 2024 survey</w:t>
            </w:r>
          </w:p>
          <w:p w14:paraId="05FAF6AC" w14:textId="77777777" w:rsidR="00AD4C11" w:rsidRPr="0095616E" w:rsidRDefault="00AD4C11" w:rsidP="00972AC9">
            <w:pPr>
              <w:pStyle w:val="Compact"/>
              <w:numPr>
                <w:ilvl w:val="0"/>
                <w:numId w:val="23"/>
              </w:numPr>
              <w:rPr>
                <w:rFonts w:asciiTheme="majorHAnsi" w:hAnsiTheme="majorHAnsi" w:cstheme="majorHAnsi"/>
              </w:rPr>
            </w:pPr>
            <w:proofErr w:type="gramStart"/>
            <w:r w:rsidRPr="0095616E">
              <w:rPr>
                <w:rFonts w:asciiTheme="majorHAnsi" w:hAnsiTheme="majorHAnsi" w:cstheme="majorHAnsi"/>
                <w:b/>
                <w:bCs/>
              </w:rPr>
              <w:t>With the exception of</w:t>
            </w:r>
            <w:proofErr w:type="gramEnd"/>
            <w:r w:rsidRPr="0095616E">
              <w:rPr>
                <w:rFonts w:asciiTheme="majorHAnsi" w:hAnsiTheme="majorHAnsi" w:cstheme="majorHAnsi"/>
                <w:b/>
                <w:bCs/>
              </w:rPr>
              <w:t xml:space="preserve"> the </w:t>
            </w:r>
            <w:proofErr w:type="spellStart"/>
            <w:r w:rsidRPr="0095616E">
              <w:rPr>
                <w:rFonts w:asciiTheme="majorHAnsi" w:hAnsiTheme="majorHAnsi" w:cstheme="majorHAnsi"/>
                <w:b/>
                <w:bCs/>
              </w:rPr>
              <w:t>Wallabi</w:t>
            </w:r>
            <w:proofErr w:type="spellEnd"/>
            <w:r w:rsidRPr="0095616E">
              <w:rPr>
                <w:rFonts w:asciiTheme="majorHAnsi" w:hAnsiTheme="majorHAnsi" w:cstheme="majorHAnsi"/>
                <w:b/>
                <w:bCs/>
              </w:rPr>
              <w:t xml:space="preserve"> and North Patch fishing grounds, majority of the residual scallops across the Abrolhos Islands are of poor shell condition and meat quality which may result in a higher level of natural mortality. </w:t>
            </w:r>
          </w:p>
          <w:p w14:paraId="47C38591" w14:textId="07D5CB9A" w:rsidR="00AD4C11" w:rsidRPr="0095616E" w:rsidRDefault="00AD4C11" w:rsidP="00AD4C11">
            <w:pPr>
              <w:tabs>
                <w:tab w:val="left" w:pos="5310"/>
              </w:tabs>
              <w:rPr>
                <w:rFonts w:asciiTheme="majorHAnsi" w:hAnsiTheme="majorHAnsi" w:cstheme="majorHAnsi"/>
              </w:rPr>
            </w:pPr>
            <w:r w:rsidRPr="0095616E">
              <w:rPr>
                <w:rFonts w:asciiTheme="majorHAnsi" w:hAnsiTheme="majorHAnsi" w:cstheme="majorHAnsi"/>
              </w:rPr>
              <w:t>Based on the results from the size composition there is minimal indication of an unacceptable level of current stock depletion. However, recently sampled size composition, shell and meat condition data raise concern over the biomass of residual scallops being able to be of harvestable quality and support the catch prediction.</w:t>
            </w:r>
          </w:p>
        </w:tc>
      </w:tr>
      <w:tr w:rsidR="00AD4C11" w14:paraId="0E48FEEF" w14:textId="77777777" w:rsidTr="00DF389F">
        <w:tc>
          <w:tcPr>
            <w:tcW w:w="1663" w:type="dxa"/>
            <w:shd w:val="clear" w:color="auto" w:fill="auto"/>
          </w:tcPr>
          <w:p w14:paraId="688C18BF" w14:textId="5CFE1DE4" w:rsidR="00AD4C11" w:rsidRPr="0095616E" w:rsidRDefault="00AD4C11" w:rsidP="00AD4C11">
            <w:pPr>
              <w:rPr>
                <w:rFonts w:asciiTheme="majorHAnsi" w:hAnsiTheme="majorHAnsi" w:cstheme="majorHAnsi"/>
              </w:rPr>
            </w:pPr>
            <w:r w:rsidRPr="0095616E">
              <w:rPr>
                <w:rFonts w:asciiTheme="majorHAnsi" w:hAnsiTheme="majorHAnsi" w:cstheme="majorHAnsi"/>
              </w:rPr>
              <w:t>L4 Fishery-independent indices</w:t>
            </w:r>
          </w:p>
        </w:tc>
        <w:tc>
          <w:tcPr>
            <w:tcW w:w="8152" w:type="dxa"/>
            <w:shd w:val="clear" w:color="auto" w:fill="auto"/>
          </w:tcPr>
          <w:p w14:paraId="0BF12511" w14:textId="77777777" w:rsidR="00AD4C11" w:rsidRPr="0095616E" w:rsidRDefault="00AD4C11" w:rsidP="00AD4C11">
            <w:pPr>
              <w:pStyle w:val="Compact"/>
              <w:rPr>
                <w:rFonts w:asciiTheme="majorHAnsi" w:hAnsiTheme="majorHAnsi" w:cstheme="majorHAnsi"/>
              </w:rPr>
            </w:pPr>
            <w:r w:rsidRPr="0095616E">
              <w:rPr>
                <w:rFonts w:asciiTheme="majorHAnsi" w:hAnsiTheme="majorHAnsi" w:cstheme="majorHAnsi"/>
              </w:rPr>
              <w:t xml:space="preserve">Two fishery-independent surveys are conducted in the AIMWTMF, one in November (post fishing) to provide an indication of 1+ residual stock levels that will be fished during the following season, and in February to capture juvenile recruits (recruitment index) and survival of adult 1+ stock over summer (February index) prior to fishing commencing in March / April. </w:t>
            </w:r>
          </w:p>
          <w:p w14:paraId="3D27AD94" w14:textId="618DD44F" w:rsidR="00AD4C11" w:rsidRPr="0095616E" w:rsidRDefault="00AD4C11" w:rsidP="00AD4C11">
            <w:pPr>
              <w:pStyle w:val="Compact"/>
              <w:rPr>
                <w:rFonts w:asciiTheme="majorHAnsi" w:hAnsiTheme="majorHAnsi" w:cstheme="majorHAnsi"/>
              </w:rPr>
            </w:pPr>
            <w:r w:rsidRPr="0095616E">
              <w:rPr>
                <w:rFonts w:asciiTheme="majorHAnsi" w:hAnsiTheme="majorHAnsi" w:cstheme="majorHAnsi"/>
              </w:rPr>
              <w:t>The November index (all sized scallops) comprises of all 0+ and 1+ scallops between 70 – 110 mm SH (</w:t>
            </w:r>
            <w:r w:rsidR="00C02B61">
              <w:rPr>
                <w:rFonts w:asciiTheme="majorHAnsi" w:hAnsiTheme="majorHAnsi" w:cstheme="majorHAnsi"/>
              </w:rPr>
              <w:t>Figure 14</w:t>
            </w:r>
            <w:r w:rsidRPr="0095616E">
              <w:rPr>
                <w:rFonts w:asciiTheme="majorHAnsi" w:hAnsiTheme="majorHAnsi" w:cstheme="majorHAnsi"/>
              </w:rPr>
              <w:t>). Majority of the scallops from the November survey spawn over the summer months (September to March) and are fished in the following fishing season, and hence provides a measure of the spawning biomass. The 2023 index has declined slightly from the 2022 level to 974 scallops/nm but remains above the threshold reference level (</w:t>
            </w:r>
            <w:r w:rsidR="00C02B61">
              <w:rPr>
                <w:rFonts w:asciiTheme="majorHAnsi" w:hAnsiTheme="majorHAnsi" w:cstheme="majorHAnsi"/>
              </w:rPr>
              <w:t>Figure 17</w:t>
            </w:r>
            <w:r w:rsidRPr="0095616E">
              <w:rPr>
                <w:rFonts w:asciiTheme="majorHAnsi" w:hAnsiTheme="majorHAnsi" w:cstheme="majorHAnsi"/>
              </w:rPr>
              <w:t xml:space="preserve">).  </w:t>
            </w:r>
          </w:p>
          <w:p w14:paraId="77717330" w14:textId="77777777" w:rsidR="00AD4C11" w:rsidRPr="0095616E" w:rsidRDefault="00AD4C11" w:rsidP="00AD4C11">
            <w:pPr>
              <w:tabs>
                <w:tab w:val="left" w:pos="5310"/>
              </w:tabs>
              <w:rPr>
                <w:rFonts w:asciiTheme="majorHAnsi" w:hAnsiTheme="majorHAnsi" w:cstheme="majorHAnsi"/>
              </w:rPr>
            </w:pPr>
            <w:r w:rsidRPr="0095616E">
              <w:rPr>
                <w:rFonts w:asciiTheme="majorHAnsi" w:hAnsiTheme="majorHAnsi" w:cstheme="majorHAnsi"/>
                <w:noProof/>
              </w:rPr>
              <w:drawing>
                <wp:inline distT="0" distB="0" distL="0" distR="0" wp14:anchorId="3A534367" wp14:editId="4DAB6499">
                  <wp:extent cx="4986154" cy="2946400"/>
                  <wp:effectExtent l="0" t="0" r="5080" b="6350"/>
                  <wp:docPr id="45504530" name="Picture 1" descr="A graph depicting the November index for the AIMWTMF with associated limit and threshold reference levels, as reported in the AIMWTMF 2024 Weight of Evidence Stock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4530" name="Picture 1" descr="A graph depicting the November index for the AIMWTMF with associated limit and threshold reference levels, as reported in the AIMWTMF 2024 Weight of Evidence Stock Assessment. "/>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02426" cy="2956016"/>
                          </a:xfrm>
                          <a:prstGeom prst="rect">
                            <a:avLst/>
                          </a:prstGeom>
                          <a:noFill/>
                        </pic:spPr>
                      </pic:pic>
                    </a:graphicData>
                  </a:graphic>
                </wp:inline>
              </w:drawing>
            </w:r>
          </w:p>
          <w:p w14:paraId="565CF80A" w14:textId="0FCD49B8" w:rsidR="00AD4C11" w:rsidRPr="0095616E" w:rsidRDefault="00AD4C11" w:rsidP="00AD4C11">
            <w:pPr>
              <w:pStyle w:val="Caption"/>
              <w:rPr>
                <w:rFonts w:asciiTheme="majorHAnsi" w:hAnsiTheme="majorHAnsi" w:cstheme="majorHAnsi"/>
              </w:rPr>
            </w:pPr>
            <w:r w:rsidRPr="0095616E">
              <w:rPr>
                <w:rFonts w:asciiTheme="majorHAnsi" w:hAnsiTheme="majorHAnsi" w:cstheme="majorHAnsi"/>
              </w:rPr>
              <w:t xml:space="preserve">Figure </w:t>
            </w:r>
            <w:r w:rsidRPr="0095616E">
              <w:rPr>
                <w:rFonts w:asciiTheme="majorHAnsi" w:hAnsiTheme="majorHAnsi" w:cstheme="majorHAnsi"/>
              </w:rPr>
              <w:fldChar w:fldCharType="begin"/>
            </w:r>
            <w:r w:rsidRPr="0095616E">
              <w:rPr>
                <w:rFonts w:asciiTheme="majorHAnsi" w:hAnsiTheme="majorHAnsi" w:cstheme="majorHAnsi"/>
              </w:rPr>
              <w:instrText xml:space="preserve"> SEQ Figure \* ARABIC </w:instrText>
            </w:r>
            <w:r w:rsidRPr="0095616E">
              <w:rPr>
                <w:rFonts w:asciiTheme="majorHAnsi" w:hAnsiTheme="majorHAnsi" w:cstheme="majorHAnsi"/>
              </w:rPr>
              <w:fldChar w:fldCharType="separate"/>
            </w:r>
            <w:r w:rsidR="00AB15B7">
              <w:rPr>
                <w:rFonts w:asciiTheme="majorHAnsi" w:hAnsiTheme="majorHAnsi" w:cstheme="majorHAnsi"/>
                <w:noProof/>
              </w:rPr>
              <w:t>17</w:t>
            </w:r>
            <w:r w:rsidRPr="0095616E">
              <w:rPr>
                <w:rFonts w:asciiTheme="majorHAnsi" w:hAnsiTheme="majorHAnsi" w:cstheme="majorHAnsi"/>
              </w:rPr>
              <w:fldChar w:fldCharType="end"/>
            </w:r>
            <w:r w:rsidRPr="0095616E">
              <w:rPr>
                <w:rFonts w:asciiTheme="majorHAnsi" w:hAnsiTheme="majorHAnsi" w:cstheme="majorHAnsi"/>
              </w:rPr>
              <w:t xml:space="preserve"> Annual November index (scallops/nm ± </w:t>
            </w:r>
            <w:proofErr w:type="spellStart"/>
            <w:r w:rsidRPr="0095616E">
              <w:rPr>
                <w:rFonts w:asciiTheme="majorHAnsi" w:hAnsiTheme="majorHAnsi" w:cstheme="majorHAnsi"/>
              </w:rPr>
              <w:t>s.e.</w:t>
            </w:r>
            <w:proofErr w:type="spellEnd"/>
            <w:r w:rsidRPr="0095616E">
              <w:rPr>
                <w:rFonts w:asciiTheme="majorHAnsi" w:hAnsiTheme="majorHAnsi" w:cstheme="majorHAnsi"/>
              </w:rPr>
              <w:t xml:space="preserve">) for the AIMWTMF with associate limit (250 scallops/nm; red line) and threshold (750 </w:t>
            </w:r>
            <w:r w:rsidRPr="0095616E">
              <w:rPr>
                <w:rFonts w:asciiTheme="majorHAnsi" w:hAnsiTheme="majorHAnsi" w:cstheme="majorHAnsi"/>
              </w:rPr>
              <w:lastRenderedPageBreak/>
              <w:t xml:space="preserve">scallop/nm; orange line) reference levels.  Note that the CPUEs between 2012 and 2015 and during 2021 were all &lt; 50 scallops/nm.  </w:t>
            </w:r>
          </w:p>
          <w:p w14:paraId="59F35D84" w14:textId="05AA2C4A" w:rsidR="00AD4C11" w:rsidRPr="0095616E" w:rsidRDefault="00AD4C11" w:rsidP="00AD4C11">
            <w:pPr>
              <w:pStyle w:val="Compact"/>
              <w:rPr>
                <w:rFonts w:asciiTheme="majorHAnsi" w:hAnsiTheme="majorHAnsi" w:cstheme="majorHAnsi"/>
                <w:bCs/>
              </w:rPr>
            </w:pPr>
            <w:r w:rsidRPr="0095616E">
              <w:rPr>
                <w:rFonts w:asciiTheme="majorHAnsi" w:hAnsiTheme="majorHAnsi" w:cstheme="majorHAnsi"/>
              </w:rPr>
              <w:t>The February survey provides for a secondary measure for the residual 1+ scallop abundance persisting over the summer months. The residual index from The February 2024 survey has declined to 727 scallops/nm and has fallen below the threshold reference level of 750 scallops/nm (</w:t>
            </w:r>
            <w:r w:rsidR="00C02B61">
              <w:rPr>
                <w:rFonts w:asciiTheme="majorHAnsi" w:hAnsiTheme="majorHAnsi" w:cstheme="majorHAnsi"/>
              </w:rPr>
              <w:t>Figure 18</w:t>
            </w:r>
            <w:r w:rsidRPr="0095616E">
              <w:rPr>
                <w:rFonts w:asciiTheme="majorHAnsi" w:hAnsiTheme="majorHAnsi" w:cstheme="majorHAnsi"/>
              </w:rPr>
              <w:t>).</w:t>
            </w:r>
            <w:r w:rsidRPr="0095616E">
              <w:rPr>
                <w:rFonts w:asciiTheme="majorHAnsi" w:hAnsiTheme="majorHAnsi" w:cstheme="majorHAnsi"/>
                <w:bCs/>
              </w:rPr>
              <w:t xml:space="preserve">  </w:t>
            </w:r>
          </w:p>
          <w:p w14:paraId="68578863" w14:textId="2506C2BC" w:rsidR="00AD4C11" w:rsidRPr="0095616E" w:rsidRDefault="00AD4C11" w:rsidP="00AD4C11">
            <w:pPr>
              <w:pStyle w:val="Compact"/>
              <w:rPr>
                <w:rFonts w:asciiTheme="majorHAnsi" w:hAnsiTheme="majorHAnsi" w:cstheme="majorHAnsi"/>
              </w:rPr>
            </w:pPr>
            <w:r w:rsidRPr="0095616E">
              <w:rPr>
                <w:rFonts w:asciiTheme="majorHAnsi" w:hAnsiTheme="majorHAnsi" w:cstheme="majorHAnsi"/>
              </w:rPr>
              <w:t>Additionally, the February survey generates a recruitment (0+) index. This provides an indication of the future spawning stock which will be assessed during November 2024. This index from the February 2024 survey has also declined markedly to 402 scallops/nm (</w:t>
            </w:r>
            <w:r w:rsidR="00C02B61">
              <w:rPr>
                <w:rFonts w:asciiTheme="majorHAnsi" w:hAnsiTheme="majorHAnsi" w:cstheme="majorHAnsi"/>
              </w:rPr>
              <w:t>Figure 19</w:t>
            </w:r>
            <w:r w:rsidRPr="0095616E">
              <w:rPr>
                <w:rFonts w:asciiTheme="majorHAnsi" w:hAnsiTheme="majorHAnsi" w:cstheme="majorHAnsi"/>
              </w:rPr>
              <w:t>).</w:t>
            </w:r>
          </w:p>
          <w:p w14:paraId="55640F8E" w14:textId="77777777" w:rsidR="00AD4C11" w:rsidRPr="0095616E" w:rsidRDefault="00AD4C11" w:rsidP="00AD4C11">
            <w:pPr>
              <w:tabs>
                <w:tab w:val="left" w:pos="5310"/>
              </w:tabs>
              <w:rPr>
                <w:rFonts w:asciiTheme="majorHAnsi" w:hAnsiTheme="majorHAnsi" w:cstheme="majorHAnsi"/>
              </w:rPr>
            </w:pPr>
            <w:r w:rsidRPr="0095616E">
              <w:rPr>
                <w:rFonts w:asciiTheme="majorHAnsi" w:hAnsiTheme="majorHAnsi" w:cstheme="majorHAnsi"/>
                <w:noProof/>
              </w:rPr>
              <w:drawing>
                <wp:inline distT="0" distB="0" distL="0" distR="0" wp14:anchorId="43BF275E" wp14:editId="5B0B977E">
                  <wp:extent cx="4906240" cy="3164301"/>
                  <wp:effectExtent l="0" t="0" r="8890" b="0"/>
                  <wp:docPr id="738194867" name="Picture 2" descr="A graph depicting the annual February residual index since 2016, with associated threshold and limit reference levels, as reported in the AIMWTMF 2024 Weight of Evidence Stock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194867" name="Picture 2" descr="A graph depicting the annual February residual index since 2016, with associated threshold and limit reference levels, as reported in the AIMWTMF 2024 Weight of Evidence Stock Assessment. "/>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932774" cy="3181414"/>
                          </a:xfrm>
                          <a:prstGeom prst="rect">
                            <a:avLst/>
                          </a:prstGeom>
                          <a:noFill/>
                        </pic:spPr>
                      </pic:pic>
                    </a:graphicData>
                  </a:graphic>
                </wp:inline>
              </w:drawing>
            </w:r>
          </w:p>
          <w:p w14:paraId="7AB58F8D" w14:textId="302228C0" w:rsidR="00AD4C11" w:rsidRPr="0095616E" w:rsidRDefault="00AD4C11" w:rsidP="00AD4C11">
            <w:pPr>
              <w:pStyle w:val="Caption"/>
              <w:rPr>
                <w:rFonts w:asciiTheme="majorHAnsi" w:hAnsiTheme="majorHAnsi" w:cstheme="majorHAnsi"/>
              </w:rPr>
            </w:pPr>
            <w:r w:rsidRPr="0095616E">
              <w:rPr>
                <w:rFonts w:asciiTheme="majorHAnsi" w:hAnsiTheme="majorHAnsi" w:cstheme="majorHAnsi"/>
              </w:rPr>
              <w:t xml:space="preserve">Figure </w:t>
            </w:r>
            <w:r w:rsidRPr="0095616E">
              <w:rPr>
                <w:rFonts w:asciiTheme="majorHAnsi" w:hAnsiTheme="majorHAnsi" w:cstheme="majorHAnsi"/>
              </w:rPr>
              <w:fldChar w:fldCharType="begin"/>
            </w:r>
            <w:r w:rsidRPr="0095616E">
              <w:rPr>
                <w:rFonts w:asciiTheme="majorHAnsi" w:hAnsiTheme="majorHAnsi" w:cstheme="majorHAnsi"/>
              </w:rPr>
              <w:instrText xml:space="preserve"> SEQ Figure \* ARABIC </w:instrText>
            </w:r>
            <w:r w:rsidRPr="0095616E">
              <w:rPr>
                <w:rFonts w:asciiTheme="majorHAnsi" w:hAnsiTheme="majorHAnsi" w:cstheme="majorHAnsi"/>
              </w:rPr>
              <w:fldChar w:fldCharType="separate"/>
            </w:r>
            <w:r w:rsidR="00AB15B7">
              <w:rPr>
                <w:rFonts w:asciiTheme="majorHAnsi" w:hAnsiTheme="majorHAnsi" w:cstheme="majorHAnsi"/>
                <w:noProof/>
              </w:rPr>
              <w:t>18</w:t>
            </w:r>
            <w:r w:rsidRPr="0095616E">
              <w:rPr>
                <w:rFonts w:asciiTheme="majorHAnsi" w:hAnsiTheme="majorHAnsi" w:cstheme="majorHAnsi"/>
              </w:rPr>
              <w:fldChar w:fldCharType="end"/>
            </w:r>
            <w:r w:rsidRPr="0095616E">
              <w:rPr>
                <w:rFonts w:asciiTheme="majorHAnsi" w:hAnsiTheme="majorHAnsi" w:cstheme="majorHAnsi"/>
              </w:rPr>
              <w:t xml:space="preserve"> Preliminary annual February residual index since 2016 with associated threshold (750 </w:t>
            </w:r>
            <w:proofErr w:type="spellStart"/>
            <w:r w:rsidRPr="0095616E">
              <w:rPr>
                <w:rFonts w:asciiTheme="majorHAnsi" w:hAnsiTheme="majorHAnsi" w:cstheme="majorHAnsi"/>
              </w:rPr>
              <w:t>sc</w:t>
            </w:r>
            <w:proofErr w:type="spellEnd"/>
            <w:r w:rsidRPr="0095616E">
              <w:rPr>
                <w:rFonts w:asciiTheme="majorHAnsi" w:hAnsiTheme="majorHAnsi" w:cstheme="majorHAnsi"/>
              </w:rPr>
              <w:t xml:space="preserve">/nm; orange) and limit (250 </w:t>
            </w:r>
            <w:proofErr w:type="spellStart"/>
            <w:r w:rsidRPr="0095616E">
              <w:rPr>
                <w:rFonts w:asciiTheme="majorHAnsi" w:hAnsiTheme="majorHAnsi" w:cstheme="majorHAnsi"/>
              </w:rPr>
              <w:t>sc</w:t>
            </w:r>
            <w:proofErr w:type="spellEnd"/>
            <w:r w:rsidRPr="0095616E">
              <w:rPr>
                <w:rFonts w:asciiTheme="majorHAnsi" w:hAnsiTheme="majorHAnsi" w:cstheme="majorHAnsi"/>
              </w:rPr>
              <w:t>/nm; red) reference levels</w:t>
            </w:r>
          </w:p>
          <w:p w14:paraId="5E2A2496" w14:textId="77777777" w:rsidR="00AD4C11" w:rsidRPr="0095616E" w:rsidRDefault="00AD4C11" w:rsidP="00AD4C11">
            <w:pPr>
              <w:tabs>
                <w:tab w:val="left" w:pos="5310"/>
              </w:tabs>
              <w:rPr>
                <w:rFonts w:asciiTheme="majorHAnsi" w:hAnsiTheme="majorHAnsi" w:cstheme="majorHAnsi"/>
              </w:rPr>
            </w:pPr>
            <w:r w:rsidRPr="0095616E">
              <w:rPr>
                <w:rFonts w:asciiTheme="majorHAnsi" w:hAnsiTheme="majorHAnsi" w:cstheme="majorHAnsi"/>
                <w:noProof/>
              </w:rPr>
              <w:lastRenderedPageBreak/>
              <w:drawing>
                <wp:inline distT="0" distB="0" distL="0" distR="0" wp14:anchorId="0968FF34" wp14:editId="1F978D78">
                  <wp:extent cx="4962832" cy="3198386"/>
                  <wp:effectExtent l="0" t="0" r="0" b="2540"/>
                  <wp:docPr id="1440582340" name="Picture 3" descr="A graph depicting the annual February recruitment index since 2016, as reported in the AIMWTMF 2024 Weight of Evidence Stock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582340" name="Picture 3" descr="A graph depicting the annual February recruitment index since 2016, as reported in the AIMWTMF 2024 Weight of Evidence Stock Assessment. "/>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979816" cy="3209332"/>
                          </a:xfrm>
                          <a:prstGeom prst="rect">
                            <a:avLst/>
                          </a:prstGeom>
                          <a:noFill/>
                        </pic:spPr>
                      </pic:pic>
                    </a:graphicData>
                  </a:graphic>
                </wp:inline>
              </w:drawing>
            </w:r>
          </w:p>
          <w:p w14:paraId="11CA83D5" w14:textId="7BA948EC" w:rsidR="00AD4C11" w:rsidRPr="0095616E" w:rsidRDefault="00AD4C11" w:rsidP="00AD4C11">
            <w:pPr>
              <w:pStyle w:val="Caption"/>
              <w:rPr>
                <w:rFonts w:asciiTheme="majorHAnsi" w:hAnsiTheme="majorHAnsi" w:cstheme="majorHAnsi"/>
              </w:rPr>
            </w:pPr>
            <w:r w:rsidRPr="0095616E">
              <w:rPr>
                <w:rFonts w:asciiTheme="majorHAnsi" w:hAnsiTheme="majorHAnsi" w:cstheme="majorHAnsi"/>
              </w:rPr>
              <w:t xml:space="preserve">Figure </w:t>
            </w:r>
            <w:r w:rsidRPr="0095616E">
              <w:rPr>
                <w:rFonts w:asciiTheme="majorHAnsi" w:hAnsiTheme="majorHAnsi" w:cstheme="majorHAnsi"/>
              </w:rPr>
              <w:fldChar w:fldCharType="begin"/>
            </w:r>
            <w:r w:rsidRPr="0095616E">
              <w:rPr>
                <w:rFonts w:asciiTheme="majorHAnsi" w:hAnsiTheme="majorHAnsi" w:cstheme="majorHAnsi"/>
              </w:rPr>
              <w:instrText xml:space="preserve"> SEQ Figure \* ARABIC </w:instrText>
            </w:r>
            <w:r w:rsidRPr="0095616E">
              <w:rPr>
                <w:rFonts w:asciiTheme="majorHAnsi" w:hAnsiTheme="majorHAnsi" w:cstheme="majorHAnsi"/>
              </w:rPr>
              <w:fldChar w:fldCharType="separate"/>
            </w:r>
            <w:r w:rsidR="00AB15B7">
              <w:rPr>
                <w:rFonts w:asciiTheme="majorHAnsi" w:hAnsiTheme="majorHAnsi" w:cstheme="majorHAnsi"/>
                <w:noProof/>
              </w:rPr>
              <w:t>19</w:t>
            </w:r>
            <w:r w:rsidRPr="0095616E">
              <w:rPr>
                <w:rFonts w:asciiTheme="majorHAnsi" w:hAnsiTheme="majorHAnsi" w:cstheme="majorHAnsi"/>
              </w:rPr>
              <w:fldChar w:fldCharType="end"/>
            </w:r>
            <w:r w:rsidRPr="0095616E">
              <w:rPr>
                <w:rFonts w:asciiTheme="majorHAnsi" w:hAnsiTheme="majorHAnsi" w:cstheme="majorHAnsi"/>
              </w:rPr>
              <w:t xml:space="preserve"> Preliminary annual February recruitment (0+) index since 2016 where reference levels are yet to be developed. </w:t>
            </w:r>
          </w:p>
          <w:p w14:paraId="4FA2A328" w14:textId="2D15E3AA" w:rsidR="0095616E" w:rsidRPr="0095616E" w:rsidRDefault="0095616E" w:rsidP="0095616E">
            <w:pPr>
              <w:rPr>
                <w:rFonts w:asciiTheme="majorHAnsi" w:hAnsiTheme="majorHAnsi" w:cstheme="majorHAnsi"/>
              </w:rPr>
            </w:pPr>
            <w:r w:rsidRPr="0095616E">
              <w:rPr>
                <w:rFonts w:asciiTheme="majorHAnsi" w:hAnsiTheme="majorHAnsi" w:cstheme="majorHAnsi"/>
              </w:rPr>
              <w:t xml:space="preserve">The 2024 February survey indicated that the </w:t>
            </w:r>
            <w:proofErr w:type="spellStart"/>
            <w:r w:rsidRPr="0095616E">
              <w:rPr>
                <w:rFonts w:asciiTheme="majorHAnsi" w:hAnsiTheme="majorHAnsi" w:cstheme="majorHAnsi"/>
              </w:rPr>
              <w:t>Zeewijk</w:t>
            </w:r>
            <w:proofErr w:type="spellEnd"/>
            <w:r w:rsidRPr="0095616E">
              <w:rPr>
                <w:rFonts w:asciiTheme="majorHAnsi" w:hAnsiTheme="majorHAnsi" w:cstheme="majorHAnsi"/>
              </w:rPr>
              <w:t xml:space="preserve"> Channel fishing ground had </w:t>
            </w:r>
            <w:proofErr w:type="gramStart"/>
            <w:r w:rsidRPr="0095616E">
              <w:rPr>
                <w:rFonts w:asciiTheme="majorHAnsi" w:hAnsiTheme="majorHAnsi" w:cstheme="majorHAnsi"/>
              </w:rPr>
              <w:t>a majority of</w:t>
            </w:r>
            <w:proofErr w:type="gramEnd"/>
            <w:r w:rsidRPr="0095616E">
              <w:rPr>
                <w:rFonts w:asciiTheme="majorHAnsi" w:hAnsiTheme="majorHAnsi" w:cstheme="majorHAnsi"/>
              </w:rPr>
              <w:t xml:space="preserve"> sampled scallops below 60 mm SH (</w:t>
            </w:r>
            <w:r w:rsidR="00C02B61">
              <w:rPr>
                <w:rFonts w:asciiTheme="majorHAnsi" w:hAnsiTheme="majorHAnsi" w:cstheme="majorHAnsi"/>
              </w:rPr>
              <w:t xml:space="preserve">Table </w:t>
            </w:r>
            <w:r w:rsidR="006C72BD">
              <w:rPr>
                <w:rFonts w:asciiTheme="majorHAnsi" w:hAnsiTheme="majorHAnsi" w:cstheme="majorHAnsi"/>
              </w:rPr>
              <w:t>8</w:t>
            </w:r>
            <w:r w:rsidRPr="0095616E">
              <w:rPr>
                <w:rFonts w:asciiTheme="majorHAnsi" w:hAnsiTheme="majorHAnsi" w:cstheme="majorHAnsi"/>
              </w:rPr>
              <w:t xml:space="preserve">, </w:t>
            </w:r>
            <w:r w:rsidR="00C02B61">
              <w:rPr>
                <w:rFonts w:asciiTheme="majorHAnsi" w:hAnsiTheme="majorHAnsi" w:cstheme="majorHAnsi"/>
              </w:rPr>
              <w:t>Figure 15</w:t>
            </w:r>
            <w:r w:rsidRPr="0095616E">
              <w:rPr>
                <w:rFonts w:asciiTheme="majorHAnsi" w:hAnsiTheme="majorHAnsi" w:cstheme="majorHAnsi"/>
              </w:rPr>
              <w:t xml:space="preserve">). The specific locations of high recruit abundance, and associated research advice regarding any potential spatial closures to protect these recruits are in </w:t>
            </w:r>
            <w:r w:rsidR="00EF641A">
              <w:rPr>
                <w:rFonts w:asciiTheme="majorHAnsi" w:hAnsiTheme="majorHAnsi" w:cstheme="majorHAnsi"/>
              </w:rPr>
              <w:t>harvest Control Rules and Upcoming Season Advice</w:t>
            </w:r>
            <w:r w:rsidRPr="0095616E">
              <w:rPr>
                <w:rFonts w:asciiTheme="majorHAnsi" w:hAnsiTheme="majorHAnsi" w:cstheme="majorHAnsi"/>
              </w:rPr>
              <w:t xml:space="preserve">. </w:t>
            </w:r>
          </w:p>
          <w:p w14:paraId="11B7B4E0" w14:textId="77777777" w:rsidR="0095616E" w:rsidRPr="0095616E" w:rsidRDefault="0095616E" w:rsidP="0095616E">
            <w:pPr>
              <w:rPr>
                <w:rFonts w:asciiTheme="majorHAnsi" w:hAnsiTheme="majorHAnsi" w:cstheme="majorHAnsi"/>
              </w:rPr>
            </w:pPr>
          </w:p>
          <w:p w14:paraId="4B263790" w14:textId="1999B803" w:rsidR="00AD4C11" w:rsidRPr="0095616E" w:rsidRDefault="00AD4C11" w:rsidP="00AD4C11">
            <w:pPr>
              <w:pStyle w:val="Caption"/>
              <w:keepNext/>
              <w:rPr>
                <w:rFonts w:asciiTheme="majorHAnsi" w:hAnsiTheme="majorHAnsi" w:cstheme="majorHAnsi"/>
              </w:rPr>
            </w:pPr>
            <w:r w:rsidRPr="0095616E">
              <w:rPr>
                <w:rFonts w:asciiTheme="majorHAnsi" w:hAnsiTheme="majorHAnsi" w:cstheme="majorHAnsi"/>
              </w:rPr>
              <w:t xml:space="preserve">Table </w:t>
            </w:r>
            <w:r w:rsidRPr="0095616E">
              <w:rPr>
                <w:rFonts w:asciiTheme="majorHAnsi" w:hAnsiTheme="majorHAnsi" w:cstheme="majorHAnsi"/>
              </w:rPr>
              <w:fldChar w:fldCharType="begin"/>
            </w:r>
            <w:r w:rsidRPr="0095616E">
              <w:rPr>
                <w:rFonts w:asciiTheme="majorHAnsi" w:hAnsiTheme="majorHAnsi" w:cstheme="majorHAnsi"/>
              </w:rPr>
              <w:instrText xml:space="preserve"> SEQ Table \* ARABIC </w:instrText>
            </w:r>
            <w:r w:rsidRPr="0095616E">
              <w:rPr>
                <w:rFonts w:asciiTheme="majorHAnsi" w:hAnsiTheme="majorHAnsi" w:cstheme="majorHAnsi"/>
              </w:rPr>
              <w:fldChar w:fldCharType="separate"/>
            </w:r>
            <w:r w:rsidR="00AB15B7">
              <w:rPr>
                <w:rFonts w:asciiTheme="majorHAnsi" w:hAnsiTheme="majorHAnsi" w:cstheme="majorHAnsi"/>
                <w:noProof/>
              </w:rPr>
              <w:t>8</w:t>
            </w:r>
            <w:r w:rsidRPr="0095616E">
              <w:rPr>
                <w:rFonts w:asciiTheme="majorHAnsi" w:hAnsiTheme="majorHAnsi" w:cstheme="majorHAnsi"/>
              </w:rPr>
              <w:fldChar w:fldCharType="end"/>
            </w:r>
            <w:r w:rsidRPr="0095616E">
              <w:rPr>
                <w:rFonts w:asciiTheme="majorHAnsi" w:hAnsiTheme="majorHAnsi" w:cstheme="majorHAnsi"/>
              </w:rPr>
              <w:t xml:space="preserve"> Relative percentage of small (&lt; 60 mm SH) scallops by fishing grounds, with those areas with a high percentage (&gt;50%) denoted in </w:t>
            </w:r>
            <w:r w:rsidRPr="0095616E">
              <w:rPr>
                <w:rFonts w:asciiTheme="majorHAnsi" w:hAnsiTheme="majorHAnsi" w:cstheme="majorHAnsi"/>
                <w:b/>
                <w:bCs/>
              </w:rPr>
              <w:t xml:space="preserve">bold </w:t>
            </w:r>
            <w:r w:rsidRPr="0095616E">
              <w:rPr>
                <w:rFonts w:asciiTheme="majorHAnsi" w:hAnsiTheme="majorHAnsi" w:cstheme="majorHAnsi"/>
              </w:rPr>
              <w:t>from the 2024 February survey.</w:t>
            </w:r>
          </w:p>
          <w:tbl>
            <w:tblPr>
              <w:tblW w:w="8038" w:type="dxa"/>
              <w:jc w:val="center"/>
              <w:tblLook w:val="0420" w:firstRow="1" w:lastRow="0" w:firstColumn="0" w:lastColumn="0" w:noHBand="0" w:noVBand="1"/>
            </w:tblPr>
            <w:tblGrid>
              <w:gridCol w:w="2133"/>
              <w:gridCol w:w="2762"/>
              <w:gridCol w:w="1647"/>
              <w:gridCol w:w="1496"/>
            </w:tblGrid>
            <w:tr w:rsidR="00AD4C11" w:rsidRPr="0095616E" w14:paraId="572F6567" w14:textId="77777777" w:rsidTr="008C5150">
              <w:trPr>
                <w:tblHeader/>
                <w:jc w:val="center"/>
              </w:trPr>
              <w:tc>
                <w:tcPr>
                  <w:tcW w:w="2133"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142E6BE4"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Fishing Grounds</w:t>
                  </w:r>
                </w:p>
              </w:tc>
              <w:tc>
                <w:tcPr>
                  <w:tcW w:w="2762"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53EDBA15"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Small (&lt;60mm SH) Scallops Measured</w:t>
                  </w:r>
                </w:p>
              </w:tc>
              <w:tc>
                <w:tcPr>
                  <w:tcW w:w="1647"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62089091"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Total Scallops Measured</w:t>
                  </w:r>
                </w:p>
              </w:tc>
              <w:tc>
                <w:tcPr>
                  <w:tcW w:w="1496"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7D9EFBD0"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Percentage</w:t>
                  </w:r>
                </w:p>
              </w:tc>
            </w:tr>
            <w:tr w:rsidR="00AD4C11" w:rsidRPr="0095616E" w14:paraId="7F6FC069" w14:textId="77777777" w:rsidTr="008C5150">
              <w:trPr>
                <w:jc w:val="center"/>
              </w:trPr>
              <w:tc>
                <w:tcPr>
                  <w:tcW w:w="2133"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521096"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East Boundary</w:t>
                  </w:r>
                </w:p>
              </w:tc>
              <w:tc>
                <w:tcPr>
                  <w:tcW w:w="2762"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53211B"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0</w:t>
                  </w:r>
                </w:p>
              </w:tc>
              <w:tc>
                <w:tcPr>
                  <w:tcW w:w="1647"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B2A081D"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206</w:t>
                  </w:r>
                </w:p>
              </w:tc>
              <w:tc>
                <w:tcPr>
                  <w:tcW w:w="1496"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860B64"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0</w:t>
                  </w:r>
                </w:p>
              </w:tc>
            </w:tr>
            <w:tr w:rsidR="00AD4C11" w:rsidRPr="0095616E" w14:paraId="619636D2" w14:textId="77777777" w:rsidTr="008C5150">
              <w:trPr>
                <w:jc w:val="center"/>
              </w:trPr>
              <w:tc>
                <w:tcPr>
                  <w:tcW w:w="213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35681D"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Easter Group</w:t>
                  </w:r>
                </w:p>
              </w:tc>
              <w:tc>
                <w:tcPr>
                  <w:tcW w:w="27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E81700"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67</w:t>
                  </w:r>
                </w:p>
              </w:tc>
              <w:tc>
                <w:tcPr>
                  <w:tcW w:w="164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C71538"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748</w:t>
                  </w:r>
                </w:p>
              </w:tc>
              <w:tc>
                <w:tcPr>
                  <w:tcW w:w="149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85E45B"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9</w:t>
                  </w:r>
                </w:p>
              </w:tc>
            </w:tr>
            <w:tr w:rsidR="00AD4C11" w:rsidRPr="0095616E" w14:paraId="103ECE7F" w14:textId="77777777" w:rsidTr="008C5150">
              <w:trPr>
                <w:jc w:val="center"/>
              </w:trPr>
              <w:tc>
                <w:tcPr>
                  <w:tcW w:w="213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C2063B"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proofErr w:type="spellStart"/>
                  <w:r w:rsidRPr="0095616E">
                    <w:rPr>
                      <w:rFonts w:asciiTheme="majorHAnsi" w:eastAsia="Arial" w:hAnsiTheme="majorHAnsi" w:cstheme="majorHAnsi"/>
                      <w:color w:val="000000"/>
                      <w:sz w:val="22"/>
                    </w:rPr>
                    <w:t>Geelvink</w:t>
                  </w:r>
                  <w:proofErr w:type="spellEnd"/>
                </w:p>
              </w:tc>
              <w:tc>
                <w:tcPr>
                  <w:tcW w:w="27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75ED82"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3</w:t>
                  </w:r>
                </w:p>
              </w:tc>
              <w:tc>
                <w:tcPr>
                  <w:tcW w:w="164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257988"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141</w:t>
                  </w:r>
                </w:p>
              </w:tc>
              <w:tc>
                <w:tcPr>
                  <w:tcW w:w="149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B4200F"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2</w:t>
                  </w:r>
                </w:p>
              </w:tc>
            </w:tr>
            <w:tr w:rsidR="00AD4C11" w:rsidRPr="0095616E" w14:paraId="3ADAACFB" w14:textId="77777777" w:rsidTr="008C5150">
              <w:trPr>
                <w:jc w:val="center"/>
              </w:trPr>
              <w:tc>
                <w:tcPr>
                  <w:tcW w:w="213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8498F4"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Hummocks</w:t>
                  </w:r>
                </w:p>
              </w:tc>
              <w:tc>
                <w:tcPr>
                  <w:tcW w:w="27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ECB908"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91</w:t>
                  </w:r>
                </w:p>
              </w:tc>
              <w:tc>
                <w:tcPr>
                  <w:tcW w:w="164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83536D"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1,458</w:t>
                  </w:r>
                </w:p>
              </w:tc>
              <w:tc>
                <w:tcPr>
                  <w:tcW w:w="149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246F9D"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6</w:t>
                  </w:r>
                </w:p>
              </w:tc>
            </w:tr>
            <w:tr w:rsidR="00AD4C11" w:rsidRPr="0095616E" w14:paraId="01B639D4" w14:textId="77777777" w:rsidTr="008C5150">
              <w:trPr>
                <w:jc w:val="center"/>
              </w:trPr>
              <w:tc>
                <w:tcPr>
                  <w:tcW w:w="213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2AF5F1"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North Patch</w:t>
                  </w:r>
                </w:p>
              </w:tc>
              <w:tc>
                <w:tcPr>
                  <w:tcW w:w="27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52A19CE"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108</w:t>
                  </w:r>
                </w:p>
              </w:tc>
              <w:tc>
                <w:tcPr>
                  <w:tcW w:w="164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2CEC65"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383</w:t>
                  </w:r>
                </w:p>
              </w:tc>
              <w:tc>
                <w:tcPr>
                  <w:tcW w:w="149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75C292"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28</w:t>
                  </w:r>
                </w:p>
              </w:tc>
            </w:tr>
            <w:tr w:rsidR="00AD4C11" w:rsidRPr="0095616E" w14:paraId="3C9F416F" w14:textId="77777777" w:rsidTr="008C5150">
              <w:trPr>
                <w:jc w:val="center"/>
              </w:trPr>
              <w:tc>
                <w:tcPr>
                  <w:tcW w:w="213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6D524E0"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 xml:space="preserve">South </w:t>
                  </w:r>
                  <w:proofErr w:type="spellStart"/>
                  <w:r w:rsidRPr="0095616E">
                    <w:rPr>
                      <w:rFonts w:asciiTheme="majorHAnsi" w:eastAsia="Arial" w:hAnsiTheme="majorHAnsi" w:cstheme="majorHAnsi"/>
                      <w:color w:val="000000"/>
                      <w:sz w:val="22"/>
                    </w:rPr>
                    <w:t>Wallabi</w:t>
                  </w:r>
                  <w:proofErr w:type="spellEnd"/>
                </w:p>
              </w:tc>
              <w:tc>
                <w:tcPr>
                  <w:tcW w:w="27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F47B51"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29</w:t>
                  </w:r>
                </w:p>
              </w:tc>
              <w:tc>
                <w:tcPr>
                  <w:tcW w:w="164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2BD062"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277</w:t>
                  </w:r>
                </w:p>
              </w:tc>
              <w:tc>
                <w:tcPr>
                  <w:tcW w:w="149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E6001E"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10</w:t>
                  </w:r>
                </w:p>
              </w:tc>
            </w:tr>
            <w:tr w:rsidR="00AD4C11" w:rsidRPr="0095616E" w14:paraId="5B46B712" w14:textId="77777777" w:rsidTr="008C5150">
              <w:trPr>
                <w:jc w:val="center"/>
              </w:trPr>
              <w:tc>
                <w:tcPr>
                  <w:tcW w:w="213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9E248D"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Southern Group</w:t>
                  </w:r>
                </w:p>
              </w:tc>
              <w:tc>
                <w:tcPr>
                  <w:tcW w:w="27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ED1E47"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296</w:t>
                  </w:r>
                </w:p>
              </w:tc>
              <w:tc>
                <w:tcPr>
                  <w:tcW w:w="164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AF303C"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1,129</w:t>
                  </w:r>
                </w:p>
              </w:tc>
              <w:tc>
                <w:tcPr>
                  <w:tcW w:w="149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DA283E"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26</w:t>
                  </w:r>
                </w:p>
              </w:tc>
            </w:tr>
            <w:tr w:rsidR="00AD4C11" w:rsidRPr="0095616E" w14:paraId="1DCDEEB5" w14:textId="77777777" w:rsidTr="008C5150">
              <w:trPr>
                <w:jc w:val="center"/>
              </w:trPr>
              <w:tc>
                <w:tcPr>
                  <w:tcW w:w="213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EA117E"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proofErr w:type="spellStart"/>
                  <w:r w:rsidRPr="0095616E">
                    <w:rPr>
                      <w:rFonts w:asciiTheme="majorHAnsi" w:eastAsia="Arial" w:hAnsiTheme="majorHAnsi" w:cstheme="majorHAnsi"/>
                      <w:color w:val="000000"/>
                      <w:sz w:val="22"/>
                    </w:rPr>
                    <w:t>Wallabi</w:t>
                  </w:r>
                  <w:proofErr w:type="spellEnd"/>
                  <w:r w:rsidRPr="0095616E">
                    <w:rPr>
                      <w:rFonts w:asciiTheme="majorHAnsi" w:eastAsia="Arial" w:hAnsiTheme="majorHAnsi" w:cstheme="majorHAnsi"/>
                      <w:color w:val="000000"/>
                      <w:sz w:val="22"/>
                    </w:rPr>
                    <w:t xml:space="preserve"> Group</w:t>
                  </w:r>
                </w:p>
              </w:tc>
              <w:tc>
                <w:tcPr>
                  <w:tcW w:w="27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ADF474"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303</w:t>
                  </w:r>
                </w:p>
              </w:tc>
              <w:tc>
                <w:tcPr>
                  <w:tcW w:w="164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87CC46"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1,424</w:t>
                  </w:r>
                </w:p>
              </w:tc>
              <w:tc>
                <w:tcPr>
                  <w:tcW w:w="149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B473DE"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21</w:t>
                  </w:r>
                </w:p>
              </w:tc>
            </w:tr>
            <w:tr w:rsidR="00AD4C11" w:rsidRPr="0095616E" w14:paraId="2CC14264" w14:textId="77777777" w:rsidTr="008C5150">
              <w:trPr>
                <w:jc w:val="center"/>
              </w:trPr>
              <w:tc>
                <w:tcPr>
                  <w:tcW w:w="213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4B4E2E"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lastRenderedPageBreak/>
                    <w:t>West Boundary</w:t>
                  </w:r>
                </w:p>
              </w:tc>
              <w:tc>
                <w:tcPr>
                  <w:tcW w:w="27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02E591"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12</w:t>
                  </w:r>
                </w:p>
              </w:tc>
              <w:tc>
                <w:tcPr>
                  <w:tcW w:w="164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2DE7FB"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150</w:t>
                  </w:r>
                </w:p>
              </w:tc>
              <w:tc>
                <w:tcPr>
                  <w:tcW w:w="149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297D86"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rPr>
                  </w:pPr>
                  <w:r w:rsidRPr="0095616E">
                    <w:rPr>
                      <w:rFonts w:asciiTheme="majorHAnsi" w:eastAsia="Arial" w:hAnsiTheme="majorHAnsi" w:cstheme="majorHAnsi"/>
                      <w:color w:val="000000"/>
                      <w:sz w:val="22"/>
                    </w:rPr>
                    <w:t>8</w:t>
                  </w:r>
                </w:p>
              </w:tc>
            </w:tr>
            <w:tr w:rsidR="00AD4C11" w:rsidRPr="0095616E" w14:paraId="495FF398" w14:textId="77777777" w:rsidTr="008C5150">
              <w:trPr>
                <w:jc w:val="center"/>
              </w:trPr>
              <w:tc>
                <w:tcPr>
                  <w:tcW w:w="2133"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0D1CBF76"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b/>
                      <w:bCs/>
                    </w:rPr>
                  </w:pPr>
                  <w:proofErr w:type="spellStart"/>
                  <w:r w:rsidRPr="0095616E">
                    <w:rPr>
                      <w:rFonts w:asciiTheme="majorHAnsi" w:eastAsia="Arial" w:hAnsiTheme="majorHAnsi" w:cstheme="majorHAnsi"/>
                      <w:b/>
                      <w:bCs/>
                      <w:color w:val="000000"/>
                      <w:sz w:val="22"/>
                    </w:rPr>
                    <w:t>Zeewijk</w:t>
                  </w:r>
                  <w:proofErr w:type="spellEnd"/>
                  <w:r w:rsidRPr="0095616E">
                    <w:rPr>
                      <w:rFonts w:asciiTheme="majorHAnsi" w:eastAsia="Arial" w:hAnsiTheme="majorHAnsi" w:cstheme="majorHAnsi"/>
                      <w:b/>
                      <w:bCs/>
                      <w:color w:val="000000"/>
                      <w:sz w:val="22"/>
                    </w:rPr>
                    <w:t xml:space="preserve"> Channel</w:t>
                  </w:r>
                </w:p>
              </w:tc>
              <w:tc>
                <w:tcPr>
                  <w:tcW w:w="2762"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22E9D022"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b/>
                      <w:bCs/>
                    </w:rPr>
                  </w:pPr>
                  <w:r w:rsidRPr="0095616E">
                    <w:rPr>
                      <w:rFonts w:asciiTheme="majorHAnsi" w:eastAsia="Arial" w:hAnsiTheme="majorHAnsi" w:cstheme="majorHAnsi"/>
                      <w:b/>
                      <w:bCs/>
                      <w:color w:val="000000"/>
                      <w:sz w:val="22"/>
                    </w:rPr>
                    <w:t>348</w:t>
                  </w:r>
                </w:p>
              </w:tc>
              <w:tc>
                <w:tcPr>
                  <w:tcW w:w="1647"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7EE28004"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b/>
                      <w:bCs/>
                    </w:rPr>
                  </w:pPr>
                  <w:r w:rsidRPr="0095616E">
                    <w:rPr>
                      <w:rFonts w:asciiTheme="majorHAnsi" w:eastAsia="Arial" w:hAnsiTheme="majorHAnsi" w:cstheme="majorHAnsi"/>
                      <w:b/>
                      <w:bCs/>
                      <w:color w:val="000000"/>
                      <w:sz w:val="22"/>
                    </w:rPr>
                    <w:t>598</w:t>
                  </w:r>
                </w:p>
              </w:tc>
              <w:tc>
                <w:tcPr>
                  <w:tcW w:w="1496"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52560739" w14:textId="77777777" w:rsidR="00AD4C11" w:rsidRPr="0095616E" w:rsidRDefault="00AD4C11" w:rsidP="00AD4C11">
                  <w:pPr>
                    <w:pBdr>
                      <w:top w:val="none" w:sz="0" w:space="0" w:color="000000"/>
                      <w:left w:val="none" w:sz="0" w:space="0" w:color="000000"/>
                      <w:bottom w:val="none" w:sz="0" w:space="0" w:color="000000"/>
                      <w:right w:val="none" w:sz="0" w:space="0" w:color="000000"/>
                    </w:pBdr>
                    <w:spacing w:before="100" w:after="100"/>
                    <w:ind w:left="100" w:right="100"/>
                    <w:jc w:val="center"/>
                    <w:rPr>
                      <w:rFonts w:asciiTheme="majorHAnsi" w:hAnsiTheme="majorHAnsi" w:cstheme="majorHAnsi"/>
                      <w:b/>
                      <w:bCs/>
                    </w:rPr>
                  </w:pPr>
                  <w:r w:rsidRPr="0095616E">
                    <w:rPr>
                      <w:rFonts w:asciiTheme="majorHAnsi" w:eastAsia="Arial" w:hAnsiTheme="majorHAnsi" w:cstheme="majorHAnsi"/>
                      <w:b/>
                      <w:bCs/>
                      <w:color w:val="000000"/>
                      <w:sz w:val="22"/>
                    </w:rPr>
                    <w:t>58</w:t>
                  </w:r>
                </w:p>
              </w:tc>
            </w:tr>
          </w:tbl>
          <w:p w14:paraId="619E3AF7" w14:textId="40975A1E" w:rsidR="00AD4C11" w:rsidRPr="0095616E" w:rsidRDefault="00AD4C11" w:rsidP="00AD4C11">
            <w:pPr>
              <w:tabs>
                <w:tab w:val="left" w:pos="5310"/>
              </w:tabs>
              <w:rPr>
                <w:rFonts w:asciiTheme="majorHAnsi" w:hAnsiTheme="majorHAnsi" w:cstheme="majorHAnsi"/>
              </w:rPr>
            </w:pPr>
          </w:p>
        </w:tc>
      </w:tr>
      <w:tr w:rsidR="0095616E" w14:paraId="38F9BBE5" w14:textId="77777777" w:rsidTr="00DF389F">
        <w:tc>
          <w:tcPr>
            <w:tcW w:w="1663" w:type="dxa"/>
            <w:shd w:val="clear" w:color="auto" w:fill="auto"/>
          </w:tcPr>
          <w:p w14:paraId="79FB5948" w14:textId="32BB897B" w:rsidR="0095616E" w:rsidRPr="0095616E" w:rsidRDefault="0095616E" w:rsidP="0095616E">
            <w:pPr>
              <w:rPr>
                <w:rFonts w:asciiTheme="majorHAnsi" w:hAnsiTheme="majorHAnsi" w:cstheme="majorHAnsi"/>
              </w:rPr>
            </w:pPr>
            <w:r w:rsidRPr="0095616E">
              <w:rPr>
                <w:rFonts w:asciiTheme="majorHAnsi" w:hAnsiTheme="majorHAnsi" w:cstheme="majorHAnsi"/>
              </w:rPr>
              <w:lastRenderedPageBreak/>
              <w:t>L4 BDM</w:t>
            </w:r>
          </w:p>
        </w:tc>
        <w:tc>
          <w:tcPr>
            <w:tcW w:w="8152" w:type="dxa"/>
            <w:shd w:val="clear" w:color="auto" w:fill="auto"/>
          </w:tcPr>
          <w:p w14:paraId="3A9D20A2" w14:textId="5F960A73" w:rsidR="0095616E" w:rsidRPr="0095616E" w:rsidRDefault="0095616E" w:rsidP="0095616E">
            <w:pPr>
              <w:pStyle w:val="Compact"/>
              <w:rPr>
                <w:rFonts w:asciiTheme="majorHAnsi" w:hAnsiTheme="majorHAnsi" w:cstheme="majorHAnsi"/>
              </w:rPr>
            </w:pPr>
            <w:r w:rsidRPr="0095616E">
              <w:rPr>
                <w:rFonts w:asciiTheme="majorHAnsi" w:hAnsiTheme="majorHAnsi" w:cstheme="majorHAnsi"/>
              </w:rPr>
              <w:t>A biomass dynamics model has not been generated for this component of the Resource</w:t>
            </w:r>
          </w:p>
        </w:tc>
      </w:tr>
      <w:tr w:rsidR="0095616E" w14:paraId="55D29ADB" w14:textId="77777777" w:rsidTr="00DF389F">
        <w:tc>
          <w:tcPr>
            <w:tcW w:w="9815" w:type="dxa"/>
            <w:gridSpan w:val="2"/>
            <w:shd w:val="clear" w:color="auto" w:fill="D3F5FF" w:themeFill="accent1" w:themeFillTint="1A"/>
          </w:tcPr>
          <w:p w14:paraId="14B4B705" w14:textId="77777777" w:rsidR="0095616E" w:rsidRPr="0095616E" w:rsidRDefault="0095616E" w:rsidP="0095616E">
            <w:pPr>
              <w:rPr>
                <w:rFonts w:asciiTheme="majorHAnsi" w:hAnsiTheme="majorHAnsi" w:cstheme="majorHAnsi"/>
                <w:b/>
                <w:bCs/>
                <w:u w:val="single"/>
              </w:rPr>
            </w:pPr>
            <w:r w:rsidRPr="0095616E">
              <w:rPr>
                <w:rFonts w:asciiTheme="majorHAnsi" w:hAnsiTheme="majorHAnsi" w:cstheme="majorHAnsi"/>
                <w:b/>
                <w:bCs/>
                <w:u w:val="single"/>
              </w:rPr>
              <w:t xml:space="preserve">L4 Assessment </w:t>
            </w:r>
          </w:p>
          <w:p w14:paraId="73DE0238" w14:textId="77777777" w:rsidR="0095616E" w:rsidRPr="0095616E" w:rsidRDefault="0095616E" w:rsidP="00972AC9">
            <w:pPr>
              <w:pStyle w:val="Compact"/>
              <w:numPr>
                <w:ilvl w:val="0"/>
                <w:numId w:val="26"/>
              </w:numPr>
              <w:rPr>
                <w:rFonts w:asciiTheme="majorHAnsi" w:hAnsiTheme="majorHAnsi" w:cstheme="majorHAnsi"/>
                <w:b/>
                <w:bCs/>
              </w:rPr>
            </w:pPr>
            <w:r w:rsidRPr="0095616E">
              <w:rPr>
                <w:rFonts w:asciiTheme="majorHAnsi" w:hAnsiTheme="majorHAnsi" w:cstheme="majorHAnsi"/>
                <w:b/>
                <w:bCs/>
              </w:rPr>
              <w:t xml:space="preserve">The November 2023 index has declined from 2022 but remains above the threshold level </w:t>
            </w:r>
          </w:p>
          <w:p w14:paraId="27082285" w14:textId="77777777" w:rsidR="0095616E" w:rsidRPr="0095616E" w:rsidRDefault="0095616E" w:rsidP="00972AC9">
            <w:pPr>
              <w:pStyle w:val="Compact"/>
              <w:numPr>
                <w:ilvl w:val="0"/>
                <w:numId w:val="26"/>
              </w:numPr>
              <w:rPr>
                <w:rFonts w:asciiTheme="majorHAnsi" w:hAnsiTheme="majorHAnsi" w:cstheme="majorHAnsi"/>
                <w:b/>
                <w:bCs/>
              </w:rPr>
            </w:pPr>
            <w:r w:rsidRPr="0095616E">
              <w:rPr>
                <w:rFonts w:asciiTheme="majorHAnsi" w:hAnsiTheme="majorHAnsi" w:cstheme="majorHAnsi"/>
                <w:b/>
                <w:bCs/>
              </w:rPr>
              <w:t xml:space="preserve">The February residual index has however declined below the threshold level and likely due to a combination of poor quality, condition and mortality of scallops. The cause of this widespread event is unclear. </w:t>
            </w:r>
          </w:p>
          <w:p w14:paraId="7E210BAC" w14:textId="77777777" w:rsidR="0095616E" w:rsidRPr="0095616E" w:rsidRDefault="0095616E" w:rsidP="00972AC9">
            <w:pPr>
              <w:pStyle w:val="Compact"/>
              <w:numPr>
                <w:ilvl w:val="0"/>
                <w:numId w:val="26"/>
              </w:numPr>
              <w:rPr>
                <w:rFonts w:asciiTheme="majorHAnsi" w:hAnsiTheme="majorHAnsi" w:cstheme="majorHAnsi"/>
                <w:b/>
                <w:bCs/>
              </w:rPr>
            </w:pPr>
            <w:r w:rsidRPr="0095616E">
              <w:rPr>
                <w:rFonts w:asciiTheme="majorHAnsi" w:hAnsiTheme="majorHAnsi" w:cstheme="majorHAnsi"/>
                <w:b/>
                <w:bCs/>
              </w:rPr>
              <w:t xml:space="preserve">The poor condition of 1+ spawning stock has likely contributed to the below average recruitment index in February 2024 </w:t>
            </w:r>
          </w:p>
          <w:p w14:paraId="7F2BFE95" w14:textId="54C9D100" w:rsidR="0095616E" w:rsidRPr="0095616E" w:rsidRDefault="0095616E" w:rsidP="0095616E">
            <w:pPr>
              <w:pStyle w:val="Compact"/>
              <w:rPr>
                <w:rFonts w:asciiTheme="majorHAnsi" w:hAnsiTheme="majorHAnsi" w:cstheme="majorHAnsi"/>
              </w:rPr>
            </w:pPr>
            <w:r w:rsidRPr="0095616E">
              <w:rPr>
                <w:rFonts w:asciiTheme="majorHAnsi" w:hAnsiTheme="majorHAnsi" w:cstheme="majorHAnsi"/>
              </w:rPr>
              <w:t>Based on the results from the November and February residual and recruitment indices, there is concern that majority of the residual stock may succumb to a higher level of natural mortality during 2024.</w:t>
            </w:r>
          </w:p>
        </w:tc>
      </w:tr>
      <w:tr w:rsidR="0095616E" w14:paraId="7D7EC4C7" w14:textId="77777777" w:rsidTr="00DF389F">
        <w:tc>
          <w:tcPr>
            <w:tcW w:w="1663" w:type="dxa"/>
            <w:shd w:val="clear" w:color="auto" w:fill="auto"/>
          </w:tcPr>
          <w:p w14:paraId="2F8EAC76" w14:textId="08D409EA" w:rsidR="0095616E" w:rsidRPr="0095616E" w:rsidRDefault="0095616E" w:rsidP="0095616E">
            <w:pPr>
              <w:rPr>
                <w:rFonts w:asciiTheme="majorHAnsi" w:hAnsiTheme="majorHAnsi" w:cstheme="majorHAnsi"/>
              </w:rPr>
            </w:pPr>
            <w:r w:rsidRPr="0095616E">
              <w:rPr>
                <w:rFonts w:asciiTheme="majorHAnsi" w:hAnsiTheme="majorHAnsi" w:cstheme="majorHAnsi"/>
                <w:sz w:val="22"/>
              </w:rPr>
              <w:t>Environmental</w:t>
            </w:r>
            <w:r w:rsidRPr="0095616E">
              <w:rPr>
                <w:rFonts w:asciiTheme="majorHAnsi" w:hAnsiTheme="majorHAnsi" w:cstheme="majorHAnsi"/>
              </w:rPr>
              <w:t xml:space="preserve"> Impacts</w:t>
            </w:r>
          </w:p>
        </w:tc>
        <w:tc>
          <w:tcPr>
            <w:tcW w:w="8152" w:type="dxa"/>
            <w:shd w:val="clear" w:color="auto" w:fill="auto"/>
          </w:tcPr>
          <w:p w14:paraId="55B64335" w14:textId="3101E53E" w:rsidR="0095616E" w:rsidRPr="0095616E" w:rsidRDefault="0095616E" w:rsidP="0095616E">
            <w:pPr>
              <w:pStyle w:val="Compact"/>
              <w:rPr>
                <w:rFonts w:asciiTheme="majorHAnsi" w:hAnsiTheme="majorHAnsi" w:cstheme="majorHAnsi"/>
              </w:rPr>
            </w:pPr>
            <w:r w:rsidRPr="0095616E">
              <w:rPr>
                <w:rFonts w:asciiTheme="majorHAnsi" w:hAnsiTheme="majorHAnsi" w:cstheme="majorHAnsi"/>
              </w:rPr>
              <w:t>Above average SSTs can have significant negative impacts on scallop abundance at the Abrolhos Islands. This is particularly the case if it occurs during summer when spawning and recruitment occur. The hottest summer SSTs on record (2010/11 and 2011/12) were considered to have led to a significant negative effect on recruitment over 2011-13, resulting in record low spawning stock (</w:t>
            </w:r>
            <w:r w:rsidR="003E0037">
              <w:rPr>
                <w:rFonts w:asciiTheme="majorHAnsi" w:hAnsiTheme="majorHAnsi" w:cstheme="majorHAnsi"/>
              </w:rPr>
              <w:t>Figure 1</w:t>
            </w:r>
            <w:r w:rsidR="00F4712B">
              <w:rPr>
                <w:rFonts w:asciiTheme="majorHAnsi" w:hAnsiTheme="majorHAnsi" w:cstheme="majorHAnsi"/>
              </w:rPr>
              <w:t>7</w:t>
            </w:r>
            <w:r w:rsidRPr="0095616E">
              <w:rPr>
                <w:rFonts w:asciiTheme="majorHAnsi" w:hAnsiTheme="majorHAnsi" w:cstheme="majorHAnsi"/>
              </w:rPr>
              <w:t>). Similarly, marine heatwave conditions over the 2020/2021 summer may have contributed to the very low recruitment event during November 2021, leading to its closure for the 2022 fishing season. Water temperatures returned to near average conditions during 2023 (</w:t>
            </w:r>
            <w:r w:rsidR="00FE0740">
              <w:rPr>
                <w:rFonts w:asciiTheme="majorHAnsi" w:hAnsiTheme="majorHAnsi" w:cstheme="majorHAnsi"/>
              </w:rPr>
              <w:t>Figure 20</w:t>
            </w:r>
            <w:r w:rsidRPr="0095616E">
              <w:rPr>
                <w:rFonts w:asciiTheme="majorHAnsi" w:hAnsiTheme="majorHAnsi" w:cstheme="majorHAnsi"/>
              </w:rPr>
              <w:t>) as the ENSO climate mode shifted into El Niño, and so favourable recruitment prediction for 2024 despite above average SSTs during December 2023.</w:t>
            </w:r>
          </w:p>
          <w:p w14:paraId="4C3D1B20" w14:textId="77777777" w:rsidR="0095616E" w:rsidRPr="0095616E" w:rsidRDefault="0095616E" w:rsidP="0095616E">
            <w:pPr>
              <w:pStyle w:val="BodyText"/>
              <w:jc w:val="center"/>
              <w:rPr>
                <w:rFonts w:asciiTheme="majorHAnsi" w:hAnsiTheme="majorHAnsi" w:cstheme="majorHAnsi"/>
              </w:rPr>
            </w:pPr>
            <w:r w:rsidRPr="0095616E">
              <w:rPr>
                <w:rFonts w:asciiTheme="majorHAnsi" w:hAnsiTheme="majorHAnsi" w:cstheme="majorHAnsi"/>
                <w:noProof/>
              </w:rPr>
              <w:drawing>
                <wp:inline distT="0" distB="0" distL="0" distR="0" wp14:anchorId="2C5391E3" wp14:editId="4C18C968">
                  <wp:extent cx="4953139" cy="2408018"/>
                  <wp:effectExtent l="0" t="0" r="0" b="0"/>
                  <wp:docPr id="193611790" name="Picture 4" descr="A graph depicting the monthly mean sea surface temperature in 2022 and 2023 in comparison to historic climatology data, as reported in the AIMWTMF 2024 Weight of Evidence Stock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11790" name="Picture 4" descr="A graph depicting the monthly mean sea surface temperature in 2022 and 2023 in comparison to historic climatology data, as reported in the AIMWTMF 2024 Weight of Evidence Stock Assessment. "/>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972657" cy="2417507"/>
                          </a:xfrm>
                          <a:prstGeom prst="rect">
                            <a:avLst/>
                          </a:prstGeom>
                          <a:noFill/>
                        </pic:spPr>
                      </pic:pic>
                    </a:graphicData>
                  </a:graphic>
                </wp:inline>
              </w:drawing>
            </w:r>
          </w:p>
          <w:p w14:paraId="5F46706B" w14:textId="24A52763" w:rsidR="0095616E" w:rsidRPr="0095616E" w:rsidRDefault="0095616E" w:rsidP="0095616E">
            <w:pPr>
              <w:pStyle w:val="Caption"/>
              <w:rPr>
                <w:rFonts w:asciiTheme="majorHAnsi" w:hAnsiTheme="majorHAnsi" w:cstheme="majorHAnsi"/>
              </w:rPr>
            </w:pPr>
            <w:r w:rsidRPr="0095616E">
              <w:rPr>
                <w:rFonts w:asciiTheme="majorHAnsi" w:hAnsiTheme="majorHAnsi" w:cstheme="majorHAnsi"/>
              </w:rPr>
              <w:t xml:space="preserve">Figure </w:t>
            </w:r>
            <w:r w:rsidRPr="0095616E">
              <w:rPr>
                <w:rFonts w:asciiTheme="majorHAnsi" w:hAnsiTheme="majorHAnsi" w:cstheme="majorHAnsi"/>
              </w:rPr>
              <w:fldChar w:fldCharType="begin"/>
            </w:r>
            <w:r w:rsidRPr="0095616E">
              <w:rPr>
                <w:rFonts w:asciiTheme="majorHAnsi" w:hAnsiTheme="majorHAnsi" w:cstheme="majorHAnsi"/>
              </w:rPr>
              <w:instrText xml:space="preserve"> SEQ Figure \* ARABIC </w:instrText>
            </w:r>
            <w:r w:rsidRPr="0095616E">
              <w:rPr>
                <w:rFonts w:asciiTheme="majorHAnsi" w:hAnsiTheme="majorHAnsi" w:cstheme="majorHAnsi"/>
              </w:rPr>
              <w:fldChar w:fldCharType="separate"/>
            </w:r>
            <w:r w:rsidR="00AB15B7">
              <w:rPr>
                <w:rFonts w:asciiTheme="majorHAnsi" w:hAnsiTheme="majorHAnsi" w:cstheme="majorHAnsi"/>
                <w:noProof/>
              </w:rPr>
              <w:t>20</w:t>
            </w:r>
            <w:r w:rsidRPr="0095616E">
              <w:rPr>
                <w:rFonts w:asciiTheme="majorHAnsi" w:hAnsiTheme="majorHAnsi" w:cstheme="majorHAnsi"/>
              </w:rPr>
              <w:fldChar w:fldCharType="end"/>
            </w:r>
            <w:r w:rsidRPr="0095616E">
              <w:rPr>
                <w:rFonts w:asciiTheme="majorHAnsi" w:hAnsiTheme="majorHAnsi" w:cstheme="majorHAnsi"/>
              </w:rPr>
              <w:t xml:space="preserve"> Monthly mean SST for 2022 (red dotted line) and 2023 (red dots) in comparison to the climatology (1981-2018) and the most recent decade (2010-19). </w:t>
            </w:r>
          </w:p>
          <w:p w14:paraId="7D938801" w14:textId="5C08C9F1" w:rsidR="0095616E" w:rsidRPr="0095616E" w:rsidRDefault="0095616E" w:rsidP="0095616E">
            <w:pPr>
              <w:rPr>
                <w:rFonts w:asciiTheme="majorHAnsi" w:hAnsiTheme="majorHAnsi" w:cstheme="majorHAnsi"/>
              </w:rPr>
            </w:pPr>
            <w:r w:rsidRPr="0095616E">
              <w:rPr>
                <w:rFonts w:asciiTheme="majorHAnsi" w:hAnsiTheme="majorHAnsi" w:cstheme="majorHAnsi"/>
              </w:rPr>
              <w:lastRenderedPageBreak/>
              <w:t>A stock-recruitment-environment relationship (SRR-E) is evident for scallops in Abrolhos Islands, with summer SSTs a significant factor for the spawning stock. The recovery in recruitment levels in early 2022 translated to good spawning stock levels during early 2023 despite warmer than average summer temperatures. Based on the 2023 spawning stock level and together with another above average summer temperatures over the summer of 2022/23 (last summer of the La Niña period), the model predicts below average recruitment for November 2024 (</w:t>
            </w:r>
            <w:r w:rsidR="00FE0740">
              <w:rPr>
                <w:rFonts w:asciiTheme="majorHAnsi" w:hAnsiTheme="majorHAnsi" w:cstheme="majorHAnsi"/>
              </w:rPr>
              <w:t>Figure 21</w:t>
            </w:r>
            <w:r w:rsidRPr="0095616E">
              <w:rPr>
                <w:rFonts w:asciiTheme="majorHAnsi" w:hAnsiTheme="majorHAnsi" w:cstheme="majorHAnsi"/>
              </w:rPr>
              <w:t xml:space="preserve">). Early detection of this recruiting cohort was present in the 2024 February survey which indicated a below average recruitment index of 402 scallop/nm (indicative of the spawning stock level for 2025). </w:t>
            </w:r>
          </w:p>
          <w:p w14:paraId="1FD59BC1" w14:textId="77777777" w:rsidR="0095616E" w:rsidRPr="0095616E" w:rsidRDefault="0095616E" w:rsidP="0095616E">
            <w:pPr>
              <w:rPr>
                <w:rFonts w:asciiTheme="majorHAnsi" w:hAnsiTheme="majorHAnsi" w:cstheme="majorHAnsi"/>
              </w:rPr>
            </w:pPr>
          </w:p>
          <w:p w14:paraId="60C50BA9" w14:textId="77777777" w:rsidR="0095616E" w:rsidRPr="0095616E" w:rsidRDefault="0095616E" w:rsidP="0095616E">
            <w:pPr>
              <w:rPr>
                <w:rFonts w:asciiTheme="majorHAnsi" w:hAnsiTheme="majorHAnsi" w:cstheme="majorHAnsi"/>
              </w:rPr>
            </w:pPr>
            <w:r w:rsidRPr="0095616E">
              <w:rPr>
                <w:rFonts w:asciiTheme="majorHAnsi" w:hAnsiTheme="majorHAnsi" w:cstheme="majorHAnsi"/>
                <w:noProof/>
              </w:rPr>
              <w:drawing>
                <wp:inline distT="0" distB="0" distL="0" distR="0" wp14:anchorId="4CFADA02" wp14:editId="472E08EA">
                  <wp:extent cx="5104260" cy="2809875"/>
                  <wp:effectExtent l="0" t="0" r="0" b="0"/>
                  <wp:docPr id="650107401" name="Picture 2" descr="A graph depicting the relationship between mean scallop spawning index and recruitment index, including sea surface temperature data that influence the spawning stock, as reported in the AIMWTMF 2024 Weight of Evidence Stock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07401" name="Picture 2" descr="A graph depicting the relationship between mean scallop spawning index and recruitment index, including sea surface temperature data that influence the spawning stock, as reported in the AIMWTMF 2024 Weight of Evidence Stock Assessment. "/>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19733"/>
                          <a:stretch/>
                        </pic:blipFill>
                        <pic:spPr bwMode="auto">
                          <a:xfrm>
                            <a:off x="0" y="0"/>
                            <a:ext cx="5139714" cy="2829392"/>
                          </a:xfrm>
                          <a:prstGeom prst="rect">
                            <a:avLst/>
                          </a:prstGeom>
                          <a:noFill/>
                          <a:ln>
                            <a:noFill/>
                          </a:ln>
                          <a:extLst>
                            <a:ext uri="{53640926-AAD7-44D8-BBD7-CCE9431645EC}">
                              <a14:shadowObscured xmlns:a14="http://schemas.microsoft.com/office/drawing/2010/main"/>
                            </a:ext>
                          </a:extLst>
                        </pic:spPr>
                      </pic:pic>
                    </a:graphicData>
                  </a:graphic>
                </wp:inline>
              </w:drawing>
            </w:r>
          </w:p>
          <w:p w14:paraId="0F7B0516" w14:textId="4EE0FDC4" w:rsidR="0095616E" w:rsidRPr="0095616E" w:rsidRDefault="0095616E" w:rsidP="0095616E">
            <w:pPr>
              <w:pStyle w:val="Compact"/>
              <w:rPr>
                <w:rFonts w:asciiTheme="majorHAnsi" w:hAnsiTheme="majorHAnsi" w:cstheme="majorHAnsi"/>
                <w:i/>
                <w:iCs/>
              </w:rPr>
            </w:pPr>
            <w:r w:rsidRPr="0095616E">
              <w:rPr>
                <w:rFonts w:asciiTheme="majorHAnsi" w:hAnsiTheme="majorHAnsi" w:cstheme="majorHAnsi"/>
                <w:i/>
                <w:iCs/>
              </w:rPr>
              <w:t xml:space="preserve">Figure </w:t>
            </w:r>
            <w:r w:rsidRPr="0095616E">
              <w:rPr>
                <w:rFonts w:asciiTheme="majorHAnsi" w:hAnsiTheme="majorHAnsi" w:cstheme="majorHAnsi"/>
                <w:i/>
                <w:iCs/>
              </w:rPr>
              <w:fldChar w:fldCharType="begin"/>
            </w:r>
            <w:r w:rsidRPr="0095616E">
              <w:rPr>
                <w:rFonts w:asciiTheme="majorHAnsi" w:hAnsiTheme="majorHAnsi" w:cstheme="majorHAnsi"/>
                <w:i/>
                <w:iCs/>
              </w:rPr>
              <w:instrText xml:space="preserve"> SEQ Figure \* ARABIC </w:instrText>
            </w:r>
            <w:r w:rsidRPr="0095616E">
              <w:rPr>
                <w:rFonts w:asciiTheme="majorHAnsi" w:hAnsiTheme="majorHAnsi" w:cstheme="majorHAnsi"/>
                <w:i/>
                <w:iCs/>
              </w:rPr>
              <w:fldChar w:fldCharType="separate"/>
            </w:r>
            <w:r w:rsidR="00AB15B7">
              <w:rPr>
                <w:rFonts w:asciiTheme="majorHAnsi" w:hAnsiTheme="majorHAnsi" w:cstheme="majorHAnsi"/>
                <w:i/>
                <w:iCs/>
                <w:noProof/>
              </w:rPr>
              <w:t>21</w:t>
            </w:r>
            <w:r w:rsidRPr="0095616E">
              <w:rPr>
                <w:rFonts w:asciiTheme="majorHAnsi" w:hAnsiTheme="majorHAnsi" w:cstheme="majorHAnsi"/>
                <w:i/>
                <w:iCs/>
              </w:rPr>
              <w:fldChar w:fldCharType="end"/>
            </w:r>
            <w:r w:rsidRPr="0095616E">
              <w:rPr>
                <w:rFonts w:asciiTheme="majorHAnsi" w:hAnsiTheme="majorHAnsi" w:cstheme="majorHAnsi"/>
                <w:i/>
                <w:iCs/>
              </w:rPr>
              <w:t xml:space="preserve"> Relationship between the annual mean scallop spawning index (November</w:t>
            </w:r>
            <w:r w:rsidRPr="0095616E">
              <w:rPr>
                <w:rFonts w:asciiTheme="majorHAnsi" w:hAnsiTheme="majorHAnsi" w:cstheme="majorHAnsi"/>
                <w:i/>
                <w:iCs/>
                <w:vertAlign w:val="subscript"/>
              </w:rPr>
              <w:t>y-1</w:t>
            </w:r>
            <w:r w:rsidRPr="0095616E">
              <w:rPr>
                <w:rFonts w:asciiTheme="majorHAnsi" w:hAnsiTheme="majorHAnsi" w:cstheme="majorHAnsi"/>
                <w:i/>
                <w:iCs/>
              </w:rPr>
              <w:t>) and recruitment index (</w:t>
            </w:r>
            <w:proofErr w:type="spellStart"/>
            <w:r w:rsidRPr="0095616E">
              <w:rPr>
                <w:rFonts w:asciiTheme="majorHAnsi" w:hAnsiTheme="majorHAnsi" w:cstheme="majorHAnsi"/>
                <w:i/>
                <w:iCs/>
              </w:rPr>
              <w:t>November</w:t>
            </w:r>
            <w:r w:rsidRPr="0095616E">
              <w:rPr>
                <w:rFonts w:asciiTheme="majorHAnsi" w:hAnsiTheme="majorHAnsi" w:cstheme="majorHAnsi"/>
                <w:i/>
                <w:iCs/>
                <w:vertAlign w:val="subscript"/>
              </w:rPr>
              <w:t>y</w:t>
            </w:r>
            <w:proofErr w:type="spellEnd"/>
            <w:r w:rsidRPr="0095616E">
              <w:rPr>
                <w:rFonts w:asciiTheme="majorHAnsi" w:hAnsiTheme="majorHAnsi" w:cstheme="majorHAnsi"/>
                <w:i/>
                <w:iCs/>
              </w:rPr>
              <w:t xml:space="preserve">) between 1998 and 2023. Data labels </w:t>
            </w:r>
            <w:proofErr w:type="gramStart"/>
            <w:r w:rsidRPr="0095616E">
              <w:rPr>
                <w:rFonts w:asciiTheme="majorHAnsi" w:hAnsiTheme="majorHAnsi" w:cstheme="majorHAnsi"/>
                <w:i/>
                <w:iCs/>
              </w:rPr>
              <w:t>denotes</w:t>
            </w:r>
            <w:proofErr w:type="gramEnd"/>
            <w:r w:rsidRPr="0095616E">
              <w:rPr>
                <w:rFonts w:asciiTheme="majorHAnsi" w:hAnsiTheme="majorHAnsi" w:cstheme="majorHAnsi"/>
                <w:i/>
                <w:iCs/>
              </w:rPr>
              <w:t xml:space="preserve"> the recruitment year (y), and the lines represent the mean summer SST (November </w:t>
            </w:r>
            <w:r w:rsidRPr="0095616E">
              <w:rPr>
                <w:rFonts w:asciiTheme="majorHAnsi" w:hAnsiTheme="majorHAnsi" w:cstheme="majorHAnsi"/>
                <w:i/>
                <w:iCs/>
                <w:vertAlign w:val="subscript"/>
              </w:rPr>
              <w:t>y-2</w:t>
            </w:r>
            <w:r w:rsidRPr="0095616E">
              <w:rPr>
                <w:rFonts w:asciiTheme="majorHAnsi" w:hAnsiTheme="majorHAnsi" w:cstheme="majorHAnsi"/>
                <w:i/>
                <w:iCs/>
              </w:rPr>
              <w:t xml:space="preserve">- March </w:t>
            </w:r>
            <w:r w:rsidRPr="0095616E">
              <w:rPr>
                <w:rFonts w:asciiTheme="majorHAnsi" w:hAnsiTheme="majorHAnsi" w:cstheme="majorHAnsi"/>
                <w:i/>
                <w:iCs/>
                <w:vertAlign w:val="subscript"/>
              </w:rPr>
              <w:t>y-1</w:t>
            </w:r>
            <w:r w:rsidRPr="0095616E">
              <w:rPr>
                <w:rFonts w:asciiTheme="majorHAnsi" w:hAnsiTheme="majorHAnsi" w:cstheme="majorHAnsi"/>
                <w:i/>
                <w:iCs/>
              </w:rPr>
              <w:t xml:space="preserve">) that influence the spawning stock. The dashed red line is the current limit spawning stock reference </w:t>
            </w:r>
            <w:proofErr w:type="gramStart"/>
            <w:r w:rsidRPr="0095616E">
              <w:rPr>
                <w:rFonts w:asciiTheme="majorHAnsi" w:hAnsiTheme="majorHAnsi" w:cstheme="majorHAnsi"/>
                <w:i/>
                <w:iCs/>
              </w:rPr>
              <w:t>level</w:t>
            </w:r>
            <w:proofErr w:type="gramEnd"/>
            <w:r w:rsidRPr="0095616E">
              <w:rPr>
                <w:rFonts w:asciiTheme="majorHAnsi" w:hAnsiTheme="majorHAnsi" w:cstheme="majorHAnsi"/>
                <w:i/>
                <w:iCs/>
              </w:rPr>
              <w:t xml:space="preserve"> and the dotted orange line is the threshold reference level. The 2024 model prediction is indicated by the green data point.</w:t>
            </w:r>
          </w:p>
        </w:tc>
      </w:tr>
      <w:tr w:rsidR="0095616E" w14:paraId="41BCD1B7" w14:textId="77777777" w:rsidTr="00DF389F">
        <w:tc>
          <w:tcPr>
            <w:tcW w:w="9815" w:type="dxa"/>
            <w:gridSpan w:val="2"/>
            <w:shd w:val="clear" w:color="auto" w:fill="D3F5FF" w:themeFill="accent1" w:themeFillTint="1A"/>
          </w:tcPr>
          <w:p w14:paraId="41485FCA" w14:textId="77777777" w:rsidR="0095616E" w:rsidRPr="00DF389F" w:rsidRDefault="0095616E" w:rsidP="0095616E">
            <w:pPr>
              <w:rPr>
                <w:rFonts w:asciiTheme="majorHAnsi" w:hAnsiTheme="majorHAnsi" w:cstheme="majorHAnsi"/>
                <w:b/>
                <w:bCs/>
              </w:rPr>
            </w:pPr>
            <w:r w:rsidRPr="00DF389F">
              <w:rPr>
                <w:rFonts w:asciiTheme="majorHAnsi" w:hAnsiTheme="majorHAnsi" w:cstheme="majorHAnsi"/>
                <w:b/>
                <w:bCs/>
              </w:rPr>
              <w:lastRenderedPageBreak/>
              <w:t>Environment Risk Rating based on future expected environmental conditions</w:t>
            </w:r>
          </w:p>
          <w:p w14:paraId="108F9CD5" w14:textId="77777777" w:rsidR="0095616E" w:rsidRPr="00DF389F" w:rsidRDefault="0095616E" w:rsidP="00972AC9">
            <w:pPr>
              <w:pStyle w:val="ListParagraph"/>
              <w:numPr>
                <w:ilvl w:val="0"/>
                <w:numId w:val="27"/>
              </w:numPr>
              <w:rPr>
                <w:rFonts w:asciiTheme="majorHAnsi" w:hAnsiTheme="majorHAnsi" w:cstheme="majorHAnsi"/>
              </w:rPr>
            </w:pPr>
            <w:r w:rsidRPr="00DF389F">
              <w:rPr>
                <w:rFonts w:asciiTheme="majorHAnsi" w:hAnsiTheme="majorHAnsi" w:cstheme="majorHAnsi"/>
              </w:rPr>
              <w:t>Future climate conditions are predicted to see increased SSTs and increased frequency and intensity of marine heatwaves (MHW) globally (Oliver et.al 2018)</w:t>
            </w:r>
          </w:p>
          <w:p w14:paraId="70803FB0" w14:textId="77777777" w:rsidR="0095616E" w:rsidRPr="00DF389F" w:rsidRDefault="0095616E" w:rsidP="00972AC9">
            <w:pPr>
              <w:pStyle w:val="ListParagraph"/>
              <w:numPr>
                <w:ilvl w:val="0"/>
                <w:numId w:val="27"/>
              </w:numPr>
              <w:rPr>
                <w:rFonts w:asciiTheme="majorHAnsi" w:hAnsiTheme="majorHAnsi" w:cstheme="majorHAnsi"/>
              </w:rPr>
            </w:pPr>
            <w:r w:rsidRPr="00DF389F">
              <w:rPr>
                <w:rFonts w:asciiTheme="majorHAnsi" w:hAnsiTheme="majorHAnsi" w:cstheme="majorHAnsi"/>
              </w:rPr>
              <w:t>MHW conditions over summer have had a significant negative impact on scallop stock levels at the Abrolhos Islands (</w:t>
            </w:r>
            <w:proofErr w:type="spellStart"/>
            <w:r w:rsidRPr="00DF389F">
              <w:rPr>
                <w:rFonts w:asciiTheme="majorHAnsi" w:hAnsiTheme="majorHAnsi" w:cstheme="majorHAnsi"/>
              </w:rPr>
              <w:t>Chandrapavan</w:t>
            </w:r>
            <w:proofErr w:type="spellEnd"/>
            <w:r w:rsidRPr="00DF389F">
              <w:rPr>
                <w:rFonts w:asciiTheme="majorHAnsi" w:hAnsiTheme="majorHAnsi" w:cstheme="majorHAnsi"/>
              </w:rPr>
              <w:t xml:space="preserve"> et. al 2020)</w:t>
            </w:r>
          </w:p>
          <w:p w14:paraId="3CFC9A6B" w14:textId="03183881" w:rsidR="0095616E" w:rsidRPr="0095616E" w:rsidRDefault="0095616E" w:rsidP="0095616E">
            <w:pPr>
              <w:pStyle w:val="Compact"/>
              <w:rPr>
                <w:rFonts w:asciiTheme="majorHAnsi" w:hAnsiTheme="majorHAnsi" w:cstheme="majorHAnsi"/>
              </w:rPr>
            </w:pPr>
            <w:r w:rsidRPr="0095616E">
              <w:rPr>
                <w:rFonts w:asciiTheme="majorHAnsi" w:hAnsiTheme="majorHAnsi" w:cstheme="majorHAnsi"/>
                <w:b/>
                <w:bCs/>
              </w:rPr>
              <w:t xml:space="preserve">Scallops at the Abrolhos Islands are </w:t>
            </w:r>
            <w:r w:rsidRPr="0095616E">
              <w:rPr>
                <w:rFonts w:asciiTheme="majorHAnsi" w:hAnsiTheme="majorHAnsi" w:cstheme="majorHAnsi"/>
                <w:b/>
                <w:bCs/>
                <w:color w:val="FFC000"/>
              </w:rPr>
              <w:t>HIGH</w:t>
            </w:r>
          </w:p>
        </w:tc>
      </w:tr>
      <w:tr w:rsidR="0095616E" w14:paraId="5F1C1550" w14:textId="77777777" w:rsidTr="00DF389F">
        <w:tc>
          <w:tcPr>
            <w:tcW w:w="9815" w:type="dxa"/>
            <w:gridSpan w:val="2"/>
            <w:shd w:val="clear" w:color="auto" w:fill="auto"/>
          </w:tcPr>
          <w:p w14:paraId="6291F84C" w14:textId="77777777" w:rsidR="0095616E" w:rsidRPr="0095616E" w:rsidRDefault="0095616E" w:rsidP="0095616E">
            <w:pPr>
              <w:rPr>
                <w:rFonts w:asciiTheme="majorHAnsi" w:hAnsiTheme="majorHAnsi" w:cstheme="majorHAnsi"/>
              </w:rPr>
            </w:pPr>
            <w:r w:rsidRPr="0095616E">
              <w:rPr>
                <w:rFonts w:asciiTheme="majorHAnsi" w:hAnsiTheme="majorHAnsi" w:cstheme="majorHAnsi"/>
                <w:b/>
                <w:bCs/>
              </w:rPr>
              <w:t>Final Risk</w:t>
            </w:r>
            <w:r w:rsidRPr="0095616E">
              <w:rPr>
                <w:rFonts w:asciiTheme="majorHAnsi" w:hAnsiTheme="majorHAnsi" w:cstheme="majorHAnsi"/>
              </w:rPr>
              <w:t xml:space="preserve">: </w:t>
            </w:r>
          </w:p>
          <w:p w14:paraId="14EF5946" w14:textId="77777777" w:rsidR="0095616E" w:rsidRPr="0095616E" w:rsidRDefault="0095616E" w:rsidP="0095616E">
            <w:pPr>
              <w:rPr>
                <w:rFonts w:asciiTheme="majorHAnsi" w:hAnsiTheme="majorHAnsi" w:cstheme="majorHAnsi"/>
              </w:rPr>
            </w:pPr>
            <w:r w:rsidRPr="0095616E">
              <w:rPr>
                <w:rFonts w:asciiTheme="majorHAnsi" w:hAnsiTheme="majorHAnsi" w:cstheme="majorHAnsi"/>
              </w:rPr>
              <w:t>While scallops at the Abrolhos Islands are a high risk under future environmental conditions, in the short term, stock levels and SST pose minimal to no indications of unacceptable stock decline. Future catch levels are set in accordance with stock levels to ensure mitigation of over-exploitations. The WOE assessment for the 2023 season is:</w:t>
            </w:r>
          </w:p>
          <w:p w14:paraId="3D4087DB" w14:textId="77777777" w:rsidR="0095616E" w:rsidRPr="0095616E" w:rsidRDefault="0095616E" w:rsidP="0095616E">
            <w:pPr>
              <w:rPr>
                <w:rFonts w:asciiTheme="majorHAnsi" w:hAnsiTheme="majorHAnsi" w:cstheme="majorHAnsi"/>
              </w:rPr>
            </w:pPr>
          </w:p>
          <w:p w14:paraId="6FA8A397" w14:textId="77777777" w:rsidR="0095616E" w:rsidRPr="0095616E" w:rsidRDefault="0095616E" w:rsidP="0095616E">
            <w:pPr>
              <w:rPr>
                <w:rFonts w:asciiTheme="majorHAnsi" w:hAnsiTheme="majorHAnsi" w:cstheme="majorHAnsi"/>
              </w:rPr>
            </w:pPr>
            <w:r w:rsidRPr="0095616E">
              <w:rPr>
                <w:rFonts w:asciiTheme="majorHAnsi" w:hAnsiTheme="majorHAnsi" w:cstheme="majorHAnsi"/>
              </w:rPr>
              <w:lastRenderedPageBreak/>
              <w:t xml:space="preserve">C1 Minor (Above Target): It is REMOTE (&lt;5%) that the stock is above the target level owing to no formal target levels being established for this component of the Resource. </w:t>
            </w:r>
          </w:p>
          <w:p w14:paraId="3398B930" w14:textId="77777777" w:rsidR="0095616E" w:rsidRPr="0095616E" w:rsidRDefault="0095616E" w:rsidP="0095616E">
            <w:pPr>
              <w:jc w:val="right"/>
              <w:rPr>
                <w:rFonts w:asciiTheme="majorHAnsi" w:hAnsiTheme="majorHAnsi" w:cstheme="majorHAnsi"/>
              </w:rPr>
            </w:pPr>
            <w:r w:rsidRPr="0095616E">
              <w:rPr>
                <w:rFonts w:asciiTheme="majorHAnsi" w:hAnsiTheme="majorHAnsi" w:cstheme="majorHAnsi"/>
              </w:rPr>
              <w:t xml:space="preserve">Remote (1) x Minor (1)-&gt; </w:t>
            </w:r>
            <w:r w:rsidRPr="0095616E">
              <w:rPr>
                <w:rFonts w:asciiTheme="majorHAnsi" w:hAnsiTheme="majorHAnsi" w:cstheme="majorHAnsi"/>
                <w:i/>
                <w:iCs/>
              </w:rPr>
              <w:t>Negligible</w:t>
            </w:r>
          </w:p>
          <w:p w14:paraId="05053E7B" w14:textId="77777777" w:rsidR="0095616E" w:rsidRPr="0095616E" w:rsidRDefault="0095616E" w:rsidP="0095616E">
            <w:pPr>
              <w:rPr>
                <w:rFonts w:asciiTheme="majorHAnsi" w:hAnsiTheme="majorHAnsi" w:cstheme="majorHAnsi"/>
              </w:rPr>
            </w:pPr>
            <w:r w:rsidRPr="0095616E">
              <w:rPr>
                <w:rFonts w:asciiTheme="majorHAnsi" w:hAnsiTheme="majorHAnsi" w:cstheme="majorHAnsi"/>
              </w:rPr>
              <w:t xml:space="preserve">C2 Moderate (Above Threshold, below Target): It is LIKELY (&gt;50%) that the stock is above the threshold level. The November index was above the threshold level, though the subsequent recruitment was below </w:t>
            </w:r>
            <w:proofErr w:type="gramStart"/>
            <w:r w:rsidRPr="0095616E">
              <w:rPr>
                <w:rFonts w:asciiTheme="majorHAnsi" w:hAnsiTheme="majorHAnsi" w:cstheme="majorHAnsi"/>
              </w:rPr>
              <w:t>average</w:t>
            </w:r>
            <w:proofErr w:type="gramEnd"/>
            <w:r w:rsidRPr="0095616E">
              <w:rPr>
                <w:rFonts w:asciiTheme="majorHAnsi" w:hAnsiTheme="majorHAnsi" w:cstheme="majorHAnsi"/>
              </w:rPr>
              <w:t xml:space="preserve"> and the February residual index just breached the threshold level.</w:t>
            </w:r>
          </w:p>
          <w:p w14:paraId="353AB892" w14:textId="77777777" w:rsidR="0095616E" w:rsidRPr="0095616E" w:rsidRDefault="0095616E" w:rsidP="0095616E">
            <w:pPr>
              <w:jc w:val="right"/>
              <w:rPr>
                <w:rFonts w:asciiTheme="majorHAnsi" w:hAnsiTheme="majorHAnsi" w:cstheme="majorHAnsi"/>
              </w:rPr>
            </w:pPr>
            <w:r w:rsidRPr="0095616E">
              <w:rPr>
                <w:rFonts w:asciiTheme="majorHAnsi" w:hAnsiTheme="majorHAnsi" w:cstheme="majorHAnsi"/>
              </w:rPr>
              <w:t xml:space="preserve">Likely (4) x Moderate (2)-&gt; </w:t>
            </w:r>
            <w:r w:rsidRPr="0095616E">
              <w:rPr>
                <w:rFonts w:asciiTheme="majorHAnsi" w:hAnsiTheme="majorHAnsi" w:cstheme="majorHAnsi"/>
                <w:i/>
                <w:iCs/>
              </w:rPr>
              <w:t>Medium</w:t>
            </w:r>
          </w:p>
          <w:p w14:paraId="28C7823F" w14:textId="77777777" w:rsidR="0095616E" w:rsidRPr="0095616E" w:rsidRDefault="0095616E" w:rsidP="0095616E">
            <w:pPr>
              <w:rPr>
                <w:rFonts w:asciiTheme="majorHAnsi" w:hAnsiTheme="majorHAnsi" w:cstheme="majorHAnsi"/>
              </w:rPr>
            </w:pPr>
            <w:r w:rsidRPr="0095616E">
              <w:rPr>
                <w:rFonts w:asciiTheme="majorHAnsi" w:hAnsiTheme="majorHAnsi" w:cstheme="majorHAnsi"/>
              </w:rPr>
              <w:t>C3 High (Above Limit, below Threshold): It is POSSIBLE (20-50%) that the stock is below the Threshold and above the Limit. The February index breached the threshold and there was a lower level of recruitment. This may be a result of poor scallop quality reducing reproductive output and hence lower than expected recruitment.</w:t>
            </w:r>
          </w:p>
          <w:p w14:paraId="08DC7020" w14:textId="77777777" w:rsidR="0095616E" w:rsidRPr="0095616E" w:rsidRDefault="0095616E" w:rsidP="0095616E">
            <w:pPr>
              <w:jc w:val="right"/>
              <w:rPr>
                <w:rFonts w:asciiTheme="majorHAnsi" w:hAnsiTheme="majorHAnsi" w:cstheme="majorHAnsi"/>
              </w:rPr>
            </w:pPr>
            <w:r w:rsidRPr="0095616E">
              <w:rPr>
                <w:rFonts w:asciiTheme="majorHAnsi" w:hAnsiTheme="majorHAnsi" w:cstheme="majorHAnsi"/>
              </w:rPr>
              <w:t xml:space="preserve">Possible (3) x High (3)-&gt; </w:t>
            </w:r>
            <w:r w:rsidRPr="0095616E">
              <w:rPr>
                <w:rFonts w:asciiTheme="majorHAnsi" w:hAnsiTheme="majorHAnsi" w:cstheme="majorHAnsi"/>
                <w:b/>
                <w:bCs/>
                <w:i/>
                <w:iCs/>
              </w:rPr>
              <w:t>High</w:t>
            </w:r>
          </w:p>
          <w:p w14:paraId="0BC628CF" w14:textId="77777777" w:rsidR="0095616E" w:rsidRPr="0095616E" w:rsidRDefault="0095616E" w:rsidP="0095616E">
            <w:pPr>
              <w:rPr>
                <w:rFonts w:asciiTheme="majorHAnsi" w:hAnsiTheme="majorHAnsi" w:cstheme="majorHAnsi"/>
              </w:rPr>
            </w:pPr>
          </w:p>
          <w:p w14:paraId="4C1854FB" w14:textId="77777777" w:rsidR="0095616E" w:rsidRPr="0095616E" w:rsidRDefault="0095616E" w:rsidP="0095616E">
            <w:pPr>
              <w:rPr>
                <w:rFonts w:asciiTheme="majorHAnsi" w:hAnsiTheme="majorHAnsi" w:cstheme="majorHAnsi"/>
              </w:rPr>
            </w:pPr>
            <w:r w:rsidRPr="0095616E">
              <w:rPr>
                <w:rFonts w:asciiTheme="majorHAnsi" w:hAnsiTheme="majorHAnsi" w:cstheme="majorHAnsi"/>
              </w:rPr>
              <w:t>C4 Major (Below Limit): It is UNLIKELY (5-20%) that the stock is below the limit reference level, based on the length frequency of standing stock and predicted recruitment levels.</w:t>
            </w:r>
          </w:p>
          <w:p w14:paraId="5C80FB79" w14:textId="77777777" w:rsidR="0095616E" w:rsidRPr="0095616E" w:rsidRDefault="0095616E" w:rsidP="0095616E">
            <w:pPr>
              <w:jc w:val="right"/>
              <w:rPr>
                <w:rFonts w:asciiTheme="majorHAnsi" w:hAnsiTheme="majorHAnsi" w:cstheme="majorHAnsi"/>
                <w:i/>
                <w:iCs/>
              </w:rPr>
            </w:pPr>
            <w:r w:rsidRPr="0095616E">
              <w:rPr>
                <w:rFonts w:asciiTheme="majorHAnsi" w:hAnsiTheme="majorHAnsi" w:cstheme="majorHAnsi"/>
              </w:rPr>
              <w:t xml:space="preserve">Unlikely (2) x Major (4)-&gt; </w:t>
            </w:r>
            <w:r w:rsidRPr="0095616E">
              <w:rPr>
                <w:rFonts w:asciiTheme="majorHAnsi" w:hAnsiTheme="majorHAnsi" w:cstheme="majorHAnsi"/>
                <w:i/>
                <w:iCs/>
              </w:rPr>
              <w:t>Medium</w:t>
            </w:r>
          </w:p>
          <w:p w14:paraId="5B3C2613" w14:textId="77777777" w:rsidR="0095616E" w:rsidRPr="0095616E" w:rsidRDefault="0095616E" w:rsidP="0095616E">
            <w:pPr>
              <w:rPr>
                <w:rFonts w:asciiTheme="majorHAnsi" w:hAnsiTheme="majorHAnsi" w:cstheme="majorHAnsi"/>
              </w:rPr>
            </w:pPr>
          </w:p>
          <w:p w14:paraId="3DB18A86" w14:textId="5D82EDBC" w:rsidR="0095616E" w:rsidRPr="0095616E" w:rsidRDefault="0095616E" w:rsidP="0095616E">
            <w:pPr>
              <w:pStyle w:val="Compact"/>
              <w:rPr>
                <w:rFonts w:asciiTheme="majorHAnsi" w:hAnsiTheme="majorHAnsi" w:cstheme="majorHAnsi"/>
              </w:rPr>
            </w:pPr>
            <w:r w:rsidRPr="0095616E">
              <w:rPr>
                <w:rFonts w:asciiTheme="majorHAnsi" w:hAnsiTheme="majorHAnsi" w:cstheme="majorHAnsi"/>
              </w:rPr>
              <w:t xml:space="preserve">Therefore, the overall weight of evidence assessment for scallops at the Abrolhos Islands accessed by the AIMWTMF during 2023 is a </w:t>
            </w:r>
            <w:r w:rsidRPr="0095616E">
              <w:rPr>
                <w:rFonts w:asciiTheme="majorHAnsi" w:hAnsiTheme="majorHAnsi" w:cstheme="majorHAnsi"/>
                <w:b/>
                <w:bCs/>
                <w:color w:val="FFC000"/>
              </w:rPr>
              <w:t>HIGH</w:t>
            </w:r>
            <w:r w:rsidRPr="0095616E">
              <w:rPr>
                <w:rFonts w:asciiTheme="majorHAnsi" w:hAnsiTheme="majorHAnsi" w:cstheme="majorHAnsi"/>
                <w:color w:val="FFC000"/>
              </w:rPr>
              <w:t xml:space="preserve"> </w:t>
            </w:r>
            <w:r w:rsidRPr="0095616E">
              <w:rPr>
                <w:rFonts w:asciiTheme="majorHAnsi" w:hAnsiTheme="majorHAnsi" w:cstheme="majorHAnsi"/>
              </w:rPr>
              <w:t>risk (</w:t>
            </w:r>
            <w:r w:rsidR="00A27786">
              <w:rPr>
                <w:rFonts w:asciiTheme="majorHAnsi" w:hAnsiTheme="majorHAnsi" w:cstheme="majorHAnsi"/>
              </w:rPr>
              <w:t>Table 9</w:t>
            </w:r>
            <w:r w:rsidRPr="0095616E">
              <w:rPr>
                <w:rFonts w:asciiTheme="majorHAnsi" w:hAnsiTheme="majorHAnsi" w:cstheme="majorHAnsi"/>
              </w:rPr>
              <w:t>). Information pertinent to the application of the stock assessment and future catch levels are presented below.</w:t>
            </w:r>
          </w:p>
        </w:tc>
      </w:tr>
    </w:tbl>
    <w:p w14:paraId="1FA6E1A0" w14:textId="77777777" w:rsidR="00FC26E2" w:rsidRDefault="00FC26E2" w:rsidP="00FC26E2">
      <w:pPr>
        <w:pStyle w:val="Compact"/>
        <w:rPr>
          <w:b/>
          <w:bCs/>
        </w:rPr>
      </w:pPr>
    </w:p>
    <w:p w14:paraId="1C3F8B59" w14:textId="2FC6B994" w:rsidR="0095616E" w:rsidRDefault="0095616E" w:rsidP="0095616E">
      <w:pPr>
        <w:pStyle w:val="Caption"/>
      </w:pPr>
      <w:r>
        <w:t xml:space="preserve">Table </w:t>
      </w:r>
      <w:r>
        <w:fldChar w:fldCharType="begin"/>
      </w:r>
      <w:r>
        <w:instrText xml:space="preserve"> SEQ Table \* ARABIC </w:instrText>
      </w:r>
      <w:r>
        <w:fldChar w:fldCharType="separate"/>
      </w:r>
      <w:r w:rsidR="00AB15B7">
        <w:rPr>
          <w:noProof/>
        </w:rPr>
        <w:t>9</w:t>
      </w:r>
      <w:r>
        <w:fldChar w:fldCharType="end"/>
      </w:r>
      <w:r>
        <w:t xml:space="preserve"> Risk matrix of stock depletion for Abrolhos Island scallops accessed by the AIMWTMF.</w:t>
      </w:r>
    </w:p>
    <w:tbl>
      <w:tblPr>
        <w:tblStyle w:val="TableGrid"/>
        <w:tblW w:w="8100" w:type="dxa"/>
        <w:tblInd w:w="1260" w:type="dxa"/>
        <w:tblLayout w:type="fixed"/>
        <w:tblLook w:val="04A0" w:firstRow="1" w:lastRow="0" w:firstColumn="1" w:lastColumn="0" w:noHBand="0" w:noVBand="1"/>
      </w:tblPr>
      <w:tblGrid>
        <w:gridCol w:w="870"/>
        <w:gridCol w:w="1440"/>
        <w:gridCol w:w="1425"/>
        <w:gridCol w:w="1425"/>
        <w:gridCol w:w="1470"/>
        <w:gridCol w:w="1470"/>
      </w:tblGrid>
      <w:tr w:rsidR="0095616E" w:rsidRPr="0095616E" w14:paraId="6C6EBDAB" w14:textId="77777777" w:rsidTr="0095616E">
        <w:trPr>
          <w:cnfStyle w:val="100000000000" w:firstRow="1" w:lastRow="0" w:firstColumn="0" w:lastColumn="0" w:oddVBand="0" w:evenVBand="0" w:oddHBand="0" w:evenHBand="0" w:firstRowFirstColumn="0" w:firstRowLastColumn="0" w:lastRowFirstColumn="0" w:lastRowLastColumn="0"/>
          <w:trHeight w:val="300"/>
        </w:trPr>
        <w:tc>
          <w:tcPr>
            <w:tcW w:w="870" w:type="dxa"/>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tcPr>
          <w:p w14:paraId="4CD199D1" w14:textId="77777777" w:rsidR="0095616E" w:rsidRPr="0095616E" w:rsidRDefault="0095616E" w:rsidP="008C5150">
            <w:pPr>
              <w:spacing w:before="180" w:after="180"/>
              <w:rPr>
                <w:rFonts w:ascii="Cambria" w:eastAsia="Cambria" w:hAnsi="Cambria" w:cs="Cambria"/>
                <w:color w:val="auto"/>
              </w:rPr>
            </w:pPr>
          </w:p>
        </w:tc>
        <w:tc>
          <w:tcPr>
            <w:tcW w:w="1440" w:type="dxa"/>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tcPr>
          <w:p w14:paraId="2006C184" w14:textId="77777777" w:rsidR="0095616E" w:rsidRPr="0095616E" w:rsidRDefault="0095616E" w:rsidP="008C5150">
            <w:pPr>
              <w:spacing w:before="180" w:after="180"/>
              <w:rPr>
                <w:color w:val="auto"/>
              </w:rPr>
            </w:pPr>
            <w:r w:rsidRPr="0095616E">
              <w:rPr>
                <w:rFonts w:ascii="Cambria" w:eastAsia="Cambria" w:hAnsi="Cambria" w:cs="Cambria"/>
                <w:color w:val="auto"/>
              </w:rPr>
              <w:t xml:space="preserve"> </w:t>
            </w:r>
          </w:p>
        </w:tc>
        <w:tc>
          <w:tcPr>
            <w:tcW w:w="5790" w:type="dxa"/>
            <w:gridSpan w:val="4"/>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tcPr>
          <w:p w14:paraId="3E3AAF95" w14:textId="77777777" w:rsidR="0095616E" w:rsidRPr="0095616E" w:rsidRDefault="0095616E" w:rsidP="008C5150">
            <w:pPr>
              <w:spacing w:before="180" w:after="180"/>
              <w:jc w:val="center"/>
              <w:rPr>
                <w:color w:val="auto"/>
              </w:rPr>
            </w:pPr>
            <w:r w:rsidRPr="0095616E">
              <w:rPr>
                <w:rFonts w:ascii="Cambria" w:eastAsia="Cambria" w:hAnsi="Cambria" w:cs="Cambria"/>
                <w:color w:val="auto"/>
              </w:rPr>
              <w:t>LIKELIHOOD</w:t>
            </w:r>
          </w:p>
        </w:tc>
      </w:tr>
      <w:tr w:rsidR="0095616E" w:rsidRPr="004B6198" w14:paraId="514E2E50" w14:textId="77777777" w:rsidTr="0095616E">
        <w:trPr>
          <w:trHeight w:val="300"/>
        </w:trPr>
        <w:tc>
          <w:tcPr>
            <w:tcW w:w="870" w:type="dxa"/>
            <w:vMerge w:val="restart"/>
            <w:tcBorders>
              <w:top w:val="single" w:sz="4" w:space="0" w:color="auto"/>
              <w:left w:val="single" w:sz="8" w:space="0" w:color="auto"/>
              <w:bottom w:val="single" w:sz="8" w:space="0" w:color="auto"/>
              <w:right w:val="single" w:sz="4" w:space="0" w:color="auto"/>
            </w:tcBorders>
            <w:tcMar>
              <w:left w:w="108" w:type="dxa"/>
              <w:right w:w="108" w:type="dxa"/>
            </w:tcMar>
            <w:textDirection w:val="btLr"/>
          </w:tcPr>
          <w:p w14:paraId="6F6F4174" w14:textId="77777777" w:rsidR="0095616E" w:rsidRPr="004B6198" w:rsidRDefault="0095616E" w:rsidP="008C5150">
            <w:pPr>
              <w:spacing w:before="180" w:after="180"/>
              <w:ind w:left="113" w:right="113"/>
              <w:jc w:val="center"/>
              <w:rPr>
                <w:rFonts w:ascii="Cambria" w:eastAsia="Cambria" w:hAnsi="Cambria" w:cs="Cambria"/>
              </w:rPr>
            </w:pPr>
            <w:r w:rsidRPr="004B6198">
              <w:rPr>
                <w:rFonts w:ascii="Cambria" w:eastAsia="Cambria" w:hAnsi="Cambria" w:cs="Cambria"/>
              </w:rPr>
              <w:t>CONSEQUENCE</w:t>
            </w:r>
          </w:p>
        </w:tc>
        <w:tc>
          <w:tcPr>
            <w:tcW w:w="1440" w:type="dxa"/>
            <w:tcBorders>
              <w:top w:val="single" w:sz="4" w:space="0" w:color="auto"/>
              <w:left w:val="single" w:sz="4" w:space="0" w:color="auto"/>
              <w:bottom w:val="single" w:sz="4" w:space="0" w:color="auto"/>
              <w:right w:val="single" w:sz="4" w:space="0" w:color="auto"/>
            </w:tcBorders>
            <w:tcMar>
              <w:left w:w="108" w:type="dxa"/>
              <w:right w:w="108" w:type="dxa"/>
            </w:tcMar>
          </w:tcPr>
          <w:p w14:paraId="1A2EF48E" w14:textId="77777777" w:rsidR="0095616E" w:rsidRPr="004B6198" w:rsidRDefault="0095616E" w:rsidP="008C5150">
            <w:pPr>
              <w:spacing w:before="180" w:after="180"/>
            </w:pPr>
            <w:r w:rsidRPr="004B6198">
              <w:rPr>
                <w:rFonts w:ascii="Cambria" w:eastAsia="Cambria" w:hAnsi="Cambria" w:cs="Cambria"/>
              </w:rPr>
              <w:t xml:space="preserve"> </w:t>
            </w:r>
          </w:p>
        </w:tc>
        <w:tc>
          <w:tcPr>
            <w:tcW w:w="1425" w:type="dxa"/>
            <w:tcBorders>
              <w:top w:val="single" w:sz="4" w:space="0" w:color="auto"/>
              <w:left w:val="single" w:sz="4" w:space="0" w:color="auto"/>
              <w:bottom w:val="single" w:sz="18" w:space="0" w:color="auto"/>
              <w:right w:val="single" w:sz="4" w:space="0" w:color="auto"/>
            </w:tcBorders>
            <w:tcMar>
              <w:left w:w="108" w:type="dxa"/>
              <w:right w:w="108" w:type="dxa"/>
            </w:tcMar>
          </w:tcPr>
          <w:p w14:paraId="1668B757" w14:textId="77777777" w:rsidR="0095616E" w:rsidRPr="004B6198" w:rsidRDefault="0095616E" w:rsidP="008C5150">
            <w:pPr>
              <w:spacing w:before="180" w:after="180"/>
              <w:jc w:val="center"/>
            </w:pPr>
            <w:r>
              <w:rPr>
                <w:rFonts w:ascii="Cambria" w:eastAsia="Cambria" w:hAnsi="Cambria" w:cs="Cambria"/>
              </w:rPr>
              <w:t>Remote</w:t>
            </w:r>
            <w:r>
              <w:rPr>
                <w:rFonts w:ascii="Cambria" w:eastAsia="Cambria" w:hAnsi="Cambria" w:cs="Cambria"/>
              </w:rPr>
              <w:br/>
              <w:t>(</w:t>
            </w:r>
            <w:r w:rsidRPr="004B6198">
              <w:rPr>
                <w:rFonts w:ascii="Cambria" w:eastAsia="Cambria" w:hAnsi="Cambria" w:cs="Cambria"/>
              </w:rPr>
              <w:t>1</w:t>
            </w:r>
            <w:r>
              <w:rPr>
                <w:rFonts w:ascii="Cambria" w:eastAsia="Cambria" w:hAnsi="Cambria" w:cs="Cambria"/>
              </w:rPr>
              <w:t>)</w:t>
            </w:r>
          </w:p>
        </w:tc>
        <w:tc>
          <w:tcPr>
            <w:tcW w:w="1425" w:type="dxa"/>
            <w:tcBorders>
              <w:top w:val="single" w:sz="4" w:space="0" w:color="auto"/>
              <w:left w:val="single" w:sz="4" w:space="0" w:color="auto"/>
              <w:bottom w:val="single" w:sz="4" w:space="0" w:color="auto"/>
              <w:right w:val="single" w:sz="4" w:space="0" w:color="auto"/>
            </w:tcBorders>
            <w:tcMar>
              <w:left w:w="108" w:type="dxa"/>
              <w:right w:w="108" w:type="dxa"/>
            </w:tcMar>
          </w:tcPr>
          <w:p w14:paraId="4A4E5095" w14:textId="77777777" w:rsidR="0095616E" w:rsidRPr="004B6198" w:rsidRDefault="0095616E" w:rsidP="008C5150">
            <w:pPr>
              <w:spacing w:before="180" w:after="180"/>
              <w:jc w:val="center"/>
            </w:pPr>
            <w:r>
              <w:rPr>
                <w:rFonts w:ascii="Cambria" w:eastAsia="Cambria" w:hAnsi="Cambria" w:cs="Cambria"/>
              </w:rPr>
              <w:t>Unlikely</w:t>
            </w:r>
            <w:r>
              <w:rPr>
                <w:rFonts w:ascii="Cambria" w:eastAsia="Cambria" w:hAnsi="Cambria" w:cs="Cambria"/>
              </w:rPr>
              <w:br/>
              <w:t>(</w:t>
            </w:r>
            <w:r w:rsidRPr="004B6198">
              <w:rPr>
                <w:rFonts w:ascii="Cambria" w:eastAsia="Cambria" w:hAnsi="Cambria" w:cs="Cambria"/>
              </w:rPr>
              <w:t>2</w:t>
            </w:r>
            <w:r>
              <w:rPr>
                <w:rFonts w:ascii="Cambria" w:eastAsia="Cambria" w:hAnsi="Cambria" w:cs="Cambria"/>
              </w:rPr>
              <w:t>)</w:t>
            </w:r>
          </w:p>
        </w:tc>
        <w:tc>
          <w:tcPr>
            <w:tcW w:w="1470" w:type="dxa"/>
            <w:tcBorders>
              <w:top w:val="single" w:sz="4" w:space="0" w:color="auto"/>
              <w:left w:val="single" w:sz="4" w:space="0" w:color="auto"/>
              <w:bottom w:val="single" w:sz="4" w:space="0" w:color="auto"/>
              <w:right w:val="single" w:sz="4" w:space="0" w:color="auto"/>
            </w:tcBorders>
            <w:tcMar>
              <w:left w:w="108" w:type="dxa"/>
              <w:right w:w="108" w:type="dxa"/>
            </w:tcMar>
          </w:tcPr>
          <w:p w14:paraId="39764503" w14:textId="77777777" w:rsidR="0095616E" w:rsidRPr="004B6198" w:rsidRDefault="0095616E" w:rsidP="008C5150">
            <w:pPr>
              <w:spacing w:before="180" w:after="180"/>
              <w:jc w:val="center"/>
            </w:pPr>
            <w:r>
              <w:rPr>
                <w:rFonts w:ascii="Cambria" w:eastAsia="Cambria" w:hAnsi="Cambria" w:cs="Cambria"/>
              </w:rPr>
              <w:t>Possible</w:t>
            </w:r>
            <w:r>
              <w:rPr>
                <w:rFonts w:ascii="Cambria" w:eastAsia="Cambria" w:hAnsi="Cambria" w:cs="Cambria"/>
              </w:rPr>
              <w:br/>
              <w:t>(</w:t>
            </w:r>
            <w:r w:rsidRPr="004B6198">
              <w:rPr>
                <w:rFonts w:ascii="Cambria" w:eastAsia="Cambria" w:hAnsi="Cambria" w:cs="Cambria"/>
              </w:rPr>
              <w:t>3</w:t>
            </w:r>
            <w:r>
              <w:rPr>
                <w:rFonts w:ascii="Cambria" w:eastAsia="Cambria" w:hAnsi="Cambria" w:cs="Cambria"/>
              </w:rPr>
              <w:t>)</w:t>
            </w:r>
          </w:p>
        </w:tc>
        <w:tc>
          <w:tcPr>
            <w:tcW w:w="1470" w:type="dxa"/>
            <w:tcBorders>
              <w:top w:val="single" w:sz="4" w:space="0" w:color="auto"/>
              <w:left w:val="single" w:sz="4" w:space="0" w:color="auto"/>
              <w:bottom w:val="single" w:sz="4" w:space="0" w:color="auto"/>
              <w:right w:val="single" w:sz="4" w:space="0" w:color="auto"/>
            </w:tcBorders>
            <w:tcMar>
              <w:left w:w="108" w:type="dxa"/>
              <w:right w:w="108" w:type="dxa"/>
            </w:tcMar>
          </w:tcPr>
          <w:p w14:paraId="0942589D" w14:textId="77777777" w:rsidR="0095616E" w:rsidRPr="004B6198" w:rsidRDefault="0095616E" w:rsidP="008C5150">
            <w:pPr>
              <w:spacing w:before="180" w:after="180"/>
              <w:jc w:val="center"/>
            </w:pPr>
            <w:r>
              <w:rPr>
                <w:rFonts w:ascii="Cambria" w:eastAsia="Cambria" w:hAnsi="Cambria" w:cs="Cambria"/>
              </w:rPr>
              <w:t>Likely</w:t>
            </w:r>
            <w:r>
              <w:rPr>
                <w:rFonts w:ascii="Cambria" w:eastAsia="Cambria" w:hAnsi="Cambria" w:cs="Cambria"/>
              </w:rPr>
              <w:br/>
              <w:t>(</w:t>
            </w:r>
            <w:r w:rsidRPr="004B6198">
              <w:rPr>
                <w:rFonts w:ascii="Cambria" w:eastAsia="Cambria" w:hAnsi="Cambria" w:cs="Cambria"/>
              </w:rPr>
              <w:t>4</w:t>
            </w:r>
            <w:r>
              <w:rPr>
                <w:rFonts w:ascii="Cambria" w:eastAsia="Cambria" w:hAnsi="Cambria" w:cs="Cambria"/>
              </w:rPr>
              <w:t>)</w:t>
            </w:r>
          </w:p>
        </w:tc>
      </w:tr>
      <w:tr w:rsidR="0095616E" w:rsidRPr="004B6198" w14:paraId="7802EB74" w14:textId="77777777" w:rsidTr="0095616E">
        <w:trPr>
          <w:trHeight w:val="300"/>
        </w:trPr>
        <w:tc>
          <w:tcPr>
            <w:tcW w:w="870" w:type="dxa"/>
            <w:vMerge/>
            <w:tcBorders>
              <w:left w:val="single" w:sz="0" w:space="0" w:color="auto"/>
              <w:right w:val="single" w:sz="4" w:space="0" w:color="auto"/>
            </w:tcBorders>
            <w:vAlign w:val="center"/>
          </w:tcPr>
          <w:p w14:paraId="3F53A481" w14:textId="77777777" w:rsidR="0095616E" w:rsidRPr="004B6198" w:rsidRDefault="0095616E" w:rsidP="008C5150"/>
        </w:tc>
        <w:tc>
          <w:tcPr>
            <w:tcW w:w="1440" w:type="dxa"/>
            <w:tcBorders>
              <w:top w:val="single" w:sz="4" w:space="0" w:color="auto"/>
              <w:left w:val="single" w:sz="4" w:space="0" w:color="auto"/>
              <w:bottom w:val="single" w:sz="4" w:space="0" w:color="auto"/>
              <w:right w:val="single" w:sz="18" w:space="0" w:color="auto"/>
            </w:tcBorders>
            <w:tcMar>
              <w:left w:w="108" w:type="dxa"/>
              <w:right w:w="108" w:type="dxa"/>
            </w:tcMar>
          </w:tcPr>
          <w:p w14:paraId="06DAC2DB" w14:textId="77777777" w:rsidR="0095616E" w:rsidRPr="004B6198" w:rsidRDefault="0095616E" w:rsidP="008C5150">
            <w:pPr>
              <w:spacing w:before="180" w:after="180"/>
              <w:jc w:val="center"/>
            </w:pPr>
            <w:r>
              <w:rPr>
                <w:rFonts w:ascii="Cambria" w:eastAsia="Cambria" w:hAnsi="Cambria" w:cs="Cambria"/>
              </w:rPr>
              <w:t xml:space="preserve">Minor </w:t>
            </w:r>
            <w:r>
              <w:rPr>
                <w:rFonts w:ascii="Cambria" w:eastAsia="Cambria" w:hAnsi="Cambria" w:cs="Cambria"/>
              </w:rPr>
              <w:br/>
              <w:t>(</w:t>
            </w:r>
            <w:r w:rsidRPr="004B6198">
              <w:rPr>
                <w:rFonts w:ascii="Cambria" w:eastAsia="Cambria" w:hAnsi="Cambria" w:cs="Cambria"/>
              </w:rPr>
              <w:t>1</w:t>
            </w:r>
            <w:r>
              <w:rPr>
                <w:rFonts w:ascii="Cambria" w:eastAsia="Cambria" w:hAnsi="Cambria" w:cs="Cambria"/>
              </w:rPr>
              <w:t>)</w:t>
            </w:r>
          </w:p>
        </w:tc>
        <w:tc>
          <w:tcPr>
            <w:tcW w:w="1425" w:type="dxa"/>
            <w:tcBorders>
              <w:top w:val="single" w:sz="18" w:space="0" w:color="auto"/>
              <w:left w:val="single" w:sz="18" w:space="0" w:color="auto"/>
              <w:bottom w:val="single" w:sz="18" w:space="0" w:color="auto"/>
              <w:right w:val="single" w:sz="18" w:space="0" w:color="auto"/>
            </w:tcBorders>
            <w:shd w:val="clear" w:color="auto" w:fill="D3F5FF" w:themeFill="accent1" w:themeFillTint="1A"/>
            <w:tcMar>
              <w:left w:w="108" w:type="dxa"/>
              <w:right w:w="108" w:type="dxa"/>
            </w:tcMar>
          </w:tcPr>
          <w:p w14:paraId="117204CF" w14:textId="77777777" w:rsidR="0095616E" w:rsidRPr="004B6198" w:rsidRDefault="0095616E" w:rsidP="008C5150">
            <w:pPr>
              <w:spacing w:before="180" w:after="180"/>
              <w:jc w:val="center"/>
            </w:pPr>
            <w:r>
              <w:rPr>
                <w:rFonts w:ascii="Cambria" w:eastAsia="Cambria" w:hAnsi="Cambria" w:cs="Cambria"/>
              </w:rPr>
              <w:t>Negligible</w:t>
            </w:r>
          </w:p>
        </w:tc>
        <w:tc>
          <w:tcPr>
            <w:tcW w:w="1425" w:type="dxa"/>
            <w:tcBorders>
              <w:top w:val="single" w:sz="4" w:space="0" w:color="auto"/>
              <w:left w:val="single" w:sz="18" w:space="0" w:color="auto"/>
              <w:bottom w:val="single" w:sz="4" w:space="0" w:color="auto"/>
              <w:right w:val="single" w:sz="4" w:space="0" w:color="auto"/>
            </w:tcBorders>
            <w:shd w:val="clear" w:color="auto" w:fill="D3F5FF" w:themeFill="accent1" w:themeFillTint="1A"/>
            <w:tcMar>
              <w:left w:w="108" w:type="dxa"/>
              <w:right w:w="108" w:type="dxa"/>
            </w:tcMar>
          </w:tcPr>
          <w:p w14:paraId="5E2F23FB" w14:textId="77777777" w:rsidR="0095616E" w:rsidRPr="004B6198" w:rsidRDefault="0095616E" w:rsidP="008C5150">
            <w:pPr>
              <w:spacing w:before="180" w:after="180"/>
              <w:jc w:val="center"/>
            </w:pPr>
            <w:r>
              <w:rPr>
                <w:rFonts w:ascii="Cambria" w:eastAsia="Cambria" w:hAnsi="Cambria" w:cs="Cambria"/>
              </w:rPr>
              <w:t>Negligible</w:t>
            </w:r>
          </w:p>
        </w:tc>
        <w:tc>
          <w:tcPr>
            <w:tcW w:w="1470" w:type="dxa"/>
            <w:tcBorders>
              <w:top w:val="single" w:sz="4" w:space="0" w:color="auto"/>
              <w:left w:val="single" w:sz="4" w:space="0" w:color="auto"/>
              <w:bottom w:val="single" w:sz="4" w:space="0" w:color="auto"/>
              <w:right w:val="single" w:sz="4" w:space="0" w:color="auto"/>
            </w:tcBorders>
            <w:shd w:val="clear" w:color="auto" w:fill="92D050"/>
            <w:tcMar>
              <w:left w:w="108" w:type="dxa"/>
              <w:right w:w="108" w:type="dxa"/>
            </w:tcMar>
          </w:tcPr>
          <w:p w14:paraId="51844985" w14:textId="77777777" w:rsidR="0095616E" w:rsidRPr="004B6198" w:rsidRDefault="0095616E" w:rsidP="008C5150">
            <w:pPr>
              <w:spacing w:before="180" w:after="180"/>
              <w:jc w:val="center"/>
            </w:pPr>
            <w:r>
              <w:rPr>
                <w:rFonts w:ascii="Cambria" w:eastAsia="Cambria" w:hAnsi="Cambria" w:cs="Cambria"/>
              </w:rPr>
              <w:t>Low</w:t>
            </w:r>
          </w:p>
        </w:tc>
        <w:tc>
          <w:tcPr>
            <w:tcW w:w="1470" w:type="dxa"/>
            <w:tcBorders>
              <w:top w:val="single" w:sz="4" w:space="0" w:color="auto"/>
              <w:left w:val="single" w:sz="4" w:space="0" w:color="auto"/>
              <w:bottom w:val="single" w:sz="18" w:space="0" w:color="auto"/>
              <w:right w:val="single" w:sz="4" w:space="0" w:color="auto"/>
            </w:tcBorders>
            <w:shd w:val="clear" w:color="auto" w:fill="92D050"/>
            <w:tcMar>
              <w:left w:w="108" w:type="dxa"/>
              <w:right w:w="108" w:type="dxa"/>
            </w:tcMar>
          </w:tcPr>
          <w:p w14:paraId="5B055E63" w14:textId="77777777" w:rsidR="0095616E" w:rsidRPr="004B6198" w:rsidRDefault="0095616E" w:rsidP="008C5150">
            <w:pPr>
              <w:spacing w:before="180" w:after="180"/>
              <w:jc w:val="center"/>
            </w:pPr>
            <w:r>
              <w:rPr>
                <w:rFonts w:ascii="Cambria" w:eastAsia="Cambria" w:hAnsi="Cambria" w:cs="Cambria"/>
              </w:rPr>
              <w:t>Low</w:t>
            </w:r>
          </w:p>
        </w:tc>
      </w:tr>
      <w:tr w:rsidR="0095616E" w:rsidRPr="004B6198" w14:paraId="6A852CE0" w14:textId="77777777" w:rsidTr="0095616E">
        <w:trPr>
          <w:trHeight w:val="300"/>
        </w:trPr>
        <w:tc>
          <w:tcPr>
            <w:tcW w:w="870" w:type="dxa"/>
            <w:vMerge/>
            <w:tcBorders>
              <w:left w:val="single" w:sz="0" w:space="0" w:color="auto"/>
              <w:right w:val="single" w:sz="4" w:space="0" w:color="auto"/>
            </w:tcBorders>
            <w:vAlign w:val="center"/>
          </w:tcPr>
          <w:p w14:paraId="230FCC22" w14:textId="77777777" w:rsidR="0095616E" w:rsidRPr="004B6198" w:rsidRDefault="0095616E" w:rsidP="008C5150"/>
        </w:tc>
        <w:tc>
          <w:tcPr>
            <w:tcW w:w="1440" w:type="dxa"/>
            <w:tcBorders>
              <w:top w:val="single" w:sz="4" w:space="0" w:color="auto"/>
              <w:left w:val="single" w:sz="4" w:space="0" w:color="auto"/>
              <w:bottom w:val="single" w:sz="4" w:space="0" w:color="auto"/>
              <w:right w:val="single" w:sz="4" w:space="0" w:color="auto"/>
            </w:tcBorders>
            <w:tcMar>
              <w:left w:w="108" w:type="dxa"/>
              <w:right w:w="108" w:type="dxa"/>
            </w:tcMar>
          </w:tcPr>
          <w:p w14:paraId="30170C18" w14:textId="77777777" w:rsidR="0095616E" w:rsidRPr="004B6198" w:rsidRDefault="0095616E" w:rsidP="008C5150">
            <w:pPr>
              <w:spacing w:before="180" w:after="180"/>
              <w:jc w:val="center"/>
            </w:pPr>
            <w:r>
              <w:rPr>
                <w:rFonts w:ascii="Cambria" w:eastAsia="Cambria" w:hAnsi="Cambria" w:cs="Cambria"/>
              </w:rPr>
              <w:t>Moderate (</w:t>
            </w:r>
            <w:r w:rsidRPr="004B6198">
              <w:rPr>
                <w:rFonts w:ascii="Cambria" w:eastAsia="Cambria" w:hAnsi="Cambria" w:cs="Cambria"/>
              </w:rPr>
              <w:t>2</w:t>
            </w:r>
            <w:r>
              <w:rPr>
                <w:rFonts w:ascii="Cambria" w:eastAsia="Cambria" w:hAnsi="Cambria" w:cs="Cambria"/>
              </w:rPr>
              <w:t>)</w:t>
            </w:r>
          </w:p>
        </w:tc>
        <w:tc>
          <w:tcPr>
            <w:tcW w:w="1425" w:type="dxa"/>
            <w:tcBorders>
              <w:top w:val="single" w:sz="18" w:space="0" w:color="auto"/>
              <w:left w:val="single" w:sz="4" w:space="0" w:color="auto"/>
              <w:bottom w:val="single" w:sz="4" w:space="0" w:color="auto"/>
              <w:right w:val="single" w:sz="4" w:space="0" w:color="auto"/>
            </w:tcBorders>
            <w:shd w:val="clear" w:color="auto" w:fill="D3F5FF" w:themeFill="accent1" w:themeFillTint="1A"/>
            <w:tcMar>
              <w:left w:w="108" w:type="dxa"/>
              <w:right w:w="108" w:type="dxa"/>
            </w:tcMar>
          </w:tcPr>
          <w:p w14:paraId="7F37C317" w14:textId="77777777" w:rsidR="0095616E" w:rsidRPr="004B6198" w:rsidRDefault="0095616E" w:rsidP="008C5150">
            <w:pPr>
              <w:tabs>
                <w:tab w:val="left" w:pos="502"/>
                <w:tab w:val="center" w:pos="604"/>
              </w:tabs>
              <w:spacing w:before="180" w:after="180"/>
            </w:pPr>
            <w:r>
              <w:rPr>
                <w:rFonts w:ascii="Cambria" w:eastAsia="Cambria" w:hAnsi="Cambria" w:cs="Cambria"/>
              </w:rPr>
              <w:t>Negligible</w:t>
            </w:r>
          </w:p>
        </w:tc>
        <w:tc>
          <w:tcPr>
            <w:tcW w:w="1425" w:type="dxa"/>
            <w:tcBorders>
              <w:top w:val="single" w:sz="4" w:space="0" w:color="auto"/>
              <w:left w:val="single" w:sz="4" w:space="0" w:color="auto"/>
              <w:bottom w:val="single" w:sz="4" w:space="0" w:color="auto"/>
              <w:right w:val="single" w:sz="4" w:space="0" w:color="auto"/>
            </w:tcBorders>
            <w:shd w:val="clear" w:color="auto" w:fill="92D050"/>
            <w:tcMar>
              <w:left w:w="108" w:type="dxa"/>
              <w:right w:w="108" w:type="dxa"/>
            </w:tcMar>
          </w:tcPr>
          <w:p w14:paraId="19444969" w14:textId="77777777" w:rsidR="0095616E" w:rsidRPr="004B6198" w:rsidRDefault="0095616E" w:rsidP="008C5150">
            <w:pPr>
              <w:spacing w:before="180" w:after="180"/>
              <w:jc w:val="center"/>
            </w:pPr>
            <w:r>
              <w:rPr>
                <w:rFonts w:ascii="Cambria" w:eastAsia="Cambria" w:hAnsi="Cambria" w:cs="Cambria"/>
              </w:rPr>
              <w:t>Low</w:t>
            </w:r>
          </w:p>
        </w:tc>
        <w:tc>
          <w:tcPr>
            <w:tcW w:w="1470" w:type="dxa"/>
            <w:tcBorders>
              <w:top w:val="single" w:sz="4" w:space="0" w:color="auto"/>
              <w:left w:val="single" w:sz="4" w:space="0" w:color="auto"/>
              <w:bottom w:val="single" w:sz="18" w:space="0" w:color="auto"/>
              <w:right w:val="single" w:sz="18" w:space="0" w:color="auto"/>
            </w:tcBorders>
            <w:shd w:val="clear" w:color="auto" w:fill="FFFF00"/>
            <w:tcMar>
              <w:left w:w="108" w:type="dxa"/>
              <w:right w:w="108" w:type="dxa"/>
            </w:tcMar>
          </w:tcPr>
          <w:p w14:paraId="6BC104F4" w14:textId="77777777" w:rsidR="0095616E" w:rsidRPr="004B6198" w:rsidRDefault="0095616E" w:rsidP="008C5150">
            <w:pPr>
              <w:spacing w:before="180" w:after="180"/>
              <w:jc w:val="center"/>
            </w:pPr>
            <w:r>
              <w:rPr>
                <w:rFonts w:ascii="Cambria" w:eastAsia="Cambria" w:hAnsi="Cambria" w:cs="Cambria"/>
              </w:rPr>
              <w:t>Medium</w:t>
            </w:r>
          </w:p>
        </w:tc>
        <w:tc>
          <w:tcPr>
            <w:tcW w:w="1470" w:type="dxa"/>
            <w:tcBorders>
              <w:top w:val="single" w:sz="18" w:space="0" w:color="auto"/>
              <w:left w:val="single" w:sz="18" w:space="0" w:color="auto"/>
              <w:bottom w:val="single" w:sz="18" w:space="0" w:color="auto"/>
              <w:right w:val="single" w:sz="18" w:space="0" w:color="auto"/>
            </w:tcBorders>
            <w:shd w:val="clear" w:color="auto" w:fill="FFFF00"/>
            <w:tcMar>
              <w:left w:w="108" w:type="dxa"/>
              <w:right w:w="108" w:type="dxa"/>
            </w:tcMar>
          </w:tcPr>
          <w:p w14:paraId="66E7ED3D" w14:textId="77777777" w:rsidR="0095616E" w:rsidRPr="004C08F8" w:rsidRDefault="0095616E" w:rsidP="008C5150">
            <w:pPr>
              <w:spacing w:before="180" w:after="180"/>
              <w:jc w:val="center"/>
              <w:rPr>
                <w:b/>
                <w:bCs/>
              </w:rPr>
            </w:pPr>
            <w:r w:rsidRPr="004C08F8">
              <w:rPr>
                <w:rFonts w:ascii="Cambria" w:eastAsia="Cambria" w:hAnsi="Cambria" w:cs="Cambria"/>
                <w:b/>
                <w:bCs/>
              </w:rPr>
              <w:t>Medium</w:t>
            </w:r>
          </w:p>
        </w:tc>
      </w:tr>
      <w:tr w:rsidR="0095616E" w:rsidRPr="004B6198" w14:paraId="46D54E07" w14:textId="77777777" w:rsidTr="0095616E">
        <w:trPr>
          <w:trHeight w:val="300"/>
        </w:trPr>
        <w:tc>
          <w:tcPr>
            <w:tcW w:w="870" w:type="dxa"/>
            <w:vMerge/>
            <w:tcBorders>
              <w:left w:val="single" w:sz="0" w:space="0" w:color="auto"/>
              <w:right w:val="single" w:sz="4" w:space="0" w:color="auto"/>
            </w:tcBorders>
            <w:vAlign w:val="center"/>
          </w:tcPr>
          <w:p w14:paraId="121786E9" w14:textId="77777777" w:rsidR="0095616E" w:rsidRPr="004B6198" w:rsidRDefault="0095616E" w:rsidP="008C5150"/>
        </w:tc>
        <w:tc>
          <w:tcPr>
            <w:tcW w:w="1440" w:type="dxa"/>
            <w:tcBorders>
              <w:top w:val="single" w:sz="4" w:space="0" w:color="auto"/>
              <w:left w:val="single" w:sz="4" w:space="0" w:color="auto"/>
              <w:bottom w:val="single" w:sz="4" w:space="0" w:color="auto"/>
              <w:right w:val="single" w:sz="4" w:space="0" w:color="auto"/>
            </w:tcBorders>
            <w:tcMar>
              <w:left w:w="108" w:type="dxa"/>
              <w:right w:w="108" w:type="dxa"/>
            </w:tcMar>
          </w:tcPr>
          <w:p w14:paraId="2B9F63F3" w14:textId="77777777" w:rsidR="0095616E" w:rsidRPr="004B6198" w:rsidRDefault="0095616E" w:rsidP="008C5150">
            <w:pPr>
              <w:spacing w:before="180" w:after="180"/>
              <w:jc w:val="center"/>
            </w:pPr>
            <w:r>
              <w:rPr>
                <w:rFonts w:ascii="Cambria" w:eastAsia="Cambria" w:hAnsi="Cambria" w:cs="Cambria"/>
              </w:rPr>
              <w:t>High</w:t>
            </w:r>
            <w:r>
              <w:rPr>
                <w:rFonts w:ascii="Cambria" w:eastAsia="Cambria" w:hAnsi="Cambria" w:cs="Cambria"/>
              </w:rPr>
              <w:br/>
              <w:t>(</w:t>
            </w:r>
            <w:r w:rsidRPr="004B6198">
              <w:rPr>
                <w:rFonts w:ascii="Cambria" w:eastAsia="Cambria" w:hAnsi="Cambria" w:cs="Cambria"/>
              </w:rPr>
              <w:t>3</w:t>
            </w:r>
            <w:r>
              <w:rPr>
                <w:rFonts w:ascii="Cambria" w:eastAsia="Cambria" w:hAnsi="Cambria" w:cs="Cambria"/>
              </w:rPr>
              <w:t>)</w:t>
            </w:r>
          </w:p>
        </w:tc>
        <w:tc>
          <w:tcPr>
            <w:tcW w:w="1425" w:type="dxa"/>
            <w:tcBorders>
              <w:top w:val="single" w:sz="4" w:space="0" w:color="auto"/>
              <w:left w:val="single" w:sz="4" w:space="0" w:color="auto"/>
              <w:bottom w:val="single" w:sz="6" w:space="0" w:color="auto"/>
              <w:right w:val="single" w:sz="4" w:space="0" w:color="auto"/>
            </w:tcBorders>
            <w:shd w:val="clear" w:color="auto" w:fill="92D050"/>
            <w:tcMar>
              <w:left w:w="108" w:type="dxa"/>
              <w:right w:w="108" w:type="dxa"/>
            </w:tcMar>
          </w:tcPr>
          <w:p w14:paraId="1CCA29CF" w14:textId="77777777" w:rsidR="0095616E" w:rsidRPr="004B6198" w:rsidRDefault="0095616E" w:rsidP="008C5150">
            <w:pPr>
              <w:spacing w:before="180" w:after="180"/>
              <w:jc w:val="center"/>
            </w:pPr>
            <w:r>
              <w:rPr>
                <w:rFonts w:ascii="Cambria" w:eastAsia="Cambria" w:hAnsi="Cambria" w:cs="Cambria"/>
              </w:rPr>
              <w:t>Low</w:t>
            </w:r>
          </w:p>
        </w:tc>
        <w:tc>
          <w:tcPr>
            <w:tcW w:w="1425" w:type="dxa"/>
            <w:tcBorders>
              <w:top w:val="single" w:sz="4" w:space="0" w:color="auto"/>
              <w:left w:val="single" w:sz="4" w:space="0" w:color="auto"/>
              <w:bottom w:val="single" w:sz="18" w:space="0" w:color="auto"/>
              <w:right w:val="single" w:sz="18" w:space="0" w:color="auto"/>
            </w:tcBorders>
            <w:shd w:val="clear" w:color="auto" w:fill="FFFF00"/>
            <w:tcMar>
              <w:left w:w="108" w:type="dxa"/>
              <w:right w:w="108" w:type="dxa"/>
            </w:tcMar>
          </w:tcPr>
          <w:p w14:paraId="12B2BD73" w14:textId="77777777" w:rsidR="0095616E" w:rsidRPr="00287778" w:rsidRDefault="0095616E" w:rsidP="008C5150">
            <w:pPr>
              <w:spacing w:before="180" w:after="180"/>
              <w:jc w:val="center"/>
            </w:pPr>
            <w:r w:rsidRPr="00287778">
              <w:rPr>
                <w:rFonts w:ascii="Cambria" w:eastAsia="Cambria" w:hAnsi="Cambria" w:cs="Cambria"/>
              </w:rPr>
              <w:t>Medium</w:t>
            </w:r>
          </w:p>
        </w:tc>
        <w:tc>
          <w:tcPr>
            <w:tcW w:w="1470" w:type="dxa"/>
            <w:tcBorders>
              <w:top w:val="single" w:sz="18" w:space="0" w:color="auto"/>
              <w:left w:val="single" w:sz="18" w:space="0" w:color="auto"/>
              <w:bottom w:val="single" w:sz="18" w:space="0" w:color="auto"/>
              <w:right w:val="single" w:sz="18" w:space="0" w:color="auto"/>
            </w:tcBorders>
            <w:shd w:val="clear" w:color="auto" w:fill="FFC000"/>
            <w:tcMar>
              <w:left w:w="108" w:type="dxa"/>
              <w:right w:w="108" w:type="dxa"/>
            </w:tcMar>
          </w:tcPr>
          <w:p w14:paraId="6E1A90AF" w14:textId="77777777" w:rsidR="0095616E" w:rsidRPr="00287778" w:rsidRDefault="0095616E" w:rsidP="008C5150">
            <w:pPr>
              <w:spacing w:before="180" w:after="180"/>
              <w:jc w:val="center"/>
              <w:rPr>
                <w:b/>
                <w:bCs/>
              </w:rPr>
            </w:pPr>
            <w:r w:rsidRPr="00287778">
              <w:rPr>
                <w:rFonts w:ascii="Cambria" w:eastAsia="Cambria" w:hAnsi="Cambria" w:cs="Cambria"/>
                <w:b/>
                <w:bCs/>
              </w:rPr>
              <w:t>High</w:t>
            </w:r>
          </w:p>
        </w:tc>
        <w:tc>
          <w:tcPr>
            <w:tcW w:w="1470" w:type="dxa"/>
            <w:tcBorders>
              <w:top w:val="single" w:sz="18" w:space="0" w:color="auto"/>
              <w:left w:val="single" w:sz="18" w:space="0" w:color="auto"/>
              <w:bottom w:val="single" w:sz="4" w:space="0" w:color="auto"/>
              <w:right w:val="single" w:sz="4" w:space="0" w:color="auto"/>
            </w:tcBorders>
            <w:shd w:val="clear" w:color="auto" w:fill="FFC000"/>
            <w:tcMar>
              <w:left w:w="108" w:type="dxa"/>
              <w:right w:w="108" w:type="dxa"/>
            </w:tcMar>
          </w:tcPr>
          <w:p w14:paraId="0C2D745A" w14:textId="77777777" w:rsidR="0095616E" w:rsidRPr="004B6198" w:rsidRDefault="0095616E" w:rsidP="008C5150">
            <w:pPr>
              <w:spacing w:before="180" w:after="180"/>
              <w:jc w:val="center"/>
              <w:rPr>
                <w:rFonts w:ascii="Cambria" w:eastAsia="Cambria" w:hAnsi="Cambria" w:cs="Cambria"/>
              </w:rPr>
            </w:pPr>
            <w:r>
              <w:rPr>
                <w:rFonts w:ascii="Cambria" w:eastAsia="Cambria" w:hAnsi="Cambria" w:cs="Cambria"/>
              </w:rPr>
              <w:t>High</w:t>
            </w:r>
          </w:p>
        </w:tc>
      </w:tr>
      <w:tr w:rsidR="0095616E" w:rsidRPr="004B6198" w14:paraId="0EA06C41" w14:textId="77777777" w:rsidTr="0095616E">
        <w:trPr>
          <w:trHeight w:val="300"/>
        </w:trPr>
        <w:tc>
          <w:tcPr>
            <w:tcW w:w="870" w:type="dxa"/>
            <w:vMerge/>
            <w:tcBorders>
              <w:top w:val="single" w:sz="0" w:space="0" w:color="auto"/>
              <w:left w:val="single" w:sz="0" w:space="0" w:color="auto"/>
              <w:bottom w:val="single" w:sz="0" w:space="0" w:color="auto"/>
              <w:right w:val="single" w:sz="4" w:space="0" w:color="auto"/>
            </w:tcBorders>
            <w:vAlign w:val="center"/>
          </w:tcPr>
          <w:p w14:paraId="001F3844" w14:textId="77777777" w:rsidR="0095616E" w:rsidRPr="004B6198" w:rsidRDefault="0095616E" w:rsidP="008C5150"/>
        </w:tc>
        <w:tc>
          <w:tcPr>
            <w:tcW w:w="1440" w:type="dxa"/>
            <w:tcBorders>
              <w:top w:val="single" w:sz="4" w:space="0" w:color="auto"/>
              <w:left w:val="single" w:sz="4" w:space="0" w:color="auto"/>
              <w:bottom w:val="single" w:sz="4" w:space="0" w:color="auto"/>
              <w:right w:val="single" w:sz="6" w:space="0" w:color="auto"/>
            </w:tcBorders>
            <w:tcMar>
              <w:left w:w="108" w:type="dxa"/>
              <w:right w:w="108" w:type="dxa"/>
            </w:tcMar>
          </w:tcPr>
          <w:p w14:paraId="48BE3463" w14:textId="77777777" w:rsidR="0095616E" w:rsidRPr="004B6198" w:rsidRDefault="0095616E" w:rsidP="008C5150">
            <w:pPr>
              <w:spacing w:before="180" w:after="180"/>
              <w:jc w:val="center"/>
            </w:pPr>
            <w:r>
              <w:rPr>
                <w:rFonts w:ascii="Cambria" w:eastAsia="Cambria" w:hAnsi="Cambria" w:cs="Cambria"/>
              </w:rPr>
              <w:t>Major</w:t>
            </w:r>
            <w:r>
              <w:rPr>
                <w:rFonts w:ascii="Cambria" w:eastAsia="Cambria" w:hAnsi="Cambria" w:cs="Cambria"/>
              </w:rPr>
              <w:br/>
              <w:t>(</w:t>
            </w:r>
            <w:r w:rsidRPr="004B6198">
              <w:rPr>
                <w:rFonts w:ascii="Cambria" w:eastAsia="Cambria" w:hAnsi="Cambria" w:cs="Cambria"/>
              </w:rPr>
              <w:t>4</w:t>
            </w:r>
            <w:r>
              <w:rPr>
                <w:rFonts w:ascii="Cambria" w:eastAsia="Cambria" w:hAnsi="Cambria" w:cs="Cambria"/>
              </w:rPr>
              <w:t>)</w:t>
            </w:r>
          </w:p>
        </w:tc>
        <w:tc>
          <w:tcPr>
            <w:tcW w:w="1425" w:type="dxa"/>
            <w:tcBorders>
              <w:top w:val="single" w:sz="6" w:space="0" w:color="auto"/>
              <w:left w:val="single" w:sz="6" w:space="0" w:color="auto"/>
              <w:bottom w:val="single" w:sz="6" w:space="0" w:color="auto"/>
              <w:right w:val="single" w:sz="18" w:space="0" w:color="auto"/>
            </w:tcBorders>
            <w:shd w:val="clear" w:color="auto" w:fill="92D050"/>
            <w:tcMar>
              <w:left w:w="108" w:type="dxa"/>
              <w:right w:w="108" w:type="dxa"/>
            </w:tcMar>
          </w:tcPr>
          <w:p w14:paraId="43EC8FD6" w14:textId="77777777" w:rsidR="0095616E" w:rsidRPr="004B6198" w:rsidRDefault="0095616E" w:rsidP="008C5150">
            <w:pPr>
              <w:spacing w:before="180" w:after="180"/>
              <w:jc w:val="center"/>
            </w:pPr>
            <w:r>
              <w:rPr>
                <w:rFonts w:ascii="Cambria" w:eastAsia="Cambria" w:hAnsi="Cambria" w:cs="Cambria"/>
              </w:rPr>
              <w:t>Low</w:t>
            </w:r>
          </w:p>
        </w:tc>
        <w:tc>
          <w:tcPr>
            <w:tcW w:w="1425" w:type="dxa"/>
            <w:tcBorders>
              <w:top w:val="single" w:sz="18" w:space="0" w:color="auto"/>
              <w:left w:val="single" w:sz="18" w:space="0" w:color="auto"/>
              <w:bottom w:val="single" w:sz="18" w:space="0" w:color="auto"/>
              <w:right w:val="single" w:sz="18" w:space="0" w:color="auto"/>
            </w:tcBorders>
            <w:shd w:val="clear" w:color="auto" w:fill="FFFF00"/>
            <w:tcMar>
              <w:left w:w="108" w:type="dxa"/>
              <w:right w:w="108" w:type="dxa"/>
            </w:tcMar>
          </w:tcPr>
          <w:p w14:paraId="6556CCBF" w14:textId="77777777" w:rsidR="0095616E" w:rsidRPr="00287778" w:rsidRDefault="0095616E" w:rsidP="008C5150">
            <w:pPr>
              <w:spacing w:before="180" w:after="180"/>
              <w:jc w:val="center"/>
              <w:rPr>
                <w:b/>
                <w:bCs/>
              </w:rPr>
            </w:pPr>
            <w:r w:rsidRPr="00287778">
              <w:rPr>
                <w:rFonts w:ascii="Cambria" w:eastAsia="Cambria" w:hAnsi="Cambria" w:cs="Cambria"/>
                <w:b/>
                <w:bCs/>
              </w:rPr>
              <w:t>Medium</w:t>
            </w:r>
          </w:p>
        </w:tc>
        <w:tc>
          <w:tcPr>
            <w:tcW w:w="1470" w:type="dxa"/>
            <w:tcBorders>
              <w:top w:val="single" w:sz="18" w:space="0" w:color="auto"/>
              <w:left w:val="single" w:sz="18" w:space="0" w:color="auto"/>
              <w:bottom w:val="single" w:sz="4" w:space="0" w:color="auto"/>
              <w:right w:val="single" w:sz="4" w:space="0" w:color="auto"/>
            </w:tcBorders>
            <w:shd w:val="clear" w:color="auto" w:fill="FF0000"/>
            <w:tcMar>
              <w:left w:w="108" w:type="dxa"/>
              <w:right w:w="108" w:type="dxa"/>
            </w:tcMar>
          </w:tcPr>
          <w:p w14:paraId="4DF9AA94" w14:textId="77777777" w:rsidR="0095616E" w:rsidRPr="004B6198" w:rsidRDefault="0095616E" w:rsidP="008C5150">
            <w:pPr>
              <w:spacing w:before="180" w:after="180"/>
              <w:jc w:val="center"/>
            </w:pPr>
            <w:r>
              <w:rPr>
                <w:rFonts w:ascii="Cambria" w:eastAsia="Cambria" w:hAnsi="Cambria" w:cs="Cambria"/>
              </w:rPr>
              <w:t>Severe</w:t>
            </w:r>
          </w:p>
        </w:tc>
        <w:tc>
          <w:tcPr>
            <w:tcW w:w="1470" w:type="dxa"/>
            <w:tcBorders>
              <w:top w:val="single" w:sz="4" w:space="0" w:color="auto"/>
              <w:left w:val="single" w:sz="4" w:space="0" w:color="auto"/>
              <w:bottom w:val="single" w:sz="4" w:space="0" w:color="auto"/>
              <w:right w:val="single" w:sz="4" w:space="0" w:color="auto"/>
            </w:tcBorders>
            <w:shd w:val="clear" w:color="auto" w:fill="FF0000"/>
            <w:tcMar>
              <w:left w:w="108" w:type="dxa"/>
              <w:right w:w="108" w:type="dxa"/>
            </w:tcMar>
          </w:tcPr>
          <w:p w14:paraId="7E11DEE1" w14:textId="77777777" w:rsidR="0095616E" w:rsidRPr="004B6198" w:rsidRDefault="0095616E" w:rsidP="008C5150">
            <w:pPr>
              <w:spacing w:before="180" w:after="180"/>
              <w:jc w:val="center"/>
            </w:pPr>
            <w:r>
              <w:rPr>
                <w:rFonts w:ascii="Cambria" w:eastAsia="Cambria" w:hAnsi="Cambria" w:cs="Cambria"/>
              </w:rPr>
              <w:t>Severe</w:t>
            </w:r>
          </w:p>
        </w:tc>
      </w:tr>
    </w:tbl>
    <w:p w14:paraId="45F2F7E2" w14:textId="77777777" w:rsidR="0095616E" w:rsidRDefault="0095616E" w:rsidP="0095616E">
      <w:pPr>
        <w:rPr>
          <w:b/>
          <w:bCs/>
        </w:rPr>
      </w:pPr>
    </w:p>
    <w:p w14:paraId="3F8656A8" w14:textId="77777777" w:rsidR="00DF389F" w:rsidRDefault="00DF389F" w:rsidP="0095616E">
      <w:pPr>
        <w:rPr>
          <w:b/>
          <w:bCs/>
          <w:sz w:val="28"/>
          <w:szCs w:val="28"/>
        </w:rPr>
      </w:pPr>
    </w:p>
    <w:p w14:paraId="51FA11CA" w14:textId="77777777" w:rsidR="00DF389F" w:rsidRDefault="00DF389F" w:rsidP="0095616E">
      <w:pPr>
        <w:rPr>
          <w:b/>
          <w:bCs/>
          <w:sz w:val="28"/>
          <w:szCs w:val="28"/>
        </w:rPr>
      </w:pPr>
    </w:p>
    <w:p w14:paraId="7CD04325" w14:textId="1FB731B1" w:rsidR="0095616E" w:rsidRPr="0095616E" w:rsidRDefault="0095616E" w:rsidP="0095616E">
      <w:pPr>
        <w:rPr>
          <w:b/>
          <w:bCs/>
          <w:sz w:val="28"/>
          <w:szCs w:val="28"/>
        </w:rPr>
      </w:pPr>
      <w:r w:rsidRPr="0095616E">
        <w:rPr>
          <w:b/>
          <w:bCs/>
          <w:sz w:val="28"/>
          <w:szCs w:val="28"/>
        </w:rPr>
        <w:t>Ecological Assessment</w:t>
      </w:r>
    </w:p>
    <w:tbl>
      <w:tblPr>
        <w:tblStyle w:val="TableGrid"/>
        <w:tblW w:w="0" w:type="auto"/>
        <w:tblLook w:val="04A0" w:firstRow="1" w:lastRow="0" w:firstColumn="1" w:lastColumn="0" w:noHBand="0" w:noVBand="1"/>
      </w:tblPr>
      <w:tblGrid>
        <w:gridCol w:w="1339"/>
        <w:gridCol w:w="7677"/>
      </w:tblGrid>
      <w:tr w:rsidR="0095616E" w14:paraId="0E87EF0E" w14:textId="77777777" w:rsidTr="0095616E">
        <w:trPr>
          <w:cnfStyle w:val="100000000000" w:firstRow="1" w:lastRow="0" w:firstColumn="0" w:lastColumn="0" w:oddVBand="0" w:evenVBand="0" w:oddHBand="0" w:evenHBand="0" w:firstRowFirstColumn="0" w:firstRowLastColumn="0" w:lastRowFirstColumn="0" w:lastRowLastColumn="0"/>
          <w:trHeight w:val="300"/>
        </w:trPr>
        <w:tc>
          <w:tcPr>
            <w:tcW w:w="1342" w:type="dxa"/>
          </w:tcPr>
          <w:p w14:paraId="276A3073" w14:textId="77777777" w:rsidR="0095616E" w:rsidRPr="0095616E" w:rsidRDefault="0095616E" w:rsidP="008C5150">
            <w:pPr>
              <w:pStyle w:val="Compact"/>
              <w:rPr>
                <w:rFonts w:asciiTheme="majorHAnsi" w:hAnsiTheme="majorHAnsi" w:cstheme="majorHAnsi"/>
              </w:rPr>
            </w:pPr>
            <w:r w:rsidRPr="0095616E">
              <w:rPr>
                <w:rFonts w:asciiTheme="majorHAnsi" w:hAnsiTheme="majorHAnsi" w:cstheme="majorHAnsi"/>
              </w:rPr>
              <w:t>Category</w:t>
            </w:r>
          </w:p>
        </w:tc>
        <w:tc>
          <w:tcPr>
            <w:tcW w:w="8008" w:type="dxa"/>
          </w:tcPr>
          <w:p w14:paraId="2FD16121" w14:textId="77777777" w:rsidR="0095616E" w:rsidRPr="0095616E" w:rsidRDefault="0095616E" w:rsidP="008C5150">
            <w:pPr>
              <w:pStyle w:val="Compact"/>
              <w:rPr>
                <w:rFonts w:asciiTheme="majorHAnsi" w:hAnsiTheme="majorHAnsi" w:cstheme="majorHAnsi"/>
              </w:rPr>
            </w:pPr>
            <w:r w:rsidRPr="0095616E">
              <w:rPr>
                <w:rFonts w:asciiTheme="majorHAnsi" w:hAnsiTheme="majorHAnsi" w:cstheme="majorHAnsi"/>
              </w:rPr>
              <w:t>Line of Evidence</w:t>
            </w:r>
          </w:p>
        </w:tc>
      </w:tr>
      <w:tr w:rsidR="0095616E" w14:paraId="2DEB41FE" w14:textId="77777777" w:rsidTr="008C5150">
        <w:trPr>
          <w:trHeight w:val="300"/>
        </w:trPr>
        <w:tc>
          <w:tcPr>
            <w:tcW w:w="1342" w:type="dxa"/>
          </w:tcPr>
          <w:p w14:paraId="0FEAAB2E" w14:textId="77777777" w:rsidR="0095616E" w:rsidRPr="0095616E" w:rsidRDefault="0095616E" w:rsidP="008C5150">
            <w:pPr>
              <w:pStyle w:val="Compact"/>
              <w:spacing w:line="259" w:lineRule="auto"/>
              <w:rPr>
                <w:rFonts w:asciiTheme="majorHAnsi" w:hAnsiTheme="majorHAnsi" w:cstheme="majorHAnsi"/>
              </w:rPr>
            </w:pPr>
            <w:r w:rsidRPr="0095616E">
              <w:rPr>
                <w:rFonts w:asciiTheme="majorHAnsi" w:hAnsiTheme="majorHAnsi" w:cstheme="majorHAnsi"/>
              </w:rPr>
              <w:t>Retained Species</w:t>
            </w:r>
          </w:p>
        </w:tc>
        <w:tc>
          <w:tcPr>
            <w:tcW w:w="8008" w:type="dxa"/>
          </w:tcPr>
          <w:p w14:paraId="38B5B4F1" w14:textId="77777777" w:rsidR="0095616E" w:rsidRPr="0095616E" w:rsidRDefault="0095616E" w:rsidP="008C5150">
            <w:pPr>
              <w:pStyle w:val="Compact"/>
              <w:rPr>
                <w:rFonts w:asciiTheme="majorHAnsi" w:hAnsiTheme="majorHAnsi" w:cstheme="majorHAnsi"/>
              </w:rPr>
            </w:pPr>
            <w:r w:rsidRPr="0095616E">
              <w:rPr>
                <w:rFonts w:asciiTheme="majorHAnsi" w:hAnsiTheme="majorHAnsi" w:cstheme="majorHAnsi"/>
              </w:rPr>
              <w:t>There were no other species retained by the AIMWTMF in 2023. Retention of species other than scallops in this fishery is typically &lt; 2 t resulting in the combined weight of retained species being &lt; 1 % of scallop catch in a year. The species typically retained by the AIMWTMF other than scallops are Velvet and Western King Prawns.</w:t>
            </w:r>
          </w:p>
        </w:tc>
      </w:tr>
      <w:tr w:rsidR="0095616E" w14:paraId="1089C0A7" w14:textId="77777777" w:rsidTr="0095616E">
        <w:trPr>
          <w:trHeight w:val="300"/>
        </w:trPr>
        <w:tc>
          <w:tcPr>
            <w:tcW w:w="9350" w:type="dxa"/>
            <w:gridSpan w:val="2"/>
            <w:shd w:val="clear" w:color="auto" w:fill="D3F5FF" w:themeFill="accent1" w:themeFillTint="1A"/>
          </w:tcPr>
          <w:p w14:paraId="354F68D8" w14:textId="77777777" w:rsidR="0095616E" w:rsidRPr="0095616E" w:rsidRDefault="0095616E" w:rsidP="008C5150">
            <w:pPr>
              <w:pStyle w:val="Compact"/>
              <w:rPr>
                <w:rFonts w:asciiTheme="majorHAnsi" w:hAnsiTheme="majorHAnsi" w:cstheme="majorHAnsi"/>
                <w:b/>
                <w:bCs/>
                <w:u w:val="single"/>
              </w:rPr>
            </w:pPr>
            <w:r w:rsidRPr="0095616E">
              <w:rPr>
                <w:rFonts w:asciiTheme="majorHAnsi" w:hAnsiTheme="majorHAnsi" w:cstheme="majorHAnsi"/>
                <w:b/>
                <w:bCs/>
                <w:u w:val="single"/>
              </w:rPr>
              <w:t>Retained Species Assessment </w:t>
            </w:r>
          </w:p>
          <w:p w14:paraId="4275E974" w14:textId="77777777" w:rsidR="0095616E" w:rsidRPr="0095616E" w:rsidRDefault="0095616E" w:rsidP="00972AC9">
            <w:pPr>
              <w:pStyle w:val="Compact"/>
              <w:numPr>
                <w:ilvl w:val="0"/>
                <w:numId w:val="24"/>
              </w:numPr>
              <w:rPr>
                <w:rFonts w:asciiTheme="majorHAnsi" w:hAnsiTheme="majorHAnsi" w:cstheme="majorHAnsi"/>
              </w:rPr>
            </w:pPr>
            <w:r w:rsidRPr="0095616E">
              <w:rPr>
                <w:rFonts w:asciiTheme="majorHAnsi" w:hAnsiTheme="majorHAnsi" w:cstheme="majorHAnsi"/>
              </w:rPr>
              <w:t>There was no other retained species in 2023</w:t>
            </w:r>
          </w:p>
          <w:p w14:paraId="4089EFD1" w14:textId="77777777" w:rsidR="0095616E" w:rsidRPr="0095616E" w:rsidRDefault="0095616E" w:rsidP="00972AC9">
            <w:pPr>
              <w:pStyle w:val="Compact"/>
              <w:numPr>
                <w:ilvl w:val="0"/>
                <w:numId w:val="24"/>
              </w:numPr>
              <w:rPr>
                <w:rFonts w:asciiTheme="majorHAnsi" w:hAnsiTheme="majorHAnsi" w:cstheme="majorHAnsi"/>
              </w:rPr>
            </w:pPr>
            <w:r w:rsidRPr="0095616E">
              <w:rPr>
                <w:rFonts w:asciiTheme="majorHAnsi" w:hAnsiTheme="majorHAnsi" w:cstheme="majorHAnsi"/>
              </w:rPr>
              <w:t>Retained species retention is typically low</w:t>
            </w:r>
          </w:p>
          <w:p w14:paraId="06C1F541" w14:textId="77777777" w:rsidR="0095616E" w:rsidRPr="0095616E" w:rsidRDefault="0095616E" w:rsidP="00972AC9">
            <w:pPr>
              <w:pStyle w:val="Compact"/>
              <w:numPr>
                <w:ilvl w:val="0"/>
                <w:numId w:val="24"/>
              </w:numPr>
              <w:rPr>
                <w:rFonts w:asciiTheme="majorHAnsi" w:hAnsiTheme="majorHAnsi" w:cstheme="majorHAnsi"/>
              </w:rPr>
            </w:pPr>
            <w:r w:rsidRPr="0095616E">
              <w:rPr>
                <w:rFonts w:asciiTheme="majorHAnsi" w:hAnsiTheme="majorHAnsi" w:cstheme="majorHAnsi"/>
              </w:rPr>
              <w:t>Previous Ecological Risk Assessments (ERA; Stoklosa 2019) scored other retained species (bugs) as Negligible Risk</w:t>
            </w:r>
          </w:p>
          <w:p w14:paraId="59EA674C" w14:textId="77777777" w:rsidR="0095616E" w:rsidRPr="0095616E" w:rsidRDefault="0095616E" w:rsidP="008C5150">
            <w:pPr>
              <w:pStyle w:val="Compact"/>
              <w:rPr>
                <w:rFonts w:asciiTheme="majorHAnsi" w:hAnsiTheme="majorHAnsi" w:cstheme="majorHAnsi"/>
              </w:rPr>
            </w:pPr>
            <w:r w:rsidRPr="0095616E">
              <w:rPr>
                <w:rFonts w:asciiTheme="majorHAnsi" w:hAnsiTheme="majorHAnsi" w:cstheme="majorHAnsi"/>
                <w:b/>
                <w:bCs/>
              </w:rPr>
              <w:t xml:space="preserve">The risk of fishing on other retained species is </w:t>
            </w:r>
            <w:r w:rsidRPr="0095616E">
              <w:rPr>
                <w:rFonts w:asciiTheme="majorHAnsi" w:hAnsiTheme="majorHAnsi" w:cstheme="majorHAnsi"/>
                <w:b/>
                <w:bCs/>
                <w:color w:val="6B211B" w:themeColor="accent5"/>
              </w:rPr>
              <w:t>NEGLIGIBLE</w:t>
            </w:r>
          </w:p>
        </w:tc>
      </w:tr>
      <w:tr w:rsidR="0095616E" w14:paraId="18898F58" w14:textId="77777777" w:rsidTr="008C5150">
        <w:trPr>
          <w:trHeight w:val="300"/>
        </w:trPr>
        <w:tc>
          <w:tcPr>
            <w:tcW w:w="1342" w:type="dxa"/>
          </w:tcPr>
          <w:p w14:paraId="0FB08BAE" w14:textId="77777777" w:rsidR="0095616E" w:rsidRPr="0095616E" w:rsidRDefault="0095616E" w:rsidP="008C5150">
            <w:pPr>
              <w:pStyle w:val="Compact"/>
              <w:spacing w:line="259" w:lineRule="auto"/>
              <w:rPr>
                <w:rFonts w:asciiTheme="majorHAnsi" w:hAnsiTheme="majorHAnsi" w:cstheme="majorHAnsi"/>
              </w:rPr>
            </w:pPr>
            <w:r w:rsidRPr="0095616E">
              <w:rPr>
                <w:rFonts w:asciiTheme="majorHAnsi" w:hAnsiTheme="majorHAnsi" w:cstheme="majorHAnsi"/>
              </w:rPr>
              <w:t>By-catch Species</w:t>
            </w:r>
          </w:p>
        </w:tc>
        <w:tc>
          <w:tcPr>
            <w:tcW w:w="8008" w:type="dxa"/>
          </w:tcPr>
          <w:p w14:paraId="02EB50DB" w14:textId="6F32089E" w:rsidR="0095616E" w:rsidRPr="0095616E" w:rsidRDefault="0095616E" w:rsidP="008C5150">
            <w:pPr>
              <w:pStyle w:val="Compact"/>
              <w:rPr>
                <w:rFonts w:asciiTheme="majorHAnsi" w:hAnsiTheme="majorHAnsi" w:cstheme="majorHAnsi"/>
              </w:rPr>
            </w:pPr>
            <w:r w:rsidRPr="0095616E">
              <w:rPr>
                <w:rFonts w:asciiTheme="majorHAnsi" w:hAnsiTheme="majorHAnsi" w:cstheme="majorHAnsi"/>
              </w:rPr>
              <w:t>A bycatch survey undertaken during January 2023 (</w:t>
            </w:r>
            <w:r w:rsidR="00662444">
              <w:rPr>
                <w:rFonts w:asciiTheme="majorHAnsi" w:hAnsiTheme="majorHAnsi" w:cstheme="majorHAnsi"/>
              </w:rPr>
              <w:t>Appendix 3 – MSC Recommendation 2</w:t>
            </w:r>
            <w:r w:rsidRPr="0095616E">
              <w:rPr>
                <w:rFonts w:asciiTheme="majorHAnsi" w:hAnsiTheme="majorHAnsi" w:cstheme="majorHAnsi"/>
              </w:rPr>
              <w:t>) confirmed that while the bycatch composition was diverse with 180 species, there were relatively very low quantities of each individual bycatch species (&lt;1% of total weight),</w:t>
            </w:r>
            <w:r w:rsidRPr="0095616E">
              <w:rPr>
                <w:rFonts w:asciiTheme="majorHAnsi" w:hAnsiTheme="majorHAnsi" w:cstheme="majorHAnsi"/>
                <w:lang w:val="en-US"/>
              </w:rPr>
              <w:t xml:space="preserve"> which equates to an annual </w:t>
            </w:r>
            <w:r w:rsidRPr="0095616E">
              <w:rPr>
                <w:rFonts w:asciiTheme="majorHAnsi" w:eastAsia="Times New Roman" w:hAnsiTheme="majorHAnsi" w:cstheme="majorHAnsi"/>
              </w:rPr>
              <w:t>AIMWTMF</w:t>
            </w:r>
            <w:r w:rsidRPr="0095616E">
              <w:rPr>
                <w:rFonts w:asciiTheme="majorHAnsi" w:hAnsiTheme="majorHAnsi" w:cstheme="majorHAnsi"/>
                <w:lang w:val="en-US"/>
              </w:rPr>
              <w:t xml:space="preserve"> catch of &lt;5 t per bycatch species (typically &lt;3 t).  </w:t>
            </w:r>
            <w:r w:rsidRPr="0095616E">
              <w:rPr>
                <w:rFonts w:asciiTheme="majorHAnsi" w:hAnsiTheme="majorHAnsi" w:cstheme="majorHAnsi"/>
              </w:rPr>
              <w:t xml:space="preserve">Bycatch reduction devices, slower trawl speeds and larger mesh size all reduce the quantum of bycatch (DPIRD 2020b). </w:t>
            </w:r>
            <w:r w:rsidRPr="0095616E">
              <w:rPr>
                <w:rFonts w:asciiTheme="majorHAnsi" w:hAnsiTheme="majorHAnsi" w:cstheme="majorHAnsi"/>
                <w:lang w:val="en-US"/>
              </w:rPr>
              <w:t xml:space="preserve">Such quantities are expected to have negligible / low impacts on the breeding stock of each species. </w:t>
            </w:r>
          </w:p>
        </w:tc>
      </w:tr>
      <w:tr w:rsidR="0095616E" w14:paraId="2973DBB3" w14:textId="77777777" w:rsidTr="0095616E">
        <w:trPr>
          <w:trHeight w:val="300"/>
        </w:trPr>
        <w:tc>
          <w:tcPr>
            <w:tcW w:w="9350" w:type="dxa"/>
            <w:gridSpan w:val="2"/>
            <w:shd w:val="clear" w:color="auto" w:fill="D3F5FF" w:themeFill="accent1" w:themeFillTint="1A"/>
          </w:tcPr>
          <w:p w14:paraId="704CD5C5" w14:textId="77777777" w:rsidR="0095616E" w:rsidRPr="0095616E" w:rsidRDefault="0095616E" w:rsidP="008C5150">
            <w:pPr>
              <w:pStyle w:val="Compact"/>
              <w:rPr>
                <w:rFonts w:asciiTheme="majorHAnsi" w:hAnsiTheme="majorHAnsi" w:cstheme="majorHAnsi"/>
              </w:rPr>
            </w:pPr>
            <w:r w:rsidRPr="0095616E">
              <w:rPr>
                <w:rFonts w:asciiTheme="majorHAnsi" w:hAnsiTheme="majorHAnsi" w:cstheme="majorHAnsi"/>
                <w:b/>
                <w:bCs/>
                <w:u w:val="single"/>
              </w:rPr>
              <w:t>By-catch Species Assessment</w:t>
            </w:r>
            <w:r w:rsidRPr="0095616E">
              <w:rPr>
                <w:rFonts w:asciiTheme="majorHAnsi" w:hAnsiTheme="majorHAnsi" w:cstheme="majorHAnsi"/>
              </w:rPr>
              <w:t>  </w:t>
            </w:r>
          </w:p>
          <w:p w14:paraId="4EB1DD41" w14:textId="77777777" w:rsidR="0095616E" w:rsidRPr="0095616E" w:rsidRDefault="0095616E" w:rsidP="00972AC9">
            <w:pPr>
              <w:pStyle w:val="Compact"/>
              <w:numPr>
                <w:ilvl w:val="0"/>
                <w:numId w:val="25"/>
              </w:numPr>
              <w:rPr>
                <w:rFonts w:asciiTheme="majorHAnsi" w:hAnsiTheme="majorHAnsi" w:cstheme="majorHAnsi"/>
              </w:rPr>
            </w:pPr>
            <w:r w:rsidRPr="0095616E">
              <w:rPr>
                <w:rFonts w:asciiTheme="majorHAnsi" w:hAnsiTheme="majorHAnsi" w:cstheme="majorHAnsi"/>
              </w:rPr>
              <w:t>Recent sampling confirmed a diverse, yet minimal by weight bycatch from the fishery</w:t>
            </w:r>
          </w:p>
          <w:p w14:paraId="1881D5AA" w14:textId="77777777" w:rsidR="0095616E" w:rsidRPr="0095616E" w:rsidRDefault="0095616E" w:rsidP="00972AC9">
            <w:pPr>
              <w:pStyle w:val="Compact"/>
              <w:numPr>
                <w:ilvl w:val="0"/>
                <w:numId w:val="25"/>
              </w:numPr>
              <w:rPr>
                <w:rFonts w:asciiTheme="majorHAnsi" w:hAnsiTheme="majorHAnsi" w:cstheme="majorHAnsi"/>
              </w:rPr>
            </w:pPr>
            <w:r w:rsidRPr="0095616E">
              <w:rPr>
                <w:rFonts w:asciiTheme="majorHAnsi" w:hAnsiTheme="majorHAnsi" w:cstheme="majorHAnsi"/>
              </w:rPr>
              <w:t>Previous ERA (Stoklosa 2019) scored bycatch as Negligible Risk</w:t>
            </w:r>
          </w:p>
          <w:p w14:paraId="47EEA66F" w14:textId="77777777" w:rsidR="0095616E" w:rsidRPr="0095616E" w:rsidRDefault="0095616E" w:rsidP="008C5150">
            <w:pPr>
              <w:pStyle w:val="Compact"/>
              <w:spacing w:line="259" w:lineRule="auto"/>
              <w:rPr>
                <w:rFonts w:asciiTheme="majorHAnsi" w:hAnsiTheme="majorHAnsi" w:cstheme="majorHAnsi"/>
                <w:b/>
                <w:bCs/>
              </w:rPr>
            </w:pPr>
            <w:r w:rsidRPr="0095616E">
              <w:rPr>
                <w:rFonts w:asciiTheme="majorHAnsi" w:hAnsiTheme="majorHAnsi" w:cstheme="majorHAnsi"/>
                <w:b/>
                <w:bCs/>
              </w:rPr>
              <w:t xml:space="preserve">The risk of fishing on bycatch species is </w:t>
            </w:r>
            <w:r w:rsidRPr="0095616E">
              <w:rPr>
                <w:rFonts w:asciiTheme="majorHAnsi" w:hAnsiTheme="majorHAnsi" w:cstheme="majorHAnsi"/>
                <w:b/>
                <w:bCs/>
                <w:color w:val="6B211B" w:themeColor="accent5"/>
              </w:rPr>
              <w:t>NEGLIGIBLE</w:t>
            </w:r>
          </w:p>
        </w:tc>
      </w:tr>
      <w:tr w:rsidR="0095616E" w14:paraId="67781D54" w14:textId="77777777" w:rsidTr="008C5150">
        <w:trPr>
          <w:trHeight w:val="300"/>
        </w:trPr>
        <w:tc>
          <w:tcPr>
            <w:tcW w:w="1342" w:type="dxa"/>
          </w:tcPr>
          <w:p w14:paraId="5CC020AA" w14:textId="77777777" w:rsidR="0095616E" w:rsidRPr="0095616E" w:rsidRDefault="0095616E" w:rsidP="008C5150">
            <w:pPr>
              <w:pStyle w:val="Compact"/>
              <w:spacing w:line="259" w:lineRule="auto"/>
              <w:rPr>
                <w:rFonts w:asciiTheme="majorHAnsi" w:hAnsiTheme="majorHAnsi" w:cstheme="majorHAnsi"/>
              </w:rPr>
            </w:pPr>
            <w:r w:rsidRPr="0095616E">
              <w:rPr>
                <w:rFonts w:asciiTheme="majorHAnsi" w:hAnsiTheme="majorHAnsi" w:cstheme="majorHAnsi"/>
              </w:rPr>
              <w:t>ETP Species</w:t>
            </w:r>
          </w:p>
          <w:p w14:paraId="51B21444" w14:textId="77777777" w:rsidR="0095616E" w:rsidRPr="0095616E" w:rsidRDefault="0095616E" w:rsidP="008C5150">
            <w:pPr>
              <w:pStyle w:val="Compact"/>
              <w:rPr>
                <w:rFonts w:asciiTheme="majorHAnsi" w:hAnsiTheme="majorHAnsi" w:cstheme="majorHAnsi"/>
              </w:rPr>
            </w:pPr>
          </w:p>
        </w:tc>
        <w:tc>
          <w:tcPr>
            <w:tcW w:w="8008" w:type="dxa"/>
          </w:tcPr>
          <w:p w14:paraId="37C04DDE" w14:textId="77777777" w:rsidR="0095616E" w:rsidRPr="0095616E" w:rsidRDefault="0095616E" w:rsidP="008C5150">
            <w:pPr>
              <w:pStyle w:val="Compact"/>
              <w:rPr>
                <w:rFonts w:asciiTheme="majorHAnsi" w:hAnsiTheme="majorHAnsi" w:cstheme="majorHAnsi"/>
              </w:rPr>
            </w:pPr>
            <w:r w:rsidRPr="0095616E">
              <w:rPr>
                <w:rFonts w:asciiTheme="majorHAnsi" w:hAnsiTheme="majorHAnsi" w:cstheme="majorHAnsi"/>
              </w:rPr>
              <w:t>While turtles do occur in the Abrolhos Islands, these species are towards the southern extent of their range, and do not breed in the Abrolhos Islands area because water temperatures are generally too low. Consequently, interactions with turtles were always minimal, and with grids compulsory in the fishery, their capture should be eliminated. Few other protected species occur in this area. In 2023 only one interaction was reported in the AIMWTMF when an alive sea snake was captured and subsequently released.</w:t>
            </w:r>
          </w:p>
        </w:tc>
      </w:tr>
      <w:tr w:rsidR="0095616E" w14:paraId="1BE7E26F" w14:textId="77777777" w:rsidTr="0095616E">
        <w:trPr>
          <w:trHeight w:val="300"/>
        </w:trPr>
        <w:tc>
          <w:tcPr>
            <w:tcW w:w="9350" w:type="dxa"/>
            <w:gridSpan w:val="2"/>
            <w:shd w:val="clear" w:color="auto" w:fill="D3F5FF" w:themeFill="accent1" w:themeFillTint="1A"/>
          </w:tcPr>
          <w:p w14:paraId="060A1E00" w14:textId="77777777" w:rsidR="0095616E" w:rsidRPr="0095616E" w:rsidRDefault="0095616E" w:rsidP="008C5150">
            <w:pPr>
              <w:pStyle w:val="Compact"/>
              <w:rPr>
                <w:rFonts w:asciiTheme="majorHAnsi" w:hAnsiTheme="majorHAnsi" w:cstheme="majorHAnsi"/>
                <w:b/>
                <w:bCs/>
                <w:u w:val="single"/>
              </w:rPr>
            </w:pPr>
            <w:r w:rsidRPr="0095616E">
              <w:rPr>
                <w:rFonts w:asciiTheme="majorHAnsi" w:hAnsiTheme="majorHAnsi" w:cstheme="majorHAnsi"/>
                <w:b/>
                <w:bCs/>
                <w:u w:val="single"/>
              </w:rPr>
              <w:t>Endangered, Threatened and Protected (ETP) Species Assessment </w:t>
            </w:r>
          </w:p>
          <w:p w14:paraId="4D2D8A7D" w14:textId="77777777" w:rsidR="0095616E" w:rsidRPr="0095616E" w:rsidRDefault="0095616E" w:rsidP="00972AC9">
            <w:pPr>
              <w:pStyle w:val="Compact"/>
              <w:numPr>
                <w:ilvl w:val="0"/>
                <w:numId w:val="25"/>
              </w:numPr>
              <w:rPr>
                <w:rFonts w:asciiTheme="majorHAnsi" w:hAnsiTheme="majorHAnsi" w:cstheme="majorHAnsi"/>
              </w:rPr>
            </w:pPr>
            <w:r w:rsidRPr="0095616E">
              <w:rPr>
                <w:rFonts w:asciiTheme="majorHAnsi" w:hAnsiTheme="majorHAnsi" w:cstheme="majorHAnsi"/>
              </w:rPr>
              <w:t>Only one sea snake was captured</w:t>
            </w:r>
          </w:p>
          <w:p w14:paraId="6726C8DB" w14:textId="77777777" w:rsidR="0095616E" w:rsidRPr="0095616E" w:rsidRDefault="0095616E" w:rsidP="00972AC9">
            <w:pPr>
              <w:pStyle w:val="Compact"/>
              <w:numPr>
                <w:ilvl w:val="0"/>
                <w:numId w:val="25"/>
              </w:numPr>
              <w:rPr>
                <w:rFonts w:asciiTheme="majorHAnsi" w:hAnsiTheme="majorHAnsi" w:cstheme="majorHAnsi"/>
              </w:rPr>
            </w:pPr>
            <w:r w:rsidRPr="0095616E">
              <w:rPr>
                <w:rFonts w:asciiTheme="majorHAnsi" w:hAnsiTheme="majorHAnsi" w:cstheme="majorHAnsi"/>
              </w:rPr>
              <w:t>Previous ERA (Stoklosa 2019) scored ETP interactions as Negligible Risk</w:t>
            </w:r>
          </w:p>
          <w:p w14:paraId="55F46587" w14:textId="77777777" w:rsidR="0095616E" w:rsidRPr="0095616E" w:rsidRDefault="0095616E" w:rsidP="008C5150">
            <w:pPr>
              <w:pStyle w:val="Compact"/>
              <w:rPr>
                <w:rFonts w:asciiTheme="majorHAnsi" w:hAnsiTheme="majorHAnsi" w:cstheme="majorHAnsi"/>
                <w:b/>
                <w:bCs/>
              </w:rPr>
            </w:pPr>
            <w:r w:rsidRPr="0095616E">
              <w:rPr>
                <w:rFonts w:asciiTheme="majorHAnsi" w:hAnsiTheme="majorHAnsi" w:cstheme="majorHAnsi"/>
                <w:b/>
                <w:bCs/>
              </w:rPr>
              <w:t xml:space="preserve">The risk of fishing on ETP species is </w:t>
            </w:r>
            <w:r w:rsidRPr="0095616E">
              <w:rPr>
                <w:rFonts w:asciiTheme="majorHAnsi" w:hAnsiTheme="majorHAnsi" w:cstheme="majorHAnsi"/>
                <w:b/>
                <w:bCs/>
                <w:color w:val="6B211B" w:themeColor="accent5"/>
              </w:rPr>
              <w:t>NEGLIGIBLE</w:t>
            </w:r>
          </w:p>
        </w:tc>
      </w:tr>
      <w:tr w:rsidR="0095616E" w14:paraId="63CB51CB" w14:textId="77777777" w:rsidTr="008C5150">
        <w:trPr>
          <w:trHeight w:val="300"/>
        </w:trPr>
        <w:tc>
          <w:tcPr>
            <w:tcW w:w="1342" w:type="dxa"/>
          </w:tcPr>
          <w:p w14:paraId="29E66F80" w14:textId="77777777" w:rsidR="0095616E" w:rsidRPr="0095616E" w:rsidRDefault="0095616E" w:rsidP="008C5150">
            <w:pPr>
              <w:pStyle w:val="Compact"/>
              <w:rPr>
                <w:rFonts w:asciiTheme="majorHAnsi" w:hAnsiTheme="majorHAnsi" w:cstheme="majorHAnsi"/>
              </w:rPr>
            </w:pPr>
            <w:r w:rsidRPr="0095616E">
              <w:rPr>
                <w:rFonts w:asciiTheme="majorHAnsi" w:hAnsiTheme="majorHAnsi" w:cstheme="majorHAnsi"/>
              </w:rPr>
              <w:lastRenderedPageBreak/>
              <w:t>Habitat</w:t>
            </w:r>
          </w:p>
        </w:tc>
        <w:tc>
          <w:tcPr>
            <w:tcW w:w="8008" w:type="dxa"/>
          </w:tcPr>
          <w:p w14:paraId="08505DAA" w14:textId="77777777" w:rsidR="0095616E" w:rsidRPr="0095616E" w:rsidRDefault="0095616E" w:rsidP="008C5150">
            <w:pPr>
              <w:pStyle w:val="Compact"/>
              <w:rPr>
                <w:rFonts w:asciiTheme="majorHAnsi" w:hAnsiTheme="majorHAnsi" w:cstheme="majorHAnsi"/>
              </w:rPr>
            </w:pPr>
            <w:r w:rsidRPr="0095616E">
              <w:rPr>
                <w:rFonts w:asciiTheme="majorHAnsi" w:hAnsiTheme="majorHAnsi" w:cstheme="majorHAnsi"/>
              </w:rPr>
              <w:t>The areas associated with scallops are primarily sandy habitats and trawling activity does not impact these significantly. The area fished is relatively low, on average ~4.3 % of the total area per year between 2001 and 2020 and cumulatively ~16 % of the total for 2010 to 2020. Where habitat data is available within the Abrolhos Fish Habitat Protection Area (FHPA), it confirms AIMWTMF fishing also occurs primarily on sandy substrate</w:t>
            </w:r>
          </w:p>
          <w:p w14:paraId="0E260646" w14:textId="77777777" w:rsidR="0095616E" w:rsidRPr="0095616E" w:rsidRDefault="0095616E" w:rsidP="008C5150">
            <w:pPr>
              <w:pStyle w:val="Compact"/>
              <w:rPr>
                <w:rFonts w:asciiTheme="majorHAnsi" w:hAnsiTheme="majorHAnsi" w:cstheme="majorHAnsi"/>
              </w:rPr>
            </w:pPr>
            <w:r w:rsidRPr="0095616E">
              <w:rPr>
                <w:rFonts w:asciiTheme="majorHAnsi" w:hAnsiTheme="majorHAnsi" w:cstheme="majorHAnsi"/>
              </w:rPr>
              <w:t xml:space="preserve">An assessment of the area trawled during 2023 and its potential impact on the habitat is provided in Appendix 4. </w:t>
            </w:r>
          </w:p>
        </w:tc>
      </w:tr>
      <w:tr w:rsidR="0095616E" w14:paraId="061D752A" w14:textId="77777777" w:rsidTr="0095616E">
        <w:trPr>
          <w:trHeight w:val="300"/>
        </w:trPr>
        <w:tc>
          <w:tcPr>
            <w:tcW w:w="9350" w:type="dxa"/>
            <w:gridSpan w:val="2"/>
            <w:shd w:val="clear" w:color="auto" w:fill="D3F5FF" w:themeFill="accent1" w:themeFillTint="1A"/>
          </w:tcPr>
          <w:p w14:paraId="0A0DB297" w14:textId="77777777" w:rsidR="0095616E" w:rsidRPr="0095616E" w:rsidRDefault="0095616E" w:rsidP="008C5150">
            <w:pPr>
              <w:pStyle w:val="Compact"/>
              <w:rPr>
                <w:rFonts w:asciiTheme="majorHAnsi" w:hAnsiTheme="majorHAnsi" w:cstheme="majorHAnsi"/>
                <w:b/>
                <w:bCs/>
                <w:u w:val="single"/>
              </w:rPr>
            </w:pPr>
            <w:r w:rsidRPr="0095616E">
              <w:rPr>
                <w:rFonts w:asciiTheme="majorHAnsi" w:hAnsiTheme="majorHAnsi" w:cstheme="majorHAnsi"/>
                <w:b/>
                <w:bCs/>
                <w:u w:val="single"/>
              </w:rPr>
              <w:t>Habitat Assessment </w:t>
            </w:r>
          </w:p>
          <w:p w14:paraId="4A88F62A" w14:textId="77777777" w:rsidR="0095616E" w:rsidRPr="0095616E" w:rsidRDefault="0095616E" w:rsidP="00972AC9">
            <w:pPr>
              <w:pStyle w:val="Compact"/>
              <w:numPr>
                <w:ilvl w:val="0"/>
                <w:numId w:val="25"/>
              </w:numPr>
              <w:rPr>
                <w:rFonts w:asciiTheme="majorHAnsi" w:hAnsiTheme="majorHAnsi" w:cstheme="majorHAnsi"/>
              </w:rPr>
            </w:pPr>
            <w:r w:rsidRPr="0095616E">
              <w:rPr>
                <w:rFonts w:asciiTheme="majorHAnsi" w:hAnsiTheme="majorHAnsi" w:cstheme="majorHAnsi"/>
              </w:rPr>
              <w:t>Previous ERA (Stoklosa 2019) scored habitat interactions as Negligible risk for all habitats except for sand which was scored as a Low risk</w:t>
            </w:r>
          </w:p>
          <w:p w14:paraId="035882A7" w14:textId="77777777" w:rsidR="0095616E" w:rsidRPr="0095616E" w:rsidRDefault="0095616E" w:rsidP="00972AC9">
            <w:pPr>
              <w:pStyle w:val="Compact"/>
              <w:numPr>
                <w:ilvl w:val="0"/>
                <w:numId w:val="25"/>
              </w:numPr>
              <w:rPr>
                <w:rFonts w:asciiTheme="majorHAnsi" w:hAnsiTheme="majorHAnsi" w:cstheme="majorHAnsi"/>
              </w:rPr>
            </w:pPr>
            <w:r w:rsidRPr="0095616E">
              <w:rPr>
                <w:rFonts w:asciiTheme="majorHAnsi" w:hAnsiTheme="majorHAnsi" w:cstheme="majorHAnsi"/>
              </w:rPr>
              <w:t>The extent of the area fished in 2023 was 4.4 % of the whole fishery</w:t>
            </w:r>
          </w:p>
          <w:p w14:paraId="7598E887" w14:textId="77777777" w:rsidR="0095616E" w:rsidRPr="0095616E" w:rsidRDefault="0095616E" w:rsidP="008C5150">
            <w:pPr>
              <w:pStyle w:val="Compact"/>
              <w:rPr>
                <w:rFonts w:asciiTheme="majorHAnsi" w:hAnsiTheme="majorHAnsi" w:cstheme="majorHAnsi"/>
                <w:b/>
                <w:bCs/>
              </w:rPr>
            </w:pPr>
            <w:r w:rsidRPr="0095616E">
              <w:rPr>
                <w:rFonts w:asciiTheme="majorHAnsi" w:hAnsiTheme="majorHAnsi" w:cstheme="majorHAnsi"/>
                <w:b/>
                <w:bCs/>
              </w:rPr>
              <w:t xml:space="preserve">The risk of fishing on habitats is </w:t>
            </w:r>
            <w:r w:rsidRPr="0095616E">
              <w:rPr>
                <w:rFonts w:asciiTheme="majorHAnsi" w:hAnsiTheme="majorHAnsi" w:cstheme="majorHAnsi"/>
                <w:b/>
                <w:bCs/>
                <w:color w:val="21574C" w:themeColor="accent3"/>
              </w:rPr>
              <w:t>LOW</w:t>
            </w:r>
          </w:p>
        </w:tc>
      </w:tr>
      <w:tr w:rsidR="0095616E" w14:paraId="2672879A" w14:textId="77777777" w:rsidTr="008C5150">
        <w:trPr>
          <w:trHeight w:val="300"/>
        </w:trPr>
        <w:tc>
          <w:tcPr>
            <w:tcW w:w="1342" w:type="dxa"/>
          </w:tcPr>
          <w:p w14:paraId="332471F3" w14:textId="77777777" w:rsidR="0095616E" w:rsidRPr="0095616E" w:rsidRDefault="0095616E" w:rsidP="008C5150">
            <w:pPr>
              <w:pStyle w:val="Compact"/>
              <w:rPr>
                <w:rFonts w:asciiTheme="majorHAnsi" w:hAnsiTheme="majorHAnsi" w:cstheme="majorHAnsi"/>
              </w:rPr>
            </w:pPr>
            <w:r w:rsidRPr="0095616E">
              <w:rPr>
                <w:rFonts w:asciiTheme="majorHAnsi" w:hAnsiTheme="majorHAnsi" w:cstheme="majorHAnsi"/>
              </w:rPr>
              <w:t>Ecosystem</w:t>
            </w:r>
          </w:p>
        </w:tc>
        <w:tc>
          <w:tcPr>
            <w:tcW w:w="8008" w:type="dxa"/>
          </w:tcPr>
          <w:p w14:paraId="183438C4" w14:textId="77777777" w:rsidR="0095616E" w:rsidRPr="0095616E" w:rsidRDefault="0095616E" w:rsidP="008C5150">
            <w:pPr>
              <w:pStyle w:val="Compact"/>
              <w:rPr>
                <w:rFonts w:asciiTheme="majorHAnsi" w:hAnsiTheme="majorHAnsi" w:cstheme="majorHAnsi"/>
              </w:rPr>
            </w:pPr>
            <w:r w:rsidRPr="0095616E">
              <w:rPr>
                <w:rFonts w:asciiTheme="majorHAnsi" w:hAnsiTheme="majorHAnsi" w:cstheme="majorHAnsi"/>
              </w:rPr>
              <w:t>The total biomass taken by this fishery is generally small. Moreover, due to the high natural variability of scallop stock abundance it is unlikely that any predators are highly dependent on this species.  The ERA determined food chain effects to be negligible (DPIRD 2020b).</w:t>
            </w:r>
          </w:p>
        </w:tc>
      </w:tr>
      <w:tr w:rsidR="0095616E" w14:paraId="07EE2530" w14:textId="77777777" w:rsidTr="0095616E">
        <w:trPr>
          <w:trHeight w:val="300"/>
        </w:trPr>
        <w:tc>
          <w:tcPr>
            <w:tcW w:w="9350" w:type="dxa"/>
            <w:gridSpan w:val="2"/>
            <w:shd w:val="clear" w:color="auto" w:fill="D3F5FF" w:themeFill="accent1" w:themeFillTint="1A"/>
          </w:tcPr>
          <w:p w14:paraId="12C8F4F7" w14:textId="77777777" w:rsidR="0095616E" w:rsidRPr="0095616E" w:rsidRDefault="0095616E" w:rsidP="008C5150">
            <w:pPr>
              <w:pStyle w:val="Compact"/>
              <w:rPr>
                <w:rFonts w:asciiTheme="majorHAnsi" w:hAnsiTheme="majorHAnsi" w:cstheme="majorHAnsi"/>
                <w:b/>
                <w:bCs/>
                <w:u w:val="single"/>
              </w:rPr>
            </w:pPr>
            <w:r w:rsidRPr="0095616E">
              <w:rPr>
                <w:rFonts w:asciiTheme="majorHAnsi" w:hAnsiTheme="majorHAnsi" w:cstheme="majorHAnsi"/>
                <w:b/>
                <w:bCs/>
                <w:u w:val="single"/>
              </w:rPr>
              <w:t>Ecosystem Assessment </w:t>
            </w:r>
          </w:p>
          <w:p w14:paraId="426A6F4A" w14:textId="77777777" w:rsidR="0095616E" w:rsidRPr="0095616E" w:rsidRDefault="0095616E" w:rsidP="00972AC9">
            <w:pPr>
              <w:pStyle w:val="Compact"/>
              <w:numPr>
                <w:ilvl w:val="0"/>
                <w:numId w:val="25"/>
              </w:numPr>
              <w:rPr>
                <w:rFonts w:asciiTheme="majorHAnsi" w:hAnsiTheme="majorHAnsi" w:cstheme="majorHAnsi"/>
              </w:rPr>
            </w:pPr>
            <w:r w:rsidRPr="0095616E">
              <w:rPr>
                <w:rFonts w:asciiTheme="majorHAnsi" w:hAnsiTheme="majorHAnsi" w:cstheme="majorHAnsi"/>
              </w:rPr>
              <w:t xml:space="preserve">Previous ERA (Stoklosa 2019) scored impacts on the ecosystem structure as Negligible risk </w:t>
            </w:r>
          </w:p>
          <w:p w14:paraId="083C2F45" w14:textId="77777777" w:rsidR="0095616E" w:rsidRPr="0095616E" w:rsidRDefault="0095616E" w:rsidP="008C5150">
            <w:pPr>
              <w:pStyle w:val="Compact"/>
              <w:rPr>
                <w:rFonts w:asciiTheme="majorHAnsi" w:hAnsiTheme="majorHAnsi" w:cstheme="majorHAnsi"/>
                <w:b/>
                <w:bCs/>
              </w:rPr>
            </w:pPr>
            <w:r w:rsidRPr="0095616E">
              <w:rPr>
                <w:rFonts w:asciiTheme="majorHAnsi" w:hAnsiTheme="majorHAnsi" w:cstheme="majorHAnsi"/>
                <w:b/>
                <w:bCs/>
              </w:rPr>
              <w:t xml:space="preserve">The risk of fishing on habitats is </w:t>
            </w:r>
            <w:r w:rsidRPr="0095616E">
              <w:rPr>
                <w:rFonts w:asciiTheme="majorHAnsi" w:hAnsiTheme="majorHAnsi" w:cstheme="majorHAnsi"/>
                <w:b/>
                <w:bCs/>
                <w:color w:val="6B211B" w:themeColor="accent5"/>
              </w:rPr>
              <w:t>NEGLIGIBLE</w:t>
            </w:r>
          </w:p>
        </w:tc>
      </w:tr>
      <w:tr w:rsidR="0095616E" w14:paraId="0D5C8EDD" w14:textId="77777777" w:rsidTr="0095616E">
        <w:trPr>
          <w:trHeight w:val="300"/>
        </w:trPr>
        <w:tc>
          <w:tcPr>
            <w:tcW w:w="9350" w:type="dxa"/>
            <w:gridSpan w:val="2"/>
            <w:shd w:val="clear" w:color="auto" w:fill="auto"/>
          </w:tcPr>
          <w:p w14:paraId="561561FA" w14:textId="77777777" w:rsidR="0095616E" w:rsidRPr="0095616E" w:rsidRDefault="0095616E" w:rsidP="008C5150">
            <w:pPr>
              <w:pStyle w:val="Compact"/>
              <w:rPr>
                <w:rFonts w:asciiTheme="majorHAnsi" w:hAnsiTheme="majorHAnsi" w:cstheme="majorHAnsi"/>
              </w:rPr>
            </w:pPr>
            <w:r w:rsidRPr="0095616E">
              <w:rPr>
                <w:rStyle w:val="BodyTextChar"/>
                <w:rFonts w:asciiTheme="majorHAnsi" w:hAnsiTheme="majorHAnsi" w:cstheme="majorHAnsi"/>
                <w:b/>
                <w:bCs/>
              </w:rPr>
              <w:t xml:space="preserve">Ecosystem Effects of Fishing Risk </w:t>
            </w:r>
            <w:proofErr w:type="gramStart"/>
            <w:r w:rsidRPr="0095616E">
              <w:rPr>
                <w:rStyle w:val="BodyTextChar"/>
                <w:rFonts w:asciiTheme="majorHAnsi" w:hAnsiTheme="majorHAnsi" w:cstheme="majorHAnsi"/>
                <w:b/>
                <w:bCs/>
              </w:rPr>
              <w:t>Assessment :</w:t>
            </w:r>
            <w:proofErr w:type="gramEnd"/>
            <w:r w:rsidRPr="0095616E">
              <w:rPr>
                <w:rFonts w:asciiTheme="majorHAnsi" w:hAnsiTheme="majorHAnsi" w:cstheme="majorHAnsi"/>
              </w:rPr>
              <w:t xml:space="preserve"> All components of the ecological assessment of scallop fishing by the AIMWTMF are either LOW or NEGLIGIBLE. These are based on current empirical data or expert-elicited risk assessments. The current operation of the fisher did not indicate any shifts which may impact the overall assessment of the ecological impact on the fishery. Therefore, the ecosystem effects of fishing by the AIWMTMF on the Resource </w:t>
            </w:r>
            <w:proofErr w:type="gramStart"/>
            <w:r w:rsidRPr="0095616E">
              <w:rPr>
                <w:rFonts w:asciiTheme="majorHAnsi" w:hAnsiTheme="majorHAnsi" w:cstheme="majorHAnsi"/>
              </w:rPr>
              <w:t>is considered to be</w:t>
            </w:r>
            <w:proofErr w:type="gramEnd"/>
            <w:r w:rsidRPr="0095616E">
              <w:rPr>
                <w:rFonts w:asciiTheme="majorHAnsi" w:hAnsiTheme="majorHAnsi" w:cstheme="majorHAnsi"/>
              </w:rPr>
              <w:t xml:space="preserve"> </w:t>
            </w:r>
            <w:r w:rsidRPr="0095616E">
              <w:rPr>
                <w:rFonts w:asciiTheme="majorHAnsi" w:hAnsiTheme="majorHAnsi" w:cstheme="majorHAnsi"/>
                <w:b/>
                <w:bCs/>
                <w:color w:val="21574C" w:themeColor="accent3"/>
              </w:rPr>
              <w:t>LOW</w:t>
            </w:r>
            <w:r w:rsidRPr="0095616E">
              <w:rPr>
                <w:rFonts w:asciiTheme="majorHAnsi" w:hAnsiTheme="majorHAnsi" w:cstheme="majorHAnsi"/>
              </w:rPr>
              <w:t xml:space="preserve">. </w:t>
            </w:r>
          </w:p>
        </w:tc>
      </w:tr>
    </w:tbl>
    <w:p w14:paraId="32E15C00" w14:textId="77777777" w:rsidR="0095616E" w:rsidRDefault="0095616E" w:rsidP="0095616E"/>
    <w:p w14:paraId="2AEC1A1E" w14:textId="3CAB6ECB" w:rsidR="0095616E" w:rsidRPr="0095616E" w:rsidRDefault="0095616E" w:rsidP="0095616E">
      <w:pPr>
        <w:rPr>
          <w:b/>
          <w:bCs/>
          <w:sz w:val="28"/>
          <w:szCs w:val="28"/>
        </w:rPr>
      </w:pPr>
      <w:r w:rsidRPr="0095616E">
        <w:rPr>
          <w:b/>
          <w:bCs/>
          <w:sz w:val="28"/>
          <w:szCs w:val="28"/>
        </w:rPr>
        <w:t>Harvest Control Rules and Upcoming Season Advice</w:t>
      </w:r>
    </w:p>
    <w:p w14:paraId="22C9AD73" w14:textId="77777777" w:rsidR="0095616E" w:rsidRPr="0095616E" w:rsidRDefault="0095616E" w:rsidP="0095616E">
      <w:pPr>
        <w:rPr>
          <w:szCs w:val="24"/>
          <w:lang w:val="en-US"/>
        </w:rPr>
      </w:pPr>
      <w:r w:rsidRPr="0095616E">
        <w:rPr>
          <w:szCs w:val="24"/>
          <w:lang w:val="en-US"/>
        </w:rPr>
        <w:t xml:space="preserve">The AIMWTMF is currently operating under a formal harvest strategy (DPIRD 2020a). This contains pre and in-season decision rules based on performance against specific reference levels. These primarily </w:t>
      </w:r>
      <w:proofErr w:type="gramStart"/>
      <w:r w:rsidRPr="0095616E">
        <w:rPr>
          <w:szCs w:val="24"/>
          <w:lang w:val="en-US"/>
        </w:rPr>
        <w:t>include;</w:t>
      </w:r>
      <w:proofErr w:type="gramEnd"/>
      <w:r w:rsidRPr="0095616E">
        <w:rPr>
          <w:szCs w:val="24"/>
          <w:lang w:val="en-US"/>
        </w:rPr>
        <w:t xml:space="preserve"> </w:t>
      </w:r>
    </w:p>
    <w:p w14:paraId="2E0FDA3D" w14:textId="77777777" w:rsidR="0095616E" w:rsidRPr="0095616E" w:rsidRDefault="0095616E" w:rsidP="00972AC9">
      <w:pPr>
        <w:pStyle w:val="ListParagraph"/>
        <w:numPr>
          <w:ilvl w:val="0"/>
          <w:numId w:val="25"/>
        </w:numPr>
        <w:ind w:right="-358"/>
        <w:rPr>
          <w:szCs w:val="24"/>
          <w:lang w:val="en-US"/>
        </w:rPr>
      </w:pPr>
      <w:r w:rsidRPr="0095616E">
        <w:rPr>
          <w:szCs w:val="24"/>
          <w:lang w:val="en-US"/>
        </w:rPr>
        <w:t>In-season commercial daily catch rates</w:t>
      </w:r>
    </w:p>
    <w:p w14:paraId="31341840" w14:textId="77777777" w:rsidR="0095616E" w:rsidRPr="0095616E" w:rsidRDefault="0095616E" w:rsidP="00972AC9">
      <w:pPr>
        <w:pStyle w:val="ListParagraph"/>
        <w:numPr>
          <w:ilvl w:val="0"/>
          <w:numId w:val="25"/>
        </w:numPr>
        <w:rPr>
          <w:szCs w:val="24"/>
          <w:lang w:val="en-US"/>
        </w:rPr>
      </w:pPr>
      <w:r w:rsidRPr="0095616E">
        <w:rPr>
          <w:szCs w:val="24"/>
          <w:lang w:val="en-US"/>
        </w:rPr>
        <w:t>November index</w:t>
      </w:r>
    </w:p>
    <w:p w14:paraId="36930AAB" w14:textId="77777777" w:rsidR="0095616E" w:rsidRPr="0095616E" w:rsidRDefault="0095616E" w:rsidP="00972AC9">
      <w:pPr>
        <w:pStyle w:val="ListParagraph"/>
        <w:numPr>
          <w:ilvl w:val="0"/>
          <w:numId w:val="25"/>
        </w:numPr>
        <w:rPr>
          <w:szCs w:val="24"/>
          <w:lang w:val="en-US"/>
        </w:rPr>
      </w:pPr>
      <w:r w:rsidRPr="0095616E">
        <w:rPr>
          <w:szCs w:val="24"/>
          <w:lang w:val="en-US"/>
        </w:rPr>
        <w:t>February index and</w:t>
      </w:r>
    </w:p>
    <w:p w14:paraId="420D1D89" w14:textId="77777777" w:rsidR="0095616E" w:rsidRPr="0095616E" w:rsidRDefault="0095616E" w:rsidP="00972AC9">
      <w:pPr>
        <w:pStyle w:val="ListParagraph"/>
        <w:numPr>
          <w:ilvl w:val="0"/>
          <w:numId w:val="25"/>
        </w:numPr>
        <w:rPr>
          <w:szCs w:val="24"/>
          <w:lang w:val="en-US"/>
        </w:rPr>
      </w:pPr>
      <w:r w:rsidRPr="0095616E">
        <w:rPr>
          <w:szCs w:val="24"/>
          <w:lang w:val="en-US"/>
        </w:rPr>
        <w:t>February size composition</w:t>
      </w:r>
    </w:p>
    <w:p w14:paraId="0C32DB54" w14:textId="31909A70" w:rsidR="0095616E" w:rsidRPr="0095616E" w:rsidRDefault="0095616E" w:rsidP="0095616E">
      <w:pPr>
        <w:rPr>
          <w:szCs w:val="24"/>
        </w:rPr>
      </w:pPr>
      <w:r w:rsidRPr="0095616E">
        <w:rPr>
          <w:szCs w:val="24"/>
        </w:rPr>
        <w:t>The season opening date can be delayed based on the abundance of scallops from the November survey. The index from the November 2023 survey was 974 scallops / nautical mile (</w:t>
      </w:r>
      <w:proofErr w:type="spellStart"/>
      <w:r w:rsidRPr="0095616E">
        <w:rPr>
          <w:szCs w:val="24"/>
        </w:rPr>
        <w:t>sc</w:t>
      </w:r>
      <w:proofErr w:type="spellEnd"/>
      <w:r w:rsidRPr="0095616E">
        <w:rPr>
          <w:szCs w:val="24"/>
        </w:rPr>
        <w:t xml:space="preserve">/nm). This was above the threshold level of 750 </w:t>
      </w:r>
      <w:proofErr w:type="spellStart"/>
      <w:r w:rsidRPr="0095616E">
        <w:rPr>
          <w:szCs w:val="24"/>
        </w:rPr>
        <w:t>sc</w:t>
      </w:r>
      <w:proofErr w:type="spellEnd"/>
      <w:r w:rsidRPr="0095616E">
        <w:rPr>
          <w:szCs w:val="24"/>
        </w:rPr>
        <w:t>/nm (</w:t>
      </w:r>
      <w:r w:rsidR="00662444">
        <w:rPr>
          <w:rFonts w:asciiTheme="majorHAnsi" w:hAnsiTheme="majorHAnsi" w:cstheme="majorHAnsi"/>
        </w:rPr>
        <w:t>Figure 18</w:t>
      </w:r>
      <w:r w:rsidRPr="0095616E">
        <w:rPr>
          <w:szCs w:val="24"/>
        </w:rPr>
        <w:t xml:space="preserve">), </w:t>
      </w:r>
      <w:r w:rsidRPr="0095616E">
        <w:rPr>
          <w:szCs w:val="24"/>
        </w:rPr>
        <w:lastRenderedPageBreak/>
        <w:t xml:space="preserve">placing this PI in the target region. Thus, the corresponding control rule indicates </w:t>
      </w:r>
      <w:proofErr w:type="gramStart"/>
      <w:r w:rsidRPr="0095616E">
        <w:rPr>
          <w:szCs w:val="24"/>
        </w:rPr>
        <w:t>that;</w:t>
      </w:r>
      <w:proofErr w:type="gramEnd"/>
    </w:p>
    <w:p w14:paraId="1614CEBB" w14:textId="77777777" w:rsidR="0095616E" w:rsidRPr="0095616E" w:rsidRDefault="0095616E" w:rsidP="00972AC9">
      <w:pPr>
        <w:pStyle w:val="BodyText"/>
        <w:numPr>
          <w:ilvl w:val="0"/>
          <w:numId w:val="24"/>
        </w:numPr>
        <w:spacing w:before="180" w:after="180" w:line="240" w:lineRule="auto"/>
        <w:rPr>
          <w:i/>
          <w:iCs/>
          <w:szCs w:val="24"/>
        </w:rPr>
      </w:pPr>
      <w:r w:rsidRPr="0095616E">
        <w:rPr>
          <w:i/>
          <w:iCs/>
          <w:szCs w:val="24"/>
        </w:rPr>
        <w:t>The scallop fishing season for 2024 will be set to open on 1 March</w:t>
      </w:r>
    </w:p>
    <w:p w14:paraId="374B8BAA" w14:textId="41754AF0" w:rsidR="0095616E" w:rsidRPr="0095616E" w:rsidRDefault="0095616E" w:rsidP="0095616E">
      <w:pPr>
        <w:rPr>
          <w:szCs w:val="24"/>
        </w:rPr>
      </w:pPr>
      <w:r w:rsidRPr="0095616E">
        <w:rPr>
          <w:szCs w:val="24"/>
        </w:rPr>
        <w:t xml:space="preserve">However, the residual index from February 2024 survey was 727 </w:t>
      </w:r>
      <w:proofErr w:type="spellStart"/>
      <w:r w:rsidRPr="0095616E">
        <w:rPr>
          <w:szCs w:val="24"/>
        </w:rPr>
        <w:t>sc</w:t>
      </w:r>
      <w:proofErr w:type="spellEnd"/>
      <w:r w:rsidRPr="0095616E">
        <w:rPr>
          <w:szCs w:val="24"/>
        </w:rPr>
        <w:t xml:space="preserve">/nm, which is just below the threshold level of 750 </w:t>
      </w:r>
      <w:proofErr w:type="spellStart"/>
      <w:r w:rsidRPr="0095616E">
        <w:rPr>
          <w:szCs w:val="24"/>
        </w:rPr>
        <w:t>sc</w:t>
      </w:r>
      <w:proofErr w:type="spellEnd"/>
      <w:r w:rsidRPr="0095616E">
        <w:rPr>
          <w:szCs w:val="24"/>
        </w:rPr>
        <w:t>/nm (</w:t>
      </w:r>
      <w:r w:rsidR="00662444">
        <w:rPr>
          <w:rFonts w:asciiTheme="majorHAnsi" w:hAnsiTheme="majorHAnsi" w:cstheme="majorHAnsi"/>
        </w:rPr>
        <w:t>Figure 18</w:t>
      </w:r>
      <w:r w:rsidRPr="0095616E">
        <w:rPr>
          <w:szCs w:val="24"/>
        </w:rPr>
        <w:t xml:space="preserve">). The corresponding control rule subsequently indicates </w:t>
      </w:r>
      <w:proofErr w:type="gramStart"/>
      <w:r w:rsidRPr="0095616E">
        <w:rPr>
          <w:szCs w:val="24"/>
        </w:rPr>
        <w:t>that;</w:t>
      </w:r>
      <w:proofErr w:type="gramEnd"/>
      <w:r w:rsidRPr="0095616E">
        <w:rPr>
          <w:szCs w:val="24"/>
        </w:rPr>
        <w:t xml:space="preserve"> </w:t>
      </w:r>
    </w:p>
    <w:p w14:paraId="6839C748" w14:textId="77777777" w:rsidR="0095616E" w:rsidRPr="0095616E" w:rsidRDefault="0095616E" w:rsidP="00972AC9">
      <w:pPr>
        <w:pStyle w:val="BodyText"/>
        <w:numPr>
          <w:ilvl w:val="0"/>
          <w:numId w:val="24"/>
        </w:numPr>
        <w:spacing w:before="180" w:after="180" w:line="240" w:lineRule="auto"/>
        <w:rPr>
          <w:i/>
          <w:iCs/>
          <w:szCs w:val="24"/>
        </w:rPr>
      </w:pPr>
      <w:r w:rsidRPr="0095616E">
        <w:rPr>
          <w:i/>
          <w:iCs/>
          <w:szCs w:val="24"/>
        </w:rPr>
        <w:t>If either Threshold is breached, review all available information and implement precautionary management measures aimed to return the stock to the target level (e.g. delay season opening and/or implement spatial/temporal closures)</w:t>
      </w:r>
    </w:p>
    <w:p w14:paraId="0B9EFCC9" w14:textId="648D408B" w:rsidR="0095616E" w:rsidRPr="0095616E" w:rsidRDefault="0095616E" w:rsidP="0095616E">
      <w:pPr>
        <w:rPr>
          <w:szCs w:val="24"/>
        </w:rPr>
      </w:pPr>
      <w:r w:rsidRPr="0095616E">
        <w:rPr>
          <w:szCs w:val="24"/>
        </w:rPr>
        <w:t>A delay to the season opening would permit more growth of recruits to a size closer to harvestable sizes. The recruitment cohort (February 2024) is already below average levels (</w:t>
      </w:r>
      <w:r w:rsidR="00662444">
        <w:rPr>
          <w:rFonts w:asciiTheme="majorHAnsi" w:hAnsiTheme="majorHAnsi" w:cstheme="majorHAnsi"/>
        </w:rPr>
        <w:t>Figure 19</w:t>
      </w:r>
      <w:r w:rsidRPr="0095616E">
        <w:rPr>
          <w:szCs w:val="24"/>
        </w:rPr>
        <w:t xml:space="preserve">) and represents the spawning stock for 2025 recruitment. A delayed start date may also potentially lead to more of the harvestable stock from being impacted by the poor scallop quality issues. Therefore, it is more appropriate for the stock to be fished earlier in the season thus protecting future spawning stock (recruits). </w:t>
      </w:r>
      <w:proofErr w:type="gramStart"/>
      <w:r w:rsidRPr="0095616E">
        <w:rPr>
          <w:szCs w:val="24"/>
        </w:rPr>
        <w:t>Therefore;</w:t>
      </w:r>
      <w:proofErr w:type="gramEnd"/>
    </w:p>
    <w:p w14:paraId="6D546683" w14:textId="77777777" w:rsidR="0095616E" w:rsidRPr="0095616E" w:rsidRDefault="0095616E" w:rsidP="00972AC9">
      <w:pPr>
        <w:pStyle w:val="BodyText"/>
        <w:numPr>
          <w:ilvl w:val="0"/>
          <w:numId w:val="24"/>
        </w:numPr>
        <w:spacing w:before="180" w:after="180" w:line="240" w:lineRule="auto"/>
        <w:rPr>
          <w:i/>
          <w:iCs/>
          <w:szCs w:val="24"/>
        </w:rPr>
      </w:pPr>
      <w:r w:rsidRPr="0095616E">
        <w:rPr>
          <w:i/>
          <w:iCs/>
          <w:szCs w:val="24"/>
        </w:rPr>
        <w:t>The scallop fishing season for 2024 could open on 1 March</w:t>
      </w:r>
    </w:p>
    <w:p w14:paraId="59ED91F8" w14:textId="4D39A9FE" w:rsidR="0095616E" w:rsidRPr="0095616E" w:rsidRDefault="0095616E" w:rsidP="0095616E">
      <w:pPr>
        <w:rPr>
          <w:szCs w:val="24"/>
        </w:rPr>
      </w:pPr>
      <w:r w:rsidRPr="0095616E">
        <w:rPr>
          <w:szCs w:val="24"/>
        </w:rPr>
        <w:t>With this overall lower level of recruitment, consideration should be given to an earlier finish to the fishing season to ensure that the next year’s spawning stock are not accessed by the fishery. The daily catch rate threshold at 150 kg / day (</w:t>
      </w:r>
      <w:proofErr w:type="spellStart"/>
      <w:r w:rsidRPr="0095616E">
        <w:rPr>
          <w:szCs w:val="24"/>
        </w:rPr>
        <w:t>e.g</w:t>
      </w:r>
      <w:proofErr w:type="spellEnd"/>
      <w:r w:rsidRPr="0095616E">
        <w:rPr>
          <w:szCs w:val="24"/>
        </w:rPr>
        <w:t xml:space="preserve"> </w:t>
      </w:r>
      <w:r w:rsidRPr="0095616E">
        <w:rPr>
          <w:szCs w:val="24"/>
        </w:rPr>
        <w:fldChar w:fldCharType="begin"/>
      </w:r>
      <w:r w:rsidRPr="0095616E">
        <w:rPr>
          <w:szCs w:val="24"/>
        </w:rPr>
        <w:instrText xml:space="preserve"> REF _Ref157080338 \h  \* MERGEFORMAT </w:instrText>
      </w:r>
      <w:r w:rsidRPr="0095616E">
        <w:rPr>
          <w:szCs w:val="24"/>
        </w:rPr>
      </w:r>
      <w:r w:rsidRPr="0095616E">
        <w:rPr>
          <w:szCs w:val="24"/>
        </w:rPr>
        <w:fldChar w:fldCharType="separate"/>
      </w:r>
      <w:r w:rsidR="00662444" w:rsidRPr="00662444">
        <w:rPr>
          <w:rFonts w:asciiTheme="majorHAnsi" w:hAnsiTheme="majorHAnsi" w:cstheme="majorHAnsi"/>
        </w:rPr>
        <w:t xml:space="preserve"> </w:t>
      </w:r>
      <w:r w:rsidR="00662444">
        <w:rPr>
          <w:rFonts w:asciiTheme="majorHAnsi" w:hAnsiTheme="majorHAnsi" w:cstheme="majorHAnsi"/>
        </w:rPr>
        <w:t>Figure 1</w:t>
      </w:r>
      <w:r w:rsidR="0005053C">
        <w:rPr>
          <w:rFonts w:asciiTheme="majorHAnsi" w:hAnsiTheme="majorHAnsi" w:cstheme="majorHAnsi"/>
        </w:rPr>
        <w:t>3</w:t>
      </w:r>
      <w:r w:rsidR="00AB15B7">
        <w:rPr>
          <w:b/>
          <w:bCs/>
          <w:szCs w:val="24"/>
          <w:lang w:val="en-US"/>
        </w:rPr>
        <w:t>.</w:t>
      </w:r>
      <w:r w:rsidRPr="0095616E">
        <w:rPr>
          <w:szCs w:val="24"/>
        </w:rPr>
        <w:fldChar w:fldCharType="end"/>
      </w:r>
      <w:r w:rsidRPr="0095616E">
        <w:rPr>
          <w:szCs w:val="24"/>
        </w:rPr>
        <w:t xml:space="preserve">b) may lead to an earlier closure of the fishery if harvestable biomass is lower than expected. </w:t>
      </w:r>
    </w:p>
    <w:p w14:paraId="0A05C3F8" w14:textId="59AFE4CD" w:rsidR="0095616E" w:rsidRPr="0095616E" w:rsidRDefault="0095616E" w:rsidP="0095616E">
      <w:pPr>
        <w:rPr>
          <w:szCs w:val="24"/>
        </w:rPr>
      </w:pPr>
      <w:r w:rsidRPr="0095616E">
        <w:rPr>
          <w:szCs w:val="24"/>
        </w:rPr>
        <w:t xml:space="preserve">The scallop size data indicated &gt; 50% of scallops were &lt; 60 mm SH at the </w:t>
      </w:r>
      <w:proofErr w:type="spellStart"/>
      <w:r w:rsidRPr="0095616E">
        <w:rPr>
          <w:szCs w:val="24"/>
        </w:rPr>
        <w:t>Zeewijk</w:t>
      </w:r>
      <w:proofErr w:type="spellEnd"/>
      <w:r w:rsidRPr="0095616E">
        <w:rPr>
          <w:szCs w:val="24"/>
        </w:rPr>
        <w:t xml:space="preserve"> Channel fishing ground (</w:t>
      </w:r>
      <w:r w:rsidR="0005053C">
        <w:rPr>
          <w:rFonts w:asciiTheme="majorHAnsi" w:hAnsiTheme="majorHAnsi" w:cstheme="majorHAnsi"/>
        </w:rPr>
        <w:t xml:space="preserve">Table </w:t>
      </w:r>
      <w:r w:rsidR="00DF5E2E">
        <w:rPr>
          <w:rFonts w:asciiTheme="majorHAnsi" w:hAnsiTheme="majorHAnsi" w:cstheme="majorHAnsi"/>
        </w:rPr>
        <w:t>8</w:t>
      </w:r>
      <w:r w:rsidRPr="0095616E">
        <w:rPr>
          <w:szCs w:val="24"/>
        </w:rPr>
        <w:t>). These areas of high recruitment should be protected to maximise spawning success (</w:t>
      </w:r>
      <w:r w:rsidR="0005053C">
        <w:rPr>
          <w:szCs w:val="24"/>
        </w:rPr>
        <w:t>Table 10</w:t>
      </w:r>
      <w:r w:rsidRPr="0095616E">
        <w:rPr>
          <w:szCs w:val="24"/>
        </w:rPr>
        <w:t xml:space="preserve">). </w:t>
      </w:r>
    </w:p>
    <w:p w14:paraId="1A3BB1A6" w14:textId="77777777" w:rsidR="0095616E" w:rsidRPr="0095616E" w:rsidRDefault="0095616E" w:rsidP="00972AC9">
      <w:pPr>
        <w:pStyle w:val="BodyText"/>
        <w:numPr>
          <w:ilvl w:val="0"/>
          <w:numId w:val="28"/>
        </w:numPr>
        <w:spacing w:before="180" w:after="180" w:line="240" w:lineRule="auto"/>
        <w:rPr>
          <w:i/>
          <w:iCs/>
          <w:szCs w:val="24"/>
        </w:rPr>
      </w:pPr>
      <w:r w:rsidRPr="0095616E">
        <w:rPr>
          <w:i/>
          <w:iCs/>
          <w:szCs w:val="24"/>
        </w:rPr>
        <w:t xml:space="preserve">Spatial closure in the </w:t>
      </w:r>
      <w:proofErr w:type="spellStart"/>
      <w:r w:rsidRPr="0095616E">
        <w:rPr>
          <w:i/>
          <w:iCs/>
          <w:szCs w:val="24"/>
        </w:rPr>
        <w:t>Zeewijk</w:t>
      </w:r>
      <w:proofErr w:type="spellEnd"/>
      <w:r w:rsidRPr="0095616E">
        <w:rPr>
          <w:i/>
          <w:iCs/>
          <w:szCs w:val="24"/>
        </w:rPr>
        <w:t xml:space="preserve"> Channel fishing ground to protect better quality recruit abundance as a precautionary measure. Size of the closure to be determined with Industry consultation. </w:t>
      </w:r>
    </w:p>
    <w:p w14:paraId="7F1AFBC0" w14:textId="06A26A46" w:rsidR="0095616E" w:rsidRPr="0095616E" w:rsidRDefault="0095616E" w:rsidP="0095616E">
      <w:pPr>
        <w:pStyle w:val="Caption"/>
        <w:rPr>
          <w:szCs w:val="24"/>
        </w:rPr>
      </w:pPr>
      <w:r w:rsidRPr="0095616E">
        <w:rPr>
          <w:szCs w:val="24"/>
        </w:rPr>
        <w:t xml:space="preserve">Table </w:t>
      </w:r>
      <w:r w:rsidRPr="0095616E">
        <w:rPr>
          <w:szCs w:val="24"/>
        </w:rPr>
        <w:fldChar w:fldCharType="begin"/>
      </w:r>
      <w:r w:rsidRPr="0095616E">
        <w:rPr>
          <w:szCs w:val="24"/>
        </w:rPr>
        <w:instrText xml:space="preserve"> SEQ Table \* ARABIC </w:instrText>
      </w:r>
      <w:r w:rsidRPr="0095616E">
        <w:rPr>
          <w:szCs w:val="24"/>
        </w:rPr>
        <w:fldChar w:fldCharType="separate"/>
      </w:r>
      <w:r w:rsidR="00AB15B7">
        <w:rPr>
          <w:noProof/>
          <w:szCs w:val="24"/>
        </w:rPr>
        <w:t>10</w:t>
      </w:r>
      <w:r w:rsidRPr="0095616E">
        <w:rPr>
          <w:szCs w:val="24"/>
        </w:rPr>
        <w:fldChar w:fldCharType="end"/>
      </w:r>
      <w:r w:rsidRPr="0095616E">
        <w:rPr>
          <w:szCs w:val="24"/>
        </w:rPr>
        <w:t xml:space="preserve"> Sites within fishing grounds with high percentage of small (&lt; 60 mm SH) scallops and their respective percentage of small scallops.</w:t>
      </w:r>
    </w:p>
    <w:tbl>
      <w:tblPr>
        <w:tblW w:w="9608" w:type="dxa"/>
        <w:jc w:val="center"/>
        <w:tblLayout w:type="fixed"/>
        <w:tblLook w:val="0420" w:firstRow="1" w:lastRow="0" w:firstColumn="0" w:lastColumn="0" w:noHBand="0" w:noVBand="1"/>
      </w:tblPr>
      <w:tblGrid>
        <w:gridCol w:w="1925"/>
        <w:gridCol w:w="1543"/>
        <w:gridCol w:w="2994"/>
        <w:gridCol w:w="1694"/>
        <w:gridCol w:w="1452"/>
      </w:tblGrid>
      <w:tr w:rsidR="0095616E" w:rsidRPr="0095616E" w14:paraId="366D621F" w14:textId="77777777" w:rsidTr="008C5150">
        <w:trPr>
          <w:trHeight w:val="405"/>
          <w:tblHeader/>
          <w:jc w:val="center"/>
        </w:trPr>
        <w:tc>
          <w:tcPr>
            <w:tcW w:w="1925"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4938FBC5"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Fishing Grounds</w:t>
            </w:r>
          </w:p>
        </w:tc>
        <w:tc>
          <w:tcPr>
            <w:tcW w:w="1543"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2A1F9AB2"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Site Number</w:t>
            </w:r>
          </w:p>
        </w:tc>
        <w:tc>
          <w:tcPr>
            <w:tcW w:w="2994"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197E683F"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Small (&lt;60mm SH) Scallops</w:t>
            </w:r>
          </w:p>
        </w:tc>
        <w:tc>
          <w:tcPr>
            <w:tcW w:w="1694"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2171FA9A"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Total Scallops</w:t>
            </w:r>
          </w:p>
        </w:tc>
        <w:tc>
          <w:tcPr>
            <w:tcW w:w="1452"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2CA7A4E3"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Percentage</w:t>
            </w:r>
          </w:p>
        </w:tc>
      </w:tr>
      <w:tr w:rsidR="0095616E" w:rsidRPr="0095616E" w14:paraId="1A695060" w14:textId="77777777" w:rsidTr="008C5150">
        <w:trPr>
          <w:trHeight w:val="405"/>
          <w:jc w:val="center"/>
        </w:trPr>
        <w:tc>
          <w:tcPr>
            <w:tcW w:w="1925"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5A07F2"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proofErr w:type="spellStart"/>
            <w:r w:rsidRPr="0095616E">
              <w:rPr>
                <w:rFonts w:ascii="Arial" w:eastAsia="Arial" w:hAnsi="Arial" w:cs="Arial"/>
                <w:color w:val="000000"/>
                <w:szCs w:val="24"/>
              </w:rPr>
              <w:t>Zeewijk</w:t>
            </w:r>
            <w:proofErr w:type="spellEnd"/>
            <w:r w:rsidRPr="0095616E">
              <w:rPr>
                <w:rFonts w:ascii="Arial" w:eastAsia="Arial" w:hAnsi="Arial" w:cs="Arial"/>
                <w:color w:val="000000"/>
                <w:szCs w:val="24"/>
              </w:rPr>
              <w:t xml:space="preserve"> Channel</w:t>
            </w:r>
          </w:p>
        </w:tc>
        <w:tc>
          <w:tcPr>
            <w:tcW w:w="1543"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EF89BC"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AB10</w:t>
            </w:r>
          </w:p>
        </w:tc>
        <w:tc>
          <w:tcPr>
            <w:tcW w:w="2994"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83BB53"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21</w:t>
            </w:r>
          </w:p>
        </w:tc>
        <w:tc>
          <w:tcPr>
            <w:tcW w:w="1694"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B64AAD"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142</w:t>
            </w:r>
          </w:p>
        </w:tc>
        <w:tc>
          <w:tcPr>
            <w:tcW w:w="1452"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5B9B81"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15</w:t>
            </w:r>
          </w:p>
        </w:tc>
      </w:tr>
      <w:tr w:rsidR="0095616E" w:rsidRPr="0095616E" w14:paraId="54BC7160" w14:textId="77777777" w:rsidTr="008C5150">
        <w:trPr>
          <w:trHeight w:val="405"/>
          <w:jc w:val="center"/>
        </w:trPr>
        <w:tc>
          <w:tcPr>
            <w:tcW w:w="192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3D224E"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proofErr w:type="spellStart"/>
            <w:r w:rsidRPr="0095616E">
              <w:rPr>
                <w:rFonts w:ascii="Arial" w:eastAsia="Arial" w:hAnsi="Arial" w:cs="Arial"/>
                <w:color w:val="000000"/>
                <w:szCs w:val="24"/>
              </w:rPr>
              <w:t>Zeewijk</w:t>
            </w:r>
            <w:proofErr w:type="spellEnd"/>
            <w:r w:rsidRPr="0095616E">
              <w:rPr>
                <w:rFonts w:ascii="Arial" w:eastAsia="Arial" w:hAnsi="Arial" w:cs="Arial"/>
                <w:color w:val="000000"/>
                <w:szCs w:val="24"/>
              </w:rPr>
              <w:t xml:space="preserve"> Channel</w:t>
            </w:r>
          </w:p>
        </w:tc>
        <w:tc>
          <w:tcPr>
            <w:tcW w:w="154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59E35A"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AB11</w:t>
            </w:r>
          </w:p>
        </w:tc>
        <w:tc>
          <w:tcPr>
            <w:tcW w:w="299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73C572"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206</w:t>
            </w:r>
          </w:p>
        </w:tc>
        <w:tc>
          <w:tcPr>
            <w:tcW w:w="1694"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6A6068"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226</w:t>
            </w:r>
          </w:p>
        </w:tc>
        <w:tc>
          <w:tcPr>
            <w:tcW w:w="145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01663F"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91</w:t>
            </w:r>
          </w:p>
        </w:tc>
      </w:tr>
      <w:tr w:rsidR="0095616E" w:rsidRPr="0095616E" w14:paraId="66E22F1D" w14:textId="77777777" w:rsidTr="008C5150">
        <w:trPr>
          <w:trHeight w:val="405"/>
          <w:jc w:val="center"/>
        </w:trPr>
        <w:tc>
          <w:tcPr>
            <w:tcW w:w="1925"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5C565EB1"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proofErr w:type="spellStart"/>
            <w:r w:rsidRPr="0095616E">
              <w:rPr>
                <w:rFonts w:ascii="Arial" w:eastAsia="Arial" w:hAnsi="Arial" w:cs="Arial"/>
                <w:color w:val="000000"/>
                <w:szCs w:val="24"/>
              </w:rPr>
              <w:t>Zeewijk</w:t>
            </w:r>
            <w:proofErr w:type="spellEnd"/>
            <w:r w:rsidRPr="0095616E">
              <w:rPr>
                <w:rFonts w:ascii="Arial" w:eastAsia="Arial" w:hAnsi="Arial" w:cs="Arial"/>
                <w:color w:val="000000"/>
                <w:szCs w:val="24"/>
              </w:rPr>
              <w:t xml:space="preserve"> Channel</w:t>
            </w:r>
          </w:p>
        </w:tc>
        <w:tc>
          <w:tcPr>
            <w:tcW w:w="1543"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787B9EF0"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AB30</w:t>
            </w:r>
          </w:p>
        </w:tc>
        <w:tc>
          <w:tcPr>
            <w:tcW w:w="2994"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398D59F2"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121</w:t>
            </w:r>
          </w:p>
        </w:tc>
        <w:tc>
          <w:tcPr>
            <w:tcW w:w="1694"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7EC05D05"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230</w:t>
            </w:r>
          </w:p>
        </w:tc>
        <w:tc>
          <w:tcPr>
            <w:tcW w:w="1452"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34BD8D4A" w14:textId="77777777" w:rsidR="0095616E" w:rsidRPr="0095616E" w:rsidRDefault="0095616E" w:rsidP="008C5150">
            <w:pPr>
              <w:pBdr>
                <w:top w:val="none" w:sz="0" w:space="0" w:color="000000"/>
                <w:left w:val="none" w:sz="0" w:space="0" w:color="000000"/>
                <w:bottom w:val="none" w:sz="0" w:space="0" w:color="000000"/>
                <w:right w:val="none" w:sz="0" w:space="0" w:color="000000"/>
              </w:pBdr>
              <w:spacing w:before="100" w:after="100"/>
              <w:ind w:left="100" w:right="100"/>
              <w:jc w:val="center"/>
              <w:rPr>
                <w:szCs w:val="24"/>
              </w:rPr>
            </w:pPr>
            <w:r w:rsidRPr="0095616E">
              <w:rPr>
                <w:rFonts w:ascii="Arial" w:eastAsia="Arial" w:hAnsi="Arial" w:cs="Arial"/>
                <w:color w:val="000000"/>
                <w:szCs w:val="24"/>
              </w:rPr>
              <w:t>53</w:t>
            </w:r>
          </w:p>
        </w:tc>
      </w:tr>
    </w:tbl>
    <w:p w14:paraId="0E366692" w14:textId="77777777" w:rsidR="0095616E" w:rsidRPr="0095616E" w:rsidRDefault="0095616E" w:rsidP="0095616E">
      <w:pPr>
        <w:rPr>
          <w:szCs w:val="24"/>
        </w:rPr>
      </w:pPr>
    </w:p>
    <w:p w14:paraId="5809AC41" w14:textId="69BF0918" w:rsidR="0095616E" w:rsidRPr="0095616E" w:rsidRDefault="0095616E" w:rsidP="0095616E">
      <w:pPr>
        <w:rPr>
          <w:szCs w:val="24"/>
        </w:rPr>
      </w:pPr>
      <w:r w:rsidRPr="0095616E">
        <w:rPr>
          <w:szCs w:val="24"/>
        </w:rPr>
        <w:t>There is also widespread evidence of poor scallop shell condition and meat quality that is indicative of either diseased or stressed scallops and is impacting a range of sizes and fishing grounds. These scallops are likely to be subject to a higher level of natural mortality. The catch prediction for 2024 based on the November 2023 index was 94 t (</w:t>
      </w:r>
      <w:r w:rsidR="001A485A">
        <w:rPr>
          <w:rFonts w:asciiTheme="majorHAnsi" w:hAnsiTheme="majorHAnsi" w:cstheme="majorHAnsi"/>
        </w:rPr>
        <w:t>Figure 22</w:t>
      </w:r>
      <w:r w:rsidRPr="0095616E">
        <w:rPr>
          <w:szCs w:val="24"/>
        </w:rPr>
        <w:t>). However, based on the poor scallop quality and condition impacting 60-70% of the harvestable biomass, this prediction is likely an over-estimate.</w:t>
      </w:r>
    </w:p>
    <w:p w14:paraId="062222D1" w14:textId="77777777" w:rsidR="0095616E" w:rsidRPr="0095616E" w:rsidRDefault="0095616E" w:rsidP="0095616E">
      <w:pPr>
        <w:pStyle w:val="BodyText"/>
        <w:jc w:val="center"/>
        <w:rPr>
          <w:szCs w:val="24"/>
        </w:rPr>
      </w:pPr>
      <w:r w:rsidRPr="0095616E">
        <w:rPr>
          <w:noProof/>
          <w:szCs w:val="24"/>
        </w:rPr>
        <w:drawing>
          <wp:inline distT="0" distB="0" distL="0" distR="0" wp14:anchorId="2F46530C" wp14:editId="3FEFC7F9">
            <wp:extent cx="5452536" cy="3426246"/>
            <wp:effectExtent l="0" t="0" r="0" b="3175"/>
            <wp:docPr id="792313156" name="Picture 3" descr="A graph depicting the relationship between survey indices and annual landing in teh AIMWTMF, as reported in the AIMWTMF 2024 Weight of Evidence Stock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313156" name="Picture 3" descr="A graph depicting the relationship between survey indices and annual landing in teh AIMWTMF, as reported in the AIMWTMF 2024 Weight of Evidence Stock Assessment. "/>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04161" cy="3458686"/>
                    </a:xfrm>
                    <a:prstGeom prst="rect">
                      <a:avLst/>
                    </a:prstGeom>
                    <a:noFill/>
                  </pic:spPr>
                </pic:pic>
              </a:graphicData>
            </a:graphic>
          </wp:inline>
        </w:drawing>
      </w:r>
    </w:p>
    <w:p w14:paraId="669E604C" w14:textId="7D8DF5ED" w:rsidR="0095616E" w:rsidRPr="0095616E" w:rsidRDefault="0095616E" w:rsidP="0095616E">
      <w:pPr>
        <w:pStyle w:val="Caption"/>
        <w:rPr>
          <w:szCs w:val="24"/>
        </w:rPr>
      </w:pPr>
      <w:r w:rsidRPr="0095616E">
        <w:rPr>
          <w:szCs w:val="24"/>
        </w:rPr>
        <w:t xml:space="preserve">Figure </w:t>
      </w:r>
      <w:r w:rsidRPr="0095616E">
        <w:rPr>
          <w:szCs w:val="24"/>
        </w:rPr>
        <w:fldChar w:fldCharType="begin"/>
      </w:r>
      <w:r w:rsidRPr="0095616E">
        <w:rPr>
          <w:szCs w:val="24"/>
        </w:rPr>
        <w:instrText xml:space="preserve"> SEQ Figure \* ARABIC </w:instrText>
      </w:r>
      <w:r w:rsidRPr="0095616E">
        <w:rPr>
          <w:szCs w:val="24"/>
        </w:rPr>
        <w:fldChar w:fldCharType="separate"/>
      </w:r>
      <w:r w:rsidR="00AB15B7">
        <w:rPr>
          <w:noProof/>
          <w:szCs w:val="24"/>
        </w:rPr>
        <w:t>22</w:t>
      </w:r>
      <w:r w:rsidRPr="0095616E">
        <w:rPr>
          <w:szCs w:val="24"/>
        </w:rPr>
        <w:fldChar w:fldCharType="end"/>
      </w:r>
      <w:r w:rsidRPr="0095616E">
        <w:rPr>
          <w:szCs w:val="24"/>
        </w:rPr>
        <w:t xml:space="preserve"> Relationship between the November survey index (ln total scallops/nm trawled (y-1)) with the annual landings (ln catch y, t meat weight) in the following year. Years when no fishing occurred are not included in the relationship and indicated in red. The red vertical line represents the limit reference level (250 scallops/nm</w:t>
      </w:r>
      <w:proofErr w:type="gramStart"/>
      <w:r w:rsidRPr="0095616E">
        <w:rPr>
          <w:szCs w:val="24"/>
        </w:rPr>
        <w:t>)</w:t>
      </w:r>
      <w:proofErr w:type="gramEnd"/>
      <w:r w:rsidRPr="0095616E">
        <w:rPr>
          <w:szCs w:val="24"/>
        </w:rPr>
        <w:t xml:space="preserve"> and orange line represents the threshold level (750 scallops/nm). The predicted catch (point estimate) for the 2024 is indicted in green. </w:t>
      </w:r>
    </w:p>
    <w:p w14:paraId="64E14289" w14:textId="77777777" w:rsidR="0095616E" w:rsidRPr="0095616E" w:rsidRDefault="0095616E" w:rsidP="0095616E">
      <w:pPr>
        <w:rPr>
          <w:szCs w:val="24"/>
        </w:rPr>
      </w:pPr>
      <w:r w:rsidRPr="0095616E">
        <w:rPr>
          <w:szCs w:val="24"/>
        </w:rPr>
        <w:t xml:space="preserve">Ecological components impacted by the fishery (see table above) are assessed using a periodic risk assessment as the performance indicator. The habitat component has an additional PI related to extent of fishing area trawled annually. The highest identified risk was to sand habitat, which was a </w:t>
      </w:r>
      <w:r w:rsidRPr="0095616E">
        <w:rPr>
          <w:b/>
          <w:bCs/>
          <w:color w:val="184038" w:themeColor="accent3" w:themeShade="BF"/>
          <w:szCs w:val="24"/>
        </w:rPr>
        <w:t>LOW</w:t>
      </w:r>
      <w:r w:rsidRPr="0095616E">
        <w:rPr>
          <w:color w:val="184038" w:themeColor="accent3" w:themeShade="BF"/>
          <w:szCs w:val="24"/>
        </w:rPr>
        <w:t xml:space="preserve"> </w:t>
      </w:r>
      <w:r w:rsidRPr="0095616E">
        <w:rPr>
          <w:szCs w:val="24"/>
        </w:rPr>
        <w:t xml:space="preserve">risk. This is within the target region of a moderate risk or lower.  Additionally, the extent of area trawled in 2023 was 4.4 % which is below the threshold level of 20%. The corresponding control rules indicate </w:t>
      </w:r>
      <w:proofErr w:type="gramStart"/>
      <w:r w:rsidRPr="0095616E">
        <w:rPr>
          <w:szCs w:val="24"/>
        </w:rPr>
        <w:t>that;</w:t>
      </w:r>
      <w:proofErr w:type="gramEnd"/>
    </w:p>
    <w:p w14:paraId="733A91FC" w14:textId="312D95E7" w:rsidR="0095616E" w:rsidRDefault="0095616E" w:rsidP="00972AC9">
      <w:pPr>
        <w:pStyle w:val="BodyText"/>
        <w:numPr>
          <w:ilvl w:val="0"/>
          <w:numId w:val="24"/>
        </w:numPr>
        <w:spacing w:before="180" w:after="180" w:line="240" w:lineRule="auto"/>
        <w:rPr>
          <w:i/>
          <w:iCs/>
        </w:rPr>
      </w:pPr>
      <w:r w:rsidRPr="0095616E">
        <w:rPr>
          <w:i/>
          <w:iCs/>
          <w:szCs w:val="24"/>
        </w:rPr>
        <w:t>Continue management aimed at achieving ecological, economic and social</w:t>
      </w:r>
      <w:r w:rsidRPr="009C2490">
        <w:rPr>
          <w:i/>
          <w:iCs/>
        </w:rPr>
        <w:t xml:space="preserve"> objectives</w:t>
      </w:r>
    </w:p>
    <w:p w14:paraId="0E0C980D" w14:textId="77777777" w:rsidR="00DF389F" w:rsidRDefault="00DF389F" w:rsidP="0095616E">
      <w:pPr>
        <w:rPr>
          <w:b/>
          <w:bCs/>
          <w:sz w:val="28"/>
          <w:szCs w:val="28"/>
        </w:rPr>
      </w:pPr>
    </w:p>
    <w:p w14:paraId="11311BFB" w14:textId="01895EF5" w:rsidR="0095616E" w:rsidRPr="0095616E" w:rsidRDefault="0095616E" w:rsidP="0095616E">
      <w:pPr>
        <w:rPr>
          <w:b/>
          <w:bCs/>
          <w:sz w:val="28"/>
          <w:szCs w:val="28"/>
        </w:rPr>
      </w:pPr>
      <w:r w:rsidRPr="0095616E">
        <w:rPr>
          <w:b/>
          <w:bCs/>
          <w:sz w:val="28"/>
          <w:szCs w:val="28"/>
        </w:rPr>
        <w:lastRenderedPageBreak/>
        <w:t>References</w:t>
      </w:r>
    </w:p>
    <w:p w14:paraId="28FF6BEB" w14:textId="77777777" w:rsidR="0095616E" w:rsidRPr="0095616E" w:rsidRDefault="0095616E" w:rsidP="0095616E">
      <w:pPr>
        <w:pStyle w:val="BodyText"/>
        <w:rPr>
          <w:rFonts w:asciiTheme="majorHAnsi" w:hAnsiTheme="majorHAnsi" w:cstheme="majorHAnsi"/>
          <w:szCs w:val="24"/>
        </w:rPr>
      </w:pPr>
      <w:proofErr w:type="spellStart"/>
      <w:r w:rsidRPr="0095616E">
        <w:rPr>
          <w:rFonts w:asciiTheme="majorHAnsi" w:hAnsiTheme="majorHAnsi" w:cstheme="majorHAnsi" w:hint="cs"/>
          <w:szCs w:val="24"/>
        </w:rPr>
        <w:t>Chandrapavan</w:t>
      </w:r>
      <w:proofErr w:type="spellEnd"/>
      <w:r w:rsidRPr="0095616E">
        <w:rPr>
          <w:rFonts w:asciiTheme="majorHAnsi" w:hAnsiTheme="majorHAnsi" w:cstheme="majorHAnsi" w:hint="cs"/>
          <w:szCs w:val="24"/>
        </w:rPr>
        <w:t xml:space="preserve"> A, Kangas M, Caputi N</w:t>
      </w:r>
      <w:r w:rsidRPr="0095616E">
        <w:rPr>
          <w:rFonts w:asciiTheme="majorHAnsi" w:hAnsiTheme="majorHAnsi" w:cstheme="majorHAnsi"/>
          <w:szCs w:val="24"/>
        </w:rPr>
        <w:t xml:space="preserve"> (</w:t>
      </w:r>
      <w:r w:rsidRPr="0095616E">
        <w:rPr>
          <w:rFonts w:asciiTheme="majorHAnsi" w:hAnsiTheme="majorHAnsi" w:cstheme="majorHAnsi" w:hint="cs"/>
          <w:szCs w:val="24"/>
        </w:rPr>
        <w:t>2020</w:t>
      </w:r>
      <w:r w:rsidRPr="0095616E">
        <w:rPr>
          <w:rFonts w:asciiTheme="majorHAnsi" w:hAnsiTheme="majorHAnsi" w:cstheme="majorHAnsi"/>
          <w:szCs w:val="24"/>
        </w:rPr>
        <w:t>)</w:t>
      </w:r>
      <w:r w:rsidRPr="0095616E">
        <w:rPr>
          <w:rFonts w:asciiTheme="majorHAnsi" w:hAnsiTheme="majorHAnsi" w:cstheme="majorHAnsi" w:hint="cs"/>
          <w:szCs w:val="24"/>
        </w:rPr>
        <w:t>. Understanding recruitment variation (including the collapse) of Ballot’s saucer scallop stocks in Western Australia and assessing the feasibility of assisted recovery measures for improved management in a changing environment. Fisheries Research Report No. 308 Department of Primary Industries and Regional Development, Western Australia. 76pp.</w:t>
      </w:r>
    </w:p>
    <w:p w14:paraId="69DBDFE0" w14:textId="77777777" w:rsidR="0095616E" w:rsidRPr="0095616E" w:rsidRDefault="0095616E" w:rsidP="0095616E">
      <w:pPr>
        <w:pStyle w:val="BodyText"/>
        <w:rPr>
          <w:rStyle w:val="cf01"/>
          <w:rFonts w:asciiTheme="majorHAnsi" w:hAnsiTheme="majorHAnsi" w:cstheme="majorHAnsi"/>
          <w:sz w:val="24"/>
          <w:szCs w:val="24"/>
        </w:rPr>
      </w:pPr>
      <w:r w:rsidRPr="0095616E">
        <w:rPr>
          <w:rStyle w:val="cf01"/>
          <w:rFonts w:asciiTheme="majorHAnsi" w:hAnsiTheme="majorHAnsi" w:cstheme="majorHAnsi"/>
          <w:sz w:val="24"/>
          <w:szCs w:val="24"/>
        </w:rPr>
        <w:t>Department of Primary Industries and Regional Development (DPIRD) (2020a) Saucer Scallop Resource of the Abrolhos Islands Harvest Strategy 2020 - 2025 Version 1.1. Fisheries Management Paper No. 299. 35pp</w:t>
      </w:r>
    </w:p>
    <w:p w14:paraId="3328757C" w14:textId="77777777" w:rsidR="0095616E" w:rsidRPr="0095616E" w:rsidRDefault="0095616E" w:rsidP="0095616E">
      <w:pPr>
        <w:pStyle w:val="BodyText"/>
        <w:rPr>
          <w:rStyle w:val="cf01"/>
          <w:rFonts w:asciiTheme="majorHAnsi" w:hAnsiTheme="majorHAnsi" w:cstheme="majorHAnsi"/>
          <w:sz w:val="24"/>
          <w:szCs w:val="24"/>
        </w:rPr>
      </w:pPr>
      <w:r w:rsidRPr="0095616E">
        <w:rPr>
          <w:rStyle w:val="cf01"/>
          <w:rFonts w:asciiTheme="majorHAnsi" w:hAnsiTheme="majorHAnsi" w:cstheme="majorHAnsi"/>
          <w:sz w:val="24"/>
          <w:szCs w:val="24"/>
        </w:rPr>
        <w:t>Department of Primary Industries and Regional Development (DPIRD) (2020b). Western Australian Marine Stewardship Council Report Series No. 15: Ecological Risk Assessment of the Abrolhos Islands and Mid-West Trawl Managed Fishery. DPIRD, Western Australia.</w:t>
      </w:r>
    </w:p>
    <w:p w14:paraId="322FD91C" w14:textId="77777777" w:rsidR="0095616E" w:rsidRPr="0095616E" w:rsidRDefault="0095616E" w:rsidP="0095616E">
      <w:pPr>
        <w:pStyle w:val="BodyText"/>
        <w:rPr>
          <w:rStyle w:val="cf01"/>
          <w:rFonts w:asciiTheme="majorHAnsi" w:hAnsiTheme="majorHAnsi" w:cstheme="majorHAnsi"/>
          <w:sz w:val="24"/>
          <w:szCs w:val="24"/>
        </w:rPr>
      </w:pPr>
      <w:r w:rsidRPr="0095616E">
        <w:rPr>
          <w:rFonts w:asciiTheme="majorHAnsi" w:hAnsiTheme="majorHAnsi" w:cstheme="majorHAnsi"/>
          <w:szCs w:val="24"/>
        </w:rPr>
        <w:t xml:space="preserve">Oliver, E. C. J., M. G. Donat, M. T. Burrows, P. J. Moore, D. A. Smale, L. V. Alexander, J. A. Benthuysen, M. Feng, A. Sen Gupta, A. J. Hobday, N. J. Holbrook, S. E. Perkins-Kirkpatrick, H. A. Scannell, S. C. Straub and T. Wernberg (2018). Longer and more frequent marine heatwaves over the past century. Nature Communications, 9 (1324). </w:t>
      </w:r>
      <w:r w:rsidRPr="0095616E">
        <w:rPr>
          <w:rStyle w:val="cf01"/>
          <w:rFonts w:asciiTheme="majorHAnsi" w:hAnsiTheme="majorHAnsi" w:cstheme="majorHAnsi"/>
          <w:sz w:val="24"/>
          <w:szCs w:val="24"/>
        </w:rPr>
        <w:t xml:space="preserve"> </w:t>
      </w:r>
    </w:p>
    <w:p w14:paraId="652D771D" w14:textId="7CAF809B" w:rsidR="0095616E" w:rsidRDefault="0095616E" w:rsidP="0095616E">
      <w:pPr>
        <w:pStyle w:val="BodyText"/>
        <w:rPr>
          <w:rStyle w:val="cf01"/>
          <w:rFonts w:asciiTheme="majorHAnsi" w:hAnsiTheme="majorHAnsi" w:cstheme="majorHAnsi"/>
          <w:sz w:val="24"/>
          <w:szCs w:val="24"/>
        </w:rPr>
      </w:pPr>
      <w:r w:rsidRPr="0095616E">
        <w:rPr>
          <w:rStyle w:val="cf01"/>
          <w:rFonts w:asciiTheme="majorHAnsi" w:hAnsiTheme="majorHAnsi" w:cstheme="majorHAnsi"/>
          <w:sz w:val="24"/>
          <w:szCs w:val="24"/>
        </w:rPr>
        <w:t>Stoklosa, R. 2019. Ecosystem Based Fishery Management—Ecological Risk Assessment of the Abrolhos Islands and Mid-West Trawl Managed Fishery, prepared for the Department of Primary Industries and Regional Development, Fishery, Western Australia. E-Systems, Hobart.</w:t>
      </w:r>
    </w:p>
    <w:p w14:paraId="0C556417" w14:textId="77777777" w:rsidR="00DF389F" w:rsidRDefault="00DF389F" w:rsidP="0095616E">
      <w:pPr>
        <w:pStyle w:val="BodyText"/>
        <w:rPr>
          <w:rStyle w:val="cf01"/>
          <w:rFonts w:asciiTheme="majorHAnsi" w:hAnsiTheme="majorHAnsi" w:cstheme="majorHAnsi"/>
          <w:b/>
          <w:bCs/>
          <w:sz w:val="28"/>
          <w:szCs w:val="28"/>
        </w:rPr>
      </w:pPr>
    </w:p>
    <w:p w14:paraId="58E99EE8" w14:textId="77777777" w:rsidR="00DF389F" w:rsidRDefault="00DF389F" w:rsidP="0095616E">
      <w:pPr>
        <w:pStyle w:val="BodyText"/>
        <w:rPr>
          <w:rStyle w:val="cf01"/>
          <w:rFonts w:asciiTheme="majorHAnsi" w:hAnsiTheme="majorHAnsi" w:cstheme="majorHAnsi"/>
          <w:b/>
          <w:bCs/>
          <w:sz w:val="28"/>
          <w:szCs w:val="28"/>
        </w:rPr>
      </w:pPr>
    </w:p>
    <w:p w14:paraId="384536A4" w14:textId="77777777" w:rsidR="00DF389F" w:rsidRDefault="00DF389F" w:rsidP="0095616E">
      <w:pPr>
        <w:pStyle w:val="BodyText"/>
        <w:rPr>
          <w:rStyle w:val="cf01"/>
          <w:rFonts w:asciiTheme="majorHAnsi" w:hAnsiTheme="majorHAnsi" w:cstheme="majorHAnsi"/>
          <w:b/>
          <w:bCs/>
          <w:sz w:val="28"/>
          <w:szCs w:val="28"/>
        </w:rPr>
      </w:pPr>
    </w:p>
    <w:p w14:paraId="141C3BF2" w14:textId="77777777" w:rsidR="00DF389F" w:rsidRDefault="00DF389F" w:rsidP="0095616E">
      <w:pPr>
        <w:pStyle w:val="BodyText"/>
        <w:rPr>
          <w:rStyle w:val="cf01"/>
          <w:rFonts w:asciiTheme="majorHAnsi" w:hAnsiTheme="majorHAnsi" w:cstheme="majorHAnsi"/>
          <w:b/>
          <w:bCs/>
          <w:sz w:val="28"/>
          <w:szCs w:val="28"/>
        </w:rPr>
      </w:pPr>
    </w:p>
    <w:p w14:paraId="6A84B6C0" w14:textId="77777777" w:rsidR="00DF389F" w:rsidRDefault="00DF389F" w:rsidP="0095616E">
      <w:pPr>
        <w:pStyle w:val="BodyText"/>
        <w:rPr>
          <w:rStyle w:val="cf01"/>
          <w:rFonts w:asciiTheme="majorHAnsi" w:hAnsiTheme="majorHAnsi" w:cstheme="majorHAnsi"/>
          <w:b/>
          <w:bCs/>
          <w:sz w:val="28"/>
          <w:szCs w:val="28"/>
        </w:rPr>
      </w:pPr>
    </w:p>
    <w:p w14:paraId="137795F4" w14:textId="77777777" w:rsidR="00DF389F" w:rsidRDefault="00DF389F" w:rsidP="0095616E">
      <w:pPr>
        <w:pStyle w:val="BodyText"/>
        <w:rPr>
          <w:rStyle w:val="cf01"/>
          <w:rFonts w:asciiTheme="majorHAnsi" w:hAnsiTheme="majorHAnsi" w:cstheme="majorHAnsi"/>
          <w:b/>
          <w:bCs/>
          <w:sz w:val="28"/>
          <w:szCs w:val="28"/>
        </w:rPr>
      </w:pPr>
    </w:p>
    <w:p w14:paraId="0A138302" w14:textId="77777777" w:rsidR="00DF389F" w:rsidRDefault="00DF389F" w:rsidP="0095616E">
      <w:pPr>
        <w:pStyle w:val="BodyText"/>
        <w:rPr>
          <w:rStyle w:val="cf01"/>
          <w:rFonts w:asciiTheme="majorHAnsi" w:hAnsiTheme="majorHAnsi" w:cstheme="majorHAnsi"/>
          <w:b/>
          <w:bCs/>
          <w:sz w:val="28"/>
          <w:szCs w:val="28"/>
        </w:rPr>
      </w:pPr>
    </w:p>
    <w:p w14:paraId="6CB961D5" w14:textId="77777777" w:rsidR="00DF389F" w:rsidRDefault="00DF389F" w:rsidP="0095616E">
      <w:pPr>
        <w:pStyle w:val="BodyText"/>
        <w:rPr>
          <w:rStyle w:val="cf01"/>
          <w:rFonts w:asciiTheme="majorHAnsi" w:hAnsiTheme="majorHAnsi" w:cstheme="majorHAnsi"/>
          <w:b/>
          <w:bCs/>
          <w:sz w:val="28"/>
          <w:szCs w:val="28"/>
        </w:rPr>
      </w:pPr>
    </w:p>
    <w:p w14:paraId="3E2A71C2" w14:textId="77777777" w:rsidR="00DF389F" w:rsidRDefault="00DF389F" w:rsidP="0095616E">
      <w:pPr>
        <w:pStyle w:val="BodyText"/>
        <w:rPr>
          <w:rStyle w:val="cf01"/>
          <w:rFonts w:asciiTheme="majorHAnsi" w:hAnsiTheme="majorHAnsi" w:cstheme="majorHAnsi"/>
          <w:b/>
          <w:bCs/>
          <w:sz w:val="28"/>
          <w:szCs w:val="28"/>
        </w:rPr>
      </w:pPr>
    </w:p>
    <w:p w14:paraId="229D7252" w14:textId="77777777" w:rsidR="00DF389F" w:rsidRDefault="00DF389F" w:rsidP="0095616E">
      <w:pPr>
        <w:pStyle w:val="BodyText"/>
        <w:rPr>
          <w:rStyle w:val="cf01"/>
          <w:rFonts w:asciiTheme="majorHAnsi" w:hAnsiTheme="majorHAnsi" w:cstheme="majorHAnsi"/>
          <w:b/>
          <w:bCs/>
          <w:sz w:val="28"/>
          <w:szCs w:val="28"/>
        </w:rPr>
      </w:pPr>
    </w:p>
    <w:p w14:paraId="23CBD2FF" w14:textId="77777777" w:rsidR="00DF389F" w:rsidRDefault="00DF389F" w:rsidP="0095616E">
      <w:pPr>
        <w:pStyle w:val="BodyText"/>
        <w:rPr>
          <w:rStyle w:val="cf01"/>
          <w:rFonts w:asciiTheme="majorHAnsi" w:hAnsiTheme="majorHAnsi" w:cstheme="majorHAnsi"/>
          <w:b/>
          <w:bCs/>
          <w:sz w:val="28"/>
          <w:szCs w:val="28"/>
        </w:rPr>
      </w:pPr>
    </w:p>
    <w:p w14:paraId="4ECB494B" w14:textId="77777777" w:rsidR="00DF389F" w:rsidRDefault="00DF389F" w:rsidP="0095616E">
      <w:pPr>
        <w:pStyle w:val="BodyText"/>
        <w:rPr>
          <w:rStyle w:val="cf01"/>
          <w:rFonts w:asciiTheme="majorHAnsi" w:hAnsiTheme="majorHAnsi" w:cstheme="majorHAnsi"/>
          <w:b/>
          <w:bCs/>
          <w:sz w:val="28"/>
          <w:szCs w:val="28"/>
        </w:rPr>
      </w:pPr>
    </w:p>
    <w:p w14:paraId="6F31CFDE" w14:textId="77777777" w:rsidR="00DF389F" w:rsidRDefault="00DF389F" w:rsidP="0095616E">
      <w:pPr>
        <w:pStyle w:val="BodyText"/>
        <w:rPr>
          <w:rStyle w:val="cf01"/>
          <w:rFonts w:asciiTheme="majorHAnsi" w:hAnsiTheme="majorHAnsi" w:cstheme="majorHAnsi"/>
          <w:b/>
          <w:bCs/>
          <w:sz w:val="28"/>
          <w:szCs w:val="28"/>
        </w:rPr>
      </w:pPr>
    </w:p>
    <w:p w14:paraId="5ED76E5F" w14:textId="77777777" w:rsidR="00DF389F" w:rsidRDefault="00DF389F" w:rsidP="0095616E">
      <w:pPr>
        <w:pStyle w:val="BodyText"/>
        <w:rPr>
          <w:rStyle w:val="cf01"/>
          <w:rFonts w:asciiTheme="majorHAnsi" w:hAnsiTheme="majorHAnsi" w:cstheme="majorHAnsi"/>
          <w:b/>
          <w:bCs/>
          <w:sz w:val="28"/>
          <w:szCs w:val="28"/>
        </w:rPr>
      </w:pPr>
    </w:p>
    <w:p w14:paraId="0FD57BC2" w14:textId="77777777" w:rsidR="00DF389F" w:rsidRDefault="00DF389F" w:rsidP="0095616E">
      <w:pPr>
        <w:pStyle w:val="BodyText"/>
        <w:rPr>
          <w:rStyle w:val="cf01"/>
          <w:rFonts w:asciiTheme="majorHAnsi" w:hAnsiTheme="majorHAnsi" w:cstheme="majorHAnsi"/>
          <w:b/>
          <w:bCs/>
          <w:sz w:val="28"/>
          <w:szCs w:val="28"/>
        </w:rPr>
      </w:pPr>
    </w:p>
    <w:p w14:paraId="72A16B45" w14:textId="09B214D2" w:rsidR="00DF389F" w:rsidRDefault="00DF389F" w:rsidP="0095616E">
      <w:pPr>
        <w:pStyle w:val="BodyText"/>
        <w:rPr>
          <w:rStyle w:val="cf01"/>
          <w:rFonts w:asciiTheme="majorHAnsi" w:hAnsiTheme="majorHAnsi" w:cstheme="majorHAnsi"/>
          <w:b/>
          <w:bCs/>
          <w:sz w:val="28"/>
          <w:szCs w:val="28"/>
        </w:rPr>
      </w:pPr>
      <w:r w:rsidRPr="00DF389F">
        <w:rPr>
          <w:rStyle w:val="cf01"/>
          <w:rFonts w:asciiTheme="majorHAnsi" w:hAnsiTheme="majorHAnsi" w:cstheme="majorHAnsi"/>
          <w:b/>
          <w:bCs/>
          <w:sz w:val="28"/>
          <w:szCs w:val="28"/>
        </w:rPr>
        <w:t>Appendix 1</w:t>
      </w:r>
      <w:r>
        <w:rPr>
          <w:rStyle w:val="cf01"/>
          <w:rFonts w:asciiTheme="majorHAnsi" w:hAnsiTheme="majorHAnsi" w:cstheme="majorHAnsi"/>
          <w:b/>
          <w:bCs/>
          <w:sz w:val="28"/>
          <w:szCs w:val="28"/>
        </w:rPr>
        <w:t xml:space="preserve"> </w:t>
      </w:r>
    </w:p>
    <w:p w14:paraId="780B7ABB" w14:textId="13FCA6A1" w:rsidR="00DF389F" w:rsidRPr="00DF389F" w:rsidRDefault="00DF389F" w:rsidP="0095616E">
      <w:pPr>
        <w:pStyle w:val="BodyText"/>
        <w:rPr>
          <w:rFonts w:asciiTheme="majorHAnsi" w:hAnsiTheme="majorHAnsi" w:cstheme="majorHAnsi"/>
          <w:b/>
          <w:bCs/>
          <w:sz w:val="28"/>
          <w:szCs w:val="28"/>
        </w:rPr>
      </w:pPr>
      <w:r>
        <w:rPr>
          <w:rStyle w:val="cf01"/>
          <w:rFonts w:asciiTheme="majorHAnsi" w:hAnsiTheme="majorHAnsi" w:cstheme="majorHAnsi"/>
          <w:b/>
          <w:bCs/>
          <w:sz w:val="28"/>
          <w:szCs w:val="28"/>
        </w:rPr>
        <w:t xml:space="preserve">Boundaries of fisheries accessing the South Scallop Resource </w:t>
      </w:r>
    </w:p>
    <w:p w14:paraId="32D360CD" w14:textId="77777777" w:rsidR="00FC26E2" w:rsidRDefault="00FC26E2" w:rsidP="00FC26E2">
      <w:pPr>
        <w:pStyle w:val="NormalWeb"/>
      </w:pPr>
      <w:r>
        <w:rPr>
          <w:noProof/>
        </w:rPr>
        <w:drawing>
          <wp:inline distT="0" distB="0" distL="0" distR="0" wp14:anchorId="45C167A3" wp14:editId="3151D0A1">
            <wp:extent cx="5656521" cy="3999022"/>
            <wp:effectExtent l="0" t="0" r="1905" b="1905"/>
            <wp:docPr id="2" name="Picture 1" descr="A map of the boundaries of the AIMWTMF, as reported in the AIMWTMF 2024 Weight of Evidence Stock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map of the boundaries of the AIMWTMF, as reported in the AIMWTMF 2024 Weight of Evidence Stock Assessment. "/>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670251" cy="4008729"/>
                    </a:xfrm>
                    <a:prstGeom prst="rect">
                      <a:avLst/>
                    </a:prstGeom>
                    <a:noFill/>
                    <a:ln>
                      <a:noFill/>
                    </a:ln>
                  </pic:spPr>
                </pic:pic>
              </a:graphicData>
            </a:graphic>
          </wp:inline>
        </w:drawing>
      </w:r>
    </w:p>
    <w:p w14:paraId="72356905" w14:textId="676D4461" w:rsidR="00FC26E2" w:rsidRPr="000B7E06" w:rsidRDefault="00FC26E2" w:rsidP="00FC26E2">
      <w:pPr>
        <w:pStyle w:val="Caption"/>
      </w:pPr>
      <w:bookmarkStart w:id="105" w:name="_Ref157074843"/>
      <w:r w:rsidRPr="000B7E06">
        <w:t xml:space="preserve">Append. Fig. </w:t>
      </w:r>
      <w:r w:rsidRPr="000B7E06">
        <w:fldChar w:fldCharType="begin"/>
      </w:r>
      <w:r w:rsidRPr="000B7E06">
        <w:instrText xml:space="preserve"> SEQ Append._Fig. \* ARABIC </w:instrText>
      </w:r>
      <w:r w:rsidRPr="000B7E06">
        <w:fldChar w:fldCharType="separate"/>
      </w:r>
      <w:r w:rsidR="00AB15B7">
        <w:rPr>
          <w:noProof/>
        </w:rPr>
        <w:t>1</w:t>
      </w:r>
      <w:r w:rsidRPr="000B7E06">
        <w:fldChar w:fldCharType="end"/>
      </w:r>
      <w:bookmarkEnd w:id="105"/>
      <w:r w:rsidRPr="000B7E06">
        <w:t xml:space="preserve"> Boundaries of the Abrolhos Islands Mid-West Trawl Managed Fishery</w:t>
      </w:r>
    </w:p>
    <w:p w14:paraId="060AC8C6" w14:textId="77777777" w:rsidR="00FC26E2" w:rsidRDefault="00FC26E2" w:rsidP="00FC26E2">
      <w:r>
        <w:br w:type="page"/>
      </w:r>
    </w:p>
    <w:p w14:paraId="66C51364" w14:textId="77777777" w:rsidR="00FC26E2" w:rsidRDefault="00FC26E2" w:rsidP="00FC26E2">
      <w:pPr>
        <w:pStyle w:val="BodyText"/>
      </w:pPr>
      <w:r>
        <w:rPr>
          <w:noProof/>
        </w:rPr>
        <w:lastRenderedPageBreak/>
        <w:drawing>
          <wp:inline distT="0" distB="0" distL="0" distR="0" wp14:anchorId="69477AE4" wp14:editId="6EB69EC3">
            <wp:extent cx="5731510" cy="8107045"/>
            <wp:effectExtent l="0" t="0" r="2540" b="8255"/>
            <wp:docPr id="829916583" name="Picture 1" descr="A map of the location of the scallop sampling sites within the AIMWTMF fishing grounds, as reported in the AIMWTMF 2024 Weight of Evidence Stock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916583" name="Picture 1" descr="A map of the location of the scallop sampling sites within the AIMWTMF fishing grounds, as reported in the AIMWTMF 2024 Weight of Evidence Stock Assessment. "/>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3185DDC3" w14:textId="3B0406F9" w:rsidR="00FC26E2" w:rsidRPr="00A6057C" w:rsidRDefault="00FC26E2" w:rsidP="00FC26E2">
      <w:pPr>
        <w:pStyle w:val="Caption"/>
      </w:pPr>
      <w:r>
        <w:t xml:space="preserve">Append. Fig. </w:t>
      </w:r>
      <w:r>
        <w:fldChar w:fldCharType="begin"/>
      </w:r>
      <w:r>
        <w:instrText xml:space="preserve"> SEQ Append._Fig. \* ARABIC </w:instrText>
      </w:r>
      <w:r>
        <w:fldChar w:fldCharType="separate"/>
      </w:r>
      <w:r w:rsidR="00AB15B7">
        <w:rPr>
          <w:noProof/>
        </w:rPr>
        <w:t>2</w:t>
      </w:r>
      <w:r>
        <w:fldChar w:fldCharType="end"/>
      </w:r>
      <w:r>
        <w:t xml:space="preserve"> Location of standard and additional sampling sites (numbered boxes) within the fishing grounds at the Abrolhos Islands for the AIMWTMF</w:t>
      </w:r>
    </w:p>
    <w:p w14:paraId="659E5911" w14:textId="568AF4BE" w:rsidR="00DF389F" w:rsidRPr="00DF389F" w:rsidRDefault="00DF389F" w:rsidP="00DF389F">
      <w:pPr>
        <w:rPr>
          <w:b/>
          <w:bCs/>
          <w:sz w:val="28"/>
          <w:szCs w:val="24"/>
        </w:rPr>
      </w:pPr>
      <w:r w:rsidRPr="00DF389F">
        <w:rPr>
          <w:b/>
          <w:bCs/>
          <w:sz w:val="28"/>
          <w:szCs w:val="24"/>
        </w:rPr>
        <w:lastRenderedPageBreak/>
        <w:t>Appendix 2</w:t>
      </w:r>
    </w:p>
    <w:p w14:paraId="3396EB8F" w14:textId="0AAF2E9F" w:rsidR="00DF389F" w:rsidRPr="00DF389F" w:rsidRDefault="00DF389F" w:rsidP="00DF389F">
      <w:pPr>
        <w:rPr>
          <w:b/>
          <w:bCs/>
          <w:sz w:val="28"/>
          <w:szCs w:val="24"/>
        </w:rPr>
      </w:pPr>
      <w:r w:rsidRPr="00DF389F">
        <w:rPr>
          <w:b/>
          <w:bCs/>
          <w:sz w:val="28"/>
          <w:szCs w:val="24"/>
        </w:rPr>
        <w:t xml:space="preserve">MSC Recommendation 1 </w:t>
      </w:r>
    </w:p>
    <w:p w14:paraId="5039C113" w14:textId="77777777" w:rsidR="00FC26E2" w:rsidRDefault="00FC26E2" w:rsidP="00FC26E2">
      <w:pPr>
        <w:rPr>
          <w:rFonts w:ascii="ArialMT" w:hAnsi="ArialMT"/>
          <w:sz w:val="20"/>
          <w:szCs w:val="20"/>
        </w:rPr>
      </w:pPr>
      <w:r w:rsidRPr="00962B55">
        <w:rPr>
          <w:i/>
          <w:iCs/>
        </w:rPr>
        <w:t>PI 1.2.4 (c): Spawning stock-recruitment-environment analyses suggest that the November spawning index is a good predictor of future recruitment, along with water temperature. This result was achieved despite acknowledged uncertainty in the estimate of November spawning density caused by an inconsistent number of sites conducted in some early years. It is recommended to conduct a review of the November survey and its subsequent biomass measure to reduce uncertainty and to assess the appropriateness of the measure for data specific to the fishery</w:t>
      </w:r>
      <w:r w:rsidRPr="00962B55">
        <w:t>.</w:t>
      </w:r>
      <w:r w:rsidRPr="00962B55">
        <w:rPr>
          <w:rFonts w:ascii="ArialMT" w:hAnsi="ArialMT"/>
          <w:sz w:val="20"/>
          <w:szCs w:val="20"/>
        </w:rPr>
        <w:t xml:space="preserve"> </w:t>
      </w:r>
    </w:p>
    <w:p w14:paraId="52B0CDA4" w14:textId="77777777" w:rsidR="00FC26E2" w:rsidRDefault="00FC26E2" w:rsidP="00FC26E2">
      <w:r>
        <w:t>Progress Year 2</w:t>
      </w:r>
    </w:p>
    <w:p w14:paraId="63CE0151" w14:textId="77777777" w:rsidR="00FC26E2" w:rsidRDefault="00FC26E2" w:rsidP="00FC26E2">
      <w:r>
        <w:t>Current and historic survey data is being coded to ensure consistent and appropriate generation of the November index. This will then be incorporated into an updated SSR-E relationship for this component of the Resource. It is envisaged that this will be progressed for the audit in 2025.</w:t>
      </w:r>
    </w:p>
    <w:p w14:paraId="6D4DC5AF" w14:textId="40C82E1A" w:rsidR="00DF389F" w:rsidRDefault="00DF389F" w:rsidP="00FC26E2">
      <w:pPr>
        <w:pStyle w:val="BodyText"/>
        <w:rPr>
          <w:rFonts w:asciiTheme="majorHAnsi" w:hAnsiTheme="majorHAnsi" w:cstheme="majorHAnsi"/>
          <w:b/>
          <w:bCs/>
          <w:sz w:val="28"/>
          <w:szCs w:val="24"/>
        </w:rPr>
      </w:pPr>
      <w:r>
        <w:rPr>
          <w:rFonts w:asciiTheme="majorHAnsi" w:hAnsiTheme="majorHAnsi" w:cstheme="majorHAnsi"/>
          <w:b/>
          <w:bCs/>
          <w:sz w:val="28"/>
          <w:szCs w:val="24"/>
        </w:rPr>
        <w:t xml:space="preserve">Appendix 3 </w:t>
      </w:r>
    </w:p>
    <w:p w14:paraId="640B55D0" w14:textId="5965DEDE" w:rsidR="00DF389F" w:rsidRPr="00DF389F" w:rsidRDefault="00DF389F" w:rsidP="00FC26E2">
      <w:pPr>
        <w:pStyle w:val="BodyText"/>
        <w:rPr>
          <w:rFonts w:asciiTheme="majorHAnsi" w:hAnsiTheme="majorHAnsi" w:cstheme="majorHAnsi"/>
          <w:b/>
          <w:bCs/>
          <w:sz w:val="28"/>
          <w:szCs w:val="24"/>
        </w:rPr>
      </w:pPr>
      <w:r>
        <w:rPr>
          <w:rFonts w:asciiTheme="majorHAnsi" w:hAnsiTheme="majorHAnsi" w:cstheme="majorHAnsi"/>
          <w:b/>
          <w:bCs/>
          <w:sz w:val="28"/>
          <w:szCs w:val="24"/>
        </w:rPr>
        <w:t xml:space="preserve">MSC Recommendation 2 </w:t>
      </w:r>
    </w:p>
    <w:p w14:paraId="5B2EF4A2" w14:textId="7D9C3943" w:rsidR="00FC26E2" w:rsidRPr="0079331D" w:rsidRDefault="00FC26E2" w:rsidP="00FC26E2">
      <w:pPr>
        <w:pStyle w:val="BodyText"/>
        <w:rPr>
          <w:rFonts w:asciiTheme="majorHAnsi" w:hAnsiTheme="majorHAnsi" w:cstheme="majorHAnsi"/>
          <w:i/>
          <w:iCs/>
        </w:rPr>
      </w:pPr>
      <w:r w:rsidRPr="0079331D">
        <w:rPr>
          <w:rFonts w:asciiTheme="majorHAnsi" w:hAnsiTheme="majorHAnsi" w:cstheme="majorHAnsi"/>
          <w:i/>
          <w:iCs/>
        </w:rPr>
        <w:t xml:space="preserve">PI 2.1, 2.2 and 2.3 components: As indicated in the report, there is sufficient information available from sources such as logbooks and fishery-independent surveys to meet the requirements of the performance indicators at the SG80 level or above for PIs 2.1, 2.2 and 2.3. As the intention of the survey trawls is to include small “recruit (0+)” individuals, the nets used are smaller mesh (prawn nets) than typical scallop trawl gear. This will inevitably bias the bycatch data to include more and smaller animals that would ordinarily escape through the mesh of commercial scallop trawls. Hence, the data presented will reflect a wider species composition than is taken in the commercial fishing gear. In addition, the samples on which this data is based were taken during the recovery phase of this fishery (following the 2011 marine heatwave). Also, the most recent survey data available for this assessment dates to 2017. There was discussion with DPIRD during the site visit that side-by-side trials of scallop gear and prawn gear are being considered for the fishery. The assessors recommend that this would be a useful approach to provide improved information from the fishery to be considered at surveillance audits (in relation to primary, secondary and ETP species) to better address the relevant performance indicators. Alternatively, observer data from the fishery could serve the same purpose and attempts should be made to collect observer data from the fishery, especially if the abovementioned surveys are not undertaken. </w:t>
      </w:r>
    </w:p>
    <w:p w14:paraId="336BCC7C" w14:textId="77777777" w:rsidR="00FC26E2" w:rsidRPr="0079331D" w:rsidRDefault="00FC26E2" w:rsidP="00FC26E2">
      <w:pPr>
        <w:pStyle w:val="BodyText"/>
        <w:rPr>
          <w:rFonts w:asciiTheme="majorHAnsi" w:hAnsiTheme="majorHAnsi" w:cstheme="majorHAnsi"/>
        </w:rPr>
      </w:pPr>
      <w:r w:rsidRPr="0079331D">
        <w:rPr>
          <w:rFonts w:asciiTheme="majorHAnsi" w:hAnsiTheme="majorHAnsi" w:cstheme="majorHAnsi"/>
        </w:rPr>
        <w:t>Progress Year 2</w:t>
      </w:r>
    </w:p>
    <w:p w14:paraId="49907E86" w14:textId="77777777" w:rsidR="00FC26E2" w:rsidRPr="00DA739D" w:rsidRDefault="00FC26E2" w:rsidP="00FC26E2">
      <w:pPr>
        <w:pStyle w:val="BodyText"/>
        <w:rPr>
          <w:rFonts w:asciiTheme="majorHAnsi" w:hAnsiTheme="majorHAnsi" w:cstheme="majorHAnsi"/>
          <w:b/>
          <w:bCs/>
          <w:u w:val="single"/>
          <w:lang w:val="en-US"/>
        </w:rPr>
      </w:pPr>
      <w:r w:rsidRPr="00DA739D">
        <w:rPr>
          <w:rFonts w:asciiTheme="majorHAnsi" w:hAnsiTheme="majorHAnsi" w:cstheme="majorHAnsi"/>
          <w:b/>
          <w:bCs/>
          <w:u w:val="single"/>
          <w:lang w:val="en-US"/>
        </w:rPr>
        <w:t xml:space="preserve">2023 </w:t>
      </w:r>
      <w:r w:rsidRPr="00DA739D">
        <w:rPr>
          <w:rFonts w:asciiTheme="majorHAnsi" w:hAnsiTheme="majorHAnsi" w:cstheme="majorHAnsi"/>
          <w:b/>
          <w:bCs/>
          <w:u w:val="single"/>
        </w:rPr>
        <w:t xml:space="preserve">AIMWTMF </w:t>
      </w:r>
      <w:r w:rsidRPr="00DA739D">
        <w:rPr>
          <w:rFonts w:asciiTheme="majorHAnsi" w:hAnsiTheme="majorHAnsi" w:cstheme="majorHAnsi"/>
          <w:b/>
          <w:bCs/>
          <w:u w:val="single"/>
          <w:lang w:val="en-US"/>
        </w:rPr>
        <w:t>bycatch survey report</w:t>
      </w:r>
    </w:p>
    <w:p w14:paraId="4752AD7A" w14:textId="6D16E9E4" w:rsidR="00FC26E2" w:rsidRPr="003B0EE3" w:rsidRDefault="00FC26E2" w:rsidP="00FC26E2">
      <w:pPr>
        <w:pStyle w:val="BodyText"/>
        <w:rPr>
          <w:rFonts w:asciiTheme="majorHAnsi" w:hAnsiTheme="majorHAnsi" w:cstheme="majorHAnsi"/>
          <w:lang w:val="en-US"/>
        </w:rPr>
      </w:pPr>
      <w:r w:rsidRPr="0079331D">
        <w:rPr>
          <w:rFonts w:asciiTheme="majorHAnsi" w:hAnsiTheme="majorHAnsi" w:cstheme="majorHAnsi"/>
        </w:rPr>
        <w:t xml:space="preserve">A bycatch survey was completed </w:t>
      </w:r>
      <w:r>
        <w:rPr>
          <w:rFonts w:asciiTheme="majorHAnsi" w:hAnsiTheme="majorHAnsi" w:cstheme="majorHAnsi"/>
        </w:rPr>
        <w:t>during January</w:t>
      </w:r>
      <w:r w:rsidRPr="0079331D">
        <w:rPr>
          <w:rFonts w:asciiTheme="majorHAnsi" w:hAnsiTheme="majorHAnsi" w:cstheme="majorHAnsi"/>
        </w:rPr>
        <w:t xml:space="preserve"> 2023 using commercial scallop vessels with scallop gear. </w:t>
      </w:r>
      <w:r w:rsidRPr="003B0EE3">
        <w:rPr>
          <w:rFonts w:asciiTheme="majorHAnsi" w:hAnsiTheme="majorHAnsi" w:cstheme="majorHAnsi"/>
          <w:lang w:val="en-US"/>
        </w:rPr>
        <w:t>A total of 16 shots</w:t>
      </w:r>
      <w:r>
        <w:rPr>
          <w:rFonts w:asciiTheme="majorHAnsi" w:hAnsiTheme="majorHAnsi" w:cstheme="majorHAnsi"/>
          <w:lang w:val="en-US"/>
        </w:rPr>
        <w:t xml:space="preserve"> (20-minute duration)</w:t>
      </w:r>
      <w:r w:rsidRPr="003B0EE3">
        <w:rPr>
          <w:rFonts w:asciiTheme="majorHAnsi" w:hAnsiTheme="majorHAnsi" w:cstheme="majorHAnsi"/>
          <w:lang w:val="en-US"/>
        </w:rPr>
        <w:t xml:space="preserve"> were completed over a ~</w:t>
      </w:r>
      <w:proofErr w:type="gramStart"/>
      <w:r w:rsidRPr="003B0EE3">
        <w:rPr>
          <w:rFonts w:asciiTheme="majorHAnsi" w:hAnsiTheme="majorHAnsi" w:cstheme="majorHAnsi"/>
          <w:lang w:val="en-US"/>
        </w:rPr>
        <w:t>18 hour</w:t>
      </w:r>
      <w:proofErr w:type="gramEnd"/>
      <w:r w:rsidRPr="003B0EE3">
        <w:rPr>
          <w:rFonts w:asciiTheme="majorHAnsi" w:hAnsiTheme="majorHAnsi" w:cstheme="majorHAnsi"/>
          <w:lang w:val="en-US"/>
        </w:rPr>
        <w:t xml:space="preserve"> period, starting on the 30</w:t>
      </w:r>
      <w:r w:rsidRPr="003B0EE3">
        <w:rPr>
          <w:rFonts w:asciiTheme="majorHAnsi" w:hAnsiTheme="majorHAnsi" w:cstheme="majorHAnsi"/>
          <w:vertAlign w:val="superscript"/>
          <w:lang w:val="en-US"/>
        </w:rPr>
        <w:t>th</w:t>
      </w:r>
      <w:r w:rsidRPr="003B0EE3">
        <w:rPr>
          <w:rFonts w:asciiTheme="majorHAnsi" w:hAnsiTheme="majorHAnsi" w:cstheme="majorHAnsi"/>
          <w:lang w:val="en-US"/>
        </w:rPr>
        <w:t xml:space="preserve"> and ending on the 31</w:t>
      </w:r>
      <w:r w:rsidRPr="003B0EE3">
        <w:rPr>
          <w:rFonts w:asciiTheme="majorHAnsi" w:hAnsiTheme="majorHAnsi" w:cstheme="majorHAnsi"/>
          <w:vertAlign w:val="superscript"/>
          <w:lang w:val="en-US"/>
        </w:rPr>
        <w:t xml:space="preserve">st </w:t>
      </w:r>
      <w:r w:rsidRPr="003B0EE3">
        <w:rPr>
          <w:rFonts w:asciiTheme="majorHAnsi" w:hAnsiTheme="majorHAnsi" w:cstheme="majorHAnsi"/>
          <w:lang w:val="en-US"/>
        </w:rPr>
        <w:t xml:space="preserve">of January 2023 </w:t>
      </w:r>
      <w:r w:rsidRPr="003B0EE3">
        <w:rPr>
          <w:rFonts w:asciiTheme="majorHAnsi" w:hAnsiTheme="majorHAnsi" w:cstheme="majorHAnsi"/>
          <w:lang w:val="en-US"/>
        </w:rPr>
        <w:lastRenderedPageBreak/>
        <w:t>(</w:t>
      </w:r>
      <w:r>
        <w:rPr>
          <w:rFonts w:asciiTheme="majorHAnsi" w:hAnsiTheme="majorHAnsi" w:cstheme="majorHAnsi"/>
          <w:lang w:val="en-US"/>
        </w:rPr>
        <w:t>Append.</w:t>
      </w:r>
      <w:r w:rsidR="00DA739D">
        <w:rPr>
          <w:rFonts w:asciiTheme="majorHAnsi" w:hAnsiTheme="majorHAnsi" w:cstheme="majorHAnsi"/>
          <w:lang w:val="en-US"/>
        </w:rPr>
        <w:t xml:space="preserve"> </w:t>
      </w:r>
      <w:r w:rsidRPr="003B0EE3">
        <w:rPr>
          <w:rFonts w:asciiTheme="majorHAnsi" w:hAnsiTheme="majorHAnsi" w:cstheme="majorHAnsi"/>
          <w:lang w:val="en-US"/>
        </w:rPr>
        <w:t xml:space="preserve">Table 1).  After each shot, the contents of the starboard and port side nets were brought onboard and processed separately.  All scallop species were identified, counted and weighed (to nearest gram, shell on). The remainder of the catch was grouped into broad taxonomic categories (e.g. </w:t>
      </w:r>
      <w:r>
        <w:rPr>
          <w:rFonts w:asciiTheme="majorHAnsi" w:hAnsiTheme="majorHAnsi" w:cstheme="majorHAnsi"/>
          <w:lang w:val="en-US"/>
        </w:rPr>
        <w:t>“Decapoda”</w:t>
      </w:r>
      <w:r w:rsidRPr="003B0EE3">
        <w:rPr>
          <w:rFonts w:asciiTheme="majorHAnsi" w:hAnsiTheme="majorHAnsi" w:cstheme="majorHAnsi"/>
          <w:lang w:val="en-US"/>
        </w:rPr>
        <w:t>) and the number of organisms in each group and their total weight (to nearest gram) was recorded.</w:t>
      </w:r>
    </w:p>
    <w:p w14:paraId="49D5F025" w14:textId="77777777" w:rsidR="00FC26E2" w:rsidRPr="003B0EE3" w:rsidRDefault="00FC26E2" w:rsidP="00FC26E2">
      <w:pPr>
        <w:pStyle w:val="BodyText"/>
        <w:rPr>
          <w:rFonts w:asciiTheme="majorHAnsi" w:hAnsiTheme="majorHAnsi" w:cstheme="majorHAnsi"/>
          <w:lang w:val="en-US"/>
        </w:rPr>
      </w:pPr>
      <w:r w:rsidRPr="003B0EE3">
        <w:rPr>
          <w:rFonts w:asciiTheme="majorHAnsi" w:hAnsiTheme="majorHAnsi" w:cstheme="majorHAnsi"/>
          <w:lang w:val="en-US"/>
        </w:rPr>
        <w:t>For port side catches, all organisms were identified to lowest possible taxon (typically species), counted and weighed.  Scallops and larger-bodied organisms were processed onboard.  The remainder of the catch was retained, frozen in boxes and later processed in the laboratory.</w:t>
      </w:r>
      <w:r>
        <w:rPr>
          <w:rFonts w:asciiTheme="majorHAnsi" w:hAnsiTheme="majorHAnsi" w:cstheme="majorHAnsi"/>
          <w:lang w:val="en-US"/>
        </w:rPr>
        <w:t xml:space="preserve"> </w:t>
      </w:r>
      <w:r w:rsidRPr="003B0EE3">
        <w:rPr>
          <w:rFonts w:asciiTheme="majorHAnsi" w:hAnsiTheme="majorHAnsi" w:cstheme="majorHAnsi"/>
          <w:lang w:val="en-US"/>
        </w:rPr>
        <w:t xml:space="preserve">Estimated total catch (or bycatch) weights in the </w:t>
      </w:r>
      <w:r w:rsidRPr="003B0EE3">
        <w:rPr>
          <w:rFonts w:asciiTheme="majorHAnsi" w:hAnsiTheme="majorHAnsi" w:cstheme="majorHAnsi"/>
        </w:rPr>
        <w:t xml:space="preserve">AIMWTMF </w:t>
      </w:r>
      <w:r w:rsidRPr="003B0EE3">
        <w:rPr>
          <w:rFonts w:asciiTheme="majorHAnsi" w:hAnsiTheme="majorHAnsi" w:cstheme="majorHAnsi"/>
          <w:lang w:val="en-US"/>
        </w:rPr>
        <w:t>in 2023 were estimated from the average catch rate (kg/trawl hour) during the survey multiplied by the annual effort (i.e., 4332 trawl hours) reported by the fishery in 2023. In this survey, catch weights for scallops refer to whole scallops, prior to shell removal and processing.</w:t>
      </w:r>
    </w:p>
    <w:p w14:paraId="2F6A9894" w14:textId="175A46C4" w:rsidR="00FC26E2" w:rsidRPr="006B43C0" w:rsidRDefault="00FC26E2" w:rsidP="00FC26E2">
      <w:pPr>
        <w:rPr>
          <w:i/>
          <w:iCs/>
          <w:lang w:val="en-US"/>
        </w:rPr>
      </w:pPr>
      <w:r w:rsidRPr="006B43C0">
        <w:rPr>
          <w:b/>
          <w:bCs/>
          <w:i/>
          <w:iCs/>
          <w:lang w:val="en-US"/>
        </w:rPr>
        <w:t>Append.</w:t>
      </w:r>
      <w:r w:rsidR="00DA739D" w:rsidRPr="006B43C0">
        <w:rPr>
          <w:b/>
          <w:bCs/>
          <w:i/>
          <w:iCs/>
          <w:lang w:val="en-US"/>
        </w:rPr>
        <w:t xml:space="preserve"> </w:t>
      </w:r>
      <w:r w:rsidRPr="006B43C0">
        <w:rPr>
          <w:b/>
          <w:bCs/>
          <w:i/>
          <w:iCs/>
          <w:lang w:val="en-US"/>
        </w:rPr>
        <w:t>Table 1.</w:t>
      </w:r>
      <w:r w:rsidRPr="006B43C0">
        <w:rPr>
          <w:i/>
          <w:iCs/>
          <w:lang w:val="en-US"/>
        </w:rPr>
        <w:t xml:space="preserve">  Dates, times and locations of all shots during the 2023 bycatch survey.</w:t>
      </w:r>
    </w:p>
    <w:tbl>
      <w:tblPr>
        <w:tblW w:w="6131" w:type="dxa"/>
        <w:jc w:val="center"/>
        <w:tblLook w:val="04A0" w:firstRow="1" w:lastRow="0" w:firstColumn="1" w:lastColumn="0" w:noHBand="0" w:noVBand="1"/>
      </w:tblPr>
      <w:tblGrid>
        <w:gridCol w:w="1217"/>
        <w:gridCol w:w="1336"/>
        <w:gridCol w:w="706"/>
        <w:gridCol w:w="1099"/>
        <w:gridCol w:w="1839"/>
      </w:tblGrid>
      <w:tr w:rsidR="00FC26E2" w:rsidRPr="00593EDE" w14:paraId="7C7F2312" w14:textId="77777777" w:rsidTr="008C5150">
        <w:trPr>
          <w:trHeight w:val="252"/>
          <w:jc w:val="center"/>
        </w:trPr>
        <w:tc>
          <w:tcPr>
            <w:tcW w:w="1176" w:type="dxa"/>
            <w:tcBorders>
              <w:top w:val="single" w:sz="4" w:space="0" w:color="auto"/>
              <w:left w:val="nil"/>
              <w:bottom w:val="single" w:sz="4" w:space="0" w:color="auto"/>
              <w:right w:val="nil"/>
            </w:tcBorders>
            <w:shd w:val="clear" w:color="D9E1F2" w:fill="E7E6E6"/>
            <w:noWrap/>
            <w:vAlign w:val="center"/>
            <w:hideMark/>
          </w:tcPr>
          <w:p w14:paraId="276C3724" w14:textId="77777777" w:rsidR="00FC26E2" w:rsidRPr="00D53025" w:rsidRDefault="00FC26E2" w:rsidP="008C5150">
            <w:pPr>
              <w:spacing w:after="0"/>
              <w:jc w:val="center"/>
              <w:rPr>
                <w:rFonts w:eastAsia="Times New Roman" w:cs="Arial"/>
                <w:b/>
                <w:bCs/>
                <w:color w:val="000000"/>
                <w:sz w:val="20"/>
                <w:szCs w:val="20"/>
                <w:lang w:eastAsia="en-AU"/>
              </w:rPr>
            </w:pPr>
            <w:r w:rsidRPr="00D53025">
              <w:rPr>
                <w:rFonts w:eastAsia="Times New Roman" w:cs="Arial"/>
                <w:b/>
                <w:bCs/>
                <w:color w:val="000000"/>
                <w:sz w:val="20"/>
                <w:szCs w:val="20"/>
                <w:lang w:eastAsia="en-AU"/>
              </w:rPr>
              <w:t>Date</w:t>
            </w:r>
          </w:p>
        </w:tc>
        <w:tc>
          <w:tcPr>
            <w:tcW w:w="1336" w:type="dxa"/>
            <w:tcBorders>
              <w:top w:val="single" w:sz="4" w:space="0" w:color="auto"/>
              <w:left w:val="nil"/>
              <w:bottom w:val="single" w:sz="4" w:space="0" w:color="auto"/>
              <w:right w:val="nil"/>
            </w:tcBorders>
            <w:shd w:val="clear" w:color="D9E1F2" w:fill="E7E6E6"/>
            <w:noWrap/>
            <w:vAlign w:val="center"/>
            <w:hideMark/>
          </w:tcPr>
          <w:p w14:paraId="7D8C1D97" w14:textId="77777777" w:rsidR="00FC26E2" w:rsidRPr="00D53025" w:rsidRDefault="00FC26E2" w:rsidP="008C5150">
            <w:pPr>
              <w:spacing w:after="0"/>
              <w:jc w:val="center"/>
              <w:rPr>
                <w:rFonts w:eastAsia="Times New Roman" w:cs="Arial"/>
                <w:b/>
                <w:bCs/>
                <w:color w:val="000000"/>
                <w:sz w:val="20"/>
                <w:szCs w:val="20"/>
                <w:lang w:eastAsia="en-AU"/>
              </w:rPr>
            </w:pPr>
            <w:r w:rsidRPr="00D53025">
              <w:rPr>
                <w:rFonts w:eastAsia="Times New Roman" w:cs="Arial"/>
                <w:b/>
                <w:bCs/>
                <w:color w:val="000000"/>
                <w:sz w:val="20"/>
                <w:szCs w:val="20"/>
                <w:lang w:eastAsia="en-AU"/>
              </w:rPr>
              <w:t>Shot Number</w:t>
            </w:r>
          </w:p>
        </w:tc>
        <w:tc>
          <w:tcPr>
            <w:tcW w:w="681" w:type="dxa"/>
            <w:tcBorders>
              <w:top w:val="single" w:sz="4" w:space="0" w:color="auto"/>
              <w:left w:val="nil"/>
              <w:bottom w:val="single" w:sz="4" w:space="0" w:color="auto"/>
              <w:right w:val="nil"/>
            </w:tcBorders>
            <w:shd w:val="clear" w:color="D9E1F2" w:fill="E7E6E6"/>
            <w:noWrap/>
            <w:vAlign w:val="center"/>
            <w:hideMark/>
          </w:tcPr>
          <w:p w14:paraId="03582EEF" w14:textId="77777777" w:rsidR="00FC26E2" w:rsidRPr="00D53025" w:rsidRDefault="00FC26E2" w:rsidP="008C5150">
            <w:pPr>
              <w:spacing w:after="0"/>
              <w:jc w:val="center"/>
              <w:rPr>
                <w:rFonts w:eastAsia="Times New Roman" w:cs="Arial"/>
                <w:b/>
                <w:bCs/>
                <w:color w:val="000000"/>
                <w:sz w:val="20"/>
                <w:szCs w:val="20"/>
                <w:lang w:eastAsia="en-AU"/>
              </w:rPr>
            </w:pPr>
            <w:r w:rsidRPr="00D53025">
              <w:rPr>
                <w:rFonts w:eastAsia="Times New Roman" w:cs="Arial"/>
                <w:b/>
                <w:bCs/>
                <w:color w:val="000000"/>
                <w:sz w:val="20"/>
                <w:szCs w:val="20"/>
                <w:lang w:eastAsia="en-AU"/>
              </w:rPr>
              <w:t>Site</w:t>
            </w:r>
          </w:p>
        </w:tc>
        <w:tc>
          <w:tcPr>
            <w:tcW w:w="1099" w:type="dxa"/>
            <w:tcBorders>
              <w:top w:val="single" w:sz="4" w:space="0" w:color="auto"/>
              <w:left w:val="nil"/>
              <w:bottom w:val="single" w:sz="4" w:space="0" w:color="auto"/>
              <w:right w:val="nil"/>
            </w:tcBorders>
            <w:shd w:val="clear" w:color="D9E1F2" w:fill="E7E6E6"/>
            <w:noWrap/>
            <w:vAlign w:val="center"/>
            <w:hideMark/>
          </w:tcPr>
          <w:p w14:paraId="690D2AB6" w14:textId="77777777" w:rsidR="00FC26E2" w:rsidRPr="00D53025" w:rsidRDefault="00FC26E2" w:rsidP="008C5150">
            <w:pPr>
              <w:spacing w:after="0"/>
              <w:jc w:val="center"/>
              <w:rPr>
                <w:rFonts w:eastAsia="Times New Roman" w:cs="Arial"/>
                <w:b/>
                <w:bCs/>
                <w:color w:val="000000"/>
                <w:sz w:val="20"/>
                <w:szCs w:val="20"/>
                <w:lang w:eastAsia="en-AU"/>
              </w:rPr>
            </w:pPr>
            <w:r w:rsidRPr="00D53025">
              <w:rPr>
                <w:rFonts w:eastAsia="Times New Roman" w:cs="Arial"/>
                <w:b/>
                <w:bCs/>
                <w:color w:val="000000"/>
                <w:sz w:val="20"/>
                <w:szCs w:val="20"/>
                <w:lang w:eastAsia="en-AU"/>
              </w:rPr>
              <w:t>Start Time</w:t>
            </w:r>
          </w:p>
        </w:tc>
        <w:tc>
          <w:tcPr>
            <w:tcW w:w="1839" w:type="dxa"/>
            <w:tcBorders>
              <w:top w:val="single" w:sz="4" w:space="0" w:color="auto"/>
              <w:left w:val="nil"/>
              <w:bottom w:val="single" w:sz="4" w:space="0" w:color="auto"/>
              <w:right w:val="nil"/>
            </w:tcBorders>
            <w:shd w:val="clear" w:color="D9E1F2" w:fill="E7E6E6"/>
            <w:noWrap/>
            <w:vAlign w:val="center"/>
            <w:hideMark/>
          </w:tcPr>
          <w:p w14:paraId="392C888C" w14:textId="77777777" w:rsidR="00FC26E2" w:rsidRPr="00D53025" w:rsidRDefault="00FC26E2" w:rsidP="008C5150">
            <w:pPr>
              <w:spacing w:after="0"/>
              <w:jc w:val="center"/>
              <w:rPr>
                <w:rFonts w:eastAsia="Times New Roman" w:cs="Arial"/>
                <w:b/>
                <w:bCs/>
                <w:color w:val="000000"/>
                <w:sz w:val="20"/>
                <w:szCs w:val="20"/>
                <w:lang w:eastAsia="en-AU"/>
              </w:rPr>
            </w:pPr>
            <w:r w:rsidRPr="00D53025">
              <w:rPr>
                <w:rFonts w:eastAsia="Times New Roman" w:cs="Arial"/>
                <w:b/>
                <w:bCs/>
                <w:color w:val="000000"/>
                <w:sz w:val="20"/>
                <w:szCs w:val="20"/>
                <w:lang w:eastAsia="en-AU"/>
              </w:rPr>
              <w:t>Shot duration (min)</w:t>
            </w:r>
          </w:p>
        </w:tc>
      </w:tr>
      <w:tr w:rsidR="00FC26E2" w:rsidRPr="00593EDE" w14:paraId="516484AF" w14:textId="77777777" w:rsidTr="008C5150">
        <w:trPr>
          <w:trHeight w:val="252"/>
          <w:jc w:val="center"/>
        </w:trPr>
        <w:tc>
          <w:tcPr>
            <w:tcW w:w="1176" w:type="dxa"/>
            <w:tcBorders>
              <w:top w:val="single" w:sz="4" w:space="0" w:color="auto"/>
              <w:left w:val="nil"/>
              <w:bottom w:val="dotted" w:sz="4" w:space="0" w:color="auto"/>
              <w:right w:val="nil"/>
            </w:tcBorders>
            <w:shd w:val="clear" w:color="auto" w:fill="auto"/>
            <w:noWrap/>
            <w:vAlign w:val="center"/>
            <w:hideMark/>
          </w:tcPr>
          <w:p w14:paraId="34715CEE" w14:textId="77777777" w:rsidR="00FC26E2" w:rsidRPr="00D53025" w:rsidRDefault="00FC26E2" w:rsidP="008C5150">
            <w:pPr>
              <w:spacing w:after="0"/>
              <w:rPr>
                <w:rFonts w:eastAsia="Times New Roman" w:cs="Arial"/>
                <w:color w:val="000000"/>
                <w:sz w:val="20"/>
                <w:szCs w:val="20"/>
                <w:lang w:eastAsia="en-AU"/>
              </w:rPr>
            </w:pPr>
            <w:r w:rsidRPr="00D53025">
              <w:rPr>
                <w:rFonts w:eastAsia="Times New Roman" w:cs="Arial"/>
                <w:color w:val="000000"/>
                <w:sz w:val="20"/>
                <w:szCs w:val="20"/>
                <w:lang w:eastAsia="en-AU"/>
              </w:rPr>
              <w:t>30/01/2023</w:t>
            </w:r>
          </w:p>
        </w:tc>
        <w:tc>
          <w:tcPr>
            <w:tcW w:w="1336" w:type="dxa"/>
            <w:tcBorders>
              <w:top w:val="single" w:sz="4" w:space="0" w:color="auto"/>
              <w:left w:val="nil"/>
              <w:bottom w:val="dotted" w:sz="4" w:space="0" w:color="auto"/>
              <w:right w:val="nil"/>
            </w:tcBorders>
            <w:shd w:val="clear" w:color="auto" w:fill="auto"/>
            <w:noWrap/>
            <w:vAlign w:val="center"/>
            <w:hideMark/>
          </w:tcPr>
          <w:p w14:paraId="7C06E5CF"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1</w:t>
            </w:r>
          </w:p>
        </w:tc>
        <w:tc>
          <w:tcPr>
            <w:tcW w:w="681" w:type="dxa"/>
            <w:tcBorders>
              <w:top w:val="single" w:sz="4" w:space="0" w:color="auto"/>
              <w:left w:val="nil"/>
              <w:bottom w:val="dotted" w:sz="4" w:space="0" w:color="auto"/>
              <w:right w:val="nil"/>
            </w:tcBorders>
            <w:shd w:val="clear" w:color="auto" w:fill="auto"/>
            <w:noWrap/>
            <w:vAlign w:val="center"/>
            <w:hideMark/>
          </w:tcPr>
          <w:p w14:paraId="2FAB1DC0"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AB24</w:t>
            </w:r>
          </w:p>
        </w:tc>
        <w:tc>
          <w:tcPr>
            <w:tcW w:w="1099" w:type="dxa"/>
            <w:tcBorders>
              <w:top w:val="single" w:sz="4" w:space="0" w:color="auto"/>
              <w:left w:val="nil"/>
              <w:bottom w:val="dotted" w:sz="4" w:space="0" w:color="auto"/>
              <w:right w:val="nil"/>
            </w:tcBorders>
            <w:shd w:val="clear" w:color="auto" w:fill="auto"/>
            <w:noWrap/>
            <w:vAlign w:val="center"/>
            <w:hideMark/>
          </w:tcPr>
          <w:p w14:paraId="52A129C9"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14:37</w:t>
            </w:r>
          </w:p>
        </w:tc>
        <w:tc>
          <w:tcPr>
            <w:tcW w:w="1839" w:type="dxa"/>
            <w:tcBorders>
              <w:top w:val="single" w:sz="4" w:space="0" w:color="auto"/>
              <w:left w:val="nil"/>
              <w:bottom w:val="dotted" w:sz="4" w:space="0" w:color="auto"/>
              <w:right w:val="nil"/>
            </w:tcBorders>
            <w:shd w:val="clear" w:color="auto" w:fill="auto"/>
            <w:noWrap/>
            <w:vAlign w:val="center"/>
            <w:hideMark/>
          </w:tcPr>
          <w:p w14:paraId="0BCCF876"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w:t>
            </w:r>
          </w:p>
        </w:tc>
      </w:tr>
      <w:tr w:rsidR="00FC26E2" w:rsidRPr="00593EDE" w14:paraId="4AF21027" w14:textId="77777777" w:rsidTr="008C5150">
        <w:trPr>
          <w:trHeight w:val="252"/>
          <w:jc w:val="center"/>
        </w:trPr>
        <w:tc>
          <w:tcPr>
            <w:tcW w:w="1176" w:type="dxa"/>
            <w:tcBorders>
              <w:top w:val="dotted" w:sz="4" w:space="0" w:color="auto"/>
              <w:left w:val="nil"/>
              <w:bottom w:val="dotted" w:sz="4" w:space="0" w:color="auto"/>
              <w:right w:val="nil"/>
            </w:tcBorders>
            <w:shd w:val="clear" w:color="auto" w:fill="auto"/>
            <w:noWrap/>
            <w:vAlign w:val="center"/>
            <w:hideMark/>
          </w:tcPr>
          <w:p w14:paraId="184301CC" w14:textId="77777777" w:rsidR="00FC26E2" w:rsidRPr="00D53025" w:rsidRDefault="00FC26E2" w:rsidP="008C5150">
            <w:pPr>
              <w:spacing w:after="0"/>
              <w:rPr>
                <w:rFonts w:eastAsia="Times New Roman" w:cs="Arial"/>
                <w:color w:val="000000"/>
                <w:sz w:val="20"/>
                <w:szCs w:val="20"/>
                <w:lang w:eastAsia="en-AU"/>
              </w:rPr>
            </w:pPr>
            <w:r w:rsidRPr="00D53025">
              <w:rPr>
                <w:rFonts w:eastAsia="Times New Roman" w:cs="Arial"/>
                <w:color w:val="000000"/>
                <w:sz w:val="20"/>
                <w:szCs w:val="20"/>
                <w:lang w:eastAsia="en-AU"/>
              </w:rPr>
              <w:t>30/01/2023</w:t>
            </w:r>
          </w:p>
        </w:tc>
        <w:tc>
          <w:tcPr>
            <w:tcW w:w="1336" w:type="dxa"/>
            <w:tcBorders>
              <w:top w:val="dotted" w:sz="4" w:space="0" w:color="auto"/>
              <w:left w:val="nil"/>
              <w:bottom w:val="dotted" w:sz="4" w:space="0" w:color="auto"/>
              <w:right w:val="nil"/>
            </w:tcBorders>
            <w:shd w:val="clear" w:color="auto" w:fill="auto"/>
            <w:noWrap/>
            <w:vAlign w:val="center"/>
            <w:hideMark/>
          </w:tcPr>
          <w:p w14:paraId="5DA8A8E1"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w:t>
            </w:r>
          </w:p>
        </w:tc>
        <w:tc>
          <w:tcPr>
            <w:tcW w:w="681" w:type="dxa"/>
            <w:tcBorders>
              <w:top w:val="dotted" w:sz="4" w:space="0" w:color="auto"/>
              <w:left w:val="nil"/>
              <w:bottom w:val="dotted" w:sz="4" w:space="0" w:color="auto"/>
              <w:right w:val="nil"/>
            </w:tcBorders>
            <w:shd w:val="clear" w:color="auto" w:fill="auto"/>
            <w:noWrap/>
            <w:vAlign w:val="center"/>
            <w:hideMark/>
          </w:tcPr>
          <w:p w14:paraId="2A639B4D"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AB17</w:t>
            </w:r>
          </w:p>
        </w:tc>
        <w:tc>
          <w:tcPr>
            <w:tcW w:w="1099" w:type="dxa"/>
            <w:tcBorders>
              <w:top w:val="dotted" w:sz="4" w:space="0" w:color="auto"/>
              <w:left w:val="nil"/>
              <w:bottom w:val="dotted" w:sz="4" w:space="0" w:color="auto"/>
              <w:right w:val="nil"/>
            </w:tcBorders>
            <w:shd w:val="clear" w:color="auto" w:fill="auto"/>
            <w:noWrap/>
            <w:vAlign w:val="center"/>
            <w:hideMark/>
          </w:tcPr>
          <w:p w14:paraId="4A49B176"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16:14</w:t>
            </w:r>
          </w:p>
        </w:tc>
        <w:tc>
          <w:tcPr>
            <w:tcW w:w="1839" w:type="dxa"/>
            <w:tcBorders>
              <w:top w:val="dotted" w:sz="4" w:space="0" w:color="auto"/>
              <w:left w:val="nil"/>
              <w:bottom w:val="dotted" w:sz="4" w:space="0" w:color="auto"/>
              <w:right w:val="nil"/>
            </w:tcBorders>
            <w:shd w:val="clear" w:color="auto" w:fill="auto"/>
            <w:noWrap/>
            <w:vAlign w:val="center"/>
            <w:hideMark/>
          </w:tcPr>
          <w:p w14:paraId="0829E991"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w:t>
            </w:r>
          </w:p>
        </w:tc>
      </w:tr>
      <w:tr w:rsidR="00FC26E2" w:rsidRPr="00593EDE" w14:paraId="790B90DF" w14:textId="77777777" w:rsidTr="008C5150">
        <w:trPr>
          <w:trHeight w:val="252"/>
          <w:jc w:val="center"/>
        </w:trPr>
        <w:tc>
          <w:tcPr>
            <w:tcW w:w="1176" w:type="dxa"/>
            <w:tcBorders>
              <w:top w:val="dotted" w:sz="4" w:space="0" w:color="auto"/>
              <w:left w:val="nil"/>
              <w:bottom w:val="dotted" w:sz="4" w:space="0" w:color="auto"/>
              <w:right w:val="nil"/>
            </w:tcBorders>
            <w:shd w:val="clear" w:color="auto" w:fill="auto"/>
            <w:noWrap/>
            <w:vAlign w:val="center"/>
            <w:hideMark/>
          </w:tcPr>
          <w:p w14:paraId="43629603" w14:textId="77777777" w:rsidR="00FC26E2" w:rsidRPr="00D53025" w:rsidRDefault="00FC26E2" w:rsidP="008C5150">
            <w:pPr>
              <w:spacing w:after="0"/>
              <w:rPr>
                <w:rFonts w:eastAsia="Times New Roman" w:cs="Arial"/>
                <w:color w:val="000000"/>
                <w:sz w:val="20"/>
                <w:szCs w:val="20"/>
                <w:lang w:eastAsia="en-AU"/>
              </w:rPr>
            </w:pPr>
            <w:r w:rsidRPr="00D53025">
              <w:rPr>
                <w:rFonts w:eastAsia="Times New Roman" w:cs="Arial"/>
                <w:color w:val="000000"/>
                <w:sz w:val="20"/>
                <w:szCs w:val="20"/>
                <w:lang w:eastAsia="en-AU"/>
              </w:rPr>
              <w:t>30/01/2023</w:t>
            </w:r>
          </w:p>
        </w:tc>
        <w:tc>
          <w:tcPr>
            <w:tcW w:w="1336" w:type="dxa"/>
            <w:tcBorders>
              <w:top w:val="dotted" w:sz="4" w:space="0" w:color="auto"/>
              <w:left w:val="nil"/>
              <w:bottom w:val="dotted" w:sz="4" w:space="0" w:color="auto"/>
              <w:right w:val="nil"/>
            </w:tcBorders>
            <w:shd w:val="clear" w:color="auto" w:fill="auto"/>
            <w:noWrap/>
            <w:vAlign w:val="center"/>
            <w:hideMark/>
          </w:tcPr>
          <w:p w14:paraId="3821D5DF"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3</w:t>
            </w:r>
          </w:p>
        </w:tc>
        <w:tc>
          <w:tcPr>
            <w:tcW w:w="681" w:type="dxa"/>
            <w:tcBorders>
              <w:top w:val="dotted" w:sz="4" w:space="0" w:color="auto"/>
              <w:left w:val="nil"/>
              <w:bottom w:val="dotted" w:sz="4" w:space="0" w:color="auto"/>
              <w:right w:val="nil"/>
            </w:tcBorders>
            <w:shd w:val="clear" w:color="auto" w:fill="auto"/>
            <w:noWrap/>
            <w:vAlign w:val="center"/>
            <w:hideMark/>
          </w:tcPr>
          <w:p w14:paraId="05168B41"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AB18</w:t>
            </w:r>
          </w:p>
        </w:tc>
        <w:tc>
          <w:tcPr>
            <w:tcW w:w="1099" w:type="dxa"/>
            <w:tcBorders>
              <w:top w:val="dotted" w:sz="4" w:space="0" w:color="auto"/>
              <w:left w:val="nil"/>
              <w:bottom w:val="dotted" w:sz="4" w:space="0" w:color="auto"/>
              <w:right w:val="nil"/>
            </w:tcBorders>
            <w:shd w:val="clear" w:color="auto" w:fill="auto"/>
            <w:noWrap/>
            <w:vAlign w:val="center"/>
            <w:hideMark/>
          </w:tcPr>
          <w:p w14:paraId="4CE8FBC7"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17:17</w:t>
            </w:r>
          </w:p>
        </w:tc>
        <w:tc>
          <w:tcPr>
            <w:tcW w:w="1839" w:type="dxa"/>
            <w:tcBorders>
              <w:top w:val="dotted" w:sz="4" w:space="0" w:color="auto"/>
              <w:left w:val="nil"/>
              <w:bottom w:val="dotted" w:sz="4" w:space="0" w:color="auto"/>
              <w:right w:val="nil"/>
            </w:tcBorders>
            <w:shd w:val="clear" w:color="auto" w:fill="auto"/>
            <w:noWrap/>
            <w:vAlign w:val="center"/>
            <w:hideMark/>
          </w:tcPr>
          <w:p w14:paraId="210FDFDB"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w:t>
            </w:r>
          </w:p>
        </w:tc>
      </w:tr>
      <w:tr w:rsidR="00FC26E2" w:rsidRPr="00593EDE" w14:paraId="70B8335A" w14:textId="77777777" w:rsidTr="008C5150">
        <w:trPr>
          <w:trHeight w:val="252"/>
          <w:jc w:val="center"/>
        </w:trPr>
        <w:tc>
          <w:tcPr>
            <w:tcW w:w="1176" w:type="dxa"/>
            <w:tcBorders>
              <w:top w:val="dotted" w:sz="4" w:space="0" w:color="auto"/>
              <w:left w:val="nil"/>
              <w:bottom w:val="dotted" w:sz="4" w:space="0" w:color="auto"/>
              <w:right w:val="nil"/>
            </w:tcBorders>
            <w:shd w:val="clear" w:color="auto" w:fill="auto"/>
            <w:noWrap/>
            <w:vAlign w:val="center"/>
            <w:hideMark/>
          </w:tcPr>
          <w:p w14:paraId="4BC1C3AE" w14:textId="77777777" w:rsidR="00FC26E2" w:rsidRPr="00D53025" w:rsidRDefault="00FC26E2" w:rsidP="008C5150">
            <w:pPr>
              <w:spacing w:after="0"/>
              <w:rPr>
                <w:rFonts w:eastAsia="Times New Roman" w:cs="Arial"/>
                <w:color w:val="000000"/>
                <w:sz w:val="20"/>
                <w:szCs w:val="20"/>
                <w:lang w:eastAsia="en-AU"/>
              </w:rPr>
            </w:pPr>
            <w:r w:rsidRPr="00D53025">
              <w:rPr>
                <w:rFonts w:eastAsia="Times New Roman" w:cs="Arial"/>
                <w:color w:val="000000"/>
                <w:sz w:val="20"/>
                <w:szCs w:val="20"/>
                <w:lang w:eastAsia="en-AU"/>
              </w:rPr>
              <w:t>30/01/2023</w:t>
            </w:r>
          </w:p>
        </w:tc>
        <w:tc>
          <w:tcPr>
            <w:tcW w:w="1336" w:type="dxa"/>
            <w:tcBorders>
              <w:top w:val="dotted" w:sz="4" w:space="0" w:color="auto"/>
              <w:left w:val="nil"/>
              <w:bottom w:val="dotted" w:sz="4" w:space="0" w:color="auto"/>
              <w:right w:val="nil"/>
            </w:tcBorders>
            <w:shd w:val="clear" w:color="auto" w:fill="auto"/>
            <w:noWrap/>
            <w:vAlign w:val="center"/>
            <w:hideMark/>
          </w:tcPr>
          <w:p w14:paraId="637CD009"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4</w:t>
            </w:r>
          </w:p>
        </w:tc>
        <w:tc>
          <w:tcPr>
            <w:tcW w:w="681" w:type="dxa"/>
            <w:tcBorders>
              <w:top w:val="dotted" w:sz="4" w:space="0" w:color="auto"/>
              <w:left w:val="nil"/>
              <w:bottom w:val="dotted" w:sz="4" w:space="0" w:color="auto"/>
              <w:right w:val="nil"/>
            </w:tcBorders>
            <w:shd w:val="clear" w:color="auto" w:fill="auto"/>
            <w:noWrap/>
            <w:vAlign w:val="center"/>
            <w:hideMark/>
          </w:tcPr>
          <w:p w14:paraId="4645E3B4"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AB19</w:t>
            </w:r>
          </w:p>
        </w:tc>
        <w:tc>
          <w:tcPr>
            <w:tcW w:w="1099" w:type="dxa"/>
            <w:tcBorders>
              <w:top w:val="dotted" w:sz="4" w:space="0" w:color="auto"/>
              <w:left w:val="nil"/>
              <w:bottom w:val="dotted" w:sz="4" w:space="0" w:color="auto"/>
              <w:right w:val="nil"/>
            </w:tcBorders>
            <w:shd w:val="clear" w:color="auto" w:fill="auto"/>
            <w:noWrap/>
            <w:vAlign w:val="center"/>
            <w:hideMark/>
          </w:tcPr>
          <w:p w14:paraId="023D4297"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17:52</w:t>
            </w:r>
          </w:p>
        </w:tc>
        <w:tc>
          <w:tcPr>
            <w:tcW w:w="1839" w:type="dxa"/>
            <w:tcBorders>
              <w:top w:val="dotted" w:sz="4" w:space="0" w:color="auto"/>
              <w:left w:val="nil"/>
              <w:bottom w:val="dotted" w:sz="4" w:space="0" w:color="auto"/>
              <w:right w:val="nil"/>
            </w:tcBorders>
            <w:shd w:val="clear" w:color="auto" w:fill="auto"/>
            <w:noWrap/>
            <w:vAlign w:val="center"/>
            <w:hideMark/>
          </w:tcPr>
          <w:p w14:paraId="0330584D"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w:t>
            </w:r>
          </w:p>
        </w:tc>
      </w:tr>
      <w:tr w:rsidR="00FC26E2" w:rsidRPr="00593EDE" w14:paraId="3F36333C" w14:textId="77777777" w:rsidTr="008C5150">
        <w:trPr>
          <w:trHeight w:val="252"/>
          <w:jc w:val="center"/>
        </w:trPr>
        <w:tc>
          <w:tcPr>
            <w:tcW w:w="1176" w:type="dxa"/>
            <w:tcBorders>
              <w:top w:val="dotted" w:sz="4" w:space="0" w:color="auto"/>
              <w:left w:val="nil"/>
              <w:bottom w:val="dotted" w:sz="4" w:space="0" w:color="auto"/>
              <w:right w:val="nil"/>
            </w:tcBorders>
            <w:shd w:val="clear" w:color="auto" w:fill="auto"/>
            <w:noWrap/>
            <w:vAlign w:val="center"/>
            <w:hideMark/>
          </w:tcPr>
          <w:p w14:paraId="6596E911" w14:textId="77777777" w:rsidR="00FC26E2" w:rsidRPr="00D53025" w:rsidRDefault="00FC26E2" w:rsidP="008C5150">
            <w:pPr>
              <w:spacing w:after="0"/>
              <w:rPr>
                <w:rFonts w:eastAsia="Times New Roman" w:cs="Arial"/>
                <w:color w:val="000000"/>
                <w:sz w:val="20"/>
                <w:szCs w:val="20"/>
                <w:lang w:eastAsia="en-AU"/>
              </w:rPr>
            </w:pPr>
            <w:r w:rsidRPr="00D53025">
              <w:rPr>
                <w:rFonts w:eastAsia="Times New Roman" w:cs="Arial"/>
                <w:color w:val="000000"/>
                <w:sz w:val="20"/>
                <w:szCs w:val="20"/>
                <w:lang w:eastAsia="en-AU"/>
              </w:rPr>
              <w:t>30/01/2023</w:t>
            </w:r>
          </w:p>
        </w:tc>
        <w:tc>
          <w:tcPr>
            <w:tcW w:w="1336" w:type="dxa"/>
            <w:tcBorders>
              <w:top w:val="dotted" w:sz="4" w:space="0" w:color="auto"/>
              <w:left w:val="nil"/>
              <w:bottom w:val="dotted" w:sz="4" w:space="0" w:color="auto"/>
              <w:right w:val="nil"/>
            </w:tcBorders>
            <w:shd w:val="clear" w:color="auto" w:fill="auto"/>
            <w:noWrap/>
            <w:vAlign w:val="center"/>
            <w:hideMark/>
          </w:tcPr>
          <w:p w14:paraId="69782098"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5</w:t>
            </w:r>
          </w:p>
        </w:tc>
        <w:tc>
          <w:tcPr>
            <w:tcW w:w="681" w:type="dxa"/>
            <w:tcBorders>
              <w:top w:val="dotted" w:sz="4" w:space="0" w:color="auto"/>
              <w:left w:val="nil"/>
              <w:bottom w:val="dotted" w:sz="4" w:space="0" w:color="auto"/>
              <w:right w:val="nil"/>
            </w:tcBorders>
            <w:shd w:val="clear" w:color="auto" w:fill="auto"/>
            <w:noWrap/>
            <w:vAlign w:val="center"/>
            <w:hideMark/>
          </w:tcPr>
          <w:p w14:paraId="408744E1"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AB21</w:t>
            </w:r>
          </w:p>
        </w:tc>
        <w:tc>
          <w:tcPr>
            <w:tcW w:w="1099" w:type="dxa"/>
            <w:tcBorders>
              <w:top w:val="dotted" w:sz="4" w:space="0" w:color="auto"/>
              <w:left w:val="nil"/>
              <w:bottom w:val="dotted" w:sz="4" w:space="0" w:color="auto"/>
              <w:right w:val="nil"/>
            </w:tcBorders>
            <w:shd w:val="clear" w:color="auto" w:fill="auto"/>
            <w:noWrap/>
            <w:vAlign w:val="center"/>
            <w:hideMark/>
          </w:tcPr>
          <w:p w14:paraId="206A4787"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18:43</w:t>
            </w:r>
          </w:p>
        </w:tc>
        <w:tc>
          <w:tcPr>
            <w:tcW w:w="1839" w:type="dxa"/>
            <w:tcBorders>
              <w:top w:val="dotted" w:sz="4" w:space="0" w:color="auto"/>
              <w:left w:val="nil"/>
              <w:bottom w:val="dotted" w:sz="4" w:space="0" w:color="auto"/>
              <w:right w:val="nil"/>
            </w:tcBorders>
            <w:shd w:val="clear" w:color="auto" w:fill="auto"/>
            <w:noWrap/>
            <w:vAlign w:val="center"/>
            <w:hideMark/>
          </w:tcPr>
          <w:p w14:paraId="2846CD14"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w:t>
            </w:r>
          </w:p>
        </w:tc>
      </w:tr>
      <w:tr w:rsidR="00FC26E2" w:rsidRPr="00593EDE" w14:paraId="1178BD40" w14:textId="77777777" w:rsidTr="008C5150">
        <w:trPr>
          <w:trHeight w:val="252"/>
          <w:jc w:val="center"/>
        </w:trPr>
        <w:tc>
          <w:tcPr>
            <w:tcW w:w="1176" w:type="dxa"/>
            <w:tcBorders>
              <w:top w:val="dotted" w:sz="4" w:space="0" w:color="auto"/>
              <w:left w:val="nil"/>
              <w:bottom w:val="dotted" w:sz="4" w:space="0" w:color="auto"/>
              <w:right w:val="nil"/>
            </w:tcBorders>
            <w:shd w:val="clear" w:color="auto" w:fill="auto"/>
            <w:noWrap/>
            <w:vAlign w:val="center"/>
            <w:hideMark/>
          </w:tcPr>
          <w:p w14:paraId="1D585CC4" w14:textId="77777777" w:rsidR="00FC26E2" w:rsidRPr="00D53025" w:rsidRDefault="00FC26E2" w:rsidP="008C5150">
            <w:pPr>
              <w:spacing w:after="0"/>
              <w:rPr>
                <w:rFonts w:eastAsia="Times New Roman" w:cs="Arial"/>
                <w:color w:val="000000"/>
                <w:sz w:val="20"/>
                <w:szCs w:val="20"/>
                <w:lang w:eastAsia="en-AU"/>
              </w:rPr>
            </w:pPr>
            <w:r w:rsidRPr="00D53025">
              <w:rPr>
                <w:rFonts w:eastAsia="Times New Roman" w:cs="Arial"/>
                <w:color w:val="000000"/>
                <w:sz w:val="20"/>
                <w:szCs w:val="20"/>
                <w:lang w:eastAsia="en-AU"/>
              </w:rPr>
              <w:t>30/01/2023</w:t>
            </w:r>
          </w:p>
        </w:tc>
        <w:tc>
          <w:tcPr>
            <w:tcW w:w="1336" w:type="dxa"/>
            <w:tcBorders>
              <w:top w:val="dotted" w:sz="4" w:space="0" w:color="auto"/>
              <w:left w:val="nil"/>
              <w:bottom w:val="dotted" w:sz="4" w:space="0" w:color="auto"/>
              <w:right w:val="nil"/>
            </w:tcBorders>
            <w:shd w:val="clear" w:color="auto" w:fill="auto"/>
            <w:noWrap/>
            <w:vAlign w:val="center"/>
            <w:hideMark/>
          </w:tcPr>
          <w:p w14:paraId="61EB881E"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6</w:t>
            </w:r>
          </w:p>
        </w:tc>
        <w:tc>
          <w:tcPr>
            <w:tcW w:w="681" w:type="dxa"/>
            <w:tcBorders>
              <w:top w:val="dotted" w:sz="4" w:space="0" w:color="auto"/>
              <w:left w:val="nil"/>
              <w:bottom w:val="dotted" w:sz="4" w:space="0" w:color="auto"/>
              <w:right w:val="nil"/>
            </w:tcBorders>
            <w:shd w:val="clear" w:color="auto" w:fill="auto"/>
            <w:noWrap/>
            <w:vAlign w:val="center"/>
            <w:hideMark/>
          </w:tcPr>
          <w:p w14:paraId="23D1DA97"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AB22</w:t>
            </w:r>
          </w:p>
        </w:tc>
        <w:tc>
          <w:tcPr>
            <w:tcW w:w="1099" w:type="dxa"/>
            <w:tcBorders>
              <w:top w:val="dotted" w:sz="4" w:space="0" w:color="auto"/>
              <w:left w:val="nil"/>
              <w:bottom w:val="dotted" w:sz="4" w:space="0" w:color="auto"/>
              <w:right w:val="nil"/>
            </w:tcBorders>
            <w:shd w:val="clear" w:color="auto" w:fill="auto"/>
            <w:noWrap/>
            <w:vAlign w:val="center"/>
            <w:hideMark/>
          </w:tcPr>
          <w:p w14:paraId="44BB97B7"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19:57</w:t>
            </w:r>
          </w:p>
        </w:tc>
        <w:tc>
          <w:tcPr>
            <w:tcW w:w="1839" w:type="dxa"/>
            <w:tcBorders>
              <w:top w:val="dotted" w:sz="4" w:space="0" w:color="auto"/>
              <w:left w:val="nil"/>
              <w:bottom w:val="dotted" w:sz="4" w:space="0" w:color="auto"/>
              <w:right w:val="nil"/>
            </w:tcBorders>
            <w:shd w:val="clear" w:color="auto" w:fill="auto"/>
            <w:noWrap/>
            <w:vAlign w:val="center"/>
            <w:hideMark/>
          </w:tcPr>
          <w:p w14:paraId="6BB81E8B"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w:t>
            </w:r>
          </w:p>
        </w:tc>
      </w:tr>
      <w:tr w:rsidR="00FC26E2" w:rsidRPr="00593EDE" w14:paraId="3C757BE2" w14:textId="77777777" w:rsidTr="008C5150">
        <w:trPr>
          <w:trHeight w:val="252"/>
          <w:jc w:val="center"/>
        </w:trPr>
        <w:tc>
          <w:tcPr>
            <w:tcW w:w="1176" w:type="dxa"/>
            <w:tcBorders>
              <w:top w:val="dotted" w:sz="4" w:space="0" w:color="auto"/>
              <w:left w:val="nil"/>
              <w:bottom w:val="dotted" w:sz="4" w:space="0" w:color="auto"/>
              <w:right w:val="nil"/>
            </w:tcBorders>
            <w:shd w:val="clear" w:color="auto" w:fill="auto"/>
            <w:noWrap/>
            <w:vAlign w:val="center"/>
            <w:hideMark/>
          </w:tcPr>
          <w:p w14:paraId="6000F260" w14:textId="77777777" w:rsidR="00FC26E2" w:rsidRPr="00D53025" w:rsidRDefault="00FC26E2" w:rsidP="008C5150">
            <w:pPr>
              <w:spacing w:after="0"/>
              <w:rPr>
                <w:rFonts w:eastAsia="Times New Roman" w:cs="Arial"/>
                <w:color w:val="000000"/>
                <w:sz w:val="20"/>
                <w:szCs w:val="20"/>
                <w:lang w:eastAsia="en-AU"/>
              </w:rPr>
            </w:pPr>
            <w:r w:rsidRPr="00D53025">
              <w:rPr>
                <w:rFonts w:eastAsia="Times New Roman" w:cs="Arial"/>
                <w:color w:val="000000"/>
                <w:sz w:val="20"/>
                <w:szCs w:val="20"/>
                <w:lang w:eastAsia="en-AU"/>
              </w:rPr>
              <w:t>30/01/2023</w:t>
            </w:r>
          </w:p>
        </w:tc>
        <w:tc>
          <w:tcPr>
            <w:tcW w:w="1336" w:type="dxa"/>
            <w:tcBorders>
              <w:top w:val="dotted" w:sz="4" w:space="0" w:color="auto"/>
              <w:left w:val="nil"/>
              <w:bottom w:val="dotted" w:sz="4" w:space="0" w:color="auto"/>
              <w:right w:val="nil"/>
            </w:tcBorders>
            <w:shd w:val="clear" w:color="auto" w:fill="auto"/>
            <w:noWrap/>
            <w:vAlign w:val="center"/>
            <w:hideMark/>
          </w:tcPr>
          <w:p w14:paraId="1F5F3A93"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7</w:t>
            </w:r>
          </w:p>
        </w:tc>
        <w:tc>
          <w:tcPr>
            <w:tcW w:w="681" w:type="dxa"/>
            <w:tcBorders>
              <w:top w:val="dotted" w:sz="4" w:space="0" w:color="auto"/>
              <w:left w:val="nil"/>
              <w:bottom w:val="dotted" w:sz="4" w:space="0" w:color="auto"/>
              <w:right w:val="nil"/>
            </w:tcBorders>
            <w:shd w:val="clear" w:color="auto" w:fill="auto"/>
            <w:noWrap/>
            <w:vAlign w:val="center"/>
            <w:hideMark/>
          </w:tcPr>
          <w:p w14:paraId="2356C9E2"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AB21</w:t>
            </w:r>
          </w:p>
        </w:tc>
        <w:tc>
          <w:tcPr>
            <w:tcW w:w="1099" w:type="dxa"/>
            <w:tcBorders>
              <w:top w:val="dotted" w:sz="4" w:space="0" w:color="auto"/>
              <w:left w:val="nil"/>
              <w:bottom w:val="dotted" w:sz="4" w:space="0" w:color="auto"/>
              <w:right w:val="nil"/>
            </w:tcBorders>
            <w:shd w:val="clear" w:color="auto" w:fill="auto"/>
            <w:noWrap/>
            <w:vAlign w:val="center"/>
            <w:hideMark/>
          </w:tcPr>
          <w:p w14:paraId="538BAA95"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21:16</w:t>
            </w:r>
          </w:p>
        </w:tc>
        <w:tc>
          <w:tcPr>
            <w:tcW w:w="1839" w:type="dxa"/>
            <w:tcBorders>
              <w:top w:val="dotted" w:sz="4" w:space="0" w:color="auto"/>
              <w:left w:val="nil"/>
              <w:bottom w:val="dotted" w:sz="4" w:space="0" w:color="auto"/>
              <w:right w:val="nil"/>
            </w:tcBorders>
            <w:shd w:val="clear" w:color="auto" w:fill="auto"/>
            <w:noWrap/>
            <w:vAlign w:val="center"/>
            <w:hideMark/>
          </w:tcPr>
          <w:p w14:paraId="301BFAE9"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w:t>
            </w:r>
          </w:p>
        </w:tc>
      </w:tr>
      <w:tr w:rsidR="00FC26E2" w:rsidRPr="00593EDE" w14:paraId="2CA9FFF5" w14:textId="77777777" w:rsidTr="008C5150">
        <w:trPr>
          <w:trHeight w:val="252"/>
          <w:jc w:val="center"/>
        </w:trPr>
        <w:tc>
          <w:tcPr>
            <w:tcW w:w="1176" w:type="dxa"/>
            <w:tcBorders>
              <w:top w:val="dotted" w:sz="4" w:space="0" w:color="auto"/>
              <w:left w:val="nil"/>
              <w:bottom w:val="dotted" w:sz="4" w:space="0" w:color="auto"/>
              <w:right w:val="nil"/>
            </w:tcBorders>
            <w:shd w:val="clear" w:color="auto" w:fill="auto"/>
            <w:noWrap/>
            <w:vAlign w:val="center"/>
            <w:hideMark/>
          </w:tcPr>
          <w:p w14:paraId="021E72A2" w14:textId="77777777" w:rsidR="00FC26E2" w:rsidRPr="00D53025" w:rsidRDefault="00FC26E2" w:rsidP="008C5150">
            <w:pPr>
              <w:spacing w:after="0"/>
              <w:rPr>
                <w:rFonts w:eastAsia="Times New Roman" w:cs="Arial"/>
                <w:color w:val="000000"/>
                <w:sz w:val="20"/>
                <w:szCs w:val="20"/>
                <w:lang w:eastAsia="en-AU"/>
              </w:rPr>
            </w:pPr>
            <w:r w:rsidRPr="00D53025">
              <w:rPr>
                <w:rFonts w:eastAsia="Times New Roman" w:cs="Arial"/>
                <w:color w:val="000000"/>
                <w:sz w:val="20"/>
                <w:szCs w:val="20"/>
                <w:lang w:eastAsia="en-AU"/>
              </w:rPr>
              <w:t>30/01/2023</w:t>
            </w:r>
          </w:p>
        </w:tc>
        <w:tc>
          <w:tcPr>
            <w:tcW w:w="1336" w:type="dxa"/>
            <w:tcBorders>
              <w:top w:val="dotted" w:sz="4" w:space="0" w:color="auto"/>
              <w:left w:val="nil"/>
              <w:bottom w:val="dotted" w:sz="4" w:space="0" w:color="auto"/>
              <w:right w:val="nil"/>
            </w:tcBorders>
            <w:shd w:val="clear" w:color="auto" w:fill="auto"/>
            <w:noWrap/>
            <w:vAlign w:val="center"/>
            <w:hideMark/>
          </w:tcPr>
          <w:p w14:paraId="6520690C"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8</w:t>
            </w:r>
          </w:p>
        </w:tc>
        <w:tc>
          <w:tcPr>
            <w:tcW w:w="681" w:type="dxa"/>
            <w:tcBorders>
              <w:top w:val="dotted" w:sz="4" w:space="0" w:color="auto"/>
              <w:left w:val="nil"/>
              <w:bottom w:val="dotted" w:sz="4" w:space="0" w:color="auto"/>
              <w:right w:val="nil"/>
            </w:tcBorders>
            <w:shd w:val="clear" w:color="auto" w:fill="auto"/>
            <w:noWrap/>
            <w:vAlign w:val="center"/>
            <w:hideMark/>
          </w:tcPr>
          <w:p w14:paraId="276AD40B"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AB19</w:t>
            </w:r>
          </w:p>
        </w:tc>
        <w:tc>
          <w:tcPr>
            <w:tcW w:w="1099" w:type="dxa"/>
            <w:tcBorders>
              <w:top w:val="dotted" w:sz="4" w:space="0" w:color="auto"/>
              <w:left w:val="nil"/>
              <w:bottom w:val="dotted" w:sz="4" w:space="0" w:color="auto"/>
              <w:right w:val="nil"/>
            </w:tcBorders>
            <w:shd w:val="clear" w:color="auto" w:fill="auto"/>
            <w:noWrap/>
            <w:vAlign w:val="center"/>
            <w:hideMark/>
          </w:tcPr>
          <w:p w14:paraId="48557CF1"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22:12</w:t>
            </w:r>
          </w:p>
        </w:tc>
        <w:tc>
          <w:tcPr>
            <w:tcW w:w="1839" w:type="dxa"/>
            <w:tcBorders>
              <w:top w:val="dotted" w:sz="4" w:space="0" w:color="auto"/>
              <w:left w:val="nil"/>
              <w:bottom w:val="dotted" w:sz="4" w:space="0" w:color="auto"/>
              <w:right w:val="nil"/>
            </w:tcBorders>
            <w:shd w:val="clear" w:color="auto" w:fill="auto"/>
            <w:noWrap/>
            <w:vAlign w:val="center"/>
            <w:hideMark/>
          </w:tcPr>
          <w:p w14:paraId="12A70651"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w:t>
            </w:r>
          </w:p>
        </w:tc>
      </w:tr>
      <w:tr w:rsidR="00FC26E2" w:rsidRPr="00593EDE" w14:paraId="1112A89E" w14:textId="77777777" w:rsidTr="008C5150">
        <w:trPr>
          <w:trHeight w:val="252"/>
          <w:jc w:val="center"/>
        </w:trPr>
        <w:tc>
          <w:tcPr>
            <w:tcW w:w="1176" w:type="dxa"/>
            <w:tcBorders>
              <w:top w:val="dotted" w:sz="4" w:space="0" w:color="auto"/>
              <w:left w:val="nil"/>
              <w:bottom w:val="dotted" w:sz="4" w:space="0" w:color="auto"/>
              <w:right w:val="nil"/>
            </w:tcBorders>
            <w:shd w:val="clear" w:color="auto" w:fill="auto"/>
            <w:noWrap/>
            <w:vAlign w:val="center"/>
            <w:hideMark/>
          </w:tcPr>
          <w:p w14:paraId="10CD2C21" w14:textId="77777777" w:rsidR="00FC26E2" w:rsidRPr="00D53025" w:rsidRDefault="00FC26E2" w:rsidP="008C5150">
            <w:pPr>
              <w:spacing w:after="0"/>
              <w:rPr>
                <w:rFonts w:eastAsia="Times New Roman" w:cs="Arial"/>
                <w:color w:val="000000"/>
                <w:sz w:val="20"/>
                <w:szCs w:val="20"/>
                <w:lang w:eastAsia="en-AU"/>
              </w:rPr>
            </w:pPr>
            <w:r w:rsidRPr="00D53025">
              <w:rPr>
                <w:rFonts w:eastAsia="Times New Roman" w:cs="Arial"/>
                <w:color w:val="000000"/>
                <w:sz w:val="20"/>
                <w:szCs w:val="20"/>
                <w:lang w:eastAsia="en-AU"/>
              </w:rPr>
              <w:t>30/01/2023</w:t>
            </w:r>
          </w:p>
        </w:tc>
        <w:tc>
          <w:tcPr>
            <w:tcW w:w="1336" w:type="dxa"/>
            <w:tcBorders>
              <w:top w:val="dotted" w:sz="4" w:space="0" w:color="auto"/>
              <w:left w:val="nil"/>
              <w:bottom w:val="dotted" w:sz="4" w:space="0" w:color="auto"/>
              <w:right w:val="nil"/>
            </w:tcBorders>
            <w:shd w:val="clear" w:color="auto" w:fill="auto"/>
            <w:noWrap/>
            <w:vAlign w:val="center"/>
            <w:hideMark/>
          </w:tcPr>
          <w:p w14:paraId="2A22A476"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9</w:t>
            </w:r>
          </w:p>
        </w:tc>
        <w:tc>
          <w:tcPr>
            <w:tcW w:w="681" w:type="dxa"/>
            <w:tcBorders>
              <w:top w:val="dotted" w:sz="4" w:space="0" w:color="auto"/>
              <w:left w:val="nil"/>
              <w:bottom w:val="dotted" w:sz="4" w:space="0" w:color="auto"/>
              <w:right w:val="nil"/>
            </w:tcBorders>
            <w:shd w:val="clear" w:color="auto" w:fill="auto"/>
            <w:noWrap/>
            <w:vAlign w:val="center"/>
            <w:hideMark/>
          </w:tcPr>
          <w:p w14:paraId="0E0C1EBC"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AB18</w:t>
            </w:r>
          </w:p>
        </w:tc>
        <w:tc>
          <w:tcPr>
            <w:tcW w:w="1099" w:type="dxa"/>
            <w:tcBorders>
              <w:top w:val="dotted" w:sz="4" w:space="0" w:color="auto"/>
              <w:left w:val="nil"/>
              <w:bottom w:val="dotted" w:sz="4" w:space="0" w:color="auto"/>
              <w:right w:val="nil"/>
            </w:tcBorders>
            <w:shd w:val="clear" w:color="auto" w:fill="auto"/>
            <w:noWrap/>
            <w:vAlign w:val="center"/>
            <w:hideMark/>
          </w:tcPr>
          <w:p w14:paraId="0203B9F0"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22:47</w:t>
            </w:r>
          </w:p>
        </w:tc>
        <w:tc>
          <w:tcPr>
            <w:tcW w:w="1839" w:type="dxa"/>
            <w:tcBorders>
              <w:top w:val="dotted" w:sz="4" w:space="0" w:color="auto"/>
              <w:left w:val="nil"/>
              <w:bottom w:val="dotted" w:sz="4" w:space="0" w:color="auto"/>
              <w:right w:val="nil"/>
            </w:tcBorders>
            <w:shd w:val="clear" w:color="auto" w:fill="auto"/>
            <w:noWrap/>
            <w:vAlign w:val="center"/>
            <w:hideMark/>
          </w:tcPr>
          <w:p w14:paraId="6400E308"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w:t>
            </w:r>
          </w:p>
        </w:tc>
      </w:tr>
      <w:tr w:rsidR="00FC26E2" w:rsidRPr="00593EDE" w14:paraId="666B9E3E" w14:textId="77777777" w:rsidTr="008C5150">
        <w:trPr>
          <w:trHeight w:val="252"/>
          <w:jc w:val="center"/>
        </w:trPr>
        <w:tc>
          <w:tcPr>
            <w:tcW w:w="1176" w:type="dxa"/>
            <w:tcBorders>
              <w:top w:val="dotted" w:sz="4" w:space="0" w:color="auto"/>
              <w:left w:val="nil"/>
              <w:bottom w:val="dotted" w:sz="4" w:space="0" w:color="auto"/>
              <w:right w:val="nil"/>
            </w:tcBorders>
            <w:shd w:val="clear" w:color="auto" w:fill="auto"/>
            <w:noWrap/>
            <w:vAlign w:val="center"/>
            <w:hideMark/>
          </w:tcPr>
          <w:p w14:paraId="13DB5F70" w14:textId="77777777" w:rsidR="00FC26E2" w:rsidRPr="00D53025" w:rsidRDefault="00FC26E2" w:rsidP="008C5150">
            <w:pPr>
              <w:spacing w:after="0"/>
              <w:rPr>
                <w:rFonts w:eastAsia="Times New Roman" w:cs="Arial"/>
                <w:color w:val="000000"/>
                <w:sz w:val="20"/>
                <w:szCs w:val="20"/>
                <w:lang w:eastAsia="en-AU"/>
              </w:rPr>
            </w:pPr>
            <w:r w:rsidRPr="00D53025">
              <w:rPr>
                <w:rFonts w:eastAsia="Times New Roman" w:cs="Arial"/>
                <w:color w:val="000000"/>
                <w:sz w:val="20"/>
                <w:szCs w:val="20"/>
                <w:lang w:eastAsia="en-AU"/>
              </w:rPr>
              <w:t>3</w:t>
            </w:r>
            <w:r w:rsidRPr="00593EDE">
              <w:rPr>
                <w:rFonts w:eastAsia="Times New Roman" w:cs="Arial"/>
                <w:color w:val="000000"/>
                <w:sz w:val="20"/>
                <w:szCs w:val="20"/>
                <w:lang w:eastAsia="en-AU"/>
              </w:rPr>
              <w:t>1</w:t>
            </w:r>
            <w:r w:rsidRPr="00D53025">
              <w:rPr>
                <w:rFonts w:eastAsia="Times New Roman" w:cs="Arial"/>
                <w:color w:val="000000"/>
                <w:sz w:val="20"/>
                <w:szCs w:val="20"/>
                <w:lang w:eastAsia="en-AU"/>
              </w:rPr>
              <w:t>/01/2023</w:t>
            </w:r>
          </w:p>
        </w:tc>
        <w:tc>
          <w:tcPr>
            <w:tcW w:w="1336" w:type="dxa"/>
            <w:tcBorders>
              <w:top w:val="dotted" w:sz="4" w:space="0" w:color="auto"/>
              <w:left w:val="nil"/>
              <w:bottom w:val="dotted" w:sz="4" w:space="0" w:color="auto"/>
              <w:right w:val="nil"/>
            </w:tcBorders>
            <w:shd w:val="clear" w:color="auto" w:fill="auto"/>
            <w:noWrap/>
            <w:vAlign w:val="center"/>
            <w:hideMark/>
          </w:tcPr>
          <w:p w14:paraId="61E8FB57"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10</w:t>
            </w:r>
          </w:p>
        </w:tc>
        <w:tc>
          <w:tcPr>
            <w:tcW w:w="681" w:type="dxa"/>
            <w:tcBorders>
              <w:top w:val="dotted" w:sz="4" w:space="0" w:color="auto"/>
              <w:left w:val="nil"/>
              <w:bottom w:val="dotted" w:sz="4" w:space="0" w:color="auto"/>
              <w:right w:val="nil"/>
            </w:tcBorders>
            <w:shd w:val="clear" w:color="auto" w:fill="auto"/>
            <w:noWrap/>
            <w:vAlign w:val="center"/>
            <w:hideMark/>
          </w:tcPr>
          <w:p w14:paraId="41FF2687"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AB29</w:t>
            </w:r>
          </w:p>
        </w:tc>
        <w:tc>
          <w:tcPr>
            <w:tcW w:w="1099" w:type="dxa"/>
            <w:tcBorders>
              <w:top w:val="dotted" w:sz="4" w:space="0" w:color="auto"/>
              <w:left w:val="nil"/>
              <w:bottom w:val="dotted" w:sz="4" w:space="0" w:color="auto"/>
              <w:right w:val="nil"/>
            </w:tcBorders>
            <w:shd w:val="clear" w:color="auto" w:fill="auto"/>
            <w:noWrap/>
            <w:vAlign w:val="center"/>
            <w:hideMark/>
          </w:tcPr>
          <w:p w14:paraId="7475CE6C"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2:00</w:t>
            </w:r>
          </w:p>
        </w:tc>
        <w:tc>
          <w:tcPr>
            <w:tcW w:w="1839" w:type="dxa"/>
            <w:tcBorders>
              <w:top w:val="dotted" w:sz="4" w:space="0" w:color="auto"/>
              <w:left w:val="nil"/>
              <w:bottom w:val="dotted" w:sz="4" w:space="0" w:color="auto"/>
              <w:right w:val="nil"/>
            </w:tcBorders>
            <w:shd w:val="clear" w:color="auto" w:fill="auto"/>
            <w:noWrap/>
            <w:vAlign w:val="center"/>
            <w:hideMark/>
          </w:tcPr>
          <w:p w14:paraId="667D0D14"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w:t>
            </w:r>
          </w:p>
        </w:tc>
      </w:tr>
      <w:tr w:rsidR="00FC26E2" w:rsidRPr="00593EDE" w14:paraId="3EBFA9B0" w14:textId="77777777" w:rsidTr="008C5150">
        <w:trPr>
          <w:trHeight w:val="252"/>
          <w:jc w:val="center"/>
        </w:trPr>
        <w:tc>
          <w:tcPr>
            <w:tcW w:w="1176" w:type="dxa"/>
            <w:tcBorders>
              <w:top w:val="dotted" w:sz="4" w:space="0" w:color="auto"/>
              <w:left w:val="nil"/>
              <w:bottom w:val="dotted" w:sz="4" w:space="0" w:color="auto"/>
              <w:right w:val="nil"/>
            </w:tcBorders>
            <w:shd w:val="clear" w:color="auto" w:fill="auto"/>
            <w:noWrap/>
            <w:vAlign w:val="center"/>
            <w:hideMark/>
          </w:tcPr>
          <w:p w14:paraId="49A29288" w14:textId="77777777" w:rsidR="00FC26E2" w:rsidRPr="00D53025" w:rsidRDefault="00FC26E2" w:rsidP="008C5150">
            <w:pPr>
              <w:spacing w:after="0"/>
              <w:rPr>
                <w:rFonts w:eastAsia="Times New Roman" w:cs="Arial"/>
                <w:color w:val="000000"/>
                <w:sz w:val="20"/>
                <w:szCs w:val="20"/>
                <w:lang w:eastAsia="en-AU"/>
              </w:rPr>
            </w:pPr>
            <w:r w:rsidRPr="00D53025">
              <w:rPr>
                <w:rFonts w:eastAsia="Times New Roman" w:cs="Arial"/>
                <w:color w:val="000000"/>
                <w:sz w:val="20"/>
                <w:szCs w:val="20"/>
                <w:lang w:eastAsia="en-AU"/>
              </w:rPr>
              <w:t>3</w:t>
            </w:r>
            <w:r w:rsidRPr="00593EDE">
              <w:rPr>
                <w:rFonts w:eastAsia="Times New Roman" w:cs="Arial"/>
                <w:color w:val="000000"/>
                <w:sz w:val="20"/>
                <w:szCs w:val="20"/>
                <w:lang w:eastAsia="en-AU"/>
              </w:rPr>
              <w:t>1</w:t>
            </w:r>
            <w:r w:rsidRPr="00D53025">
              <w:rPr>
                <w:rFonts w:eastAsia="Times New Roman" w:cs="Arial"/>
                <w:color w:val="000000"/>
                <w:sz w:val="20"/>
                <w:szCs w:val="20"/>
                <w:lang w:eastAsia="en-AU"/>
              </w:rPr>
              <w:t>/01/2023</w:t>
            </w:r>
          </w:p>
        </w:tc>
        <w:tc>
          <w:tcPr>
            <w:tcW w:w="1336" w:type="dxa"/>
            <w:tcBorders>
              <w:top w:val="dotted" w:sz="4" w:space="0" w:color="auto"/>
              <w:left w:val="nil"/>
              <w:bottom w:val="dotted" w:sz="4" w:space="0" w:color="auto"/>
              <w:right w:val="nil"/>
            </w:tcBorders>
            <w:shd w:val="clear" w:color="auto" w:fill="auto"/>
            <w:noWrap/>
            <w:vAlign w:val="center"/>
            <w:hideMark/>
          </w:tcPr>
          <w:p w14:paraId="7CDC355B"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11</w:t>
            </w:r>
          </w:p>
        </w:tc>
        <w:tc>
          <w:tcPr>
            <w:tcW w:w="681" w:type="dxa"/>
            <w:tcBorders>
              <w:top w:val="dotted" w:sz="4" w:space="0" w:color="auto"/>
              <w:left w:val="nil"/>
              <w:bottom w:val="dotted" w:sz="4" w:space="0" w:color="auto"/>
              <w:right w:val="nil"/>
            </w:tcBorders>
            <w:shd w:val="clear" w:color="auto" w:fill="auto"/>
            <w:noWrap/>
            <w:vAlign w:val="center"/>
            <w:hideMark/>
          </w:tcPr>
          <w:p w14:paraId="26F7EEFA"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AB2</w:t>
            </w:r>
          </w:p>
        </w:tc>
        <w:tc>
          <w:tcPr>
            <w:tcW w:w="1099" w:type="dxa"/>
            <w:tcBorders>
              <w:top w:val="dotted" w:sz="4" w:space="0" w:color="auto"/>
              <w:left w:val="nil"/>
              <w:bottom w:val="dotted" w:sz="4" w:space="0" w:color="auto"/>
              <w:right w:val="nil"/>
            </w:tcBorders>
            <w:shd w:val="clear" w:color="auto" w:fill="auto"/>
            <w:noWrap/>
            <w:vAlign w:val="center"/>
            <w:hideMark/>
          </w:tcPr>
          <w:p w14:paraId="1097BDAC"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2:43</w:t>
            </w:r>
          </w:p>
        </w:tc>
        <w:tc>
          <w:tcPr>
            <w:tcW w:w="1839" w:type="dxa"/>
            <w:tcBorders>
              <w:top w:val="dotted" w:sz="4" w:space="0" w:color="auto"/>
              <w:left w:val="nil"/>
              <w:bottom w:val="dotted" w:sz="4" w:space="0" w:color="auto"/>
              <w:right w:val="nil"/>
            </w:tcBorders>
            <w:shd w:val="clear" w:color="auto" w:fill="auto"/>
            <w:noWrap/>
            <w:vAlign w:val="center"/>
            <w:hideMark/>
          </w:tcPr>
          <w:p w14:paraId="28542296"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w:t>
            </w:r>
          </w:p>
        </w:tc>
      </w:tr>
      <w:tr w:rsidR="00FC26E2" w:rsidRPr="00593EDE" w14:paraId="095294F9" w14:textId="77777777" w:rsidTr="008C5150">
        <w:trPr>
          <w:trHeight w:val="252"/>
          <w:jc w:val="center"/>
        </w:trPr>
        <w:tc>
          <w:tcPr>
            <w:tcW w:w="1176" w:type="dxa"/>
            <w:tcBorders>
              <w:top w:val="dotted" w:sz="4" w:space="0" w:color="auto"/>
              <w:left w:val="nil"/>
              <w:bottom w:val="dotted" w:sz="4" w:space="0" w:color="auto"/>
              <w:right w:val="nil"/>
            </w:tcBorders>
            <w:shd w:val="clear" w:color="auto" w:fill="auto"/>
            <w:noWrap/>
            <w:vAlign w:val="center"/>
            <w:hideMark/>
          </w:tcPr>
          <w:p w14:paraId="59DD8C91" w14:textId="77777777" w:rsidR="00FC26E2" w:rsidRPr="00D53025" w:rsidRDefault="00FC26E2" w:rsidP="008C5150">
            <w:pPr>
              <w:spacing w:after="0"/>
              <w:rPr>
                <w:rFonts w:eastAsia="Times New Roman" w:cs="Arial"/>
                <w:color w:val="000000"/>
                <w:sz w:val="20"/>
                <w:szCs w:val="20"/>
                <w:lang w:eastAsia="en-AU"/>
              </w:rPr>
            </w:pPr>
            <w:r w:rsidRPr="00D53025">
              <w:rPr>
                <w:rFonts w:eastAsia="Times New Roman" w:cs="Arial"/>
                <w:color w:val="000000"/>
                <w:sz w:val="20"/>
                <w:szCs w:val="20"/>
                <w:lang w:eastAsia="en-AU"/>
              </w:rPr>
              <w:t>3</w:t>
            </w:r>
            <w:r w:rsidRPr="00593EDE">
              <w:rPr>
                <w:rFonts w:eastAsia="Times New Roman" w:cs="Arial"/>
                <w:color w:val="000000"/>
                <w:sz w:val="20"/>
                <w:szCs w:val="20"/>
                <w:lang w:eastAsia="en-AU"/>
              </w:rPr>
              <w:t>1</w:t>
            </w:r>
            <w:r w:rsidRPr="00D53025">
              <w:rPr>
                <w:rFonts w:eastAsia="Times New Roman" w:cs="Arial"/>
                <w:color w:val="000000"/>
                <w:sz w:val="20"/>
                <w:szCs w:val="20"/>
                <w:lang w:eastAsia="en-AU"/>
              </w:rPr>
              <w:t>/01/2023</w:t>
            </w:r>
          </w:p>
        </w:tc>
        <w:tc>
          <w:tcPr>
            <w:tcW w:w="1336" w:type="dxa"/>
            <w:tcBorders>
              <w:top w:val="dotted" w:sz="4" w:space="0" w:color="auto"/>
              <w:left w:val="nil"/>
              <w:bottom w:val="dotted" w:sz="4" w:space="0" w:color="auto"/>
              <w:right w:val="nil"/>
            </w:tcBorders>
            <w:shd w:val="clear" w:color="auto" w:fill="auto"/>
            <w:noWrap/>
            <w:vAlign w:val="center"/>
            <w:hideMark/>
          </w:tcPr>
          <w:p w14:paraId="23668965"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12</w:t>
            </w:r>
          </w:p>
        </w:tc>
        <w:tc>
          <w:tcPr>
            <w:tcW w:w="681" w:type="dxa"/>
            <w:tcBorders>
              <w:top w:val="dotted" w:sz="4" w:space="0" w:color="auto"/>
              <w:left w:val="nil"/>
              <w:bottom w:val="dotted" w:sz="4" w:space="0" w:color="auto"/>
              <w:right w:val="nil"/>
            </w:tcBorders>
            <w:shd w:val="clear" w:color="auto" w:fill="auto"/>
            <w:noWrap/>
            <w:vAlign w:val="center"/>
            <w:hideMark/>
          </w:tcPr>
          <w:p w14:paraId="2FB19EB1"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AB6</w:t>
            </w:r>
          </w:p>
        </w:tc>
        <w:tc>
          <w:tcPr>
            <w:tcW w:w="1099" w:type="dxa"/>
            <w:tcBorders>
              <w:top w:val="dotted" w:sz="4" w:space="0" w:color="auto"/>
              <w:left w:val="nil"/>
              <w:bottom w:val="dotted" w:sz="4" w:space="0" w:color="auto"/>
              <w:right w:val="nil"/>
            </w:tcBorders>
            <w:shd w:val="clear" w:color="auto" w:fill="auto"/>
            <w:noWrap/>
            <w:vAlign w:val="center"/>
            <w:hideMark/>
          </w:tcPr>
          <w:p w14:paraId="4C21AC37"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4:10</w:t>
            </w:r>
          </w:p>
        </w:tc>
        <w:tc>
          <w:tcPr>
            <w:tcW w:w="1839" w:type="dxa"/>
            <w:tcBorders>
              <w:top w:val="dotted" w:sz="4" w:space="0" w:color="auto"/>
              <w:left w:val="nil"/>
              <w:bottom w:val="dotted" w:sz="4" w:space="0" w:color="auto"/>
              <w:right w:val="nil"/>
            </w:tcBorders>
            <w:shd w:val="clear" w:color="auto" w:fill="auto"/>
            <w:noWrap/>
            <w:vAlign w:val="center"/>
            <w:hideMark/>
          </w:tcPr>
          <w:p w14:paraId="42D8917F"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w:t>
            </w:r>
          </w:p>
        </w:tc>
      </w:tr>
      <w:tr w:rsidR="00FC26E2" w:rsidRPr="00593EDE" w14:paraId="1F6C2B05" w14:textId="77777777" w:rsidTr="008C5150">
        <w:trPr>
          <w:trHeight w:val="252"/>
          <w:jc w:val="center"/>
        </w:trPr>
        <w:tc>
          <w:tcPr>
            <w:tcW w:w="1176" w:type="dxa"/>
            <w:tcBorders>
              <w:top w:val="dotted" w:sz="4" w:space="0" w:color="auto"/>
              <w:left w:val="nil"/>
              <w:bottom w:val="dotted" w:sz="4" w:space="0" w:color="auto"/>
              <w:right w:val="nil"/>
            </w:tcBorders>
            <w:shd w:val="clear" w:color="auto" w:fill="auto"/>
            <w:noWrap/>
            <w:vAlign w:val="center"/>
            <w:hideMark/>
          </w:tcPr>
          <w:p w14:paraId="4029D425" w14:textId="77777777" w:rsidR="00FC26E2" w:rsidRPr="00D53025" w:rsidRDefault="00FC26E2" w:rsidP="008C5150">
            <w:pPr>
              <w:spacing w:after="0"/>
              <w:rPr>
                <w:rFonts w:eastAsia="Times New Roman" w:cs="Arial"/>
                <w:color w:val="000000"/>
                <w:sz w:val="20"/>
                <w:szCs w:val="20"/>
                <w:lang w:eastAsia="en-AU"/>
              </w:rPr>
            </w:pPr>
            <w:r w:rsidRPr="00D53025">
              <w:rPr>
                <w:rFonts w:eastAsia="Times New Roman" w:cs="Arial"/>
                <w:color w:val="000000"/>
                <w:sz w:val="20"/>
                <w:szCs w:val="20"/>
                <w:lang w:eastAsia="en-AU"/>
              </w:rPr>
              <w:t>3</w:t>
            </w:r>
            <w:r w:rsidRPr="00593EDE">
              <w:rPr>
                <w:rFonts w:eastAsia="Times New Roman" w:cs="Arial"/>
                <w:color w:val="000000"/>
                <w:sz w:val="20"/>
                <w:szCs w:val="20"/>
                <w:lang w:eastAsia="en-AU"/>
              </w:rPr>
              <w:t>1</w:t>
            </w:r>
            <w:r w:rsidRPr="00D53025">
              <w:rPr>
                <w:rFonts w:eastAsia="Times New Roman" w:cs="Arial"/>
                <w:color w:val="000000"/>
                <w:sz w:val="20"/>
                <w:szCs w:val="20"/>
                <w:lang w:eastAsia="en-AU"/>
              </w:rPr>
              <w:t>/01/2023</w:t>
            </w:r>
          </w:p>
        </w:tc>
        <w:tc>
          <w:tcPr>
            <w:tcW w:w="1336" w:type="dxa"/>
            <w:tcBorders>
              <w:top w:val="dotted" w:sz="4" w:space="0" w:color="auto"/>
              <w:left w:val="nil"/>
              <w:bottom w:val="dotted" w:sz="4" w:space="0" w:color="auto"/>
              <w:right w:val="nil"/>
            </w:tcBorders>
            <w:shd w:val="clear" w:color="auto" w:fill="auto"/>
            <w:noWrap/>
            <w:vAlign w:val="center"/>
            <w:hideMark/>
          </w:tcPr>
          <w:p w14:paraId="1FBC786B"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13</w:t>
            </w:r>
          </w:p>
        </w:tc>
        <w:tc>
          <w:tcPr>
            <w:tcW w:w="681" w:type="dxa"/>
            <w:tcBorders>
              <w:top w:val="dotted" w:sz="4" w:space="0" w:color="auto"/>
              <w:left w:val="nil"/>
              <w:bottom w:val="dotted" w:sz="4" w:space="0" w:color="auto"/>
              <w:right w:val="nil"/>
            </w:tcBorders>
            <w:shd w:val="clear" w:color="auto" w:fill="auto"/>
            <w:noWrap/>
            <w:vAlign w:val="center"/>
            <w:hideMark/>
          </w:tcPr>
          <w:p w14:paraId="1C6466B5"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AB7</w:t>
            </w:r>
          </w:p>
        </w:tc>
        <w:tc>
          <w:tcPr>
            <w:tcW w:w="1099" w:type="dxa"/>
            <w:tcBorders>
              <w:top w:val="dotted" w:sz="4" w:space="0" w:color="auto"/>
              <w:left w:val="nil"/>
              <w:bottom w:val="dotted" w:sz="4" w:space="0" w:color="auto"/>
              <w:right w:val="nil"/>
            </w:tcBorders>
            <w:shd w:val="clear" w:color="auto" w:fill="auto"/>
            <w:noWrap/>
            <w:vAlign w:val="center"/>
            <w:hideMark/>
          </w:tcPr>
          <w:p w14:paraId="52C4EC51"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4:52</w:t>
            </w:r>
          </w:p>
        </w:tc>
        <w:tc>
          <w:tcPr>
            <w:tcW w:w="1839" w:type="dxa"/>
            <w:tcBorders>
              <w:top w:val="dotted" w:sz="4" w:space="0" w:color="auto"/>
              <w:left w:val="nil"/>
              <w:bottom w:val="dotted" w:sz="4" w:space="0" w:color="auto"/>
              <w:right w:val="nil"/>
            </w:tcBorders>
            <w:shd w:val="clear" w:color="auto" w:fill="auto"/>
            <w:noWrap/>
            <w:vAlign w:val="center"/>
            <w:hideMark/>
          </w:tcPr>
          <w:p w14:paraId="67AAD2F7"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w:t>
            </w:r>
          </w:p>
        </w:tc>
      </w:tr>
      <w:tr w:rsidR="00FC26E2" w:rsidRPr="00593EDE" w14:paraId="2220EC7B" w14:textId="77777777" w:rsidTr="008C5150">
        <w:trPr>
          <w:trHeight w:val="252"/>
          <w:jc w:val="center"/>
        </w:trPr>
        <w:tc>
          <w:tcPr>
            <w:tcW w:w="1176" w:type="dxa"/>
            <w:tcBorders>
              <w:top w:val="dotted" w:sz="4" w:space="0" w:color="auto"/>
              <w:left w:val="nil"/>
              <w:bottom w:val="dotted" w:sz="4" w:space="0" w:color="auto"/>
              <w:right w:val="nil"/>
            </w:tcBorders>
            <w:shd w:val="clear" w:color="auto" w:fill="auto"/>
            <w:noWrap/>
            <w:vAlign w:val="center"/>
            <w:hideMark/>
          </w:tcPr>
          <w:p w14:paraId="13BB17C4" w14:textId="77777777" w:rsidR="00FC26E2" w:rsidRPr="00D53025" w:rsidRDefault="00FC26E2" w:rsidP="008C5150">
            <w:pPr>
              <w:spacing w:after="0"/>
              <w:rPr>
                <w:rFonts w:eastAsia="Times New Roman" w:cs="Arial"/>
                <w:color w:val="000000"/>
                <w:sz w:val="20"/>
                <w:szCs w:val="20"/>
                <w:lang w:eastAsia="en-AU"/>
              </w:rPr>
            </w:pPr>
            <w:r w:rsidRPr="00D53025">
              <w:rPr>
                <w:rFonts w:eastAsia="Times New Roman" w:cs="Arial"/>
                <w:color w:val="000000"/>
                <w:sz w:val="20"/>
                <w:szCs w:val="20"/>
                <w:lang w:eastAsia="en-AU"/>
              </w:rPr>
              <w:t>3</w:t>
            </w:r>
            <w:r w:rsidRPr="00593EDE">
              <w:rPr>
                <w:rFonts w:eastAsia="Times New Roman" w:cs="Arial"/>
                <w:color w:val="000000"/>
                <w:sz w:val="20"/>
                <w:szCs w:val="20"/>
                <w:lang w:eastAsia="en-AU"/>
              </w:rPr>
              <w:t>1</w:t>
            </w:r>
            <w:r w:rsidRPr="00D53025">
              <w:rPr>
                <w:rFonts w:eastAsia="Times New Roman" w:cs="Arial"/>
                <w:color w:val="000000"/>
                <w:sz w:val="20"/>
                <w:szCs w:val="20"/>
                <w:lang w:eastAsia="en-AU"/>
              </w:rPr>
              <w:t>/01/2023</w:t>
            </w:r>
          </w:p>
        </w:tc>
        <w:tc>
          <w:tcPr>
            <w:tcW w:w="1336" w:type="dxa"/>
            <w:tcBorders>
              <w:top w:val="dotted" w:sz="4" w:space="0" w:color="auto"/>
              <w:left w:val="nil"/>
              <w:bottom w:val="dotted" w:sz="4" w:space="0" w:color="auto"/>
              <w:right w:val="nil"/>
            </w:tcBorders>
            <w:shd w:val="clear" w:color="auto" w:fill="auto"/>
            <w:noWrap/>
            <w:vAlign w:val="center"/>
            <w:hideMark/>
          </w:tcPr>
          <w:p w14:paraId="0B8B6F7B"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14</w:t>
            </w:r>
          </w:p>
        </w:tc>
        <w:tc>
          <w:tcPr>
            <w:tcW w:w="681" w:type="dxa"/>
            <w:tcBorders>
              <w:top w:val="dotted" w:sz="4" w:space="0" w:color="auto"/>
              <w:left w:val="nil"/>
              <w:bottom w:val="dotted" w:sz="4" w:space="0" w:color="auto"/>
              <w:right w:val="nil"/>
            </w:tcBorders>
            <w:shd w:val="clear" w:color="auto" w:fill="auto"/>
            <w:noWrap/>
            <w:vAlign w:val="center"/>
            <w:hideMark/>
          </w:tcPr>
          <w:p w14:paraId="7F407AC7"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AB7</w:t>
            </w:r>
          </w:p>
        </w:tc>
        <w:tc>
          <w:tcPr>
            <w:tcW w:w="1099" w:type="dxa"/>
            <w:tcBorders>
              <w:top w:val="dotted" w:sz="4" w:space="0" w:color="auto"/>
              <w:left w:val="nil"/>
              <w:bottom w:val="dotted" w:sz="4" w:space="0" w:color="auto"/>
              <w:right w:val="nil"/>
            </w:tcBorders>
            <w:shd w:val="clear" w:color="auto" w:fill="auto"/>
            <w:noWrap/>
            <w:vAlign w:val="center"/>
            <w:hideMark/>
          </w:tcPr>
          <w:p w14:paraId="67B30DDD"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5:58</w:t>
            </w:r>
          </w:p>
        </w:tc>
        <w:tc>
          <w:tcPr>
            <w:tcW w:w="1839" w:type="dxa"/>
            <w:tcBorders>
              <w:top w:val="dotted" w:sz="4" w:space="0" w:color="auto"/>
              <w:left w:val="nil"/>
              <w:bottom w:val="dotted" w:sz="4" w:space="0" w:color="auto"/>
              <w:right w:val="nil"/>
            </w:tcBorders>
            <w:shd w:val="clear" w:color="auto" w:fill="auto"/>
            <w:noWrap/>
            <w:vAlign w:val="center"/>
            <w:hideMark/>
          </w:tcPr>
          <w:p w14:paraId="5B27D4F0"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w:t>
            </w:r>
          </w:p>
        </w:tc>
      </w:tr>
      <w:tr w:rsidR="00FC26E2" w:rsidRPr="00593EDE" w14:paraId="6B1F7646" w14:textId="77777777" w:rsidTr="008C5150">
        <w:trPr>
          <w:trHeight w:val="252"/>
          <w:jc w:val="center"/>
        </w:trPr>
        <w:tc>
          <w:tcPr>
            <w:tcW w:w="1176" w:type="dxa"/>
            <w:tcBorders>
              <w:top w:val="dotted" w:sz="4" w:space="0" w:color="auto"/>
              <w:left w:val="nil"/>
              <w:bottom w:val="dotted" w:sz="4" w:space="0" w:color="auto"/>
              <w:right w:val="nil"/>
            </w:tcBorders>
            <w:shd w:val="clear" w:color="auto" w:fill="auto"/>
            <w:noWrap/>
            <w:vAlign w:val="center"/>
            <w:hideMark/>
          </w:tcPr>
          <w:p w14:paraId="641CF6BC" w14:textId="77777777" w:rsidR="00FC26E2" w:rsidRPr="00D53025" w:rsidRDefault="00FC26E2" w:rsidP="008C5150">
            <w:pPr>
              <w:spacing w:after="0"/>
              <w:rPr>
                <w:rFonts w:eastAsia="Times New Roman" w:cs="Arial"/>
                <w:color w:val="000000"/>
                <w:sz w:val="20"/>
                <w:szCs w:val="20"/>
                <w:lang w:eastAsia="en-AU"/>
              </w:rPr>
            </w:pPr>
            <w:r w:rsidRPr="00D53025">
              <w:rPr>
                <w:rFonts w:eastAsia="Times New Roman" w:cs="Arial"/>
                <w:color w:val="000000"/>
                <w:sz w:val="20"/>
                <w:szCs w:val="20"/>
                <w:lang w:eastAsia="en-AU"/>
              </w:rPr>
              <w:t>3</w:t>
            </w:r>
            <w:r w:rsidRPr="00593EDE">
              <w:rPr>
                <w:rFonts w:eastAsia="Times New Roman" w:cs="Arial"/>
                <w:color w:val="000000"/>
                <w:sz w:val="20"/>
                <w:szCs w:val="20"/>
                <w:lang w:eastAsia="en-AU"/>
              </w:rPr>
              <w:t>1</w:t>
            </w:r>
            <w:r w:rsidRPr="00D53025">
              <w:rPr>
                <w:rFonts w:eastAsia="Times New Roman" w:cs="Arial"/>
                <w:color w:val="000000"/>
                <w:sz w:val="20"/>
                <w:szCs w:val="20"/>
                <w:lang w:eastAsia="en-AU"/>
              </w:rPr>
              <w:t>/01/2023</w:t>
            </w:r>
          </w:p>
        </w:tc>
        <w:tc>
          <w:tcPr>
            <w:tcW w:w="1336" w:type="dxa"/>
            <w:tcBorders>
              <w:top w:val="dotted" w:sz="4" w:space="0" w:color="auto"/>
              <w:left w:val="nil"/>
              <w:bottom w:val="dotted" w:sz="4" w:space="0" w:color="auto"/>
              <w:right w:val="nil"/>
            </w:tcBorders>
            <w:shd w:val="clear" w:color="auto" w:fill="auto"/>
            <w:noWrap/>
            <w:vAlign w:val="center"/>
            <w:hideMark/>
          </w:tcPr>
          <w:p w14:paraId="46327226"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15</w:t>
            </w:r>
          </w:p>
        </w:tc>
        <w:tc>
          <w:tcPr>
            <w:tcW w:w="681" w:type="dxa"/>
            <w:tcBorders>
              <w:top w:val="dotted" w:sz="4" w:space="0" w:color="auto"/>
              <w:left w:val="nil"/>
              <w:bottom w:val="dotted" w:sz="4" w:space="0" w:color="auto"/>
              <w:right w:val="nil"/>
            </w:tcBorders>
            <w:shd w:val="clear" w:color="auto" w:fill="auto"/>
            <w:noWrap/>
            <w:vAlign w:val="center"/>
            <w:hideMark/>
          </w:tcPr>
          <w:p w14:paraId="1851EC35"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AB5</w:t>
            </w:r>
          </w:p>
        </w:tc>
        <w:tc>
          <w:tcPr>
            <w:tcW w:w="1099" w:type="dxa"/>
            <w:tcBorders>
              <w:top w:val="dotted" w:sz="4" w:space="0" w:color="auto"/>
              <w:left w:val="nil"/>
              <w:bottom w:val="dotted" w:sz="4" w:space="0" w:color="auto"/>
              <w:right w:val="nil"/>
            </w:tcBorders>
            <w:shd w:val="clear" w:color="auto" w:fill="auto"/>
            <w:noWrap/>
            <w:vAlign w:val="center"/>
            <w:hideMark/>
          </w:tcPr>
          <w:p w14:paraId="19DF5CE9"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6:47</w:t>
            </w:r>
          </w:p>
        </w:tc>
        <w:tc>
          <w:tcPr>
            <w:tcW w:w="1839" w:type="dxa"/>
            <w:tcBorders>
              <w:top w:val="dotted" w:sz="4" w:space="0" w:color="auto"/>
              <w:left w:val="nil"/>
              <w:bottom w:val="dotted" w:sz="4" w:space="0" w:color="auto"/>
              <w:right w:val="nil"/>
            </w:tcBorders>
            <w:shd w:val="clear" w:color="auto" w:fill="auto"/>
            <w:noWrap/>
            <w:vAlign w:val="center"/>
            <w:hideMark/>
          </w:tcPr>
          <w:p w14:paraId="28FC1E34"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w:t>
            </w:r>
          </w:p>
        </w:tc>
      </w:tr>
      <w:tr w:rsidR="00FC26E2" w:rsidRPr="00593EDE" w14:paraId="1F4671B6" w14:textId="77777777" w:rsidTr="008C5150">
        <w:trPr>
          <w:trHeight w:val="252"/>
          <w:jc w:val="center"/>
        </w:trPr>
        <w:tc>
          <w:tcPr>
            <w:tcW w:w="1176" w:type="dxa"/>
            <w:tcBorders>
              <w:top w:val="dotted" w:sz="4" w:space="0" w:color="auto"/>
              <w:left w:val="nil"/>
              <w:bottom w:val="single" w:sz="4" w:space="0" w:color="auto"/>
              <w:right w:val="nil"/>
            </w:tcBorders>
            <w:shd w:val="clear" w:color="auto" w:fill="auto"/>
            <w:noWrap/>
            <w:vAlign w:val="center"/>
            <w:hideMark/>
          </w:tcPr>
          <w:p w14:paraId="31093CEA" w14:textId="77777777" w:rsidR="00FC26E2" w:rsidRPr="00D53025" w:rsidRDefault="00FC26E2" w:rsidP="008C5150">
            <w:pPr>
              <w:spacing w:after="0"/>
              <w:rPr>
                <w:rFonts w:eastAsia="Times New Roman" w:cs="Arial"/>
                <w:color w:val="000000"/>
                <w:sz w:val="20"/>
                <w:szCs w:val="20"/>
                <w:lang w:eastAsia="en-AU"/>
              </w:rPr>
            </w:pPr>
            <w:r w:rsidRPr="00D53025">
              <w:rPr>
                <w:rFonts w:eastAsia="Times New Roman" w:cs="Arial"/>
                <w:color w:val="000000"/>
                <w:sz w:val="20"/>
                <w:szCs w:val="20"/>
                <w:lang w:eastAsia="en-AU"/>
              </w:rPr>
              <w:t>3</w:t>
            </w:r>
            <w:r w:rsidRPr="00593EDE">
              <w:rPr>
                <w:rFonts w:eastAsia="Times New Roman" w:cs="Arial"/>
                <w:color w:val="000000"/>
                <w:sz w:val="20"/>
                <w:szCs w:val="20"/>
                <w:lang w:eastAsia="en-AU"/>
              </w:rPr>
              <w:t>1</w:t>
            </w:r>
            <w:r w:rsidRPr="00D53025">
              <w:rPr>
                <w:rFonts w:eastAsia="Times New Roman" w:cs="Arial"/>
                <w:color w:val="000000"/>
                <w:sz w:val="20"/>
                <w:szCs w:val="20"/>
                <w:lang w:eastAsia="en-AU"/>
              </w:rPr>
              <w:t>/01/2023</w:t>
            </w:r>
          </w:p>
        </w:tc>
        <w:tc>
          <w:tcPr>
            <w:tcW w:w="1336" w:type="dxa"/>
            <w:tcBorders>
              <w:top w:val="dotted" w:sz="4" w:space="0" w:color="auto"/>
              <w:left w:val="nil"/>
              <w:bottom w:val="single" w:sz="4" w:space="0" w:color="auto"/>
              <w:right w:val="nil"/>
            </w:tcBorders>
            <w:shd w:val="clear" w:color="auto" w:fill="auto"/>
            <w:noWrap/>
            <w:vAlign w:val="center"/>
            <w:hideMark/>
          </w:tcPr>
          <w:p w14:paraId="4A729C9F"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16</w:t>
            </w:r>
          </w:p>
        </w:tc>
        <w:tc>
          <w:tcPr>
            <w:tcW w:w="681" w:type="dxa"/>
            <w:tcBorders>
              <w:top w:val="dotted" w:sz="4" w:space="0" w:color="auto"/>
              <w:left w:val="nil"/>
              <w:bottom w:val="single" w:sz="4" w:space="0" w:color="auto"/>
              <w:right w:val="nil"/>
            </w:tcBorders>
            <w:shd w:val="clear" w:color="auto" w:fill="auto"/>
            <w:noWrap/>
            <w:vAlign w:val="center"/>
            <w:hideMark/>
          </w:tcPr>
          <w:p w14:paraId="29EF61C5"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AB2</w:t>
            </w:r>
          </w:p>
        </w:tc>
        <w:tc>
          <w:tcPr>
            <w:tcW w:w="1099" w:type="dxa"/>
            <w:tcBorders>
              <w:top w:val="dotted" w:sz="4" w:space="0" w:color="auto"/>
              <w:left w:val="nil"/>
              <w:bottom w:val="single" w:sz="4" w:space="0" w:color="auto"/>
              <w:right w:val="nil"/>
            </w:tcBorders>
            <w:shd w:val="clear" w:color="auto" w:fill="auto"/>
            <w:noWrap/>
            <w:vAlign w:val="center"/>
            <w:hideMark/>
          </w:tcPr>
          <w:p w14:paraId="5F868C85"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7:50</w:t>
            </w:r>
          </w:p>
        </w:tc>
        <w:tc>
          <w:tcPr>
            <w:tcW w:w="1839" w:type="dxa"/>
            <w:tcBorders>
              <w:top w:val="dotted" w:sz="4" w:space="0" w:color="auto"/>
              <w:left w:val="nil"/>
              <w:bottom w:val="single" w:sz="4" w:space="0" w:color="auto"/>
              <w:right w:val="nil"/>
            </w:tcBorders>
            <w:shd w:val="clear" w:color="auto" w:fill="auto"/>
            <w:noWrap/>
            <w:vAlign w:val="center"/>
            <w:hideMark/>
          </w:tcPr>
          <w:p w14:paraId="47C9AEDF" w14:textId="77777777" w:rsidR="00FC26E2" w:rsidRPr="00D53025" w:rsidRDefault="00FC26E2" w:rsidP="008C5150">
            <w:pPr>
              <w:spacing w:after="0"/>
              <w:jc w:val="center"/>
              <w:rPr>
                <w:rFonts w:eastAsia="Times New Roman" w:cs="Arial"/>
                <w:color w:val="000000"/>
                <w:sz w:val="20"/>
                <w:szCs w:val="20"/>
                <w:lang w:eastAsia="en-AU"/>
              </w:rPr>
            </w:pPr>
            <w:r w:rsidRPr="00D53025">
              <w:rPr>
                <w:rFonts w:eastAsia="Times New Roman" w:cs="Arial"/>
                <w:color w:val="000000"/>
                <w:sz w:val="20"/>
                <w:szCs w:val="20"/>
                <w:lang w:eastAsia="en-AU"/>
              </w:rPr>
              <w:t>20</w:t>
            </w:r>
          </w:p>
        </w:tc>
      </w:tr>
    </w:tbl>
    <w:p w14:paraId="6C851EA4" w14:textId="77777777" w:rsidR="00FC26E2" w:rsidRDefault="00FC26E2" w:rsidP="00FC26E2">
      <w:pPr>
        <w:rPr>
          <w:lang w:val="en-US"/>
        </w:rPr>
      </w:pPr>
    </w:p>
    <w:p w14:paraId="49F57D60" w14:textId="77777777" w:rsidR="00FC26E2" w:rsidRPr="003B0EE3" w:rsidRDefault="00FC26E2" w:rsidP="00FC26E2">
      <w:pPr>
        <w:pStyle w:val="BodyText"/>
        <w:rPr>
          <w:rFonts w:asciiTheme="majorHAnsi" w:hAnsiTheme="majorHAnsi" w:cstheme="majorHAnsi"/>
          <w:b/>
          <w:bCs/>
          <w:lang w:val="en-US"/>
        </w:rPr>
      </w:pPr>
      <w:r>
        <w:rPr>
          <w:rFonts w:asciiTheme="majorHAnsi" w:hAnsiTheme="majorHAnsi" w:cstheme="majorHAnsi"/>
          <w:b/>
          <w:bCs/>
          <w:lang w:val="en-US"/>
        </w:rPr>
        <w:t>Key r</w:t>
      </w:r>
      <w:r w:rsidRPr="003B0EE3">
        <w:rPr>
          <w:rFonts w:asciiTheme="majorHAnsi" w:hAnsiTheme="majorHAnsi" w:cstheme="majorHAnsi"/>
          <w:b/>
          <w:bCs/>
          <w:lang w:val="en-US"/>
        </w:rPr>
        <w:t>esults</w:t>
      </w:r>
    </w:p>
    <w:p w14:paraId="69D7B931" w14:textId="27887074" w:rsidR="00FC26E2" w:rsidRPr="003B0EE3" w:rsidRDefault="00FC26E2" w:rsidP="00FC26E2">
      <w:pPr>
        <w:pStyle w:val="BodyText"/>
        <w:rPr>
          <w:rFonts w:asciiTheme="majorHAnsi" w:hAnsiTheme="majorHAnsi" w:cstheme="majorHAnsi"/>
          <w:lang w:val="en-US"/>
        </w:rPr>
      </w:pPr>
      <w:r w:rsidRPr="003B0EE3">
        <w:rPr>
          <w:rFonts w:asciiTheme="majorHAnsi" w:hAnsiTheme="majorHAnsi" w:cstheme="majorHAnsi"/>
          <w:lang w:val="en-US"/>
        </w:rPr>
        <w:t xml:space="preserve">The total catch weight (from all shots, port and starboard nets included) during the survey was 1,399 </w:t>
      </w:r>
      <w:proofErr w:type="spellStart"/>
      <w:r w:rsidRPr="003B0EE3">
        <w:rPr>
          <w:rFonts w:asciiTheme="majorHAnsi" w:hAnsiTheme="majorHAnsi" w:cstheme="majorHAnsi"/>
          <w:lang w:val="en-US"/>
        </w:rPr>
        <w:t>tonnes</w:t>
      </w:r>
      <w:proofErr w:type="spellEnd"/>
      <w:r w:rsidRPr="003B0EE3">
        <w:rPr>
          <w:rFonts w:asciiTheme="majorHAnsi" w:hAnsiTheme="majorHAnsi" w:cstheme="majorHAnsi"/>
          <w:lang w:val="en-US"/>
        </w:rPr>
        <w:t>. Ballot’s scallops</w:t>
      </w:r>
      <w:r w:rsidRPr="003B0EE3">
        <w:rPr>
          <w:rFonts w:asciiTheme="majorHAnsi" w:hAnsiTheme="majorHAnsi" w:cstheme="majorHAnsi"/>
        </w:rPr>
        <w:t xml:space="preserve"> (</w:t>
      </w:r>
      <w:proofErr w:type="spellStart"/>
      <w:r w:rsidRPr="003B0EE3">
        <w:rPr>
          <w:rFonts w:asciiTheme="majorHAnsi" w:hAnsiTheme="majorHAnsi" w:cstheme="majorHAnsi"/>
          <w:i/>
          <w:iCs/>
          <w:lang w:val="en-US"/>
        </w:rPr>
        <w:t>Ylistrum</w:t>
      </w:r>
      <w:proofErr w:type="spellEnd"/>
      <w:r w:rsidRPr="003B0EE3">
        <w:rPr>
          <w:rFonts w:asciiTheme="majorHAnsi" w:hAnsiTheme="majorHAnsi" w:cstheme="majorHAnsi"/>
          <w:i/>
          <w:iCs/>
          <w:lang w:val="en-US"/>
        </w:rPr>
        <w:t xml:space="preserve"> </w:t>
      </w:r>
      <w:proofErr w:type="spellStart"/>
      <w:r w:rsidRPr="003B0EE3">
        <w:rPr>
          <w:rFonts w:asciiTheme="majorHAnsi" w:hAnsiTheme="majorHAnsi" w:cstheme="majorHAnsi"/>
          <w:i/>
          <w:iCs/>
          <w:lang w:val="en-US"/>
        </w:rPr>
        <w:t>balloti</w:t>
      </w:r>
      <w:proofErr w:type="spellEnd"/>
      <w:r w:rsidRPr="003B0EE3">
        <w:rPr>
          <w:rFonts w:asciiTheme="majorHAnsi" w:hAnsiTheme="majorHAnsi" w:cstheme="majorHAnsi"/>
          <w:lang w:val="en-US"/>
        </w:rPr>
        <w:t>) comprised 94% (by weight) of the total catch.  Individual scallop catches ranged from 10 to 363 kg per shot and represented between 30 and 100% of catch weight per shot (</w:t>
      </w:r>
      <w:r>
        <w:rPr>
          <w:rFonts w:asciiTheme="majorHAnsi" w:hAnsiTheme="majorHAnsi" w:cstheme="majorHAnsi"/>
          <w:lang w:val="en-US"/>
        </w:rPr>
        <w:fldChar w:fldCharType="begin"/>
      </w:r>
      <w:r>
        <w:rPr>
          <w:rFonts w:asciiTheme="majorHAnsi" w:hAnsiTheme="majorHAnsi" w:cstheme="majorHAnsi"/>
          <w:lang w:val="en-US"/>
        </w:rPr>
        <w:instrText xml:space="preserve"> REF _Ref160006252 \h </w:instrText>
      </w:r>
      <w:r>
        <w:rPr>
          <w:rFonts w:asciiTheme="majorHAnsi" w:hAnsiTheme="majorHAnsi" w:cstheme="majorHAnsi"/>
          <w:lang w:val="en-US"/>
        </w:rPr>
      </w:r>
      <w:r>
        <w:rPr>
          <w:rFonts w:asciiTheme="majorHAnsi" w:hAnsiTheme="majorHAnsi" w:cstheme="majorHAnsi"/>
          <w:lang w:val="en-US"/>
        </w:rPr>
        <w:fldChar w:fldCharType="separate"/>
      </w:r>
      <w:r w:rsidR="00AB15B7">
        <w:t xml:space="preserve">Append. Figure. </w:t>
      </w:r>
      <w:r w:rsidR="00AB15B7">
        <w:rPr>
          <w:noProof/>
        </w:rPr>
        <w:t>3</w:t>
      </w:r>
      <w:r>
        <w:rPr>
          <w:rFonts w:asciiTheme="majorHAnsi" w:hAnsiTheme="majorHAnsi" w:cstheme="majorHAnsi"/>
          <w:lang w:val="en-US"/>
        </w:rPr>
        <w:fldChar w:fldCharType="end"/>
      </w:r>
      <w:r w:rsidRPr="003B0EE3">
        <w:rPr>
          <w:rFonts w:asciiTheme="majorHAnsi" w:hAnsiTheme="majorHAnsi" w:cstheme="majorHAnsi"/>
          <w:lang w:val="en-US"/>
        </w:rPr>
        <w:t xml:space="preserve">).  </w:t>
      </w:r>
    </w:p>
    <w:p w14:paraId="13E88D88" w14:textId="77777777" w:rsidR="00FC26E2" w:rsidRPr="003B0EE3" w:rsidRDefault="00FC26E2" w:rsidP="00FC26E2">
      <w:pPr>
        <w:pStyle w:val="BodyText"/>
        <w:rPr>
          <w:rFonts w:asciiTheme="majorHAnsi" w:hAnsiTheme="majorHAnsi" w:cstheme="majorHAnsi"/>
          <w:lang w:val="en-US"/>
        </w:rPr>
      </w:pPr>
      <w:r w:rsidRPr="003B0EE3">
        <w:rPr>
          <w:rFonts w:asciiTheme="majorHAnsi" w:hAnsiTheme="majorHAnsi" w:cstheme="majorHAnsi"/>
          <w:lang w:val="en-US"/>
        </w:rPr>
        <w:t xml:space="preserve">Bycatch comprised 6% of the total catch </w:t>
      </w:r>
      <w:r>
        <w:rPr>
          <w:rFonts w:asciiTheme="majorHAnsi" w:hAnsiTheme="majorHAnsi" w:cstheme="majorHAnsi"/>
          <w:lang w:val="en-US"/>
        </w:rPr>
        <w:t xml:space="preserve">by </w:t>
      </w:r>
      <w:r w:rsidRPr="003B0EE3">
        <w:rPr>
          <w:rFonts w:asciiTheme="majorHAnsi" w:hAnsiTheme="majorHAnsi" w:cstheme="majorHAnsi"/>
          <w:lang w:val="en-US"/>
        </w:rPr>
        <w:t>weight and included 80 different species (or taxa) from 6 phyla (based on analysis of the port side net catches).  Bycatch weight ranged from 0 to 28 kg per shot.</w:t>
      </w:r>
      <w:r>
        <w:rPr>
          <w:rFonts w:asciiTheme="majorHAnsi" w:hAnsiTheme="majorHAnsi" w:cstheme="majorHAnsi"/>
          <w:lang w:val="en-US"/>
        </w:rPr>
        <w:t xml:space="preserve"> </w:t>
      </w:r>
      <w:r w:rsidRPr="003B0EE3">
        <w:rPr>
          <w:rFonts w:asciiTheme="majorHAnsi" w:hAnsiTheme="majorHAnsi" w:cstheme="majorHAnsi"/>
          <w:lang w:val="en-US"/>
        </w:rPr>
        <w:t xml:space="preserve">Based on the average catch rate of bycatch in the survey, the total annual bycatch in the </w:t>
      </w:r>
      <w:r w:rsidRPr="003B0EE3">
        <w:rPr>
          <w:rFonts w:asciiTheme="majorHAnsi" w:hAnsiTheme="majorHAnsi" w:cstheme="majorHAnsi"/>
        </w:rPr>
        <w:t xml:space="preserve">AIMWTMF </w:t>
      </w:r>
      <w:r>
        <w:rPr>
          <w:rFonts w:asciiTheme="majorHAnsi" w:hAnsiTheme="majorHAnsi" w:cstheme="majorHAnsi"/>
          <w:lang w:val="en-US"/>
        </w:rPr>
        <w:t>during the</w:t>
      </w:r>
      <w:r w:rsidRPr="003B0EE3">
        <w:rPr>
          <w:rFonts w:asciiTheme="majorHAnsi" w:hAnsiTheme="majorHAnsi" w:cstheme="majorHAnsi"/>
          <w:lang w:val="en-US"/>
        </w:rPr>
        <w:t xml:space="preserve"> 2023</w:t>
      </w:r>
      <w:r>
        <w:rPr>
          <w:rFonts w:asciiTheme="majorHAnsi" w:hAnsiTheme="majorHAnsi" w:cstheme="majorHAnsi"/>
          <w:lang w:val="en-US"/>
        </w:rPr>
        <w:t xml:space="preserve"> fishing season</w:t>
      </w:r>
      <w:r w:rsidRPr="003B0EE3">
        <w:rPr>
          <w:rFonts w:asciiTheme="majorHAnsi" w:hAnsiTheme="majorHAnsi" w:cstheme="majorHAnsi"/>
          <w:lang w:val="en-US"/>
        </w:rPr>
        <w:t xml:space="preserve"> was estimated to be </w:t>
      </w:r>
      <w:r>
        <w:rPr>
          <w:rFonts w:asciiTheme="majorHAnsi" w:hAnsiTheme="majorHAnsi" w:cstheme="majorHAnsi"/>
          <w:lang w:val="en-US"/>
        </w:rPr>
        <w:t>86</w:t>
      </w:r>
      <w:r w:rsidRPr="003B0EE3">
        <w:rPr>
          <w:rFonts w:asciiTheme="majorHAnsi" w:hAnsiTheme="majorHAnsi" w:cstheme="majorHAnsi"/>
          <w:lang w:val="en-US"/>
        </w:rPr>
        <w:t xml:space="preserve"> t (</w:t>
      </w:r>
      <w:r>
        <w:rPr>
          <w:rFonts w:asciiTheme="majorHAnsi" w:hAnsiTheme="majorHAnsi" w:cstheme="majorHAnsi"/>
          <w:lang w:val="en-US"/>
        </w:rPr>
        <w:t>Append. Fig.5</w:t>
      </w:r>
      <w:r w:rsidRPr="003B0EE3">
        <w:rPr>
          <w:rFonts w:asciiTheme="majorHAnsi" w:hAnsiTheme="majorHAnsi" w:cstheme="majorHAnsi"/>
          <w:lang w:val="en-US"/>
        </w:rPr>
        <w:t xml:space="preserve">).  This quantity excludes any </w:t>
      </w:r>
      <w:r w:rsidRPr="003B0EE3">
        <w:rPr>
          <w:rFonts w:asciiTheme="majorHAnsi" w:hAnsiTheme="majorHAnsi" w:cstheme="majorHAnsi"/>
          <w:lang w:val="en-US"/>
        </w:rPr>
        <w:lastRenderedPageBreak/>
        <w:t>undersized scallops that were discarded.</w:t>
      </w:r>
      <w:r>
        <w:rPr>
          <w:rFonts w:asciiTheme="majorHAnsi" w:hAnsiTheme="majorHAnsi" w:cstheme="majorHAnsi"/>
          <w:lang w:val="en-US"/>
        </w:rPr>
        <w:t xml:space="preserve"> </w:t>
      </w:r>
      <w:r w:rsidRPr="003B0EE3">
        <w:rPr>
          <w:rFonts w:asciiTheme="majorHAnsi" w:hAnsiTheme="majorHAnsi" w:cstheme="majorHAnsi"/>
          <w:lang w:val="en-US"/>
        </w:rPr>
        <w:t xml:space="preserve">The contributions to the total catch by individual bycatch species were extremely low. Each bycatch species contributed &lt;1% by weight to the total catch, </w:t>
      </w:r>
      <w:proofErr w:type="gramStart"/>
      <w:r w:rsidRPr="003B0EE3">
        <w:rPr>
          <w:rFonts w:asciiTheme="majorHAnsi" w:hAnsiTheme="majorHAnsi" w:cstheme="majorHAnsi"/>
          <w:lang w:val="en-US"/>
        </w:rPr>
        <w:t>with the exception of</w:t>
      </w:r>
      <w:proofErr w:type="gramEnd"/>
      <w:r w:rsidRPr="003B0EE3">
        <w:rPr>
          <w:rFonts w:asciiTheme="majorHAnsi" w:hAnsiTheme="majorHAnsi" w:cstheme="majorHAnsi"/>
          <w:lang w:val="en-US"/>
        </w:rPr>
        <w:t xml:space="preserve"> the giant starfish (Asteroidea sp.) (1%) and sponges (Porifera </w:t>
      </w:r>
      <w:r>
        <w:rPr>
          <w:rFonts w:asciiTheme="majorHAnsi" w:hAnsiTheme="majorHAnsi" w:cstheme="majorHAnsi"/>
          <w:lang w:val="en-US"/>
        </w:rPr>
        <w:t>–</w:t>
      </w:r>
      <w:r w:rsidRPr="003B0EE3">
        <w:rPr>
          <w:rFonts w:asciiTheme="majorHAnsi" w:hAnsiTheme="majorHAnsi" w:cstheme="majorHAnsi"/>
          <w:lang w:val="en-US"/>
        </w:rPr>
        <w:t xml:space="preserve"> undifferentiated) (2%) (</w:t>
      </w:r>
      <w:proofErr w:type="spellStart"/>
      <w:r>
        <w:rPr>
          <w:rFonts w:asciiTheme="majorHAnsi" w:hAnsiTheme="majorHAnsi" w:cstheme="majorHAnsi"/>
          <w:lang w:val="en-US"/>
        </w:rPr>
        <w:t>Append.</w:t>
      </w:r>
      <w:r w:rsidRPr="003B0EE3">
        <w:rPr>
          <w:rFonts w:asciiTheme="majorHAnsi" w:hAnsiTheme="majorHAnsi" w:cstheme="majorHAnsi"/>
          <w:lang w:val="en-US"/>
        </w:rPr>
        <w:t>Table</w:t>
      </w:r>
      <w:proofErr w:type="spellEnd"/>
      <w:r w:rsidRPr="003B0EE3">
        <w:rPr>
          <w:rFonts w:asciiTheme="majorHAnsi" w:hAnsiTheme="majorHAnsi" w:cstheme="majorHAnsi"/>
          <w:lang w:val="en-US"/>
        </w:rPr>
        <w:t xml:space="preserve"> </w:t>
      </w:r>
      <w:r>
        <w:rPr>
          <w:rFonts w:asciiTheme="majorHAnsi" w:hAnsiTheme="majorHAnsi" w:cstheme="majorHAnsi"/>
          <w:lang w:val="en-US"/>
        </w:rPr>
        <w:t>2</w:t>
      </w:r>
      <w:r w:rsidRPr="003B0EE3">
        <w:rPr>
          <w:rFonts w:asciiTheme="majorHAnsi" w:hAnsiTheme="majorHAnsi" w:cstheme="majorHAnsi"/>
          <w:lang w:val="en-US"/>
        </w:rPr>
        <w:t>). No ETP species were captured during the survey.</w:t>
      </w:r>
    </w:p>
    <w:p w14:paraId="5B8A5021" w14:textId="77777777" w:rsidR="00FC26E2" w:rsidRDefault="00FC26E2" w:rsidP="00FC26E2">
      <w:pPr>
        <w:pStyle w:val="BodyText"/>
        <w:tabs>
          <w:tab w:val="left" w:pos="2932"/>
        </w:tabs>
        <w:jc w:val="center"/>
        <w:rPr>
          <w:rFonts w:asciiTheme="majorHAnsi" w:hAnsiTheme="majorHAnsi" w:cstheme="majorHAnsi"/>
          <w:lang w:val="en-US"/>
        </w:rPr>
      </w:pPr>
      <w:r>
        <w:rPr>
          <w:noProof/>
          <w:lang w:val="en-US"/>
        </w:rPr>
        <w:drawing>
          <wp:inline distT="0" distB="0" distL="0" distR="0" wp14:anchorId="6CE94E6D" wp14:editId="71258361">
            <wp:extent cx="3579863" cy="2948473"/>
            <wp:effectExtent l="0" t="0" r="1905" b="4445"/>
            <wp:docPr id="1052093747" name="Picture 7" descr="A graph depicting the weights of scallop and bycatch (all other retained species) in each shot taken during 2023 bycatch surveys, as reported in the AIMWTMF 2024 Weight of Evidence Stock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093747" name="Picture 7" descr="A graph depicting the weights of scallop and bycatch (all other retained species) in each shot taken during 2023 bycatch surveys, as reported in the AIMWTMF 2024 Weight of Evidence Stock Assessment. "/>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579863" cy="2948473"/>
                    </a:xfrm>
                    <a:prstGeom prst="rect">
                      <a:avLst/>
                    </a:prstGeom>
                    <a:noFill/>
                    <a:ln>
                      <a:noFill/>
                    </a:ln>
                  </pic:spPr>
                </pic:pic>
              </a:graphicData>
            </a:graphic>
          </wp:inline>
        </w:drawing>
      </w:r>
    </w:p>
    <w:p w14:paraId="6430E4E4" w14:textId="09CAC4E7" w:rsidR="00FC26E2" w:rsidRDefault="00FC26E2" w:rsidP="00FC26E2">
      <w:pPr>
        <w:pStyle w:val="Caption"/>
        <w:rPr>
          <w:lang w:val="en-US"/>
        </w:rPr>
      </w:pPr>
      <w:bookmarkStart w:id="106" w:name="_Ref160006252"/>
      <w:r>
        <w:t xml:space="preserve">Append. Figure. </w:t>
      </w:r>
      <w:r>
        <w:fldChar w:fldCharType="begin"/>
      </w:r>
      <w:r>
        <w:instrText xml:space="preserve"> SEQ Append._Fig. \* ARABIC </w:instrText>
      </w:r>
      <w:r>
        <w:fldChar w:fldCharType="separate"/>
      </w:r>
      <w:r w:rsidR="00AB15B7">
        <w:rPr>
          <w:noProof/>
        </w:rPr>
        <w:t>3</w:t>
      </w:r>
      <w:r>
        <w:fldChar w:fldCharType="end"/>
      </w:r>
      <w:bookmarkEnd w:id="106"/>
      <w:r w:rsidRPr="00497B05">
        <w:rPr>
          <w:lang w:val="en-US"/>
        </w:rPr>
        <w:t xml:space="preserve"> </w:t>
      </w:r>
      <w:r>
        <w:rPr>
          <w:lang w:val="en-US"/>
        </w:rPr>
        <w:t xml:space="preserve">Weights (kg) of scallops </w:t>
      </w:r>
      <w:r w:rsidRPr="00B3264D">
        <w:rPr>
          <w:lang w:val="en-US"/>
        </w:rPr>
        <w:t>(</w:t>
      </w:r>
      <w:proofErr w:type="spellStart"/>
      <w:r w:rsidRPr="002625CD">
        <w:rPr>
          <w:lang w:val="en-US"/>
        </w:rPr>
        <w:t>Ylistrum</w:t>
      </w:r>
      <w:proofErr w:type="spellEnd"/>
      <w:r w:rsidRPr="002625CD">
        <w:rPr>
          <w:lang w:val="en-US"/>
        </w:rPr>
        <w:t xml:space="preserve"> </w:t>
      </w:r>
      <w:proofErr w:type="spellStart"/>
      <w:r w:rsidRPr="002625CD">
        <w:rPr>
          <w:lang w:val="en-US"/>
        </w:rPr>
        <w:t>balloti</w:t>
      </w:r>
      <w:proofErr w:type="spellEnd"/>
      <w:r w:rsidRPr="00B3264D">
        <w:rPr>
          <w:lang w:val="en-US"/>
        </w:rPr>
        <w:t>)</w:t>
      </w:r>
      <w:r>
        <w:rPr>
          <w:lang w:val="en-US"/>
        </w:rPr>
        <w:t xml:space="preserve"> and bycatch (all other species) in each shot taken during the 2023 bycatch survey.</w:t>
      </w:r>
    </w:p>
    <w:p w14:paraId="42C9F60A" w14:textId="77777777" w:rsidR="00FC26E2" w:rsidRPr="00497B05" w:rsidRDefault="00FC26E2" w:rsidP="00FC26E2">
      <w:pPr>
        <w:pStyle w:val="Caption"/>
        <w:rPr>
          <w:b/>
          <w:bCs/>
          <w:lang w:val="en-US"/>
        </w:rPr>
      </w:pPr>
      <w:bookmarkStart w:id="107" w:name="_Ref160006262"/>
      <w:r w:rsidRPr="00F97EC3">
        <w:rPr>
          <w:b/>
          <w:bCs/>
        </w:rPr>
        <w:t xml:space="preserve">Append. Table </w:t>
      </w:r>
      <w:bookmarkEnd w:id="107"/>
      <w:r w:rsidRPr="00F97EC3">
        <w:rPr>
          <w:b/>
          <w:bCs/>
        </w:rPr>
        <w:t>2</w:t>
      </w:r>
      <w:r w:rsidRPr="00497B05">
        <w:rPr>
          <w:lang w:val="en-US"/>
        </w:rPr>
        <w:t xml:space="preserve"> </w:t>
      </w:r>
      <w:r>
        <w:rPr>
          <w:lang w:val="en-US"/>
        </w:rPr>
        <w:t xml:space="preserve">Estimated total catch (bycatch) weights in the </w:t>
      </w:r>
      <w:r w:rsidRPr="00346585">
        <w:rPr>
          <w:lang w:val="en-US"/>
        </w:rPr>
        <w:t xml:space="preserve">AIMWTMF </w:t>
      </w:r>
      <w:r>
        <w:rPr>
          <w:lang w:val="en-US"/>
        </w:rPr>
        <w:t>in 2023 (*total survey catch from all shots, including both port and starboard nets)</w:t>
      </w:r>
    </w:p>
    <w:tbl>
      <w:tblPr>
        <w:tblpPr w:leftFromText="180" w:rightFromText="180" w:vertAnchor="text" w:horzAnchor="margin" w:tblpY="-80"/>
        <w:tblW w:w="9133" w:type="dxa"/>
        <w:tblLook w:val="04A0" w:firstRow="1" w:lastRow="0" w:firstColumn="1" w:lastColumn="0" w:noHBand="0" w:noVBand="1"/>
      </w:tblPr>
      <w:tblGrid>
        <w:gridCol w:w="1562"/>
        <w:gridCol w:w="929"/>
        <w:gridCol w:w="905"/>
        <w:gridCol w:w="1564"/>
        <w:gridCol w:w="1982"/>
        <w:gridCol w:w="2193"/>
      </w:tblGrid>
      <w:tr w:rsidR="00FC26E2" w:rsidRPr="003A5582" w14:paraId="3525CC20" w14:textId="77777777" w:rsidTr="008C5150">
        <w:trPr>
          <w:trHeight w:val="300"/>
        </w:trPr>
        <w:tc>
          <w:tcPr>
            <w:tcW w:w="1561" w:type="dxa"/>
            <w:tcBorders>
              <w:top w:val="single" w:sz="4" w:space="0" w:color="auto"/>
              <w:bottom w:val="single" w:sz="4" w:space="0" w:color="auto"/>
            </w:tcBorders>
            <w:shd w:val="clear" w:color="auto" w:fill="FFFFFF" w:themeFill="background2"/>
            <w:noWrap/>
            <w:vAlign w:val="center"/>
            <w:hideMark/>
          </w:tcPr>
          <w:p w14:paraId="58F0B719" w14:textId="77777777" w:rsidR="00FC26E2" w:rsidRPr="00960391" w:rsidRDefault="00FC26E2" w:rsidP="008C5150">
            <w:pPr>
              <w:spacing w:after="0"/>
              <w:rPr>
                <w:rFonts w:eastAsia="Times New Roman" w:cs="Arial"/>
                <w:b/>
                <w:bCs/>
                <w:sz w:val="20"/>
                <w:szCs w:val="20"/>
                <w:lang w:eastAsia="en-AU"/>
              </w:rPr>
            </w:pPr>
            <w:r w:rsidRPr="00960391">
              <w:rPr>
                <w:rFonts w:eastAsia="Times New Roman" w:cs="Arial"/>
                <w:b/>
                <w:bCs/>
                <w:sz w:val="20"/>
                <w:szCs w:val="20"/>
                <w:lang w:eastAsia="en-AU"/>
              </w:rPr>
              <w:t>Catch category</w:t>
            </w:r>
          </w:p>
        </w:tc>
        <w:tc>
          <w:tcPr>
            <w:tcW w:w="929" w:type="dxa"/>
            <w:tcBorders>
              <w:top w:val="single" w:sz="4" w:space="0" w:color="auto"/>
              <w:bottom w:val="single" w:sz="4" w:space="0" w:color="auto"/>
            </w:tcBorders>
            <w:shd w:val="clear" w:color="auto" w:fill="FFFFFF" w:themeFill="background2"/>
            <w:noWrap/>
            <w:vAlign w:val="center"/>
            <w:hideMark/>
          </w:tcPr>
          <w:p w14:paraId="25AD0F47" w14:textId="77777777" w:rsidR="00FC26E2" w:rsidRPr="00960391" w:rsidRDefault="00FC26E2" w:rsidP="008C5150">
            <w:pPr>
              <w:spacing w:after="0"/>
              <w:jc w:val="center"/>
              <w:rPr>
                <w:rFonts w:eastAsia="Times New Roman" w:cs="Arial"/>
                <w:b/>
                <w:bCs/>
                <w:sz w:val="20"/>
                <w:szCs w:val="20"/>
                <w:lang w:eastAsia="en-AU"/>
              </w:rPr>
            </w:pPr>
            <w:r w:rsidRPr="003A5582">
              <w:rPr>
                <w:rFonts w:eastAsia="Times New Roman" w:cs="Arial"/>
                <w:b/>
                <w:bCs/>
                <w:sz w:val="20"/>
                <w:szCs w:val="20"/>
                <w:lang w:eastAsia="en-AU"/>
              </w:rPr>
              <w:t>S</w:t>
            </w:r>
            <w:r w:rsidRPr="00960391">
              <w:rPr>
                <w:rFonts w:eastAsia="Times New Roman" w:cs="Arial"/>
                <w:b/>
                <w:bCs/>
                <w:sz w:val="20"/>
                <w:szCs w:val="20"/>
                <w:lang w:eastAsia="en-AU"/>
              </w:rPr>
              <w:t xml:space="preserve">urvey </w:t>
            </w:r>
            <w:proofErr w:type="gramStart"/>
            <w:r w:rsidRPr="00960391">
              <w:rPr>
                <w:rFonts w:eastAsia="Times New Roman" w:cs="Arial"/>
                <w:b/>
                <w:bCs/>
                <w:sz w:val="20"/>
                <w:szCs w:val="20"/>
                <w:lang w:eastAsia="en-AU"/>
              </w:rPr>
              <w:t>catch</w:t>
            </w:r>
            <w:proofErr w:type="gramEnd"/>
            <w:r w:rsidRPr="00960391">
              <w:rPr>
                <w:rFonts w:eastAsia="Times New Roman" w:cs="Arial"/>
                <w:b/>
                <w:bCs/>
                <w:sz w:val="20"/>
                <w:szCs w:val="20"/>
                <w:lang w:eastAsia="en-AU"/>
              </w:rPr>
              <w:t xml:space="preserve"> (kg)*</w:t>
            </w:r>
          </w:p>
        </w:tc>
        <w:tc>
          <w:tcPr>
            <w:tcW w:w="904" w:type="dxa"/>
            <w:tcBorders>
              <w:top w:val="single" w:sz="4" w:space="0" w:color="auto"/>
              <w:bottom w:val="single" w:sz="4" w:space="0" w:color="auto"/>
            </w:tcBorders>
            <w:shd w:val="clear" w:color="auto" w:fill="FFFFFF" w:themeFill="background2"/>
            <w:vAlign w:val="center"/>
          </w:tcPr>
          <w:p w14:paraId="7B2FDE6C" w14:textId="77777777" w:rsidR="00FC26E2" w:rsidRPr="00960391" w:rsidRDefault="00FC26E2" w:rsidP="008C5150">
            <w:pPr>
              <w:spacing w:after="0"/>
              <w:jc w:val="center"/>
              <w:rPr>
                <w:rFonts w:eastAsia="Times New Roman" w:cs="Arial"/>
                <w:b/>
                <w:bCs/>
                <w:sz w:val="20"/>
                <w:szCs w:val="20"/>
                <w:lang w:eastAsia="en-AU"/>
              </w:rPr>
            </w:pPr>
            <w:r>
              <w:rPr>
                <w:rFonts w:eastAsia="Times New Roman" w:cs="Arial"/>
                <w:b/>
                <w:bCs/>
                <w:sz w:val="20"/>
                <w:szCs w:val="20"/>
                <w:lang w:eastAsia="en-AU"/>
              </w:rPr>
              <w:t>Survey effort (hours)</w:t>
            </w:r>
          </w:p>
        </w:tc>
        <w:tc>
          <w:tcPr>
            <w:tcW w:w="1564" w:type="dxa"/>
            <w:tcBorders>
              <w:top w:val="single" w:sz="4" w:space="0" w:color="auto"/>
              <w:bottom w:val="single" w:sz="4" w:space="0" w:color="auto"/>
            </w:tcBorders>
            <w:shd w:val="clear" w:color="auto" w:fill="FFFFFF" w:themeFill="background2"/>
            <w:noWrap/>
            <w:vAlign w:val="center"/>
            <w:hideMark/>
          </w:tcPr>
          <w:p w14:paraId="7674C7F2" w14:textId="77777777" w:rsidR="00FC26E2" w:rsidRPr="00960391" w:rsidRDefault="00FC26E2" w:rsidP="008C5150">
            <w:pPr>
              <w:spacing w:after="0"/>
              <w:jc w:val="center"/>
              <w:rPr>
                <w:rFonts w:eastAsia="Times New Roman" w:cs="Arial"/>
                <w:b/>
                <w:bCs/>
                <w:sz w:val="20"/>
                <w:szCs w:val="20"/>
                <w:lang w:eastAsia="en-AU"/>
              </w:rPr>
            </w:pPr>
            <w:r w:rsidRPr="00960391">
              <w:rPr>
                <w:rFonts w:eastAsia="Times New Roman" w:cs="Arial"/>
                <w:b/>
                <w:bCs/>
                <w:sz w:val="20"/>
                <w:szCs w:val="20"/>
                <w:lang w:eastAsia="en-AU"/>
              </w:rPr>
              <w:t xml:space="preserve">Survey </w:t>
            </w:r>
            <w:proofErr w:type="gramStart"/>
            <w:r w:rsidRPr="00960391">
              <w:rPr>
                <w:rFonts w:eastAsia="Times New Roman" w:cs="Arial"/>
                <w:b/>
                <w:bCs/>
                <w:sz w:val="20"/>
                <w:szCs w:val="20"/>
                <w:lang w:eastAsia="en-AU"/>
              </w:rPr>
              <w:t>catch</w:t>
            </w:r>
            <w:proofErr w:type="gramEnd"/>
            <w:r w:rsidRPr="00960391">
              <w:rPr>
                <w:rFonts w:eastAsia="Times New Roman" w:cs="Arial"/>
                <w:b/>
                <w:bCs/>
                <w:sz w:val="20"/>
                <w:szCs w:val="20"/>
                <w:lang w:eastAsia="en-AU"/>
              </w:rPr>
              <w:t xml:space="preserve"> rate</w:t>
            </w:r>
            <w:r w:rsidRPr="003A5582">
              <w:rPr>
                <w:rFonts w:eastAsia="Times New Roman" w:cs="Arial"/>
                <w:b/>
                <w:bCs/>
                <w:sz w:val="20"/>
                <w:szCs w:val="20"/>
                <w:lang w:eastAsia="en-AU"/>
              </w:rPr>
              <w:t xml:space="preserve"> </w:t>
            </w:r>
            <w:r w:rsidRPr="00960391">
              <w:rPr>
                <w:rFonts w:eastAsia="Times New Roman" w:cs="Arial"/>
                <w:b/>
                <w:bCs/>
                <w:sz w:val="20"/>
                <w:szCs w:val="20"/>
                <w:lang w:eastAsia="en-AU"/>
              </w:rPr>
              <w:t>(kg/trawl hour)</w:t>
            </w:r>
          </w:p>
        </w:tc>
        <w:tc>
          <w:tcPr>
            <w:tcW w:w="1982" w:type="dxa"/>
            <w:tcBorders>
              <w:top w:val="single" w:sz="4" w:space="0" w:color="auto"/>
              <w:bottom w:val="single" w:sz="4" w:space="0" w:color="auto"/>
            </w:tcBorders>
            <w:shd w:val="clear" w:color="auto" w:fill="FFFFFF" w:themeFill="background2"/>
            <w:noWrap/>
            <w:vAlign w:val="center"/>
            <w:hideMark/>
          </w:tcPr>
          <w:p w14:paraId="792792B6" w14:textId="77777777" w:rsidR="00FC26E2" w:rsidRPr="00960391" w:rsidRDefault="00FC26E2" w:rsidP="008C5150">
            <w:pPr>
              <w:spacing w:after="0"/>
              <w:jc w:val="center"/>
              <w:rPr>
                <w:rFonts w:eastAsia="Times New Roman" w:cs="Arial"/>
                <w:b/>
                <w:bCs/>
                <w:sz w:val="20"/>
                <w:szCs w:val="20"/>
                <w:lang w:eastAsia="en-AU"/>
              </w:rPr>
            </w:pPr>
            <w:r w:rsidRPr="00960391">
              <w:rPr>
                <w:rFonts w:eastAsia="Times New Roman" w:cs="Arial"/>
                <w:b/>
                <w:bCs/>
                <w:sz w:val="20"/>
                <w:szCs w:val="20"/>
                <w:lang w:eastAsia="en-AU"/>
              </w:rPr>
              <w:t xml:space="preserve">Estimated annual </w:t>
            </w:r>
            <w:r>
              <w:t>AIMWTMF</w:t>
            </w:r>
            <w:r w:rsidRPr="00346585">
              <w:rPr>
                <w:rFonts w:eastAsia="Times New Roman" w:cs="Arial"/>
                <w:b/>
                <w:bCs/>
                <w:sz w:val="20"/>
                <w:szCs w:val="20"/>
                <w:lang w:eastAsia="en-AU"/>
              </w:rPr>
              <w:t xml:space="preserve"> </w:t>
            </w:r>
            <w:r w:rsidRPr="00960391">
              <w:rPr>
                <w:rFonts w:eastAsia="Times New Roman" w:cs="Arial"/>
                <w:b/>
                <w:bCs/>
                <w:sz w:val="20"/>
                <w:szCs w:val="20"/>
                <w:lang w:eastAsia="en-AU"/>
              </w:rPr>
              <w:t>catch in 2023 (</w:t>
            </w:r>
            <w:r>
              <w:rPr>
                <w:rFonts w:eastAsia="Times New Roman" w:cs="Arial"/>
                <w:b/>
                <w:bCs/>
                <w:sz w:val="20"/>
                <w:szCs w:val="20"/>
                <w:lang w:eastAsia="en-AU"/>
              </w:rPr>
              <w:t>tonnes</w:t>
            </w:r>
            <w:r w:rsidRPr="00960391">
              <w:rPr>
                <w:rFonts w:eastAsia="Times New Roman" w:cs="Arial"/>
                <w:b/>
                <w:bCs/>
                <w:sz w:val="20"/>
                <w:szCs w:val="20"/>
                <w:lang w:eastAsia="en-AU"/>
              </w:rPr>
              <w:t>)</w:t>
            </w:r>
          </w:p>
        </w:tc>
        <w:tc>
          <w:tcPr>
            <w:tcW w:w="2193" w:type="dxa"/>
            <w:tcBorders>
              <w:top w:val="single" w:sz="4" w:space="0" w:color="auto"/>
              <w:bottom w:val="single" w:sz="4" w:space="0" w:color="auto"/>
            </w:tcBorders>
            <w:shd w:val="clear" w:color="auto" w:fill="FFFFFF" w:themeFill="background2"/>
            <w:noWrap/>
            <w:vAlign w:val="center"/>
            <w:hideMark/>
          </w:tcPr>
          <w:p w14:paraId="7E343D6F" w14:textId="77777777" w:rsidR="00FC26E2" w:rsidRPr="00960391" w:rsidRDefault="00FC26E2" w:rsidP="008C5150">
            <w:pPr>
              <w:spacing w:after="0"/>
              <w:rPr>
                <w:rFonts w:eastAsia="Times New Roman" w:cs="Arial"/>
                <w:b/>
                <w:bCs/>
                <w:sz w:val="20"/>
                <w:szCs w:val="20"/>
                <w:lang w:eastAsia="en-AU"/>
              </w:rPr>
            </w:pPr>
            <w:r w:rsidRPr="00960391">
              <w:rPr>
                <w:rFonts w:eastAsia="Times New Roman" w:cs="Arial"/>
                <w:b/>
                <w:bCs/>
                <w:sz w:val="20"/>
                <w:szCs w:val="20"/>
                <w:lang w:eastAsia="en-AU"/>
              </w:rPr>
              <w:t>Status</w:t>
            </w:r>
          </w:p>
        </w:tc>
      </w:tr>
      <w:tr w:rsidR="00FC26E2" w:rsidRPr="003A5582" w14:paraId="15EAB006" w14:textId="77777777" w:rsidTr="008C5150">
        <w:trPr>
          <w:trHeight w:val="300"/>
        </w:trPr>
        <w:tc>
          <w:tcPr>
            <w:tcW w:w="1561" w:type="dxa"/>
            <w:tcBorders>
              <w:top w:val="single" w:sz="4" w:space="0" w:color="auto"/>
              <w:bottom w:val="dotted" w:sz="4" w:space="0" w:color="auto"/>
            </w:tcBorders>
            <w:shd w:val="clear" w:color="auto" w:fill="auto"/>
            <w:noWrap/>
            <w:vAlign w:val="center"/>
            <w:hideMark/>
          </w:tcPr>
          <w:p w14:paraId="0614CAC2" w14:textId="77777777" w:rsidR="00FC26E2" w:rsidRPr="00960391" w:rsidRDefault="00FC26E2" w:rsidP="008C5150">
            <w:pPr>
              <w:spacing w:after="0"/>
              <w:rPr>
                <w:rFonts w:eastAsia="Times New Roman" w:cs="Arial"/>
                <w:i/>
                <w:iCs/>
                <w:sz w:val="20"/>
                <w:szCs w:val="20"/>
                <w:lang w:eastAsia="en-AU"/>
              </w:rPr>
            </w:pPr>
            <w:proofErr w:type="spellStart"/>
            <w:r w:rsidRPr="00960391">
              <w:rPr>
                <w:rFonts w:eastAsia="Times New Roman" w:cs="Arial"/>
                <w:i/>
                <w:iCs/>
                <w:sz w:val="20"/>
                <w:szCs w:val="20"/>
                <w:lang w:eastAsia="en-AU"/>
              </w:rPr>
              <w:t>Ylistrum</w:t>
            </w:r>
            <w:proofErr w:type="spellEnd"/>
            <w:r w:rsidRPr="00960391">
              <w:rPr>
                <w:rFonts w:eastAsia="Times New Roman" w:cs="Arial"/>
                <w:i/>
                <w:iCs/>
                <w:sz w:val="20"/>
                <w:szCs w:val="20"/>
                <w:lang w:eastAsia="en-AU"/>
              </w:rPr>
              <w:t xml:space="preserve"> </w:t>
            </w:r>
            <w:proofErr w:type="spellStart"/>
            <w:r w:rsidRPr="00960391">
              <w:rPr>
                <w:rFonts w:eastAsia="Times New Roman" w:cs="Arial"/>
                <w:i/>
                <w:iCs/>
                <w:sz w:val="20"/>
                <w:szCs w:val="20"/>
                <w:lang w:eastAsia="en-AU"/>
              </w:rPr>
              <w:t>balloti</w:t>
            </w:r>
            <w:proofErr w:type="spellEnd"/>
          </w:p>
        </w:tc>
        <w:tc>
          <w:tcPr>
            <w:tcW w:w="929" w:type="dxa"/>
            <w:tcBorders>
              <w:top w:val="single" w:sz="4" w:space="0" w:color="auto"/>
              <w:bottom w:val="dotted" w:sz="4" w:space="0" w:color="auto"/>
            </w:tcBorders>
            <w:shd w:val="clear" w:color="auto" w:fill="auto"/>
            <w:noWrap/>
            <w:vAlign w:val="center"/>
            <w:hideMark/>
          </w:tcPr>
          <w:p w14:paraId="66B333DD" w14:textId="77777777" w:rsidR="00FC26E2" w:rsidRPr="00960391" w:rsidRDefault="00FC26E2" w:rsidP="008C5150">
            <w:pPr>
              <w:spacing w:after="0"/>
              <w:jc w:val="center"/>
              <w:rPr>
                <w:rFonts w:eastAsia="Times New Roman" w:cs="Arial"/>
                <w:sz w:val="20"/>
                <w:szCs w:val="20"/>
                <w:lang w:eastAsia="en-AU"/>
              </w:rPr>
            </w:pPr>
            <w:r w:rsidRPr="008A389A">
              <w:rPr>
                <w:rFonts w:cs="Arial"/>
                <w:sz w:val="20"/>
                <w:szCs w:val="20"/>
              </w:rPr>
              <w:t>2</w:t>
            </w:r>
            <w:r>
              <w:rPr>
                <w:rFonts w:cs="Arial"/>
                <w:sz w:val="20"/>
                <w:szCs w:val="20"/>
              </w:rPr>
              <w:t>,</w:t>
            </w:r>
            <w:r w:rsidRPr="008A389A">
              <w:rPr>
                <w:rFonts w:cs="Arial"/>
                <w:sz w:val="20"/>
                <w:szCs w:val="20"/>
              </w:rPr>
              <w:t>709</w:t>
            </w:r>
          </w:p>
        </w:tc>
        <w:tc>
          <w:tcPr>
            <w:tcW w:w="904" w:type="dxa"/>
            <w:tcBorders>
              <w:top w:val="single" w:sz="4" w:space="0" w:color="auto"/>
              <w:bottom w:val="dotted" w:sz="4" w:space="0" w:color="auto"/>
            </w:tcBorders>
            <w:vAlign w:val="center"/>
          </w:tcPr>
          <w:p w14:paraId="03D998C1" w14:textId="77777777" w:rsidR="00FC26E2" w:rsidRPr="003A5582" w:rsidRDefault="00FC26E2" w:rsidP="008C5150">
            <w:pPr>
              <w:spacing w:after="0"/>
              <w:jc w:val="center"/>
              <w:rPr>
                <w:rFonts w:cs="Arial"/>
                <w:sz w:val="20"/>
                <w:szCs w:val="20"/>
              </w:rPr>
            </w:pPr>
            <w:r>
              <w:rPr>
                <w:rFonts w:cs="Arial"/>
                <w:sz w:val="20"/>
                <w:szCs w:val="20"/>
              </w:rPr>
              <w:t>5.33</w:t>
            </w:r>
          </w:p>
        </w:tc>
        <w:tc>
          <w:tcPr>
            <w:tcW w:w="1564" w:type="dxa"/>
            <w:tcBorders>
              <w:top w:val="single" w:sz="4" w:space="0" w:color="auto"/>
              <w:bottom w:val="dotted" w:sz="4" w:space="0" w:color="auto"/>
            </w:tcBorders>
            <w:shd w:val="clear" w:color="auto" w:fill="auto"/>
            <w:noWrap/>
            <w:vAlign w:val="center"/>
            <w:hideMark/>
          </w:tcPr>
          <w:p w14:paraId="4DC5D411" w14:textId="77777777" w:rsidR="00FC26E2" w:rsidRPr="00960391" w:rsidRDefault="00FC26E2" w:rsidP="008C5150">
            <w:pPr>
              <w:spacing w:after="0"/>
              <w:jc w:val="center"/>
              <w:rPr>
                <w:rFonts w:eastAsia="Times New Roman" w:cs="Arial"/>
                <w:sz w:val="20"/>
                <w:szCs w:val="20"/>
                <w:lang w:eastAsia="en-AU"/>
              </w:rPr>
            </w:pPr>
            <w:r w:rsidRPr="003A5582">
              <w:rPr>
                <w:rFonts w:cs="Arial"/>
                <w:sz w:val="20"/>
                <w:szCs w:val="20"/>
              </w:rPr>
              <w:t>508.0</w:t>
            </w:r>
          </w:p>
        </w:tc>
        <w:tc>
          <w:tcPr>
            <w:tcW w:w="1982" w:type="dxa"/>
            <w:tcBorders>
              <w:top w:val="single" w:sz="4" w:space="0" w:color="auto"/>
              <w:bottom w:val="dotted" w:sz="4" w:space="0" w:color="auto"/>
            </w:tcBorders>
            <w:shd w:val="clear" w:color="auto" w:fill="auto"/>
            <w:noWrap/>
            <w:vAlign w:val="center"/>
            <w:hideMark/>
          </w:tcPr>
          <w:p w14:paraId="3965739B" w14:textId="77777777" w:rsidR="00FC26E2" w:rsidRPr="00960391" w:rsidRDefault="00FC26E2" w:rsidP="008C5150">
            <w:pPr>
              <w:spacing w:after="0"/>
              <w:jc w:val="center"/>
              <w:rPr>
                <w:rFonts w:eastAsia="Times New Roman" w:cs="Arial"/>
                <w:sz w:val="20"/>
                <w:szCs w:val="20"/>
                <w:lang w:eastAsia="en-AU"/>
              </w:rPr>
            </w:pPr>
            <w:r>
              <w:rPr>
                <w:rFonts w:eastAsia="Times New Roman" w:cs="Arial"/>
                <w:sz w:val="20"/>
                <w:szCs w:val="20"/>
                <w:lang w:eastAsia="en-AU"/>
              </w:rPr>
              <w:t>1,317</w:t>
            </w:r>
          </w:p>
        </w:tc>
        <w:tc>
          <w:tcPr>
            <w:tcW w:w="2193" w:type="dxa"/>
            <w:tcBorders>
              <w:top w:val="single" w:sz="4" w:space="0" w:color="auto"/>
              <w:bottom w:val="dotted" w:sz="4" w:space="0" w:color="auto"/>
            </w:tcBorders>
            <w:shd w:val="clear" w:color="auto" w:fill="auto"/>
            <w:noWrap/>
            <w:vAlign w:val="center"/>
            <w:hideMark/>
          </w:tcPr>
          <w:p w14:paraId="0410DC93" w14:textId="77777777" w:rsidR="00FC26E2" w:rsidRPr="00960391" w:rsidRDefault="00FC26E2" w:rsidP="008C5150">
            <w:pPr>
              <w:spacing w:after="0"/>
              <w:rPr>
                <w:rFonts w:eastAsia="Times New Roman" w:cs="Arial"/>
                <w:sz w:val="20"/>
                <w:szCs w:val="20"/>
                <w:lang w:eastAsia="en-AU"/>
              </w:rPr>
            </w:pPr>
            <w:r>
              <w:rPr>
                <w:rFonts w:eastAsia="Times New Roman" w:cs="Arial"/>
                <w:sz w:val="20"/>
                <w:szCs w:val="20"/>
                <w:lang w:eastAsia="en-AU"/>
              </w:rPr>
              <w:t>R</w:t>
            </w:r>
            <w:r w:rsidRPr="00960391">
              <w:rPr>
                <w:rFonts w:eastAsia="Times New Roman" w:cs="Arial"/>
                <w:sz w:val="20"/>
                <w:szCs w:val="20"/>
                <w:lang w:eastAsia="en-AU"/>
              </w:rPr>
              <w:t>etained</w:t>
            </w:r>
            <w:r>
              <w:rPr>
                <w:rFonts w:eastAsia="Times New Roman" w:cs="Arial"/>
                <w:sz w:val="20"/>
                <w:szCs w:val="20"/>
                <w:lang w:eastAsia="en-AU"/>
              </w:rPr>
              <w:t xml:space="preserve"> </w:t>
            </w:r>
          </w:p>
        </w:tc>
      </w:tr>
      <w:tr w:rsidR="00FC26E2" w:rsidRPr="003A5582" w14:paraId="4EA7B57B" w14:textId="77777777" w:rsidTr="008C5150">
        <w:trPr>
          <w:trHeight w:val="300"/>
        </w:trPr>
        <w:tc>
          <w:tcPr>
            <w:tcW w:w="1561" w:type="dxa"/>
            <w:tcBorders>
              <w:top w:val="dotted" w:sz="4" w:space="0" w:color="auto"/>
              <w:bottom w:val="dotted" w:sz="4" w:space="0" w:color="auto"/>
            </w:tcBorders>
            <w:shd w:val="clear" w:color="auto" w:fill="auto"/>
            <w:noWrap/>
            <w:vAlign w:val="center"/>
            <w:hideMark/>
          </w:tcPr>
          <w:p w14:paraId="676F87A1" w14:textId="77777777" w:rsidR="00FC26E2" w:rsidRPr="00960391" w:rsidRDefault="00FC26E2" w:rsidP="008C5150">
            <w:pPr>
              <w:spacing w:after="0"/>
              <w:rPr>
                <w:rFonts w:eastAsia="Times New Roman" w:cs="Arial"/>
                <w:sz w:val="20"/>
                <w:szCs w:val="20"/>
                <w:lang w:eastAsia="en-AU"/>
              </w:rPr>
            </w:pPr>
            <w:r w:rsidRPr="00960391">
              <w:rPr>
                <w:rFonts w:eastAsia="Times New Roman" w:cs="Arial"/>
                <w:sz w:val="20"/>
                <w:szCs w:val="20"/>
                <w:lang w:eastAsia="en-AU"/>
              </w:rPr>
              <w:t>Other Mollusca</w:t>
            </w:r>
          </w:p>
        </w:tc>
        <w:tc>
          <w:tcPr>
            <w:tcW w:w="929" w:type="dxa"/>
            <w:tcBorders>
              <w:top w:val="dotted" w:sz="4" w:space="0" w:color="auto"/>
              <w:bottom w:val="dotted" w:sz="4" w:space="0" w:color="auto"/>
            </w:tcBorders>
            <w:shd w:val="clear" w:color="auto" w:fill="auto"/>
            <w:noWrap/>
            <w:vAlign w:val="center"/>
            <w:hideMark/>
          </w:tcPr>
          <w:p w14:paraId="3CB32732" w14:textId="77777777" w:rsidR="00FC26E2" w:rsidRPr="00960391" w:rsidRDefault="00FC26E2" w:rsidP="008C5150">
            <w:pPr>
              <w:spacing w:after="0"/>
              <w:jc w:val="center"/>
              <w:rPr>
                <w:rFonts w:eastAsia="Times New Roman" w:cs="Arial"/>
                <w:sz w:val="20"/>
                <w:szCs w:val="20"/>
                <w:lang w:eastAsia="en-AU"/>
              </w:rPr>
            </w:pPr>
            <w:r w:rsidRPr="008A389A">
              <w:rPr>
                <w:rFonts w:cs="Arial"/>
                <w:sz w:val="20"/>
                <w:szCs w:val="20"/>
              </w:rPr>
              <w:t>15</w:t>
            </w:r>
          </w:p>
        </w:tc>
        <w:tc>
          <w:tcPr>
            <w:tcW w:w="904" w:type="dxa"/>
            <w:tcBorders>
              <w:top w:val="dotted" w:sz="4" w:space="0" w:color="auto"/>
              <w:bottom w:val="dotted" w:sz="4" w:space="0" w:color="auto"/>
            </w:tcBorders>
            <w:vAlign w:val="center"/>
          </w:tcPr>
          <w:p w14:paraId="3FF37EBC" w14:textId="77777777" w:rsidR="00FC26E2" w:rsidRPr="003A5582" w:rsidRDefault="00FC26E2" w:rsidP="008C5150">
            <w:pPr>
              <w:spacing w:after="0"/>
              <w:jc w:val="center"/>
              <w:rPr>
                <w:rFonts w:cs="Arial"/>
                <w:sz w:val="20"/>
                <w:szCs w:val="20"/>
              </w:rPr>
            </w:pPr>
            <w:r>
              <w:rPr>
                <w:rFonts w:cs="Arial"/>
                <w:sz w:val="20"/>
                <w:szCs w:val="20"/>
              </w:rPr>
              <w:t>5.33</w:t>
            </w:r>
          </w:p>
        </w:tc>
        <w:tc>
          <w:tcPr>
            <w:tcW w:w="1564" w:type="dxa"/>
            <w:tcBorders>
              <w:top w:val="dotted" w:sz="4" w:space="0" w:color="auto"/>
              <w:bottom w:val="dotted" w:sz="4" w:space="0" w:color="auto"/>
            </w:tcBorders>
            <w:shd w:val="clear" w:color="auto" w:fill="auto"/>
            <w:noWrap/>
            <w:vAlign w:val="center"/>
            <w:hideMark/>
          </w:tcPr>
          <w:p w14:paraId="7B51B667" w14:textId="77777777" w:rsidR="00FC26E2" w:rsidRPr="00960391" w:rsidRDefault="00FC26E2" w:rsidP="008C5150">
            <w:pPr>
              <w:spacing w:after="0"/>
              <w:jc w:val="center"/>
              <w:rPr>
                <w:rFonts w:eastAsia="Times New Roman" w:cs="Arial"/>
                <w:sz w:val="20"/>
                <w:szCs w:val="20"/>
                <w:lang w:eastAsia="en-AU"/>
              </w:rPr>
            </w:pPr>
            <w:r w:rsidRPr="003A5582">
              <w:rPr>
                <w:rFonts w:cs="Arial"/>
                <w:sz w:val="20"/>
                <w:szCs w:val="20"/>
              </w:rPr>
              <w:t>2.8</w:t>
            </w:r>
          </w:p>
        </w:tc>
        <w:tc>
          <w:tcPr>
            <w:tcW w:w="1982" w:type="dxa"/>
            <w:tcBorders>
              <w:top w:val="dotted" w:sz="4" w:space="0" w:color="auto"/>
              <w:bottom w:val="dotted" w:sz="4" w:space="0" w:color="auto"/>
            </w:tcBorders>
            <w:shd w:val="clear" w:color="auto" w:fill="auto"/>
            <w:noWrap/>
            <w:vAlign w:val="center"/>
            <w:hideMark/>
          </w:tcPr>
          <w:p w14:paraId="08CF91E5" w14:textId="77777777" w:rsidR="00FC26E2" w:rsidRPr="00960391" w:rsidRDefault="00FC26E2" w:rsidP="008C5150">
            <w:pPr>
              <w:spacing w:after="0"/>
              <w:jc w:val="center"/>
              <w:rPr>
                <w:rFonts w:eastAsia="Times New Roman" w:cs="Arial"/>
                <w:sz w:val="20"/>
                <w:szCs w:val="20"/>
                <w:lang w:eastAsia="en-AU"/>
              </w:rPr>
            </w:pPr>
            <w:r>
              <w:rPr>
                <w:rFonts w:cs="Arial"/>
                <w:sz w:val="20"/>
                <w:szCs w:val="20"/>
              </w:rPr>
              <w:t>7</w:t>
            </w:r>
          </w:p>
        </w:tc>
        <w:tc>
          <w:tcPr>
            <w:tcW w:w="2193" w:type="dxa"/>
            <w:tcBorders>
              <w:top w:val="dotted" w:sz="4" w:space="0" w:color="auto"/>
              <w:bottom w:val="dotted" w:sz="4" w:space="0" w:color="auto"/>
            </w:tcBorders>
            <w:shd w:val="clear" w:color="auto" w:fill="auto"/>
            <w:noWrap/>
            <w:vAlign w:val="center"/>
            <w:hideMark/>
          </w:tcPr>
          <w:p w14:paraId="1E1CB710" w14:textId="77777777" w:rsidR="00FC26E2" w:rsidRPr="00960391" w:rsidRDefault="00FC26E2" w:rsidP="008C5150">
            <w:pPr>
              <w:spacing w:after="0"/>
              <w:rPr>
                <w:rFonts w:eastAsia="Times New Roman" w:cs="Arial"/>
                <w:sz w:val="20"/>
                <w:szCs w:val="20"/>
                <w:lang w:eastAsia="en-AU"/>
              </w:rPr>
            </w:pPr>
            <w:r w:rsidRPr="00960391">
              <w:rPr>
                <w:rFonts w:eastAsia="Times New Roman" w:cs="Arial"/>
                <w:sz w:val="20"/>
                <w:szCs w:val="20"/>
                <w:lang w:eastAsia="en-AU"/>
              </w:rPr>
              <w:t>Discarded</w:t>
            </w:r>
          </w:p>
        </w:tc>
      </w:tr>
      <w:tr w:rsidR="00FC26E2" w:rsidRPr="003A5582" w14:paraId="67926A69" w14:textId="77777777" w:rsidTr="008C5150">
        <w:trPr>
          <w:trHeight w:val="300"/>
        </w:trPr>
        <w:tc>
          <w:tcPr>
            <w:tcW w:w="1561" w:type="dxa"/>
            <w:tcBorders>
              <w:top w:val="dotted" w:sz="4" w:space="0" w:color="auto"/>
              <w:bottom w:val="dotted" w:sz="4" w:space="0" w:color="auto"/>
            </w:tcBorders>
            <w:shd w:val="clear" w:color="auto" w:fill="auto"/>
            <w:noWrap/>
            <w:vAlign w:val="center"/>
            <w:hideMark/>
          </w:tcPr>
          <w:p w14:paraId="12EA1344" w14:textId="77777777" w:rsidR="00FC26E2" w:rsidRPr="00960391" w:rsidRDefault="00FC26E2" w:rsidP="008C5150">
            <w:pPr>
              <w:spacing w:after="0"/>
              <w:rPr>
                <w:rFonts w:eastAsia="Times New Roman" w:cs="Arial"/>
                <w:sz w:val="20"/>
                <w:szCs w:val="20"/>
                <w:lang w:eastAsia="en-AU"/>
              </w:rPr>
            </w:pPr>
            <w:proofErr w:type="spellStart"/>
            <w:r w:rsidRPr="00960391">
              <w:rPr>
                <w:rFonts w:eastAsia="Times New Roman" w:cs="Arial"/>
                <w:sz w:val="20"/>
                <w:szCs w:val="20"/>
                <w:lang w:eastAsia="en-AU"/>
              </w:rPr>
              <w:t>Porifora</w:t>
            </w:r>
            <w:proofErr w:type="spellEnd"/>
          </w:p>
        </w:tc>
        <w:tc>
          <w:tcPr>
            <w:tcW w:w="929" w:type="dxa"/>
            <w:tcBorders>
              <w:top w:val="dotted" w:sz="4" w:space="0" w:color="auto"/>
              <w:bottom w:val="dotted" w:sz="4" w:space="0" w:color="auto"/>
            </w:tcBorders>
            <w:shd w:val="clear" w:color="auto" w:fill="auto"/>
            <w:noWrap/>
            <w:vAlign w:val="center"/>
            <w:hideMark/>
          </w:tcPr>
          <w:p w14:paraId="38F1DA8A" w14:textId="77777777" w:rsidR="00FC26E2" w:rsidRPr="00960391" w:rsidRDefault="00FC26E2" w:rsidP="008C5150">
            <w:pPr>
              <w:spacing w:after="0"/>
              <w:jc w:val="center"/>
              <w:rPr>
                <w:rFonts w:eastAsia="Times New Roman" w:cs="Arial"/>
                <w:sz w:val="20"/>
                <w:szCs w:val="20"/>
                <w:lang w:eastAsia="en-AU"/>
              </w:rPr>
            </w:pPr>
            <w:r w:rsidRPr="008A389A">
              <w:rPr>
                <w:rFonts w:cs="Arial"/>
                <w:sz w:val="20"/>
                <w:szCs w:val="20"/>
              </w:rPr>
              <w:t>45</w:t>
            </w:r>
          </w:p>
        </w:tc>
        <w:tc>
          <w:tcPr>
            <w:tcW w:w="904" w:type="dxa"/>
            <w:tcBorders>
              <w:top w:val="dotted" w:sz="4" w:space="0" w:color="auto"/>
              <w:bottom w:val="dotted" w:sz="4" w:space="0" w:color="auto"/>
            </w:tcBorders>
            <w:vAlign w:val="center"/>
          </w:tcPr>
          <w:p w14:paraId="3159BADF" w14:textId="77777777" w:rsidR="00FC26E2" w:rsidRPr="003A5582" w:rsidRDefault="00FC26E2" w:rsidP="008C5150">
            <w:pPr>
              <w:spacing w:after="0"/>
              <w:jc w:val="center"/>
              <w:rPr>
                <w:rFonts w:cs="Arial"/>
                <w:sz w:val="20"/>
                <w:szCs w:val="20"/>
              </w:rPr>
            </w:pPr>
            <w:r>
              <w:rPr>
                <w:rFonts w:cs="Arial"/>
                <w:sz w:val="20"/>
                <w:szCs w:val="20"/>
              </w:rPr>
              <w:t>5.33</w:t>
            </w:r>
          </w:p>
        </w:tc>
        <w:tc>
          <w:tcPr>
            <w:tcW w:w="1564" w:type="dxa"/>
            <w:tcBorders>
              <w:top w:val="dotted" w:sz="4" w:space="0" w:color="auto"/>
              <w:bottom w:val="dotted" w:sz="4" w:space="0" w:color="auto"/>
            </w:tcBorders>
            <w:shd w:val="clear" w:color="auto" w:fill="auto"/>
            <w:noWrap/>
            <w:vAlign w:val="center"/>
            <w:hideMark/>
          </w:tcPr>
          <w:p w14:paraId="5A62D593" w14:textId="77777777" w:rsidR="00FC26E2" w:rsidRPr="00960391" w:rsidRDefault="00FC26E2" w:rsidP="008C5150">
            <w:pPr>
              <w:spacing w:after="0"/>
              <w:jc w:val="center"/>
              <w:rPr>
                <w:rFonts w:eastAsia="Times New Roman" w:cs="Arial"/>
                <w:sz w:val="20"/>
                <w:szCs w:val="20"/>
                <w:lang w:eastAsia="en-AU"/>
              </w:rPr>
            </w:pPr>
            <w:r w:rsidRPr="003A5582">
              <w:rPr>
                <w:rFonts w:cs="Arial"/>
                <w:sz w:val="20"/>
                <w:szCs w:val="20"/>
              </w:rPr>
              <w:t>8.5</w:t>
            </w:r>
          </w:p>
        </w:tc>
        <w:tc>
          <w:tcPr>
            <w:tcW w:w="1982" w:type="dxa"/>
            <w:tcBorders>
              <w:top w:val="dotted" w:sz="4" w:space="0" w:color="auto"/>
              <w:bottom w:val="dotted" w:sz="4" w:space="0" w:color="auto"/>
            </w:tcBorders>
            <w:shd w:val="clear" w:color="auto" w:fill="auto"/>
            <w:noWrap/>
            <w:vAlign w:val="center"/>
            <w:hideMark/>
          </w:tcPr>
          <w:p w14:paraId="1CA85D11" w14:textId="77777777" w:rsidR="00FC26E2" w:rsidRPr="00960391" w:rsidRDefault="00FC26E2" w:rsidP="008C5150">
            <w:pPr>
              <w:spacing w:after="0"/>
              <w:jc w:val="center"/>
              <w:rPr>
                <w:rFonts w:eastAsia="Times New Roman" w:cs="Arial"/>
                <w:sz w:val="20"/>
                <w:szCs w:val="20"/>
                <w:lang w:eastAsia="en-AU"/>
              </w:rPr>
            </w:pPr>
            <w:r>
              <w:rPr>
                <w:rFonts w:cs="Arial"/>
                <w:sz w:val="20"/>
                <w:szCs w:val="20"/>
              </w:rPr>
              <w:t>22</w:t>
            </w:r>
          </w:p>
        </w:tc>
        <w:tc>
          <w:tcPr>
            <w:tcW w:w="2193" w:type="dxa"/>
            <w:tcBorders>
              <w:top w:val="dotted" w:sz="4" w:space="0" w:color="auto"/>
              <w:bottom w:val="dotted" w:sz="4" w:space="0" w:color="auto"/>
            </w:tcBorders>
            <w:shd w:val="clear" w:color="auto" w:fill="auto"/>
            <w:noWrap/>
            <w:vAlign w:val="center"/>
            <w:hideMark/>
          </w:tcPr>
          <w:p w14:paraId="020727E7" w14:textId="77777777" w:rsidR="00FC26E2" w:rsidRPr="00960391" w:rsidRDefault="00FC26E2" w:rsidP="008C5150">
            <w:pPr>
              <w:spacing w:after="0"/>
              <w:rPr>
                <w:rFonts w:eastAsia="Times New Roman" w:cs="Arial"/>
                <w:sz w:val="20"/>
                <w:szCs w:val="20"/>
                <w:lang w:eastAsia="en-AU"/>
              </w:rPr>
            </w:pPr>
            <w:r w:rsidRPr="00960391">
              <w:rPr>
                <w:rFonts w:eastAsia="Times New Roman" w:cs="Arial"/>
                <w:sz w:val="20"/>
                <w:szCs w:val="20"/>
                <w:lang w:eastAsia="en-AU"/>
              </w:rPr>
              <w:t>Discarded</w:t>
            </w:r>
          </w:p>
        </w:tc>
      </w:tr>
      <w:tr w:rsidR="00FC26E2" w:rsidRPr="003A5582" w14:paraId="3D547F35" w14:textId="77777777" w:rsidTr="008C5150">
        <w:trPr>
          <w:trHeight w:val="300"/>
        </w:trPr>
        <w:tc>
          <w:tcPr>
            <w:tcW w:w="1561" w:type="dxa"/>
            <w:tcBorders>
              <w:top w:val="dotted" w:sz="4" w:space="0" w:color="auto"/>
              <w:bottom w:val="dotted" w:sz="4" w:space="0" w:color="auto"/>
            </w:tcBorders>
            <w:shd w:val="clear" w:color="auto" w:fill="auto"/>
            <w:noWrap/>
            <w:vAlign w:val="center"/>
            <w:hideMark/>
          </w:tcPr>
          <w:p w14:paraId="77091F67" w14:textId="77777777" w:rsidR="00FC26E2" w:rsidRPr="00960391" w:rsidRDefault="00FC26E2" w:rsidP="008C5150">
            <w:pPr>
              <w:spacing w:after="0"/>
              <w:rPr>
                <w:rFonts w:eastAsia="Times New Roman" w:cs="Arial"/>
                <w:sz w:val="20"/>
                <w:szCs w:val="20"/>
                <w:lang w:eastAsia="en-AU"/>
              </w:rPr>
            </w:pPr>
            <w:r w:rsidRPr="00960391">
              <w:rPr>
                <w:rFonts w:eastAsia="Times New Roman" w:cs="Arial"/>
                <w:sz w:val="20"/>
                <w:szCs w:val="20"/>
                <w:lang w:eastAsia="en-AU"/>
              </w:rPr>
              <w:t>Echinodermata</w:t>
            </w:r>
          </w:p>
        </w:tc>
        <w:tc>
          <w:tcPr>
            <w:tcW w:w="929" w:type="dxa"/>
            <w:tcBorders>
              <w:top w:val="dotted" w:sz="4" w:space="0" w:color="auto"/>
              <w:bottom w:val="dotted" w:sz="4" w:space="0" w:color="auto"/>
            </w:tcBorders>
            <w:shd w:val="clear" w:color="auto" w:fill="auto"/>
            <w:noWrap/>
            <w:vAlign w:val="center"/>
            <w:hideMark/>
          </w:tcPr>
          <w:p w14:paraId="34069A6B" w14:textId="77777777" w:rsidR="00FC26E2" w:rsidRPr="00960391" w:rsidRDefault="00FC26E2" w:rsidP="008C5150">
            <w:pPr>
              <w:spacing w:after="0"/>
              <w:jc w:val="center"/>
              <w:rPr>
                <w:rFonts w:eastAsia="Times New Roman" w:cs="Arial"/>
                <w:sz w:val="20"/>
                <w:szCs w:val="20"/>
                <w:lang w:eastAsia="en-AU"/>
              </w:rPr>
            </w:pPr>
            <w:r w:rsidRPr="008A389A">
              <w:rPr>
                <w:rFonts w:cs="Arial"/>
                <w:sz w:val="20"/>
                <w:szCs w:val="20"/>
              </w:rPr>
              <w:t>69</w:t>
            </w:r>
          </w:p>
        </w:tc>
        <w:tc>
          <w:tcPr>
            <w:tcW w:w="904" w:type="dxa"/>
            <w:tcBorders>
              <w:top w:val="dotted" w:sz="4" w:space="0" w:color="auto"/>
              <w:bottom w:val="dotted" w:sz="4" w:space="0" w:color="auto"/>
            </w:tcBorders>
            <w:vAlign w:val="center"/>
          </w:tcPr>
          <w:p w14:paraId="7C5ED934" w14:textId="77777777" w:rsidR="00FC26E2" w:rsidRPr="003A5582" w:rsidRDefault="00FC26E2" w:rsidP="008C5150">
            <w:pPr>
              <w:spacing w:after="0"/>
              <w:jc w:val="center"/>
              <w:rPr>
                <w:rFonts w:cs="Arial"/>
                <w:sz w:val="20"/>
                <w:szCs w:val="20"/>
              </w:rPr>
            </w:pPr>
            <w:r>
              <w:rPr>
                <w:rFonts w:cs="Arial"/>
                <w:sz w:val="20"/>
                <w:szCs w:val="20"/>
              </w:rPr>
              <w:t>5.33</w:t>
            </w:r>
          </w:p>
        </w:tc>
        <w:tc>
          <w:tcPr>
            <w:tcW w:w="1564" w:type="dxa"/>
            <w:tcBorders>
              <w:top w:val="dotted" w:sz="4" w:space="0" w:color="auto"/>
              <w:bottom w:val="dotted" w:sz="4" w:space="0" w:color="auto"/>
            </w:tcBorders>
            <w:shd w:val="clear" w:color="auto" w:fill="auto"/>
            <w:noWrap/>
            <w:vAlign w:val="center"/>
            <w:hideMark/>
          </w:tcPr>
          <w:p w14:paraId="5DBF9407" w14:textId="77777777" w:rsidR="00FC26E2" w:rsidRPr="00960391" w:rsidRDefault="00FC26E2" w:rsidP="008C5150">
            <w:pPr>
              <w:spacing w:after="0"/>
              <w:jc w:val="center"/>
              <w:rPr>
                <w:rFonts w:eastAsia="Times New Roman" w:cs="Arial"/>
                <w:sz w:val="20"/>
                <w:szCs w:val="20"/>
                <w:lang w:eastAsia="en-AU"/>
              </w:rPr>
            </w:pPr>
            <w:r w:rsidRPr="003A5582">
              <w:rPr>
                <w:rFonts w:cs="Arial"/>
                <w:sz w:val="20"/>
                <w:szCs w:val="20"/>
              </w:rPr>
              <w:t>13.0</w:t>
            </w:r>
          </w:p>
        </w:tc>
        <w:tc>
          <w:tcPr>
            <w:tcW w:w="1982" w:type="dxa"/>
            <w:tcBorders>
              <w:top w:val="dotted" w:sz="4" w:space="0" w:color="auto"/>
              <w:bottom w:val="dotted" w:sz="4" w:space="0" w:color="auto"/>
            </w:tcBorders>
            <w:shd w:val="clear" w:color="auto" w:fill="auto"/>
            <w:noWrap/>
            <w:vAlign w:val="center"/>
            <w:hideMark/>
          </w:tcPr>
          <w:p w14:paraId="199EBF5D" w14:textId="77777777" w:rsidR="00FC26E2" w:rsidRPr="00960391" w:rsidRDefault="00FC26E2" w:rsidP="008C5150">
            <w:pPr>
              <w:spacing w:after="0"/>
              <w:jc w:val="center"/>
              <w:rPr>
                <w:rFonts w:eastAsia="Times New Roman" w:cs="Arial"/>
                <w:sz w:val="20"/>
                <w:szCs w:val="20"/>
                <w:lang w:eastAsia="en-AU"/>
              </w:rPr>
            </w:pPr>
            <w:r>
              <w:rPr>
                <w:rFonts w:cs="Arial"/>
                <w:sz w:val="20"/>
                <w:szCs w:val="20"/>
              </w:rPr>
              <w:t>34</w:t>
            </w:r>
          </w:p>
        </w:tc>
        <w:tc>
          <w:tcPr>
            <w:tcW w:w="2193" w:type="dxa"/>
            <w:tcBorders>
              <w:top w:val="dotted" w:sz="4" w:space="0" w:color="auto"/>
              <w:bottom w:val="dotted" w:sz="4" w:space="0" w:color="auto"/>
            </w:tcBorders>
            <w:shd w:val="clear" w:color="auto" w:fill="auto"/>
            <w:noWrap/>
            <w:vAlign w:val="center"/>
            <w:hideMark/>
          </w:tcPr>
          <w:p w14:paraId="7A201F0F" w14:textId="77777777" w:rsidR="00FC26E2" w:rsidRPr="00960391" w:rsidRDefault="00FC26E2" w:rsidP="008C5150">
            <w:pPr>
              <w:spacing w:after="0"/>
              <w:rPr>
                <w:rFonts w:eastAsia="Times New Roman" w:cs="Arial"/>
                <w:sz w:val="20"/>
                <w:szCs w:val="20"/>
                <w:lang w:eastAsia="en-AU"/>
              </w:rPr>
            </w:pPr>
            <w:r w:rsidRPr="00960391">
              <w:rPr>
                <w:rFonts w:eastAsia="Times New Roman" w:cs="Arial"/>
                <w:sz w:val="20"/>
                <w:szCs w:val="20"/>
                <w:lang w:eastAsia="en-AU"/>
              </w:rPr>
              <w:t>Discarded</w:t>
            </w:r>
          </w:p>
        </w:tc>
      </w:tr>
      <w:tr w:rsidR="00FC26E2" w:rsidRPr="003A5582" w14:paraId="06F41BCD" w14:textId="77777777" w:rsidTr="008C5150">
        <w:trPr>
          <w:trHeight w:val="300"/>
        </w:trPr>
        <w:tc>
          <w:tcPr>
            <w:tcW w:w="1561" w:type="dxa"/>
            <w:tcBorders>
              <w:top w:val="dotted" w:sz="4" w:space="0" w:color="auto"/>
              <w:bottom w:val="dotted" w:sz="4" w:space="0" w:color="auto"/>
            </w:tcBorders>
            <w:shd w:val="clear" w:color="auto" w:fill="auto"/>
            <w:noWrap/>
            <w:vAlign w:val="center"/>
            <w:hideMark/>
          </w:tcPr>
          <w:p w14:paraId="6DA0D85C" w14:textId="77777777" w:rsidR="00FC26E2" w:rsidRPr="00960391" w:rsidRDefault="00FC26E2" w:rsidP="008C5150">
            <w:pPr>
              <w:spacing w:after="0"/>
              <w:rPr>
                <w:rFonts w:eastAsia="Times New Roman" w:cs="Arial"/>
                <w:sz w:val="20"/>
                <w:szCs w:val="20"/>
                <w:lang w:eastAsia="en-AU"/>
              </w:rPr>
            </w:pPr>
            <w:r w:rsidRPr="00960391">
              <w:rPr>
                <w:rFonts w:eastAsia="Times New Roman" w:cs="Arial"/>
                <w:sz w:val="20"/>
                <w:szCs w:val="20"/>
                <w:lang w:eastAsia="en-AU"/>
              </w:rPr>
              <w:t>Cnidaria</w:t>
            </w:r>
          </w:p>
        </w:tc>
        <w:tc>
          <w:tcPr>
            <w:tcW w:w="929" w:type="dxa"/>
            <w:tcBorders>
              <w:top w:val="dotted" w:sz="4" w:space="0" w:color="auto"/>
              <w:bottom w:val="dotted" w:sz="4" w:space="0" w:color="auto"/>
            </w:tcBorders>
            <w:shd w:val="clear" w:color="auto" w:fill="auto"/>
            <w:noWrap/>
            <w:vAlign w:val="center"/>
            <w:hideMark/>
          </w:tcPr>
          <w:p w14:paraId="4E9945E5" w14:textId="77777777" w:rsidR="00FC26E2" w:rsidRPr="00960391" w:rsidRDefault="00FC26E2" w:rsidP="008C5150">
            <w:pPr>
              <w:spacing w:after="0"/>
              <w:jc w:val="center"/>
              <w:rPr>
                <w:rFonts w:eastAsia="Times New Roman" w:cs="Arial"/>
                <w:sz w:val="20"/>
                <w:szCs w:val="20"/>
                <w:lang w:eastAsia="en-AU"/>
              </w:rPr>
            </w:pPr>
            <w:r w:rsidRPr="008A389A">
              <w:rPr>
                <w:rFonts w:cs="Arial"/>
                <w:sz w:val="20"/>
                <w:szCs w:val="20"/>
              </w:rPr>
              <w:t>3</w:t>
            </w:r>
          </w:p>
        </w:tc>
        <w:tc>
          <w:tcPr>
            <w:tcW w:w="904" w:type="dxa"/>
            <w:tcBorders>
              <w:top w:val="dotted" w:sz="4" w:space="0" w:color="auto"/>
              <w:bottom w:val="dotted" w:sz="4" w:space="0" w:color="auto"/>
            </w:tcBorders>
            <w:vAlign w:val="center"/>
          </w:tcPr>
          <w:p w14:paraId="691B416C" w14:textId="77777777" w:rsidR="00FC26E2" w:rsidRPr="003A5582" w:rsidRDefault="00FC26E2" w:rsidP="008C5150">
            <w:pPr>
              <w:spacing w:after="0"/>
              <w:jc w:val="center"/>
              <w:rPr>
                <w:rFonts w:cs="Arial"/>
                <w:sz w:val="20"/>
                <w:szCs w:val="20"/>
              </w:rPr>
            </w:pPr>
            <w:r>
              <w:rPr>
                <w:rFonts w:cs="Arial"/>
                <w:sz w:val="20"/>
                <w:szCs w:val="20"/>
              </w:rPr>
              <w:t>5.33</w:t>
            </w:r>
          </w:p>
        </w:tc>
        <w:tc>
          <w:tcPr>
            <w:tcW w:w="1564" w:type="dxa"/>
            <w:tcBorders>
              <w:top w:val="dotted" w:sz="4" w:space="0" w:color="auto"/>
              <w:bottom w:val="dotted" w:sz="4" w:space="0" w:color="auto"/>
            </w:tcBorders>
            <w:shd w:val="clear" w:color="auto" w:fill="auto"/>
            <w:noWrap/>
            <w:vAlign w:val="center"/>
            <w:hideMark/>
          </w:tcPr>
          <w:p w14:paraId="55A9C744" w14:textId="77777777" w:rsidR="00FC26E2" w:rsidRPr="00960391" w:rsidRDefault="00FC26E2" w:rsidP="008C5150">
            <w:pPr>
              <w:spacing w:after="0"/>
              <w:jc w:val="center"/>
              <w:rPr>
                <w:rFonts w:eastAsia="Times New Roman" w:cs="Arial"/>
                <w:sz w:val="20"/>
                <w:szCs w:val="20"/>
                <w:lang w:eastAsia="en-AU"/>
              </w:rPr>
            </w:pPr>
            <w:r w:rsidRPr="003A5582">
              <w:rPr>
                <w:rFonts w:cs="Arial"/>
                <w:sz w:val="20"/>
                <w:szCs w:val="20"/>
              </w:rPr>
              <w:t>0.6</w:t>
            </w:r>
          </w:p>
        </w:tc>
        <w:tc>
          <w:tcPr>
            <w:tcW w:w="1982" w:type="dxa"/>
            <w:tcBorders>
              <w:top w:val="dotted" w:sz="4" w:space="0" w:color="auto"/>
              <w:bottom w:val="dotted" w:sz="4" w:space="0" w:color="auto"/>
            </w:tcBorders>
            <w:shd w:val="clear" w:color="auto" w:fill="auto"/>
            <w:noWrap/>
            <w:vAlign w:val="center"/>
            <w:hideMark/>
          </w:tcPr>
          <w:p w14:paraId="6D4E5F48" w14:textId="77777777" w:rsidR="00FC26E2" w:rsidRPr="00960391" w:rsidRDefault="00FC26E2" w:rsidP="008C5150">
            <w:pPr>
              <w:spacing w:after="0"/>
              <w:jc w:val="center"/>
              <w:rPr>
                <w:rFonts w:eastAsia="Times New Roman" w:cs="Arial"/>
                <w:sz w:val="20"/>
                <w:szCs w:val="20"/>
                <w:lang w:eastAsia="en-AU"/>
              </w:rPr>
            </w:pPr>
            <w:r>
              <w:rPr>
                <w:rFonts w:cs="Arial"/>
                <w:sz w:val="20"/>
                <w:szCs w:val="20"/>
              </w:rPr>
              <w:t>1</w:t>
            </w:r>
          </w:p>
        </w:tc>
        <w:tc>
          <w:tcPr>
            <w:tcW w:w="2193" w:type="dxa"/>
            <w:tcBorders>
              <w:top w:val="dotted" w:sz="4" w:space="0" w:color="auto"/>
              <w:bottom w:val="dotted" w:sz="4" w:space="0" w:color="auto"/>
            </w:tcBorders>
            <w:shd w:val="clear" w:color="auto" w:fill="auto"/>
            <w:noWrap/>
            <w:vAlign w:val="center"/>
            <w:hideMark/>
          </w:tcPr>
          <w:p w14:paraId="72AA365A" w14:textId="77777777" w:rsidR="00FC26E2" w:rsidRPr="00960391" w:rsidRDefault="00FC26E2" w:rsidP="008C5150">
            <w:pPr>
              <w:spacing w:after="0"/>
              <w:rPr>
                <w:rFonts w:eastAsia="Times New Roman" w:cs="Arial"/>
                <w:sz w:val="20"/>
                <w:szCs w:val="20"/>
                <w:lang w:eastAsia="en-AU"/>
              </w:rPr>
            </w:pPr>
            <w:r w:rsidRPr="00960391">
              <w:rPr>
                <w:rFonts w:eastAsia="Times New Roman" w:cs="Arial"/>
                <w:sz w:val="20"/>
                <w:szCs w:val="20"/>
                <w:lang w:eastAsia="en-AU"/>
              </w:rPr>
              <w:t>Discarded</w:t>
            </w:r>
          </w:p>
        </w:tc>
      </w:tr>
      <w:tr w:rsidR="00FC26E2" w:rsidRPr="003A5582" w14:paraId="09143782" w14:textId="77777777" w:rsidTr="008C5150">
        <w:trPr>
          <w:trHeight w:val="300"/>
        </w:trPr>
        <w:tc>
          <w:tcPr>
            <w:tcW w:w="1561" w:type="dxa"/>
            <w:tcBorders>
              <w:top w:val="dotted" w:sz="4" w:space="0" w:color="auto"/>
              <w:bottom w:val="dotted" w:sz="4" w:space="0" w:color="auto"/>
            </w:tcBorders>
            <w:shd w:val="clear" w:color="auto" w:fill="auto"/>
            <w:noWrap/>
            <w:vAlign w:val="center"/>
            <w:hideMark/>
          </w:tcPr>
          <w:p w14:paraId="5DDB39C0" w14:textId="77777777" w:rsidR="00FC26E2" w:rsidRPr="00960391" w:rsidRDefault="00FC26E2" w:rsidP="008C5150">
            <w:pPr>
              <w:spacing w:after="0"/>
              <w:rPr>
                <w:rFonts w:eastAsia="Times New Roman" w:cs="Arial"/>
                <w:sz w:val="20"/>
                <w:szCs w:val="20"/>
                <w:lang w:eastAsia="en-AU"/>
              </w:rPr>
            </w:pPr>
            <w:r w:rsidRPr="00960391">
              <w:rPr>
                <w:rFonts w:eastAsia="Times New Roman" w:cs="Arial"/>
                <w:sz w:val="20"/>
                <w:szCs w:val="20"/>
                <w:lang w:eastAsia="en-AU"/>
              </w:rPr>
              <w:t>Chordata</w:t>
            </w:r>
          </w:p>
        </w:tc>
        <w:tc>
          <w:tcPr>
            <w:tcW w:w="929" w:type="dxa"/>
            <w:tcBorders>
              <w:top w:val="dotted" w:sz="4" w:space="0" w:color="auto"/>
              <w:bottom w:val="dotted" w:sz="4" w:space="0" w:color="auto"/>
            </w:tcBorders>
            <w:shd w:val="clear" w:color="auto" w:fill="auto"/>
            <w:noWrap/>
            <w:vAlign w:val="center"/>
            <w:hideMark/>
          </w:tcPr>
          <w:p w14:paraId="3E435005" w14:textId="77777777" w:rsidR="00FC26E2" w:rsidRPr="00960391" w:rsidRDefault="00FC26E2" w:rsidP="008C5150">
            <w:pPr>
              <w:spacing w:after="0"/>
              <w:jc w:val="center"/>
              <w:rPr>
                <w:rFonts w:eastAsia="Times New Roman" w:cs="Arial"/>
                <w:sz w:val="20"/>
                <w:szCs w:val="20"/>
                <w:lang w:eastAsia="en-AU"/>
              </w:rPr>
            </w:pPr>
            <w:r w:rsidRPr="008A389A">
              <w:rPr>
                <w:rFonts w:cs="Arial"/>
                <w:sz w:val="20"/>
                <w:szCs w:val="20"/>
              </w:rPr>
              <w:t>30</w:t>
            </w:r>
          </w:p>
        </w:tc>
        <w:tc>
          <w:tcPr>
            <w:tcW w:w="904" w:type="dxa"/>
            <w:tcBorders>
              <w:top w:val="dotted" w:sz="4" w:space="0" w:color="auto"/>
              <w:bottom w:val="dotted" w:sz="4" w:space="0" w:color="auto"/>
            </w:tcBorders>
            <w:vAlign w:val="center"/>
          </w:tcPr>
          <w:p w14:paraId="37619E6B" w14:textId="77777777" w:rsidR="00FC26E2" w:rsidRPr="003A5582" w:rsidRDefault="00FC26E2" w:rsidP="008C5150">
            <w:pPr>
              <w:spacing w:after="0"/>
              <w:jc w:val="center"/>
              <w:rPr>
                <w:rFonts w:cs="Arial"/>
                <w:sz w:val="20"/>
                <w:szCs w:val="20"/>
              </w:rPr>
            </w:pPr>
            <w:r>
              <w:rPr>
                <w:rFonts w:cs="Arial"/>
                <w:sz w:val="20"/>
                <w:szCs w:val="20"/>
              </w:rPr>
              <w:t>5.33</w:t>
            </w:r>
          </w:p>
        </w:tc>
        <w:tc>
          <w:tcPr>
            <w:tcW w:w="1564" w:type="dxa"/>
            <w:tcBorders>
              <w:top w:val="dotted" w:sz="4" w:space="0" w:color="auto"/>
              <w:bottom w:val="dotted" w:sz="4" w:space="0" w:color="auto"/>
            </w:tcBorders>
            <w:shd w:val="clear" w:color="auto" w:fill="auto"/>
            <w:noWrap/>
            <w:vAlign w:val="center"/>
            <w:hideMark/>
          </w:tcPr>
          <w:p w14:paraId="3707371A" w14:textId="77777777" w:rsidR="00FC26E2" w:rsidRPr="00960391" w:rsidRDefault="00FC26E2" w:rsidP="008C5150">
            <w:pPr>
              <w:spacing w:after="0"/>
              <w:jc w:val="center"/>
              <w:rPr>
                <w:rFonts w:eastAsia="Times New Roman" w:cs="Arial"/>
                <w:sz w:val="20"/>
                <w:szCs w:val="20"/>
                <w:lang w:eastAsia="en-AU"/>
              </w:rPr>
            </w:pPr>
            <w:r w:rsidRPr="003A5582">
              <w:rPr>
                <w:rFonts w:cs="Arial"/>
                <w:sz w:val="20"/>
                <w:szCs w:val="20"/>
              </w:rPr>
              <w:t>5.6</w:t>
            </w:r>
          </w:p>
        </w:tc>
        <w:tc>
          <w:tcPr>
            <w:tcW w:w="1982" w:type="dxa"/>
            <w:tcBorders>
              <w:top w:val="dotted" w:sz="4" w:space="0" w:color="auto"/>
              <w:bottom w:val="dotted" w:sz="4" w:space="0" w:color="auto"/>
            </w:tcBorders>
            <w:shd w:val="clear" w:color="auto" w:fill="auto"/>
            <w:noWrap/>
            <w:vAlign w:val="center"/>
            <w:hideMark/>
          </w:tcPr>
          <w:p w14:paraId="2AD9BE2F" w14:textId="77777777" w:rsidR="00FC26E2" w:rsidRPr="00960391" w:rsidRDefault="00FC26E2" w:rsidP="008C5150">
            <w:pPr>
              <w:spacing w:after="0"/>
              <w:jc w:val="center"/>
              <w:rPr>
                <w:rFonts w:eastAsia="Times New Roman" w:cs="Arial"/>
                <w:sz w:val="20"/>
                <w:szCs w:val="20"/>
                <w:lang w:eastAsia="en-AU"/>
              </w:rPr>
            </w:pPr>
            <w:r>
              <w:rPr>
                <w:rFonts w:cs="Arial"/>
                <w:sz w:val="20"/>
                <w:szCs w:val="20"/>
              </w:rPr>
              <w:t>15</w:t>
            </w:r>
          </w:p>
        </w:tc>
        <w:tc>
          <w:tcPr>
            <w:tcW w:w="2193" w:type="dxa"/>
            <w:tcBorders>
              <w:top w:val="dotted" w:sz="4" w:space="0" w:color="auto"/>
              <w:bottom w:val="dotted" w:sz="4" w:space="0" w:color="auto"/>
            </w:tcBorders>
            <w:shd w:val="clear" w:color="auto" w:fill="auto"/>
            <w:noWrap/>
            <w:vAlign w:val="center"/>
            <w:hideMark/>
          </w:tcPr>
          <w:p w14:paraId="7E61CD77" w14:textId="77777777" w:rsidR="00FC26E2" w:rsidRPr="00960391" w:rsidRDefault="00FC26E2" w:rsidP="008C5150">
            <w:pPr>
              <w:spacing w:after="0"/>
              <w:rPr>
                <w:rFonts w:eastAsia="Times New Roman" w:cs="Arial"/>
                <w:sz w:val="20"/>
                <w:szCs w:val="20"/>
                <w:lang w:eastAsia="en-AU"/>
              </w:rPr>
            </w:pPr>
            <w:r w:rsidRPr="00960391">
              <w:rPr>
                <w:rFonts w:eastAsia="Times New Roman" w:cs="Arial"/>
                <w:sz w:val="20"/>
                <w:szCs w:val="20"/>
                <w:lang w:eastAsia="en-AU"/>
              </w:rPr>
              <w:t>Discarded</w:t>
            </w:r>
          </w:p>
        </w:tc>
      </w:tr>
      <w:tr w:rsidR="00FC26E2" w:rsidRPr="003A5582" w14:paraId="1DA6EB33" w14:textId="77777777" w:rsidTr="008C5150">
        <w:trPr>
          <w:trHeight w:val="300"/>
        </w:trPr>
        <w:tc>
          <w:tcPr>
            <w:tcW w:w="1561" w:type="dxa"/>
            <w:tcBorders>
              <w:top w:val="dotted" w:sz="4" w:space="0" w:color="auto"/>
              <w:bottom w:val="single" w:sz="4" w:space="0" w:color="auto"/>
            </w:tcBorders>
            <w:shd w:val="clear" w:color="auto" w:fill="auto"/>
            <w:noWrap/>
            <w:vAlign w:val="center"/>
            <w:hideMark/>
          </w:tcPr>
          <w:p w14:paraId="67A231A5" w14:textId="77777777" w:rsidR="00FC26E2" w:rsidRPr="00960391" w:rsidRDefault="00FC26E2" w:rsidP="008C5150">
            <w:pPr>
              <w:spacing w:after="0"/>
              <w:rPr>
                <w:rFonts w:eastAsia="Times New Roman" w:cs="Arial"/>
                <w:sz w:val="20"/>
                <w:szCs w:val="20"/>
                <w:lang w:eastAsia="en-AU"/>
              </w:rPr>
            </w:pPr>
            <w:r w:rsidRPr="00960391">
              <w:rPr>
                <w:rFonts w:eastAsia="Times New Roman" w:cs="Arial"/>
                <w:sz w:val="20"/>
                <w:szCs w:val="20"/>
                <w:lang w:eastAsia="en-AU"/>
              </w:rPr>
              <w:t>Arthropoda</w:t>
            </w:r>
          </w:p>
        </w:tc>
        <w:tc>
          <w:tcPr>
            <w:tcW w:w="929" w:type="dxa"/>
            <w:tcBorders>
              <w:top w:val="dotted" w:sz="4" w:space="0" w:color="auto"/>
              <w:bottom w:val="single" w:sz="4" w:space="0" w:color="auto"/>
            </w:tcBorders>
            <w:shd w:val="clear" w:color="auto" w:fill="auto"/>
            <w:noWrap/>
            <w:vAlign w:val="center"/>
            <w:hideMark/>
          </w:tcPr>
          <w:p w14:paraId="5457625A" w14:textId="77777777" w:rsidR="00FC26E2" w:rsidRPr="00960391" w:rsidRDefault="00FC26E2" w:rsidP="008C5150">
            <w:pPr>
              <w:spacing w:after="0"/>
              <w:jc w:val="center"/>
              <w:rPr>
                <w:rFonts w:eastAsia="Times New Roman" w:cs="Arial"/>
                <w:sz w:val="20"/>
                <w:szCs w:val="20"/>
                <w:lang w:eastAsia="en-AU"/>
              </w:rPr>
            </w:pPr>
            <w:r w:rsidRPr="008A389A">
              <w:rPr>
                <w:rFonts w:cs="Arial"/>
                <w:sz w:val="20"/>
                <w:szCs w:val="20"/>
              </w:rPr>
              <w:t>15</w:t>
            </w:r>
          </w:p>
        </w:tc>
        <w:tc>
          <w:tcPr>
            <w:tcW w:w="904" w:type="dxa"/>
            <w:tcBorders>
              <w:top w:val="dotted" w:sz="4" w:space="0" w:color="auto"/>
              <w:bottom w:val="single" w:sz="4" w:space="0" w:color="auto"/>
            </w:tcBorders>
            <w:vAlign w:val="center"/>
          </w:tcPr>
          <w:p w14:paraId="3765079D" w14:textId="77777777" w:rsidR="00FC26E2" w:rsidRPr="003A5582" w:rsidRDefault="00FC26E2" w:rsidP="008C5150">
            <w:pPr>
              <w:spacing w:after="0"/>
              <w:jc w:val="center"/>
              <w:rPr>
                <w:rFonts w:cs="Arial"/>
                <w:sz w:val="20"/>
                <w:szCs w:val="20"/>
              </w:rPr>
            </w:pPr>
            <w:r>
              <w:rPr>
                <w:rFonts w:cs="Arial"/>
                <w:sz w:val="20"/>
                <w:szCs w:val="20"/>
              </w:rPr>
              <w:t>5.33</w:t>
            </w:r>
          </w:p>
        </w:tc>
        <w:tc>
          <w:tcPr>
            <w:tcW w:w="1564" w:type="dxa"/>
            <w:tcBorders>
              <w:top w:val="dotted" w:sz="4" w:space="0" w:color="auto"/>
              <w:bottom w:val="single" w:sz="4" w:space="0" w:color="auto"/>
            </w:tcBorders>
            <w:shd w:val="clear" w:color="auto" w:fill="auto"/>
            <w:noWrap/>
            <w:vAlign w:val="center"/>
            <w:hideMark/>
          </w:tcPr>
          <w:p w14:paraId="39E1E19C" w14:textId="77777777" w:rsidR="00FC26E2" w:rsidRPr="00960391" w:rsidRDefault="00FC26E2" w:rsidP="008C5150">
            <w:pPr>
              <w:spacing w:after="0"/>
              <w:jc w:val="center"/>
              <w:rPr>
                <w:rFonts w:eastAsia="Times New Roman" w:cs="Arial"/>
                <w:sz w:val="20"/>
                <w:szCs w:val="20"/>
                <w:lang w:eastAsia="en-AU"/>
              </w:rPr>
            </w:pPr>
            <w:r w:rsidRPr="003A5582">
              <w:rPr>
                <w:rFonts w:cs="Arial"/>
                <w:sz w:val="20"/>
                <w:szCs w:val="20"/>
              </w:rPr>
              <w:t>2.8</w:t>
            </w:r>
          </w:p>
        </w:tc>
        <w:tc>
          <w:tcPr>
            <w:tcW w:w="1982" w:type="dxa"/>
            <w:tcBorders>
              <w:top w:val="dotted" w:sz="4" w:space="0" w:color="auto"/>
              <w:bottom w:val="single" w:sz="4" w:space="0" w:color="auto"/>
            </w:tcBorders>
            <w:shd w:val="clear" w:color="auto" w:fill="auto"/>
            <w:noWrap/>
            <w:vAlign w:val="center"/>
            <w:hideMark/>
          </w:tcPr>
          <w:p w14:paraId="2998F3C4" w14:textId="77777777" w:rsidR="00FC26E2" w:rsidRPr="00960391" w:rsidRDefault="00FC26E2" w:rsidP="008C5150">
            <w:pPr>
              <w:spacing w:after="0"/>
              <w:jc w:val="center"/>
              <w:rPr>
                <w:rFonts w:eastAsia="Times New Roman" w:cs="Arial"/>
                <w:sz w:val="20"/>
                <w:szCs w:val="20"/>
                <w:lang w:eastAsia="en-AU"/>
              </w:rPr>
            </w:pPr>
            <w:r>
              <w:rPr>
                <w:rFonts w:cs="Arial"/>
                <w:sz w:val="20"/>
                <w:szCs w:val="20"/>
              </w:rPr>
              <w:t>7</w:t>
            </w:r>
          </w:p>
        </w:tc>
        <w:tc>
          <w:tcPr>
            <w:tcW w:w="2193" w:type="dxa"/>
            <w:tcBorders>
              <w:top w:val="dotted" w:sz="4" w:space="0" w:color="auto"/>
              <w:bottom w:val="single" w:sz="4" w:space="0" w:color="auto"/>
            </w:tcBorders>
            <w:shd w:val="clear" w:color="auto" w:fill="auto"/>
            <w:noWrap/>
            <w:vAlign w:val="center"/>
            <w:hideMark/>
          </w:tcPr>
          <w:p w14:paraId="6BCC74BA" w14:textId="77777777" w:rsidR="00FC26E2" w:rsidRPr="00960391" w:rsidRDefault="00FC26E2" w:rsidP="008C5150">
            <w:pPr>
              <w:spacing w:after="0"/>
              <w:rPr>
                <w:rFonts w:eastAsia="Times New Roman" w:cs="Arial"/>
                <w:sz w:val="20"/>
                <w:szCs w:val="20"/>
                <w:lang w:eastAsia="en-AU"/>
              </w:rPr>
            </w:pPr>
            <w:r w:rsidRPr="00960391">
              <w:rPr>
                <w:rFonts w:eastAsia="Times New Roman" w:cs="Arial"/>
                <w:sz w:val="20"/>
                <w:szCs w:val="20"/>
                <w:lang w:eastAsia="en-AU"/>
              </w:rPr>
              <w:t>Discarded</w:t>
            </w:r>
          </w:p>
        </w:tc>
      </w:tr>
    </w:tbl>
    <w:p w14:paraId="2799BF19" w14:textId="77777777" w:rsidR="00FC26E2" w:rsidRPr="003A6E30" w:rsidRDefault="00FC26E2" w:rsidP="00FC26E2">
      <w:pPr>
        <w:rPr>
          <w:b/>
          <w:bCs/>
          <w:lang w:val="en-US"/>
        </w:rPr>
      </w:pPr>
      <w:r w:rsidRPr="003A6E30">
        <w:rPr>
          <w:b/>
          <w:bCs/>
          <w:lang w:val="en-US"/>
        </w:rPr>
        <w:t xml:space="preserve">Discussion </w:t>
      </w:r>
    </w:p>
    <w:p w14:paraId="5044E511" w14:textId="77777777" w:rsidR="00FC26E2" w:rsidRPr="003A6E30" w:rsidRDefault="00FC26E2" w:rsidP="00972AC9">
      <w:pPr>
        <w:numPr>
          <w:ilvl w:val="0"/>
          <w:numId w:val="29"/>
        </w:numPr>
        <w:spacing w:after="200" w:line="240" w:lineRule="auto"/>
      </w:pPr>
      <w:r w:rsidRPr="003A6E30">
        <w:t>This survey confirmed that while the bycatch composition was diverse with 180 species, there were relatively very low quantities of each individual bycatch species (&lt;1% of total weight),</w:t>
      </w:r>
      <w:r w:rsidRPr="003A6E30">
        <w:rPr>
          <w:lang w:val="en-US"/>
        </w:rPr>
        <w:t xml:space="preserve"> which equates to an annual </w:t>
      </w:r>
      <w:r w:rsidRPr="003A6E30">
        <w:t>AIMWTMF</w:t>
      </w:r>
      <w:r w:rsidRPr="003A6E30">
        <w:rPr>
          <w:lang w:val="en-US"/>
        </w:rPr>
        <w:t xml:space="preserve"> catch of &lt;5 t per bycatch species (typically &lt;3 </w:t>
      </w:r>
      <w:proofErr w:type="gramStart"/>
      <w:r w:rsidRPr="003A6E30">
        <w:rPr>
          <w:lang w:val="en-US"/>
        </w:rPr>
        <w:t>t</w:t>
      </w:r>
      <w:r>
        <w:rPr>
          <w:lang w:val="en-US"/>
        </w:rPr>
        <w:t>)(</w:t>
      </w:r>
      <w:proofErr w:type="gramEnd"/>
      <w:r>
        <w:rPr>
          <w:lang w:val="en-US"/>
        </w:rPr>
        <w:t>Append. Table 3)</w:t>
      </w:r>
      <w:r>
        <w:t xml:space="preserve">. </w:t>
      </w:r>
      <w:r w:rsidRPr="003A6E30">
        <w:rPr>
          <w:lang w:val="en-US"/>
        </w:rPr>
        <w:t>However, the survey was conducted in summer, unlike the commercial fishery which operates between March and September.  Thus, bycatch composition in the survey may differ to that of the fishery due to seasonal differences in the availability</w:t>
      </w:r>
      <w:r>
        <w:rPr>
          <w:lang w:val="en-US"/>
        </w:rPr>
        <w:t xml:space="preserve"> and movement</w:t>
      </w:r>
      <w:r w:rsidRPr="003A6E30">
        <w:rPr>
          <w:lang w:val="en-US"/>
        </w:rPr>
        <w:t xml:space="preserve"> of bycatch species.</w:t>
      </w:r>
    </w:p>
    <w:p w14:paraId="7E14A5D9" w14:textId="77777777" w:rsidR="00FC26E2" w:rsidRPr="003A6E30" w:rsidRDefault="00FC26E2" w:rsidP="00972AC9">
      <w:pPr>
        <w:numPr>
          <w:ilvl w:val="0"/>
          <w:numId w:val="29"/>
        </w:numPr>
        <w:spacing w:after="200" w:line="240" w:lineRule="auto"/>
        <w:rPr>
          <w:lang w:val="en-US"/>
        </w:rPr>
      </w:pPr>
      <w:r w:rsidRPr="003A6E30">
        <w:rPr>
          <w:lang w:val="en-US"/>
        </w:rPr>
        <w:lastRenderedPageBreak/>
        <w:t xml:space="preserve">Such </w:t>
      </w:r>
      <w:r>
        <w:rPr>
          <w:lang w:val="en-US"/>
        </w:rPr>
        <w:t xml:space="preserve">bycatch </w:t>
      </w:r>
      <w:r w:rsidRPr="003A6E30">
        <w:rPr>
          <w:lang w:val="en-US"/>
        </w:rPr>
        <w:t>quantities are expected to have negligible/low impacts on the breeding stock of each species, especially since at least some discarded individuals are likely to survive</w:t>
      </w:r>
      <w:r>
        <w:rPr>
          <w:lang w:val="en-US"/>
        </w:rPr>
        <w:t xml:space="preserve">. </w:t>
      </w:r>
      <w:r w:rsidRPr="003A6E30">
        <w:rPr>
          <w:lang w:val="en-US"/>
        </w:rPr>
        <w:t>Post-release survival unknown for bycatch species, but many species are typically released alive &amp; at least some expected to survive.  Tag-recapture studies at the Abrolhos Islands have provided some evidence of this</w:t>
      </w:r>
      <w:r>
        <w:rPr>
          <w:lang w:val="en-US"/>
        </w:rPr>
        <w:t xml:space="preserve"> (</w:t>
      </w:r>
      <w:proofErr w:type="spellStart"/>
      <w:r w:rsidRPr="00E83C8A">
        <w:rPr>
          <w:lang w:val="en-US"/>
        </w:rPr>
        <w:t>Chandrapavan</w:t>
      </w:r>
      <w:proofErr w:type="spellEnd"/>
      <w:r w:rsidRPr="00E83C8A">
        <w:rPr>
          <w:lang w:val="en-US"/>
        </w:rPr>
        <w:t xml:space="preserve"> et al. 2020</w:t>
      </w:r>
      <w:r>
        <w:rPr>
          <w:lang w:val="en-US"/>
        </w:rPr>
        <w:t>)</w:t>
      </w:r>
      <w:r w:rsidRPr="003A6E30">
        <w:rPr>
          <w:lang w:val="en-US"/>
        </w:rPr>
        <w:t>. Presumably other bivalves and robust species would also survive.</w:t>
      </w:r>
    </w:p>
    <w:p w14:paraId="7B2B3044" w14:textId="77777777" w:rsidR="00FC26E2" w:rsidRDefault="00FC26E2" w:rsidP="00972AC9">
      <w:pPr>
        <w:numPr>
          <w:ilvl w:val="0"/>
          <w:numId w:val="29"/>
        </w:numPr>
        <w:spacing w:after="200" w:line="240" w:lineRule="auto"/>
        <w:rPr>
          <w:lang w:val="en-US"/>
        </w:rPr>
      </w:pPr>
      <w:r w:rsidRPr="003A6E30">
        <w:rPr>
          <w:lang w:val="en-US"/>
        </w:rPr>
        <w:t xml:space="preserve">No ETP species were captured in survey, consistent with very low number of ETP interactions reported by </w:t>
      </w:r>
      <w:r w:rsidRPr="003A6E30">
        <w:t>AIMWTMF</w:t>
      </w:r>
      <w:r w:rsidRPr="003A6E30">
        <w:rPr>
          <w:lang w:val="en-US"/>
        </w:rPr>
        <w:t xml:space="preserve"> fishers in statutory returns.</w:t>
      </w:r>
      <w:r>
        <w:rPr>
          <w:lang w:val="en-US"/>
        </w:rPr>
        <w:t xml:space="preserve"> </w:t>
      </w:r>
      <w:r w:rsidRPr="003A6E30">
        <w:rPr>
          <w:lang w:val="en-US"/>
        </w:rPr>
        <w:t>Estimated annual sponge catch (37 t) may be related to a habitat issue</w:t>
      </w:r>
    </w:p>
    <w:p w14:paraId="4C9304C1" w14:textId="227EEB06" w:rsidR="00DF389F" w:rsidRPr="00DF389F" w:rsidRDefault="00DF389F" w:rsidP="00DF389F">
      <w:pPr>
        <w:spacing w:after="200" w:line="240" w:lineRule="auto"/>
        <w:rPr>
          <w:i/>
          <w:iCs/>
          <w:lang w:val="en-US"/>
        </w:rPr>
      </w:pPr>
      <w:r w:rsidRPr="00DF389F">
        <w:rPr>
          <w:b/>
          <w:bCs/>
          <w:lang w:val="en-US"/>
        </w:rPr>
        <w:t>Append. Table 3</w:t>
      </w:r>
      <w:r>
        <w:rPr>
          <w:lang w:val="en-US"/>
        </w:rPr>
        <w:t xml:space="preserve">: </w:t>
      </w:r>
      <w:r w:rsidRPr="00DF389F">
        <w:rPr>
          <w:i/>
          <w:iCs/>
          <w:lang w:val="en-US"/>
        </w:rPr>
        <w:t xml:space="preserve">NOTE – refers to contribution (by weight and </w:t>
      </w:r>
      <w:r w:rsidR="00DA739D" w:rsidRPr="00DF389F">
        <w:rPr>
          <w:i/>
          <w:iCs/>
          <w:lang w:val="en-US"/>
        </w:rPr>
        <w:t>number</w:t>
      </w:r>
      <w:r w:rsidRPr="00DF389F">
        <w:rPr>
          <w:i/>
          <w:iCs/>
          <w:lang w:val="en-US"/>
        </w:rPr>
        <w:t xml:space="preserve">) of individual species to catch taken by the port side net during </w:t>
      </w:r>
      <w:r w:rsidR="00DA739D" w:rsidRPr="00DF389F">
        <w:rPr>
          <w:i/>
          <w:iCs/>
          <w:lang w:val="en-US"/>
        </w:rPr>
        <w:t>bycatch</w:t>
      </w:r>
      <w:r w:rsidRPr="00DF389F">
        <w:rPr>
          <w:i/>
          <w:iCs/>
          <w:lang w:val="en-US"/>
        </w:rPr>
        <w:t xml:space="preserve"> survey, as captured in </w:t>
      </w:r>
      <w:r w:rsidRPr="00DF389F">
        <w:rPr>
          <w:b/>
          <w:bCs/>
          <w:i/>
          <w:iCs/>
          <w:lang w:val="en-US"/>
        </w:rPr>
        <w:t>Appendix 2, Table 4</w:t>
      </w:r>
      <w:r>
        <w:rPr>
          <w:b/>
          <w:bCs/>
          <w:i/>
          <w:iCs/>
          <w:lang w:val="en-US"/>
        </w:rPr>
        <w:t xml:space="preserve"> </w:t>
      </w:r>
      <w:r w:rsidRPr="00DF389F">
        <w:rPr>
          <w:i/>
          <w:iCs/>
          <w:lang w:val="en-US"/>
        </w:rPr>
        <w:t xml:space="preserve">of the application.  </w:t>
      </w:r>
    </w:p>
    <w:p w14:paraId="4AC70E58" w14:textId="77777777" w:rsidR="00DF389F" w:rsidRDefault="00DF389F" w:rsidP="00DF389F">
      <w:pPr>
        <w:spacing w:after="200" w:line="240" w:lineRule="auto"/>
        <w:rPr>
          <w:lang w:val="en-US"/>
        </w:rPr>
      </w:pPr>
    </w:p>
    <w:p w14:paraId="5C2F007C" w14:textId="77777777" w:rsidR="00DF389F" w:rsidRDefault="00DF389F" w:rsidP="00DF389F">
      <w:pPr>
        <w:spacing w:after="200" w:line="240" w:lineRule="auto"/>
        <w:rPr>
          <w:b/>
          <w:bCs/>
          <w:sz w:val="28"/>
          <w:szCs w:val="24"/>
          <w:lang w:val="en-US"/>
        </w:rPr>
      </w:pPr>
      <w:r>
        <w:rPr>
          <w:b/>
          <w:bCs/>
          <w:sz w:val="28"/>
          <w:szCs w:val="24"/>
          <w:lang w:val="en-US"/>
        </w:rPr>
        <w:t>APPENDIX 4</w:t>
      </w:r>
    </w:p>
    <w:p w14:paraId="6CF93639" w14:textId="77777777" w:rsidR="00DF389F" w:rsidRDefault="00DF389F" w:rsidP="00DF389F">
      <w:pPr>
        <w:spacing w:after="200" w:line="240" w:lineRule="auto"/>
        <w:rPr>
          <w:b/>
          <w:bCs/>
          <w:sz w:val="28"/>
          <w:szCs w:val="24"/>
          <w:lang w:val="en-US"/>
        </w:rPr>
      </w:pPr>
      <w:r>
        <w:rPr>
          <w:b/>
          <w:bCs/>
          <w:sz w:val="28"/>
          <w:szCs w:val="24"/>
          <w:lang w:val="en-US"/>
        </w:rPr>
        <w:t xml:space="preserve">AIMWTMF Spatial Effort Footprint Annual Update (2023) </w:t>
      </w:r>
    </w:p>
    <w:p w14:paraId="095C9CB1" w14:textId="77777777" w:rsidR="00DF389F" w:rsidRPr="00DA739D" w:rsidRDefault="00DF389F" w:rsidP="00DF389F">
      <w:pPr>
        <w:rPr>
          <w:szCs w:val="24"/>
          <w:lang w:val="en-US"/>
        </w:rPr>
      </w:pPr>
      <w:r w:rsidRPr="00DA739D">
        <w:rPr>
          <w:szCs w:val="24"/>
          <w:lang w:val="en-US"/>
        </w:rPr>
        <w:t xml:space="preserve">2023 fishing season, in relation to the Abrolhos Islands and Midwest region of Western Australia, and the marine benthic habitats defined within the AIMWTMF. There was no fishing activity for this fishery in 2022. A full summary of the initial reporting, including methodology and habitat description can be found in the MSC Initial Assessment (MRAG, 2021) and this annual update should be read in conjunction with that report. For 2023, there were changes in the reporting of spatial closures, specifically in relation to additional reduction of the total allowable fishing area in relation to the Australian Commonwealth Marine Park boundaries and the opening of new management areas in the </w:t>
      </w:r>
      <w:proofErr w:type="gramStart"/>
      <w:r w:rsidRPr="00DA739D">
        <w:rPr>
          <w:szCs w:val="24"/>
          <w:lang w:val="en-US"/>
        </w:rPr>
        <w:t>north east</w:t>
      </w:r>
      <w:proofErr w:type="gramEnd"/>
      <w:r w:rsidRPr="00DA739D">
        <w:rPr>
          <w:szCs w:val="24"/>
          <w:lang w:val="en-US"/>
        </w:rPr>
        <w:t xml:space="preserve"> (Append. Figure 6). In 2023 the fleet consisted of 4 vessels operating in the AIMWTMF.</w:t>
      </w:r>
    </w:p>
    <w:p w14:paraId="525D9A18" w14:textId="62A131F3" w:rsidR="00DA739D" w:rsidRPr="00DA739D" w:rsidRDefault="00DA739D" w:rsidP="00DF389F">
      <w:pPr>
        <w:rPr>
          <w:b/>
          <w:bCs/>
          <w:szCs w:val="24"/>
          <w:u w:val="single"/>
          <w:lang w:val="en-US"/>
        </w:rPr>
      </w:pPr>
      <w:bookmarkStart w:id="108" w:name="Xc4873335bfe50ce3831aa251114284bb2cface8"/>
      <w:r w:rsidRPr="00DA739D">
        <w:rPr>
          <w:b/>
          <w:bCs/>
          <w:szCs w:val="24"/>
          <w:u w:val="single"/>
          <w:lang w:val="en-US"/>
        </w:rPr>
        <w:t>Spatial extent and intensity of AIMWTMF fishing interaction with Abrolhos Islands and Midwest region and marine habitats defined within the SBPMF for 2021</w:t>
      </w:r>
      <w:r>
        <w:rPr>
          <w:b/>
          <w:bCs/>
          <w:szCs w:val="24"/>
          <w:u w:val="single"/>
          <w:lang w:val="en-US"/>
        </w:rPr>
        <w:t xml:space="preserve"> </w:t>
      </w:r>
    </w:p>
    <w:p w14:paraId="26F5853A" w14:textId="7667A27F" w:rsidR="00DF389F" w:rsidRPr="00DA739D" w:rsidRDefault="00DF389F" w:rsidP="00DF389F">
      <w:pPr>
        <w:rPr>
          <w:szCs w:val="24"/>
          <w:lang w:val="en-US"/>
        </w:rPr>
      </w:pPr>
      <w:r w:rsidRPr="00DA739D">
        <w:rPr>
          <w:szCs w:val="24"/>
          <w:lang w:val="en-US"/>
        </w:rPr>
        <w:t>The AIMWTMF trawl footprint is calculated with the spatial location data obtained from the Department of Primary Industries and Regional Development (DPIRD) fishery independent vessel monitoring system (VMS) which is limited temporally to the start and end times of fishing activity reported in the mandatory SBPMF dependent logbooks. In 2023 the footprint was an estimated 457km</w:t>
      </w:r>
      <w:r w:rsidRPr="00DA739D">
        <w:rPr>
          <w:szCs w:val="24"/>
          <w:vertAlign w:val="superscript"/>
          <w:lang w:val="en-US"/>
        </w:rPr>
        <w:t>2</w:t>
      </w:r>
      <w:r w:rsidRPr="00DA739D">
        <w:rPr>
          <w:szCs w:val="24"/>
          <w:lang w:val="en-US"/>
        </w:rPr>
        <w:t>, which equates to ~7.7% of the AIMWTMF allowable fished areas (~5900 km</w:t>
      </w:r>
      <w:r w:rsidRPr="00DA739D">
        <w:rPr>
          <w:szCs w:val="24"/>
          <w:vertAlign w:val="superscript"/>
          <w:lang w:val="en-US"/>
        </w:rPr>
        <w:t>2</w:t>
      </w:r>
      <w:r w:rsidRPr="00DA739D">
        <w:rPr>
          <w:szCs w:val="24"/>
          <w:lang w:val="en-US"/>
        </w:rPr>
        <w:t>). This is comparable to levels of spatial fishing effort reported for the AIMWTMF for 2005 and 2019 (Table 1) and, overall, 116 km</w:t>
      </w:r>
      <w:r w:rsidRPr="00DA739D">
        <w:rPr>
          <w:szCs w:val="24"/>
          <w:vertAlign w:val="superscript"/>
          <w:lang w:val="en-US"/>
        </w:rPr>
        <w:t>2</w:t>
      </w:r>
      <w:r w:rsidRPr="00DA739D">
        <w:rPr>
          <w:szCs w:val="24"/>
          <w:lang w:val="en-US"/>
        </w:rPr>
        <w:t xml:space="preserve"> smaller than the cumulative area fished from 2010-19 of 573 km</w:t>
      </w:r>
      <w:r w:rsidRPr="00DA739D">
        <w:rPr>
          <w:szCs w:val="24"/>
          <w:vertAlign w:val="superscript"/>
          <w:lang w:val="en-US"/>
        </w:rPr>
        <w:t>2</w:t>
      </w:r>
      <w:r w:rsidRPr="00DA739D">
        <w:rPr>
          <w:szCs w:val="24"/>
          <w:lang w:val="en-US"/>
        </w:rPr>
        <w:t xml:space="preserve"> (Append. Figure 1; Append. Table 4).</w:t>
      </w:r>
      <w:bookmarkEnd w:id="108"/>
      <w:r w:rsidRPr="00DA739D">
        <w:rPr>
          <w:szCs w:val="24"/>
          <w:lang w:val="en-US"/>
        </w:rPr>
        <w:t xml:space="preserve"> There has been an observed shift of effort of the fishery, starting in 2020 and 2021 to other traditional fishing areas (e.g., 2005) in the north and east of the allowable fishing area, which  equate to an approximate 42.5% expansion outside of the 2010 to 2019 cumulative footprint, with ~37% of the </w:t>
      </w:r>
      <w:r w:rsidRPr="00DA739D">
        <w:rPr>
          <w:szCs w:val="24"/>
          <w:lang w:val="en-US"/>
        </w:rPr>
        <w:lastRenderedPageBreak/>
        <w:t>2010 to 2019 cumulative footprint still maintaining fishing effort and ~63% with no effort in 2023 (Append. Figure 6).</w:t>
      </w:r>
    </w:p>
    <w:p w14:paraId="3404C655" w14:textId="77777777" w:rsidR="00DF389F" w:rsidRPr="00DA739D" w:rsidRDefault="00DF389F" w:rsidP="00DF389F">
      <w:pPr>
        <w:rPr>
          <w:szCs w:val="24"/>
          <w:lang w:val="en-US"/>
        </w:rPr>
      </w:pPr>
      <w:r w:rsidRPr="00DA739D">
        <w:rPr>
          <w:szCs w:val="24"/>
          <w:lang w:val="en-US"/>
        </w:rPr>
        <w:t>Of the 457km</w:t>
      </w:r>
      <w:r w:rsidRPr="00DA739D">
        <w:rPr>
          <w:szCs w:val="24"/>
          <w:vertAlign w:val="superscript"/>
          <w:lang w:val="en-US"/>
        </w:rPr>
        <w:t>2</w:t>
      </w:r>
      <w:r w:rsidRPr="00DA739D">
        <w:rPr>
          <w:szCs w:val="24"/>
          <w:lang w:val="en-US"/>
        </w:rPr>
        <w:t xml:space="preserve"> footprint for 2023, 118km</w:t>
      </w:r>
      <w:r w:rsidRPr="00DA739D">
        <w:rPr>
          <w:szCs w:val="24"/>
          <w:vertAlign w:val="superscript"/>
          <w:lang w:val="en-US"/>
        </w:rPr>
        <w:t>2</w:t>
      </w:r>
      <w:r w:rsidRPr="00DA739D">
        <w:rPr>
          <w:szCs w:val="24"/>
          <w:lang w:val="en-US"/>
        </w:rPr>
        <w:t xml:space="preserve"> was within the Abrolhos Fish Habitat Protection Area (which is ~4.8% of the total allowable fished area of the FHPA) (Figure 1; Table 1). This is reduction of spatial effort of 271.8km</w:t>
      </w:r>
      <w:r w:rsidRPr="00DA739D">
        <w:rPr>
          <w:szCs w:val="24"/>
          <w:vertAlign w:val="superscript"/>
          <w:lang w:val="en-US"/>
        </w:rPr>
        <w:t xml:space="preserve">2 </w:t>
      </w:r>
      <w:r w:rsidRPr="00DA739D">
        <w:rPr>
          <w:szCs w:val="24"/>
          <w:lang w:val="en-US"/>
        </w:rPr>
        <w:t xml:space="preserve">(~71.5%) for the AIMWTMF in the Abrolhos FHPA compared to 2010 to 2019, primarily from reductions in the south and west of the Abrolhos FHPA management area (Append. Figure 6) </w:t>
      </w:r>
    </w:p>
    <w:p w14:paraId="71BDEE84" w14:textId="77777777" w:rsidR="00DF389F" w:rsidRDefault="00DF389F" w:rsidP="00DF389F">
      <w:pPr>
        <w:spacing w:after="200" w:line="240" w:lineRule="auto"/>
        <w:rPr>
          <w:i/>
          <w:iCs/>
          <w:szCs w:val="24"/>
          <w:lang w:val="en-US"/>
        </w:rPr>
      </w:pPr>
      <w:r w:rsidRPr="00DA739D">
        <w:rPr>
          <w:b/>
          <w:bCs/>
          <w:i/>
          <w:iCs/>
          <w:szCs w:val="24"/>
          <w:lang w:val="en-US"/>
        </w:rPr>
        <w:t>Appen. Table 4</w:t>
      </w:r>
      <w:r w:rsidRPr="00DA739D">
        <w:rPr>
          <w:i/>
          <w:iCs/>
          <w:szCs w:val="24"/>
          <w:lang w:val="en-US"/>
        </w:rPr>
        <w:t>: NOTE – refers to cumulative (2010-29) compared to annual SBPMF effort levels within the allowable fishing area of the AIMWTMF (km</w:t>
      </w:r>
      <w:r w:rsidRPr="00DA739D">
        <w:rPr>
          <w:i/>
          <w:iCs/>
          <w:szCs w:val="24"/>
          <w:vertAlign w:val="superscript"/>
          <w:lang w:val="en-US"/>
        </w:rPr>
        <w:t>2</w:t>
      </w:r>
      <w:r w:rsidRPr="00DA739D">
        <w:rPr>
          <w:i/>
          <w:iCs/>
          <w:szCs w:val="24"/>
          <w:lang w:val="en-US"/>
        </w:rPr>
        <w:t xml:space="preserve">), as captured in </w:t>
      </w:r>
      <w:proofErr w:type="gramStart"/>
      <w:r w:rsidRPr="00DA739D">
        <w:rPr>
          <w:b/>
          <w:bCs/>
          <w:i/>
          <w:iCs/>
          <w:szCs w:val="24"/>
          <w:lang w:val="en-US"/>
        </w:rPr>
        <w:t>Appendix  3</w:t>
      </w:r>
      <w:proofErr w:type="gramEnd"/>
      <w:r w:rsidRPr="00DA739D">
        <w:rPr>
          <w:b/>
          <w:bCs/>
          <w:i/>
          <w:iCs/>
          <w:szCs w:val="24"/>
          <w:lang w:val="en-US"/>
        </w:rPr>
        <w:t xml:space="preserve">, Table 6 and </w:t>
      </w:r>
      <w:r w:rsidR="00DA739D" w:rsidRPr="00DA739D">
        <w:rPr>
          <w:b/>
          <w:bCs/>
          <w:i/>
          <w:iCs/>
          <w:szCs w:val="24"/>
          <w:lang w:val="en-US"/>
        </w:rPr>
        <w:t>append</w:t>
      </w:r>
      <w:r w:rsidRPr="00DA739D">
        <w:rPr>
          <w:b/>
          <w:bCs/>
          <w:i/>
          <w:iCs/>
          <w:szCs w:val="24"/>
          <w:lang w:val="en-US"/>
        </w:rPr>
        <w:t xml:space="preserve">. Figure 8 </w:t>
      </w:r>
      <w:r w:rsidRPr="00DA739D">
        <w:rPr>
          <w:i/>
          <w:iCs/>
          <w:szCs w:val="24"/>
          <w:lang w:val="en-US"/>
        </w:rPr>
        <w:t xml:space="preserve">of this application. </w:t>
      </w:r>
    </w:p>
    <w:p w14:paraId="311801EF" w14:textId="77777777" w:rsidR="00DA739D" w:rsidRPr="00DA739D" w:rsidRDefault="00DA739D" w:rsidP="00DA739D">
      <w:pPr>
        <w:pStyle w:val="BodyText"/>
        <w:rPr>
          <w:b/>
          <w:bCs/>
          <w:u w:val="single"/>
          <w:lang w:val="en-US"/>
        </w:rPr>
      </w:pPr>
      <w:r w:rsidRPr="00DA739D">
        <w:rPr>
          <w:b/>
          <w:bCs/>
          <w:u w:val="single"/>
          <w:lang w:val="en-US"/>
        </w:rPr>
        <w:t xml:space="preserve">Habitat Interactions </w:t>
      </w:r>
    </w:p>
    <w:p w14:paraId="11F11D50" w14:textId="5EFE8E94" w:rsidR="00DA739D" w:rsidRDefault="00DA739D" w:rsidP="00DA739D">
      <w:pPr>
        <w:pStyle w:val="BodyText"/>
        <w:rPr>
          <w:lang w:val="en-US"/>
        </w:rPr>
      </w:pPr>
      <w:r w:rsidRPr="00F97EC3">
        <w:rPr>
          <w:lang w:val="en-US"/>
        </w:rPr>
        <w:t>Assessing the larger 2010 to 2019 cumulative trawl footprint to habitat data, where available, confirms that the AIMWTMF primarily targets sand habitats (91.9%) (MRAG 2021).  Although not covering the entirety of AIMWTMF, the available marine habitat data and biology of the target species, supports that the AIMWTMF annual spatial effort on habitat types, other than sand, is likely to be low.</w:t>
      </w:r>
    </w:p>
    <w:p w14:paraId="28DDC5EB" w14:textId="77777777" w:rsidR="00DA739D" w:rsidRPr="00DA739D" w:rsidRDefault="00DA739D" w:rsidP="00DA739D">
      <w:pPr>
        <w:pStyle w:val="BodyText"/>
        <w:rPr>
          <w:b/>
          <w:bCs/>
          <w:u w:val="single"/>
          <w:lang w:val="en-US"/>
        </w:rPr>
      </w:pPr>
      <w:r w:rsidRPr="00DA739D">
        <w:rPr>
          <w:b/>
          <w:bCs/>
          <w:u w:val="single"/>
          <w:lang w:val="en-US"/>
        </w:rPr>
        <w:t xml:space="preserve">References </w:t>
      </w:r>
    </w:p>
    <w:p w14:paraId="11EEF95E" w14:textId="2317B283" w:rsidR="00DA739D" w:rsidRPr="00DA739D" w:rsidRDefault="00DA739D" w:rsidP="00DA739D">
      <w:pPr>
        <w:pStyle w:val="BodyText"/>
        <w:rPr>
          <w:lang w:val="en-US"/>
        </w:rPr>
        <w:sectPr w:rsidR="00DA739D" w:rsidRPr="00DA739D" w:rsidSect="00FC26E2">
          <w:headerReference w:type="even" r:id="rId83"/>
          <w:headerReference w:type="default" r:id="rId84"/>
          <w:footerReference w:type="even" r:id="rId85"/>
          <w:footerReference w:type="default" r:id="rId86"/>
          <w:headerReference w:type="first" r:id="rId87"/>
          <w:footerReference w:type="first" r:id="rId88"/>
          <w:pgSz w:w="11906" w:h="16838"/>
          <w:pgMar w:top="1440" w:right="1440" w:bottom="1440" w:left="1440" w:header="708" w:footer="708" w:gutter="0"/>
          <w:cols w:space="708"/>
          <w:docGrid w:linePitch="360"/>
        </w:sectPr>
      </w:pPr>
      <w:r w:rsidRPr="00F97EC3">
        <w:rPr>
          <w:lang w:val="en-US"/>
        </w:rPr>
        <w:t>MRAG Americas (2021) Abrolhos Island and Mid-West Scallop Trawl Fishery. MSC Initial Assessment. Prepared on behalf of Far West Scallops and Elmwood/</w:t>
      </w:r>
      <w:proofErr w:type="spellStart"/>
      <w:r w:rsidRPr="00F97EC3">
        <w:rPr>
          <w:lang w:val="en-US"/>
        </w:rPr>
        <w:t>McBoats</w:t>
      </w:r>
      <w:proofErr w:type="spellEnd"/>
      <w:r w:rsidRPr="00F97EC3">
        <w:rPr>
          <w:lang w:val="en-US"/>
        </w:rPr>
        <w:t>. MRAG Americas, Inc. St. Petersburg, Florida.</w:t>
      </w:r>
    </w:p>
    <w:p w14:paraId="3455F656" w14:textId="22A3D238" w:rsidR="00DA739D" w:rsidRDefault="00DA739D" w:rsidP="00DA739D">
      <w:pPr>
        <w:pStyle w:val="Heading1"/>
        <w:rPr>
          <w:lang w:val="en-US"/>
        </w:rPr>
      </w:pPr>
      <w:bookmarkStart w:id="109" w:name="_Toc183695850"/>
      <w:r w:rsidRPr="004C5D6E">
        <w:rPr>
          <w:lang w:val="en-US"/>
        </w:rPr>
        <w:lastRenderedPageBreak/>
        <w:t xml:space="preserve">Appendix </w:t>
      </w:r>
      <w:r>
        <w:rPr>
          <w:lang w:val="en-US"/>
        </w:rPr>
        <w:t>5 –</w:t>
      </w:r>
      <w:r w:rsidRPr="004C5D6E">
        <w:rPr>
          <w:lang w:val="en-US"/>
        </w:rPr>
        <w:t xml:space="preserve"> </w:t>
      </w:r>
      <w:r>
        <w:rPr>
          <w:lang w:val="en-US"/>
        </w:rPr>
        <w:t>SCTMF Weight of Evidence Stock Assessment Report (2024)</w:t>
      </w:r>
      <w:bookmarkEnd w:id="109"/>
      <w:r>
        <w:rPr>
          <w:lang w:val="en-US"/>
        </w:rPr>
        <w:t xml:space="preserve"> </w:t>
      </w:r>
    </w:p>
    <w:p w14:paraId="60D8013B" w14:textId="77777777" w:rsidR="00DA739D" w:rsidRPr="00FC26E2" w:rsidRDefault="00DA739D" w:rsidP="00DA739D">
      <w:pPr>
        <w:rPr>
          <w:b/>
          <w:bCs/>
          <w:u w:val="single"/>
        </w:rPr>
      </w:pPr>
      <w:r>
        <w:rPr>
          <w:b/>
          <w:bCs/>
        </w:rPr>
        <w:t>ECOSYSTEM BASED FISHERIES ASSESSMENT FOR THE ABROLHOS ISLANDS SAUCER SCALLOP FISHERY - 2023</w:t>
      </w:r>
    </w:p>
    <w:p w14:paraId="59B412EB" w14:textId="77777777" w:rsidR="00DA739D" w:rsidRDefault="00DA739D" w:rsidP="00DA739D">
      <w:pPr>
        <w:pStyle w:val="Compact"/>
      </w:pPr>
      <w:r>
        <w:t xml:space="preserve">Arani </w:t>
      </w:r>
      <w:proofErr w:type="spellStart"/>
      <w:r>
        <w:t>Chandrapavan</w:t>
      </w:r>
      <w:proofErr w:type="spellEnd"/>
      <w:r>
        <w:t>, Sharon Wilkin, Scott Evans and Jason How</w:t>
      </w:r>
    </w:p>
    <w:p w14:paraId="6C469D15" w14:textId="4B77DF0C" w:rsidR="00DA739D" w:rsidRDefault="00DA739D" w:rsidP="00DA739D">
      <w:pPr>
        <w:pStyle w:val="Compact"/>
      </w:pPr>
      <w:r>
        <w:t>6</w:t>
      </w:r>
      <w:r w:rsidRPr="00F00315">
        <w:t xml:space="preserve"> </w:t>
      </w:r>
      <w:r>
        <w:t xml:space="preserve">March </w:t>
      </w:r>
      <w:r w:rsidRPr="00F00315">
        <w:t>2024</w:t>
      </w:r>
    </w:p>
    <w:p w14:paraId="6C05150E" w14:textId="77777777" w:rsidR="00DA739D" w:rsidRDefault="00DA739D" w:rsidP="00DA739D">
      <w:pPr>
        <w:pStyle w:val="Compact"/>
        <w:rPr>
          <w:b/>
          <w:bCs/>
        </w:rPr>
      </w:pPr>
    </w:p>
    <w:p w14:paraId="1A059F9E" w14:textId="77777777" w:rsidR="00DA739D" w:rsidRPr="0095616E" w:rsidRDefault="00DA739D" w:rsidP="00DA739D">
      <w:pPr>
        <w:pStyle w:val="Compact"/>
        <w:rPr>
          <w:b/>
          <w:bCs/>
          <w:sz w:val="28"/>
          <w:szCs w:val="28"/>
        </w:rPr>
      </w:pPr>
      <w:r w:rsidRPr="0095616E">
        <w:rPr>
          <w:b/>
          <w:bCs/>
          <w:sz w:val="28"/>
          <w:szCs w:val="28"/>
        </w:rPr>
        <w:t>Weight of Evidence Stock Assessment</w:t>
      </w:r>
    </w:p>
    <w:tbl>
      <w:tblPr>
        <w:tblStyle w:val="TableGrid"/>
        <w:tblW w:w="9815" w:type="dxa"/>
        <w:tblInd w:w="-431" w:type="dxa"/>
        <w:tblLook w:val="04A0" w:firstRow="1" w:lastRow="0" w:firstColumn="1" w:lastColumn="0" w:noHBand="0" w:noVBand="1"/>
      </w:tblPr>
      <w:tblGrid>
        <w:gridCol w:w="1663"/>
        <w:gridCol w:w="8152"/>
      </w:tblGrid>
      <w:tr w:rsidR="00DA739D" w:rsidRPr="0095616E" w14:paraId="25DBBBFB" w14:textId="77777777" w:rsidTr="008C5150">
        <w:trPr>
          <w:cnfStyle w:val="100000000000" w:firstRow="1" w:lastRow="0" w:firstColumn="0" w:lastColumn="0" w:oddVBand="0" w:evenVBand="0" w:oddHBand="0" w:evenHBand="0" w:firstRowFirstColumn="0" w:firstRowLastColumn="0" w:lastRowFirstColumn="0" w:lastRowLastColumn="0"/>
        </w:trPr>
        <w:tc>
          <w:tcPr>
            <w:tcW w:w="1663" w:type="dxa"/>
          </w:tcPr>
          <w:p w14:paraId="2CF37E7A" w14:textId="77777777" w:rsidR="00DA739D" w:rsidRPr="0095616E" w:rsidRDefault="00DA739D" w:rsidP="008C5150">
            <w:pPr>
              <w:pStyle w:val="Compact"/>
              <w:rPr>
                <w:rFonts w:asciiTheme="majorHAnsi" w:hAnsiTheme="majorHAnsi" w:cstheme="majorHAnsi"/>
                <w:b w:val="0"/>
                <w:bCs/>
              </w:rPr>
            </w:pPr>
            <w:r w:rsidRPr="0095616E">
              <w:rPr>
                <w:rFonts w:asciiTheme="majorHAnsi" w:hAnsiTheme="majorHAnsi" w:cstheme="majorHAnsi"/>
              </w:rPr>
              <w:t>Category</w:t>
            </w:r>
          </w:p>
        </w:tc>
        <w:tc>
          <w:tcPr>
            <w:tcW w:w="8152" w:type="dxa"/>
          </w:tcPr>
          <w:p w14:paraId="1447E9A9" w14:textId="77777777" w:rsidR="00DA739D" w:rsidRPr="0095616E" w:rsidRDefault="00DA739D" w:rsidP="008C5150">
            <w:pPr>
              <w:pStyle w:val="Compact"/>
              <w:rPr>
                <w:rFonts w:asciiTheme="majorHAnsi" w:hAnsiTheme="majorHAnsi" w:cstheme="majorHAnsi"/>
                <w:b w:val="0"/>
                <w:bCs/>
              </w:rPr>
            </w:pPr>
            <w:r w:rsidRPr="0095616E">
              <w:rPr>
                <w:rFonts w:asciiTheme="majorHAnsi" w:hAnsiTheme="majorHAnsi" w:cstheme="majorHAnsi"/>
              </w:rPr>
              <w:t>Line of Evidence</w:t>
            </w:r>
          </w:p>
        </w:tc>
      </w:tr>
      <w:tr w:rsidR="00DA739D" w:rsidRPr="0095616E" w14:paraId="13A22A8E" w14:textId="77777777" w:rsidTr="008C5150">
        <w:tc>
          <w:tcPr>
            <w:tcW w:w="1663" w:type="dxa"/>
          </w:tcPr>
          <w:p w14:paraId="79C75FE0" w14:textId="25BF4EB8" w:rsidR="00DA739D" w:rsidRPr="0095616E" w:rsidRDefault="00DA739D" w:rsidP="00DA739D">
            <w:pPr>
              <w:pStyle w:val="Compact"/>
              <w:rPr>
                <w:rFonts w:asciiTheme="majorHAnsi" w:hAnsiTheme="majorHAnsi" w:cstheme="majorHAnsi"/>
              </w:rPr>
            </w:pPr>
            <w:r>
              <w:t>L0 Biology &amp; vulnerability</w:t>
            </w:r>
          </w:p>
        </w:tc>
        <w:tc>
          <w:tcPr>
            <w:tcW w:w="8152" w:type="dxa"/>
          </w:tcPr>
          <w:p w14:paraId="70B61074" w14:textId="0502A64D" w:rsidR="00DA739D" w:rsidRPr="0095616E" w:rsidRDefault="00DA739D" w:rsidP="00DA739D">
            <w:pPr>
              <w:pStyle w:val="Compact"/>
              <w:rPr>
                <w:rFonts w:asciiTheme="majorHAnsi" w:hAnsiTheme="majorHAnsi" w:cstheme="majorHAnsi"/>
              </w:rPr>
            </w:pPr>
            <w:r w:rsidRPr="00871036">
              <w:t xml:space="preserve">The PSA score is </w:t>
            </w:r>
            <w:r w:rsidRPr="00307E40">
              <w:rPr>
                <w:b/>
                <w:bCs/>
                <w:color w:val="21574C" w:themeColor="accent3"/>
              </w:rPr>
              <w:t>LOW</w:t>
            </w:r>
            <w:r w:rsidRPr="00871036">
              <w:t xml:space="preserve"> for this species. The score reflects this species being short-lived (maximum age ~</w:t>
            </w:r>
            <w:r>
              <w:t>2</w:t>
            </w:r>
            <w:r w:rsidRPr="00871036">
              <w:t>-</w:t>
            </w:r>
            <w:r>
              <w:t>3</w:t>
            </w:r>
            <w:r w:rsidRPr="00871036">
              <w:t xml:space="preserve"> years), highly fecund, broadcast spawning strategy, medium trophic level, but being highly selected by the fishing gear and exhibiting low to moderate post-capture mortality and negative impacts of increasing water temperatures. </w:t>
            </w:r>
          </w:p>
        </w:tc>
      </w:tr>
      <w:tr w:rsidR="00DA739D" w:rsidRPr="0095616E" w14:paraId="5465B971" w14:textId="77777777" w:rsidTr="008C5150">
        <w:tc>
          <w:tcPr>
            <w:tcW w:w="9815" w:type="dxa"/>
            <w:gridSpan w:val="2"/>
            <w:shd w:val="clear" w:color="auto" w:fill="D3F5FF" w:themeFill="accent1" w:themeFillTint="1A"/>
          </w:tcPr>
          <w:p w14:paraId="0A4E02C2" w14:textId="77777777" w:rsidR="00DA739D" w:rsidRPr="00DA739D" w:rsidRDefault="00DA739D" w:rsidP="00DA739D">
            <w:pPr>
              <w:rPr>
                <w:b/>
                <w:bCs/>
                <w:u w:val="single"/>
              </w:rPr>
            </w:pPr>
            <w:r w:rsidRPr="00DA739D">
              <w:rPr>
                <w:b/>
                <w:bCs/>
                <w:u w:val="single"/>
              </w:rPr>
              <w:t>L0 Assessment</w:t>
            </w:r>
          </w:p>
          <w:p w14:paraId="6DCC8BF1" w14:textId="77777777" w:rsidR="00DA739D" w:rsidRPr="00DA739D" w:rsidRDefault="00DA739D" w:rsidP="00DA739D">
            <w:pPr>
              <w:pStyle w:val="Compact"/>
              <w:numPr>
                <w:ilvl w:val="0"/>
                <w:numId w:val="22"/>
              </w:numPr>
              <w:rPr>
                <w:b/>
                <w:bCs/>
              </w:rPr>
            </w:pPr>
            <w:r w:rsidRPr="00DA739D">
              <w:rPr>
                <w:b/>
                <w:bCs/>
              </w:rPr>
              <w:t>Scallops are a highly productive species</w:t>
            </w:r>
          </w:p>
          <w:p w14:paraId="5B217C1F" w14:textId="77777777" w:rsidR="00DA739D" w:rsidRPr="00DA739D" w:rsidRDefault="00DA739D" w:rsidP="00DA739D">
            <w:pPr>
              <w:pStyle w:val="Compact"/>
              <w:numPr>
                <w:ilvl w:val="0"/>
                <w:numId w:val="22"/>
              </w:numPr>
              <w:rPr>
                <w:b/>
                <w:bCs/>
              </w:rPr>
            </w:pPr>
            <w:r w:rsidRPr="00DA739D">
              <w:rPr>
                <w:b/>
                <w:bCs/>
              </w:rPr>
              <w:t>There is strong selectivity by fishing gear, though post-release mortality is low to moderate</w:t>
            </w:r>
          </w:p>
          <w:p w14:paraId="72F5A271" w14:textId="2EA39225" w:rsidR="00DA739D" w:rsidRPr="0095616E" w:rsidRDefault="00DA739D" w:rsidP="00DA739D">
            <w:pPr>
              <w:pStyle w:val="Compact"/>
              <w:rPr>
                <w:rFonts w:asciiTheme="majorHAnsi" w:hAnsiTheme="majorHAnsi" w:cstheme="majorHAnsi"/>
              </w:rPr>
            </w:pPr>
            <w:r w:rsidRPr="00DA739D">
              <w:t xml:space="preserve">Therefore, this species is at </w:t>
            </w:r>
            <w:r w:rsidRPr="00DA739D">
              <w:rPr>
                <w:b/>
                <w:bCs/>
              </w:rPr>
              <w:t>LOW</w:t>
            </w:r>
            <w:r w:rsidRPr="00DA739D">
              <w:t xml:space="preserve"> risk based on its biology and vulnerability.</w:t>
            </w:r>
          </w:p>
        </w:tc>
      </w:tr>
      <w:tr w:rsidR="00DA739D" w:rsidRPr="0095616E" w14:paraId="5AF937F6" w14:textId="77777777" w:rsidTr="00DA739D">
        <w:tc>
          <w:tcPr>
            <w:tcW w:w="1663" w:type="dxa"/>
            <w:shd w:val="clear" w:color="auto" w:fill="auto"/>
          </w:tcPr>
          <w:p w14:paraId="5D880F92" w14:textId="47DBE542" w:rsidR="00DA739D" w:rsidRPr="0095616E" w:rsidRDefault="00DA739D" w:rsidP="00DA739D">
            <w:pPr>
              <w:pStyle w:val="Compact"/>
              <w:rPr>
                <w:rFonts w:asciiTheme="majorHAnsi" w:hAnsiTheme="majorHAnsi" w:cstheme="majorHAnsi"/>
              </w:rPr>
            </w:pPr>
            <w:r>
              <w:t>L1 Catch</w:t>
            </w:r>
          </w:p>
        </w:tc>
        <w:tc>
          <w:tcPr>
            <w:tcW w:w="8152" w:type="dxa"/>
            <w:shd w:val="clear" w:color="auto" w:fill="auto"/>
          </w:tcPr>
          <w:p w14:paraId="6FB92AAB" w14:textId="77777777" w:rsidR="00DA739D" w:rsidRDefault="00DA739D" w:rsidP="00DA739D">
            <w:r w:rsidRPr="0064389E">
              <w:t xml:space="preserve">The </w:t>
            </w:r>
            <w:r>
              <w:t xml:space="preserve">total </w:t>
            </w:r>
            <w:r w:rsidRPr="0064389E">
              <w:t xml:space="preserve">scallop catch </w:t>
            </w:r>
            <w:r>
              <w:t xml:space="preserve">during 2023 </w:t>
            </w:r>
            <w:r w:rsidRPr="0064389E">
              <w:t xml:space="preserve">was 28 t meat weight (140.1 t whole weight). </w:t>
            </w:r>
            <w:r>
              <w:t>This level of catch is very similar to both 2022 catch of 29.3 t and 2021 catch of 29.4 t and within the seasonal catch average of 27.8 t (mean catch between 1990 and 2022, excluding year 2000 of exceptional catch landings)</w:t>
            </w:r>
            <w:r w:rsidRPr="0064389E">
              <w:t xml:space="preserve">. </w:t>
            </w:r>
          </w:p>
          <w:p w14:paraId="2DA6C268" w14:textId="77777777" w:rsidR="00DA739D" w:rsidRDefault="00DA739D" w:rsidP="00DA739D">
            <w:pPr>
              <w:rPr>
                <w:rFonts w:eastAsia="Times New Roman" w:cs="Times New Roman"/>
              </w:rPr>
            </w:pPr>
          </w:p>
          <w:p w14:paraId="717CD2FD" w14:textId="77777777" w:rsidR="00DA739D" w:rsidRDefault="00DA739D" w:rsidP="00DA739D">
            <w:pPr>
              <w:rPr>
                <w:rFonts w:eastAsia="Times New Roman" w:cs="Times New Roman"/>
              </w:rPr>
            </w:pPr>
            <w:r>
              <w:rPr>
                <w:rFonts w:eastAsia="Times New Roman" w:cs="Times New Roman"/>
                <w:noProof/>
              </w:rPr>
              <w:drawing>
                <wp:inline distT="0" distB="0" distL="0" distR="0" wp14:anchorId="42286678" wp14:editId="45A4E9C2">
                  <wp:extent cx="4620260" cy="1635059"/>
                  <wp:effectExtent l="0" t="0" r="0" b="0"/>
                  <wp:docPr id="1222180150" name="Picture 6" descr="A graph depicting the historical annual catch in the South Coast Trawl Fishery, as reported in the South Coast Trawl Fishery 2024 Weight of Evidence Stock Assessment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180150" name="Picture 6" descr="A graph depicting the historical annual catch in the South Coast Trawl Fishery, as reported in the South Coast Trawl Fishery 2024 Weight of Evidence Stock Assessment Report. "/>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38037" cy="1641350"/>
                          </a:xfrm>
                          <a:prstGeom prst="rect">
                            <a:avLst/>
                          </a:prstGeom>
                          <a:noFill/>
                        </pic:spPr>
                      </pic:pic>
                    </a:graphicData>
                  </a:graphic>
                </wp:inline>
              </w:drawing>
            </w:r>
          </w:p>
          <w:p w14:paraId="5CB7317D" w14:textId="49C0CC57" w:rsidR="00DA739D" w:rsidRDefault="00DA739D" w:rsidP="00DA739D">
            <w:pPr>
              <w:pStyle w:val="Caption"/>
            </w:pPr>
            <w:r>
              <w:t xml:space="preserve">Figure </w:t>
            </w:r>
            <w:r>
              <w:fldChar w:fldCharType="begin"/>
            </w:r>
            <w:r>
              <w:instrText xml:space="preserve"> SEQ Figure \* ARABIC </w:instrText>
            </w:r>
            <w:r>
              <w:fldChar w:fldCharType="separate"/>
            </w:r>
            <w:r w:rsidR="00AB15B7">
              <w:rPr>
                <w:noProof/>
              </w:rPr>
              <w:t>23</w:t>
            </w:r>
            <w:r>
              <w:fldChar w:fldCharType="end"/>
            </w:r>
            <w:r w:rsidRPr="002F5D0B">
              <w:t xml:space="preserve"> Historical annual catch (tonnes</w:t>
            </w:r>
            <w:r>
              <w:t>, meat weight</w:t>
            </w:r>
            <w:r w:rsidRPr="002F5D0B">
              <w:t xml:space="preserve">) </w:t>
            </w:r>
            <w:r>
              <w:t>between 1988 and 2023. No fishing occurred during 2017, 2019 and 2020.</w:t>
            </w:r>
          </w:p>
          <w:p w14:paraId="4084CC15" w14:textId="5D4B2C9D" w:rsidR="00DA739D" w:rsidRDefault="00DA739D" w:rsidP="00DA739D">
            <w:r>
              <w:t>Catches are influenced by water temperatures (</w:t>
            </w:r>
            <w:r>
              <w:fldChar w:fldCharType="begin"/>
            </w:r>
            <w:r>
              <w:instrText xml:space="preserve"> REF _Ref157582162 \h </w:instrText>
            </w:r>
            <w:r>
              <w:fldChar w:fldCharType="separate"/>
            </w:r>
            <w:r w:rsidR="00AB15B7" w:rsidRPr="004A5D80">
              <w:t xml:space="preserve">Figure </w:t>
            </w:r>
            <w:r w:rsidR="00AB15B7">
              <w:rPr>
                <w:noProof/>
              </w:rPr>
              <w:t>27</w:t>
            </w:r>
            <w:r>
              <w:fldChar w:fldCharType="end"/>
            </w:r>
            <w:r>
              <w:t>). The 2024 season is expected to be below average as ocean temperatures shifted under an El Niño influence and weaker Leeuwin Current during 2023.</w:t>
            </w:r>
          </w:p>
          <w:p w14:paraId="7AFF1340" w14:textId="77777777" w:rsidR="00DA739D" w:rsidRDefault="00DA739D" w:rsidP="00DA739D">
            <w:pPr>
              <w:pStyle w:val="BodyText"/>
              <w:keepNext/>
            </w:pPr>
            <w:r>
              <w:rPr>
                <w:noProof/>
              </w:rPr>
              <w:lastRenderedPageBreak/>
              <w:drawing>
                <wp:inline distT="0" distB="0" distL="0" distR="0" wp14:anchorId="5D465718" wp14:editId="04995070">
                  <wp:extent cx="4575975" cy="2287988"/>
                  <wp:effectExtent l="0" t="0" r="0" b="0"/>
                  <wp:docPr id="2068666639" name="Picture 4" descr="A figure depicting the proportion of catch retained in each month by year for scallops accessed by the South West Trawl Managed Fishery, as reported in the South Coast Trawl Fishery 2024 Weight of Evidence Stock Assessment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666639" name="Picture 4" descr="A figure depicting the proportion of catch retained in each month by year for scallops accessed by the South West Trawl Managed Fishery, as reported in the South Coast Trawl Fishery 2024 Weight of Evidence Stock Assessment Report. "/>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77811" cy="2288906"/>
                          </a:xfrm>
                          <a:prstGeom prst="rect">
                            <a:avLst/>
                          </a:prstGeom>
                        </pic:spPr>
                      </pic:pic>
                    </a:graphicData>
                  </a:graphic>
                </wp:inline>
              </w:drawing>
            </w:r>
          </w:p>
          <w:p w14:paraId="05F31F02" w14:textId="4D3B501B" w:rsidR="00DA739D" w:rsidRPr="00DA739D" w:rsidRDefault="00DA739D" w:rsidP="00DA739D">
            <w:pPr>
              <w:rPr>
                <w:rFonts w:asciiTheme="majorHAnsi" w:hAnsiTheme="majorHAnsi" w:cstheme="majorHAnsi"/>
                <w:i/>
                <w:iCs/>
              </w:rPr>
            </w:pPr>
            <w:bookmarkStart w:id="110" w:name="_Ref157514379"/>
            <w:r w:rsidRPr="00DA739D">
              <w:rPr>
                <w:i/>
                <w:iCs/>
              </w:rPr>
              <w:t xml:space="preserve">Figure </w:t>
            </w:r>
            <w:r w:rsidRPr="00DA739D">
              <w:rPr>
                <w:i/>
                <w:iCs/>
              </w:rPr>
              <w:fldChar w:fldCharType="begin"/>
            </w:r>
            <w:r w:rsidRPr="00DA739D">
              <w:rPr>
                <w:i/>
                <w:iCs/>
              </w:rPr>
              <w:instrText xml:space="preserve"> SEQ Figure \* ARABIC </w:instrText>
            </w:r>
            <w:r w:rsidRPr="00DA739D">
              <w:rPr>
                <w:i/>
                <w:iCs/>
              </w:rPr>
              <w:fldChar w:fldCharType="separate"/>
            </w:r>
            <w:r w:rsidR="00AB15B7">
              <w:rPr>
                <w:i/>
                <w:iCs/>
                <w:noProof/>
              </w:rPr>
              <w:t>24</w:t>
            </w:r>
            <w:r w:rsidRPr="00DA739D">
              <w:rPr>
                <w:i/>
                <w:iCs/>
              </w:rPr>
              <w:fldChar w:fldCharType="end"/>
            </w:r>
            <w:bookmarkEnd w:id="110"/>
            <w:r w:rsidRPr="00DA739D">
              <w:rPr>
                <w:i/>
                <w:iCs/>
              </w:rPr>
              <w:t xml:space="preserve"> Proportion of catch (see legend) retained in each month by year for scallops accessed by the SWTMF.</w:t>
            </w:r>
          </w:p>
        </w:tc>
      </w:tr>
      <w:tr w:rsidR="00DA739D" w:rsidRPr="0095616E" w14:paraId="3E86EF2F" w14:textId="77777777" w:rsidTr="00DA739D">
        <w:tc>
          <w:tcPr>
            <w:tcW w:w="1663" w:type="dxa"/>
            <w:shd w:val="clear" w:color="auto" w:fill="auto"/>
          </w:tcPr>
          <w:p w14:paraId="611364EA" w14:textId="6FB56292" w:rsidR="00DA739D" w:rsidRDefault="00DA739D" w:rsidP="00DA739D">
            <w:pPr>
              <w:pStyle w:val="Compact"/>
            </w:pPr>
            <w:r w:rsidRPr="00A526A1">
              <w:lastRenderedPageBreak/>
              <w:t>L1 Catch MSY</w:t>
            </w:r>
          </w:p>
        </w:tc>
        <w:tc>
          <w:tcPr>
            <w:tcW w:w="8152" w:type="dxa"/>
            <w:shd w:val="clear" w:color="auto" w:fill="auto"/>
          </w:tcPr>
          <w:p w14:paraId="40134691" w14:textId="1C937B52" w:rsidR="00DA739D" w:rsidRPr="0064389E" w:rsidRDefault="00DA739D" w:rsidP="00DA739D">
            <w:r w:rsidRPr="00A526A1">
              <w:t>A catch MSY assessment has not been undertaken for this component of the resource to date</w:t>
            </w:r>
          </w:p>
        </w:tc>
      </w:tr>
      <w:tr w:rsidR="00DA739D" w:rsidRPr="0095616E" w14:paraId="6AF0D84F" w14:textId="77777777" w:rsidTr="00DA739D">
        <w:tc>
          <w:tcPr>
            <w:tcW w:w="9815" w:type="dxa"/>
            <w:gridSpan w:val="2"/>
            <w:shd w:val="clear" w:color="auto" w:fill="D3F5FF" w:themeFill="accent1" w:themeFillTint="1A"/>
          </w:tcPr>
          <w:p w14:paraId="1256ABD6" w14:textId="77777777" w:rsidR="00DA739D" w:rsidRPr="00454E45" w:rsidRDefault="00DA739D" w:rsidP="00DA739D">
            <w:pPr>
              <w:rPr>
                <w:b/>
                <w:bCs/>
                <w:u w:val="single"/>
              </w:rPr>
            </w:pPr>
            <w:r w:rsidRPr="00454E45">
              <w:rPr>
                <w:b/>
                <w:bCs/>
                <w:u w:val="single"/>
              </w:rPr>
              <w:t xml:space="preserve">L1 Assessment </w:t>
            </w:r>
          </w:p>
          <w:p w14:paraId="220AFE4C" w14:textId="77777777" w:rsidR="00DA739D" w:rsidRPr="00454E45" w:rsidRDefault="00DA739D" w:rsidP="00DA739D">
            <w:pPr>
              <w:pStyle w:val="Compact"/>
              <w:numPr>
                <w:ilvl w:val="0"/>
                <w:numId w:val="22"/>
              </w:numPr>
              <w:rPr>
                <w:b/>
                <w:bCs/>
              </w:rPr>
            </w:pPr>
            <w:r w:rsidRPr="00454E45">
              <w:rPr>
                <w:b/>
                <w:bCs/>
              </w:rPr>
              <w:t xml:space="preserve">Catch </w:t>
            </w:r>
            <w:r>
              <w:rPr>
                <w:b/>
                <w:bCs/>
              </w:rPr>
              <w:t xml:space="preserve">of </w:t>
            </w:r>
            <w:r w:rsidRPr="00454E45">
              <w:rPr>
                <w:b/>
                <w:bCs/>
              </w:rPr>
              <w:t>28 t was consistent with recent catch levels</w:t>
            </w:r>
          </w:p>
          <w:p w14:paraId="1ACA5D03" w14:textId="77777777" w:rsidR="00DA739D" w:rsidRDefault="00DA739D" w:rsidP="00DA739D">
            <w:pPr>
              <w:pStyle w:val="Compact"/>
              <w:numPr>
                <w:ilvl w:val="0"/>
                <w:numId w:val="22"/>
              </w:numPr>
              <w:rPr>
                <w:b/>
                <w:bCs/>
              </w:rPr>
            </w:pPr>
            <w:r>
              <w:rPr>
                <w:b/>
                <w:bCs/>
              </w:rPr>
              <w:t>Catches were retained from traditional fishing grounds, though there was a shift in the proportion of catch which was retained from each area</w:t>
            </w:r>
          </w:p>
          <w:p w14:paraId="605F06CB" w14:textId="77777777" w:rsidR="00DA739D" w:rsidRPr="00454E45" w:rsidRDefault="00DA739D" w:rsidP="00DA739D">
            <w:pPr>
              <w:pStyle w:val="Compact"/>
              <w:numPr>
                <w:ilvl w:val="0"/>
                <w:numId w:val="22"/>
              </w:numPr>
              <w:rPr>
                <w:b/>
                <w:bCs/>
              </w:rPr>
            </w:pPr>
            <w:r>
              <w:rPr>
                <w:b/>
                <w:bCs/>
              </w:rPr>
              <w:t xml:space="preserve">Temporal patterns of fishing continue to vary, with </w:t>
            </w:r>
            <w:proofErr w:type="gramStart"/>
            <w:r>
              <w:rPr>
                <w:b/>
                <w:bCs/>
              </w:rPr>
              <w:t>the majority of</w:t>
            </w:r>
            <w:proofErr w:type="gramEnd"/>
            <w:r>
              <w:rPr>
                <w:b/>
                <w:bCs/>
              </w:rPr>
              <w:t xml:space="preserve"> catch coming from one month</w:t>
            </w:r>
          </w:p>
          <w:p w14:paraId="28B2B5B0" w14:textId="38947742" w:rsidR="00DA739D" w:rsidRPr="00A526A1" w:rsidRDefault="00DA739D" w:rsidP="00DA739D">
            <w:r w:rsidRPr="00454E45">
              <w:t>Based on the results from the multiple catch indicators (level of catch, catch distribution) there is no indication of an unacceptable level of stock depletion</w:t>
            </w:r>
          </w:p>
        </w:tc>
      </w:tr>
      <w:tr w:rsidR="003028A4" w:rsidRPr="0095616E" w14:paraId="3FB8AAAE" w14:textId="77777777" w:rsidTr="00DA739D">
        <w:tc>
          <w:tcPr>
            <w:tcW w:w="1663" w:type="dxa"/>
            <w:shd w:val="clear" w:color="auto" w:fill="auto"/>
          </w:tcPr>
          <w:p w14:paraId="49B83BF5" w14:textId="5342BD87" w:rsidR="003028A4" w:rsidRPr="00A526A1" w:rsidRDefault="003028A4" w:rsidP="003028A4">
            <w:pPr>
              <w:pStyle w:val="Compact"/>
            </w:pPr>
            <w:r w:rsidRPr="00CA6303">
              <w:t>L2 Effort</w:t>
            </w:r>
          </w:p>
        </w:tc>
        <w:tc>
          <w:tcPr>
            <w:tcW w:w="8152" w:type="dxa"/>
            <w:shd w:val="clear" w:color="auto" w:fill="auto"/>
          </w:tcPr>
          <w:p w14:paraId="0E2F6FB6" w14:textId="3868D516" w:rsidR="003028A4" w:rsidRPr="00CA6303" w:rsidRDefault="003028A4" w:rsidP="003028A4">
            <w:pPr>
              <w:rPr>
                <w:rFonts w:eastAsia="Times New Roman" w:cs="Times New Roman"/>
              </w:rPr>
            </w:pPr>
            <w:r>
              <w:rPr>
                <w:rFonts w:eastAsia="Times New Roman" w:cs="Times New Roman"/>
              </w:rPr>
              <w:t>While the catch landing during 2023 was similar to 2021 and 2022, the number of vessels have increased slightly in recent seasons (</w:t>
            </w:r>
            <w:r>
              <w:rPr>
                <w:rFonts w:eastAsia="Times New Roman" w:cs="Times New Roman"/>
              </w:rPr>
              <w:fldChar w:fldCharType="begin"/>
            </w:r>
            <w:r>
              <w:rPr>
                <w:rFonts w:eastAsia="Times New Roman" w:cs="Times New Roman"/>
              </w:rPr>
              <w:instrText xml:space="preserve"> REF _Ref158195716 \h </w:instrText>
            </w:r>
            <w:r>
              <w:rPr>
                <w:rFonts w:eastAsia="Times New Roman" w:cs="Times New Roman"/>
              </w:rPr>
            </w:r>
            <w:r>
              <w:rPr>
                <w:rFonts w:eastAsia="Times New Roman" w:cs="Times New Roman"/>
              </w:rPr>
              <w:fldChar w:fldCharType="separate"/>
            </w:r>
            <w:r w:rsidR="00AB15B7" w:rsidRPr="003028A4">
              <w:rPr>
                <w:i/>
                <w:iCs/>
              </w:rPr>
              <w:t xml:space="preserve">Figure </w:t>
            </w:r>
            <w:r w:rsidR="00AB15B7">
              <w:rPr>
                <w:i/>
                <w:iCs/>
                <w:noProof/>
              </w:rPr>
              <w:t>25</w:t>
            </w:r>
            <w:r>
              <w:rPr>
                <w:rFonts w:eastAsia="Times New Roman" w:cs="Times New Roman"/>
              </w:rPr>
              <w:fldChar w:fldCharType="end"/>
            </w:r>
            <w:r>
              <w:rPr>
                <w:rFonts w:eastAsia="Times New Roman" w:cs="Times New Roman"/>
              </w:rPr>
              <w:t>a) though the number of boat days has remained reasonably stable (</w:t>
            </w:r>
            <w:r>
              <w:rPr>
                <w:rFonts w:eastAsia="Times New Roman" w:cs="Times New Roman"/>
              </w:rPr>
              <w:fldChar w:fldCharType="begin"/>
            </w:r>
            <w:r>
              <w:rPr>
                <w:rFonts w:eastAsia="Times New Roman" w:cs="Times New Roman"/>
              </w:rPr>
              <w:instrText xml:space="preserve"> REF _Ref158195716 \h </w:instrText>
            </w:r>
            <w:r>
              <w:rPr>
                <w:rFonts w:eastAsia="Times New Roman" w:cs="Times New Roman"/>
              </w:rPr>
            </w:r>
            <w:r>
              <w:rPr>
                <w:rFonts w:eastAsia="Times New Roman" w:cs="Times New Roman"/>
              </w:rPr>
              <w:fldChar w:fldCharType="separate"/>
            </w:r>
            <w:r w:rsidR="00AB15B7" w:rsidRPr="003028A4">
              <w:rPr>
                <w:i/>
                <w:iCs/>
              </w:rPr>
              <w:t xml:space="preserve">Figure </w:t>
            </w:r>
            <w:r w:rsidR="00AB15B7">
              <w:rPr>
                <w:i/>
                <w:iCs/>
                <w:noProof/>
              </w:rPr>
              <w:t>25</w:t>
            </w:r>
            <w:r>
              <w:rPr>
                <w:rFonts w:eastAsia="Times New Roman" w:cs="Times New Roman"/>
              </w:rPr>
              <w:fldChar w:fldCharType="end"/>
            </w:r>
            <w:r>
              <w:rPr>
                <w:rFonts w:eastAsia="Times New Roman" w:cs="Times New Roman"/>
              </w:rPr>
              <w:t>b). This catch level was maintained despite a slight decline in hours fished (</w:t>
            </w:r>
            <w:r>
              <w:rPr>
                <w:rFonts w:eastAsia="Times New Roman" w:cs="Times New Roman"/>
              </w:rPr>
              <w:fldChar w:fldCharType="begin"/>
            </w:r>
            <w:r>
              <w:rPr>
                <w:rFonts w:eastAsia="Times New Roman" w:cs="Times New Roman"/>
              </w:rPr>
              <w:instrText xml:space="preserve"> REF _Ref158195716 \h </w:instrText>
            </w:r>
            <w:r>
              <w:rPr>
                <w:rFonts w:eastAsia="Times New Roman" w:cs="Times New Roman"/>
              </w:rPr>
            </w:r>
            <w:r>
              <w:rPr>
                <w:rFonts w:eastAsia="Times New Roman" w:cs="Times New Roman"/>
              </w:rPr>
              <w:fldChar w:fldCharType="separate"/>
            </w:r>
            <w:r w:rsidR="00AB15B7" w:rsidRPr="003028A4">
              <w:rPr>
                <w:i/>
                <w:iCs/>
              </w:rPr>
              <w:t xml:space="preserve">Figure </w:t>
            </w:r>
            <w:r w:rsidR="00AB15B7">
              <w:rPr>
                <w:i/>
                <w:iCs/>
                <w:noProof/>
              </w:rPr>
              <w:t>25</w:t>
            </w:r>
            <w:r>
              <w:rPr>
                <w:rFonts w:eastAsia="Times New Roman" w:cs="Times New Roman"/>
              </w:rPr>
              <w:fldChar w:fldCharType="end"/>
            </w:r>
            <w:r>
              <w:rPr>
                <w:rFonts w:eastAsia="Times New Roman" w:cs="Times New Roman"/>
              </w:rPr>
              <w:t xml:space="preserve">c). </w:t>
            </w:r>
          </w:p>
          <w:p w14:paraId="4CDD3FB4" w14:textId="77777777" w:rsidR="003028A4" w:rsidRPr="00C010E8" w:rsidRDefault="003028A4" w:rsidP="003028A4">
            <w:pPr>
              <w:pStyle w:val="SoFBodytext"/>
              <w:spacing w:line="288" w:lineRule="auto"/>
              <w:jc w:val="both"/>
            </w:pPr>
            <w:r>
              <w:rPr>
                <w:noProof/>
              </w:rPr>
              <w:drawing>
                <wp:inline distT="0" distB="0" distL="0" distR="0" wp14:anchorId="173AC307" wp14:editId="723DECB4">
                  <wp:extent cx="4495800" cy="2697480"/>
                  <wp:effectExtent l="0" t="0" r="0" b="7620"/>
                  <wp:docPr id="1135857230" name="Picture 6" descr="A graph depicting the annual number of vessels and trawl hours for the South Coast Trawl Fishery as reported in the South Coast Trawl Fishery 2024 Weight of Evidence Stock Assessment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857230" name="Picture 6" descr="A graph depicting the annual number of vessels and trawl hours for the South Coast Trawl Fishery as reported in the South Coast Trawl Fishery 2024 Weight of Evidence Stock Assessment Report. "/>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499490" cy="2699694"/>
                          </a:xfrm>
                          <a:prstGeom prst="rect">
                            <a:avLst/>
                          </a:prstGeom>
                        </pic:spPr>
                      </pic:pic>
                    </a:graphicData>
                  </a:graphic>
                </wp:inline>
              </w:drawing>
            </w:r>
          </w:p>
          <w:p w14:paraId="3BE0F235" w14:textId="6715257B" w:rsidR="003028A4" w:rsidRPr="003028A4" w:rsidRDefault="003028A4" w:rsidP="003028A4">
            <w:pPr>
              <w:rPr>
                <w:i/>
                <w:iCs/>
              </w:rPr>
            </w:pPr>
            <w:bookmarkStart w:id="111" w:name="_Ref158195716"/>
            <w:r w:rsidRPr="003028A4">
              <w:rPr>
                <w:i/>
                <w:iCs/>
              </w:rPr>
              <w:lastRenderedPageBreak/>
              <w:t xml:space="preserve">Figure </w:t>
            </w:r>
            <w:r w:rsidRPr="003028A4">
              <w:rPr>
                <w:i/>
                <w:iCs/>
              </w:rPr>
              <w:fldChar w:fldCharType="begin"/>
            </w:r>
            <w:r w:rsidRPr="003028A4">
              <w:rPr>
                <w:i/>
                <w:iCs/>
              </w:rPr>
              <w:instrText xml:space="preserve"> SEQ Figure \* ARABIC </w:instrText>
            </w:r>
            <w:r w:rsidRPr="003028A4">
              <w:rPr>
                <w:i/>
                <w:iCs/>
              </w:rPr>
              <w:fldChar w:fldCharType="separate"/>
            </w:r>
            <w:r w:rsidR="00AB15B7">
              <w:rPr>
                <w:i/>
                <w:iCs/>
                <w:noProof/>
              </w:rPr>
              <w:t>25</w:t>
            </w:r>
            <w:r w:rsidRPr="003028A4">
              <w:rPr>
                <w:i/>
                <w:iCs/>
              </w:rPr>
              <w:fldChar w:fldCharType="end"/>
            </w:r>
            <w:bookmarkEnd w:id="111"/>
            <w:r w:rsidRPr="003028A4">
              <w:rPr>
                <w:i/>
                <w:iCs/>
              </w:rPr>
              <w:t xml:space="preserve"> Annual a) number of vessels, and b) trawl hours (x1000) for the SCTF</w:t>
            </w:r>
          </w:p>
        </w:tc>
      </w:tr>
      <w:tr w:rsidR="003028A4" w:rsidRPr="0095616E" w14:paraId="12C00770" w14:textId="77777777" w:rsidTr="00DA739D">
        <w:tc>
          <w:tcPr>
            <w:tcW w:w="1663" w:type="dxa"/>
            <w:shd w:val="clear" w:color="auto" w:fill="auto"/>
          </w:tcPr>
          <w:p w14:paraId="46CE0FAA" w14:textId="3CAC213F" w:rsidR="003028A4" w:rsidRPr="00CA6303" w:rsidRDefault="003028A4" w:rsidP="003028A4">
            <w:pPr>
              <w:pStyle w:val="Compact"/>
            </w:pPr>
            <w:r w:rsidRPr="008A7EA9">
              <w:lastRenderedPageBreak/>
              <w:t>L2 Catch Rate</w:t>
            </w:r>
          </w:p>
        </w:tc>
        <w:tc>
          <w:tcPr>
            <w:tcW w:w="8152" w:type="dxa"/>
            <w:shd w:val="clear" w:color="auto" w:fill="auto"/>
          </w:tcPr>
          <w:p w14:paraId="32845597" w14:textId="34441B08" w:rsidR="003028A4" w:rsidRPr="00F16031" w:rsidRDefault="003028A4" w:rsidP="003028A4">
            <w:r>
              <w:t>Seasonal c</w:t>
            </w:r>
            <w:r w:rsidRPr="00F16031">
              <w:t xml:space="preserve">atch rates for scallops in the </w:t>
            </w:r>
            <w:r>
              <w:t>SCTF</w:t>
            </w:r>
            <w:r w:rsidRPr="00F16031">
              <w:t xml:space="preserve"> are highly variable</w:t>
            </w:r>
            <w:r>
              <w:t xml:space="preserve"> and influenced by the very large spatial scale of the fishery, the different fishing vessels operating across different grounds of varying scallop abundance and the associated weather conditions (</w:t>
            </w:r>
            <w:r>
              <w:fldChar w:fldCharType="begin"/>
            </w:r>
            <w:r>
              <w:instrText xml:space="preserve"> REF _Ref158300347 \h </w:instrText>
            </w:r>
            <w:r>
              <w:fldChar w:fldCharType="separate"/>
            </w:r>
            <w:r w:rsidR="00AB15B7" w:rsidRPr="00DF1176">
              <w:rPr>
                <w:i/>
                <w:iCs/>
              </w:rPr>
              <w:t xml:space="preserve">Figure </w:t>
            </w:r>
            <w:r w:rsidR="00AB15B7">
              <w:rPr>
                <w:i/>
                <w:iCs/>
                <w:noProof/>
              </w:rPr>
              <w:t>26</w:t>
            </w:r>
            <w:r>
              <w:fldChar w:fldCharType="end"/>
            </w:r>
            <w:r>
              <w:t xml:space="preserve">). </w:t>
            </w:r>
            <w:r w:rsidRPr="00F16031">
              <w:t>In 2023 the mean catch rate</w:t>
            </w:r>
            <w:r>
              <w:t xml:space="preserve"> of 311</w:t>
            </w:r>
            <w:r w:rsidRPr="00F16031">
              <w:t xml:space="preserve"> (kg meat / </w:t>
            </w:r>
            <w:r>
              <w:t>boat day</w:t>
            </w:r>
            <w:r w:rsidRPr="00F16031">
              <w:t xml:space="preserve">) was </w:t>
            </w:r>
            <w:proofErr w:type="gramStart"/>
            <w:r>
              <w:t>similar to</w:t>
            </w:r>
            <w:proofErr w:type="gramEnd"/>
            <w:r>
              <w:t xml:space="preserve"> 2022 but lower than 2021. Overall, catch rates were well within the average catch rate range for this fishery.  </w:t>
            </w:r>
          </w:p>
          <w:p w14:paraId="19D44452" w14:textId="77777777" w:rsidR="003028A4" w:rsidRDefault="003028A4" w:rsidP="003028A4">
            <w:pPr>
              <w:pStyle w:val="Compact"/>
            </w:pPr>
          </w:p>
          <w:p w14:paraId="7F4DB5AF" w14:textId="77777777" w:rsidR="003028A4" w:rsidRDefault="003028A4" w:rsidP="003028A4">
            <w:pPr>
              <w:pStyle w:val="Compact"/>
              <w:keepNext/>
            </w:pPr>
            <w:r>
              <w:rPr>
                <w:noProof/>
              </w:rPr>
              <w:drawing>
                <wp:inline distT="0" distB="0" distL="0" distR="0" wp14:anchorId="25AA56E4" wp14:editId="7C99BD44">
                  <wp:extent cx="4661452" cy="1976754"/>
                  <wp:effectExtent l="0" t="0" r="6350" b="5080"/>
                  <wp:docPr id="1287615718" name="Picture 5" descr="A graph depicting the annual mean catch rate of scallops in the South Coast Trawl Fishery, as reported in the South Coast Trawl Fishery 2024 Weight of Evidence Stock Assessment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615718" name="Picture 5" descr="A graph depicting the annual mean catch rate of scallops in the South Coast Trawl Fishery, as reported in the South Coast Trawl Fishery 2024 Weight of Evidence Stock Assessment Report. "/>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98878" cy="1992625"/>
                          </a:xfrm>
                          <a:prstGeom prst="rect">
                            <a:avLst/>
                          </a:prstGeom>
                          <a:noFill/>
                        </pic:spPr>
                      </pic:pic>
                    </a:graphicData>
                  </a:graphic>
                </wp:inline>
              </w:drawing>
            </w:r>
          </w:p>
          <w:p w14:paraId="6A3BC9F7" w14:textId="41C552BD" w:rsidR="003028A4" w:rsidRPr="00DF1176" w:rsidRDefault="003028A4" w:rsidP="003028A4">
            <w:pPr>
              <w:rPr>
                <w:rFonts w:eastAsia="Times New Roman" w:cs="Times New Roman"/>
                <w:i/>
                <w:iCs/>
              </w:rPr>
            </w:pPr>
            <w:bookmarkStart w:id="112" w:name="_Ref158300347"/>
            <w:r w:rsidRPr="00DF1176">
              <w:rPr>
                <w:i/>
                <w:iCs/>
              </w:rPr>
              <w:t xml:space="preserve">Figure </w:t>
            </w:r>
            <w:r w:rsidRPr="00DF1176">
              <w:rPr>
                <w:i/>
                <w:iCs/>
              </w:rPr>
              <w:fldChar w:fldCharType="begin"/>
            </w:r>
            <w:r w:rsidRPr="00DF1176">
              <w:rPr>
                <w:i/>
                <w:iCs/>
              </w:rPr>
              <w:instrText xml:space="preserve"> SEQ Figure \* ARABIC </w:instrText>
            </w:r>
            <w:r w:rsidRPr="00DF1176">
              <w:rPr>
                <w:i/>
                <w:iCs/>
              </w:rPr>
              <w:fldChar w:fldCharType="separate"/>
            </w:r>
            <w:r w:rsidR="00AB15B7">
              <w:rPr>
                <w:i/>
                <w:iCs/>
                <w:noProof/>
              </w:rPr>
              <w:t>26</w:t>
            </w:r>
            <w:r w:rsidRPr="00DF1176">
              <w:rPr>
                <w:i/>
                <w:iCs/>
              </w:rPr>
              <w:fldChar w:fldCharType="end"/>
            </w:r>
            <w:bookmarkEnd w:id="112"/>
            <w:r w:rsidRPr="00DF1176">
              <w:rPr>
                <w:i/>
                <w:iCs/>
              </w:rPr>
              <w:t xml:space="preserve"> Annual mean catch rate (meat weight per boat day) of scallops from SCTF. No scallops were retained between during 2016, 2019-2020.</w:t>
            </w:r>
          </w:p>
        </w:tc>
      </w:tr>
      <w:tr w:rsidR="003028A4" w:rsidRPr="0095616E" w14:paraId="2A9EC861" w14:textId="77777777" w:rsidTr="003028A4">
        <w:tc>
          <w:tcPr>
            <w:tcW w:w="9815" w:type="dxa"/>
            <w:gridSpan w:val="2"/>
            <w:shd w:val="clear" w:color="auto" w:fill="D3F5FF" w:themeFill="accent1" w:themeFillTint="1A"/>
          </w:tcPr>
          <w:p w14:paraId="227BB7BA" w14:textId="77777777" w:rsidR="003028A4" w:rsidRPr="00F16031" w:rsidRDefault="003028A4" w:rsidP="003028A4">
            <w:pPr>
              <w:rPr>
                <w:b/>
                <w:bCs/>
                <w:u w:val="single"/>
              </w:rPr>
            </w:pPr>
            <w:r w:rsidRPr="00F16031">
              <w:rPr>
                <w:b/>
                <w:bCs/>
                <w:u w:val="single"/>
              </w:rPr>
              <w:t>L2 Assessment</w:t>
            </w:r>
          </w:p>
          <w:p w14:paraId="7F44256C" w14:textId="77777777" w:rsidR="003028A4" w:rsidRPr="00F16031" w:rsidRDefault="003028A4" w:rsidP="003028A4">
            <w:pPr>
              <w:pStyle w:val="Compact"/>
              <w:numPr>
                <w:ilvl w:val="0"/>
                <w:numId w:val="23"/>
              </w:numPr>
              <w:rPr>
                <w:b/>
                <w:bCs/>
              </w:rPr>
            </w:pPr>
            <w:r w:rsidRPr="00F16031">
              <w:rPr>
                <w:b/>
                <w:bCs/>
              </w:rPr>
              <w:t xml:space="preserve">Effort levels </w:t>
            </w:r>
            <w:r>
              <w:rPr>
                <w:b/>
                <w:bCs/>
              </w:rPr>
              <w:t>within</w:t>
            </w:r>
            <w:r w:rsidRPr="00F16031">
              <w:rPr>
                <w:b/>
                <w:bCs/>
              </w:rPr>
              <w:t xml:space="preserve"> typical range</w:t>
            </w:r>
            <w:r>
              <w:rPr>
                <w:b/>
                <w:bCs/>
              </w:rPr>
              <w:t xml:space="preserve"> for this fishery</w:t>
            </w:r>
          </w:p>
          <w:p w14:paraId="745C8BAE" w14:textId="77777777" w:rsidR="003028A4" w:rsidRPr="00F16031" w:rsidRDefault="003028A4" w:rsidP="003028A4">
            <w:pPr>
              <w:pStyle w:val="Compact"/>
              <w:numPr>
                <w:ilvl w:val="0"/>
                <w:numId w:val="23"/>
              </w:numPr>
              <w:rPr>
                <w:b/>
                <w:bCs/>
              </w:rPr>
            </w:pPr>
            <w:r>
              <w:rPr>
                <w:b/>
                <w:bCs/>
              </w:rPr>
              <w:t>Annual c</w:t>
            </w:r>
            <w:r w:rsidRPr="00F16031">
              <w:rPr>
                <w:b/>
                <w:bCs/>
              </w:rPr>
              <w:t xml:space="preserve">atch rates </w:t>
            </w:r>
            <w:r>
              <w:rPr>
                <w:b/>
                <w:bCs/>
              </w:rPr>
              <w:t>also within historic range and around the average</w:t>
            </w:r>
          </w:p>
          <w:p w14:paraId="00BB404F" w14:textId="1D677E56" w:rsidR="003028A4" w:rsidRPr="00A526A1" w:rsidRDefault="003028A4" w:rsidP="003028A4">
            <w:r w:rsidRPr="00F16031">
              <w:t xml:space="preserve">Based on the results from the </w:t>
            </w:r>
            <w:r>
              <w:t xml:space="preserve">effort and </w:t>
            </w:r>
            <w:r w:rsidRPr="00F16031">
              <w:t xml:space="preserve">catch rate indicators there is </w:t>
            </w:r>
            <w:r>
              <w:t>minimal</w:t>
            </w:r>
            <w:r w:rsidRPr="00F16031">
              <w:t xml:space="preserve"> indication of an unacceptable level of stock depletion</w:t>
            </w:r>
          </w:p>
        </w:tc>
      </w:tr>
      <w:tr w:rsidR="003028A4" w:rsidRPr="0095616E" w14:paraId="15DC04CE" w14:textId="77777777" w:rsidTr="00DA739D">
        <w:tc>
          <w:tcPr>
            <w:tcW w:w="1663" w:type="dxa"/>
            <w:shd w:val="clear" w:color="auto" w:fill="auto"/>
          </w:tcPr>
          <w:p w14:paraId="46A7ED6E" w14:textId="01BADE39" w:rsidR="003028A4" w:rsidRPr="00A526A1" w:rsidRDefault="003028A4" w:rsidP="003028A4">
            <w:pPr>
              <w:pStyle w:val="Compact"/>
            </w:pPr>
            <w:r>
              <w:t>Environmental Impacts</w:t>
            </w:r>
          </w:p>
        </w:tc>
        <w:tc>
          <w:tcPr>
            <w:tcW w:w="8152" w:type="dxa"/>
            <w:shd w:val="clear" w:color="auto" w:fill="auto"/>
          </w:tcPr>
          <w:p w14:paraId="78EBF3FD" w14:textId="38BE3054" w:rsidR="003028A4" w:rsidRPr="00572C94" w:rsidRDefault="003028A4" w:rsidP="003028A4">
            <w:pPr>
              <w:pStyle w:val="Compact"/>
            </w:pPr>
            <w:r w:rsidRPr="00572C94">
              <w:t>Water temperatures that influence the growth and survival of juvenile scallops to adults (March to November) explains approximately 52% of recruitment variability expressed as catch (as a proxy for recruitment strength) the following season (</w:t>
            </w:r>
            <w:r w:rsidRPr="00572C94">
              <w:fldChar w:fldCharType="begin"/>
            </w:r>
            <w:r w:rsidRPr="00572C94">
              <w:instrText xml:space="preserve"> REF _Ref157582162 \h </w:instrText>
            </w:r>
            <w:r>
              <w:instrText xml:space="preserve"> \* MERGEFORMAT </w:instrText>
            </w:r>
            <w:r w:rsidRPr="00572C94">
              <w:fldChar w:fldCharType="separate"/>
            </w:r>
            <w:r w:rsidR="00AB15B7" w:rsidRPr="004A5D80">
              <w:t xml:space="preserve">Figure </w:t>
            </w:r>
            <w:r w:rsidR="00AB15B7">
              <w:rPr>
                <w:noProof/>
              </w:rPr>
              <w:t>27</w:t>
            </w:r>
            <w:r w:rsidRPr="00572C94">
              <w:fldChar w:fldCharType="end"/>
            </w:r>
            <w:r w:rsidRPr="00572C94">
              <w:t>). These water temperatures are greatly influenced by the strength and position of the Leeuwin Current around the Capes and along the South Coast. During strong La Niña years, this current is closer inshore and thus brings warmer ocean temperatures where scallops occur and vis versa during El Ni</w:t>
            </w:r>
            <w:r w:rsidRPr="00572C94">
              <w:rPr>
                <w:rFonts w:cs="Calibri"/>
              </w:rPr>
              <w:t>ñ</w:t>
            </w:r>
            <w:r w:rsidRPr="00572C94">
              <w:t>o periods.  Both 1999/00 and 2010/11 MHW events resulted in the water temperatures along the South Coast to be elevated by ~1°C and likely contributed to the SCTF producing its highest scallop catch on record during 2000 (544 t) and above average catches between 2013-15 (51-87 t). The more recent 2020-23 La Ni</w:t>
            </w:r>
            <w:r w:rsidRPr="00572C94">
              <w:rPr>
                <w:rFonts w:cs="Calibri"/>
              </w:rPr>
              <w:t>ñ</w:t>
            </w:r>
            <w:r w:rsidRPr="00572C94">
              <w:t>a period was relatively weaker, and thus catches on has been relatively around average levels. The transition to El Ni</w:t>
            </w:r>
            <w:r w:rsidRPr="00572C94">
              <w:rPr>
                <w:rFonts w:cs="Calibri"/>
              </w:rPr>
              <w:t>ñ</w:t>
            </w:r>
            <w:r w:rsidRPr="00572C94">
              <w:t xml:space="preserve">o during 2023 (Figure 24) has cooled down the South Coast and thus catches predicted to be below average for 2024 at 12.44 tonnes. </w:t>
            </w:r>
          </w:p>
          <w:p w14:paraId="0EFC3577" w14:textId="77777777" w:rsidR="003028A4" w:rsidRDefault="003028A4" w:rsidP="003028A4">
            <w:pPr>
              <w:pStyle w:val="Compact"/>
              <w:rPr>
                <w:sz w:val="23"/>
                <w:szCs w:val="23"/>
              </w:rPr>
            </w:pPr>
            <w:r>
              <w:rPr>
                <w:noProof/>
                <w:sz w:val="23"/>
                <w:szCs w:val="23"/>
              </w:rPr>
              <w:lastRenderedPageBreak/>
              <w:drawing>
                <wp:inline distT="0" distB="0" distL="0" distR="0" wp14:anchorId="3315CBD8" wp14:editId="786260B9">
                  <wp:extent cx="4419600" cy="3023675"/>
                  <wp:effectExtent l="0" t="0" r="0" b="5715"/>
                  <wp:docPr id="638345322" name="Picture 4" descr="A graph depicting the relationship between historic sea surface temperature and scallop catch as reported in the South Coast Trawl Fishery 2024 Weight of Evidence Stock Assessment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345322" name="Picture 4" descr="A graph depicting the relationship between historic sea surface temperature and scallop catch as reported in the South Coast Trawl Fishery 2024 Weight of Evidence Stock Assessment Report. "/>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445461" cy="3041368"/>
                          </a:xfrm>
                          <a:prstGeom prst="rect">
                            <a:avLst/>
                          </a:prstGeom>
                          <a:noFill/>
                        </pic:spPr>
                      </pic:pic>
                    </a:graphicData>
                  </a:graphic>
                </wp:inline>
              </w:drawing>
            </w:r>
          </w:p>
          <w:p w14:paraId="7C9BC6B5" w14:textId="7FD8756A" w:rsidR="003028A4" w:rsidRDefault="003028A4" w:rsidP="003028A4">
            <w:pPr>
              <w:pStyle w:val="Caption"/>
            </w:pPr>
            <w:bookmarkStart w:id="113" w:name="_Ref157582162"/>
            <w:r w:rsidRPr="004A5D80">
              <w:t xml:space="preserve">Figure </w:t>
            </w:r>
            <w:r w:rsidRPr="004A5D80">
              <w:fldChar w:fldCharType="begin"/>
            </w:r>
            <w:r w:rsidRPr="004A5D80">
              <w:instrText xml:space="preserve"> SEQ Figure \* ARABIC </w:instrText>
            </w:r>
            <w:r w:rsidRPr="004A5D80">
              <w:fldChar w:fldCharType="separate"/>
            </w:r>
            <w:r w:rsidR="00AB15B7">
              <w:rPr>
                <w:noProof/>
              </w:rPr>
              <w:t>27</w:t>
            </w:r>
            <w:r w:rsidRPr="004A5D80">
              <w:fldChar w:fldCharType="end"/>
            </w:r>
            <w:bookmarkEnd w:id="113"/>
            <w:r w:rsidRPr="004A5D80">
              <w:t xml:space="preserve"> Relationship between log-transformed annual catch (y) during and mean SST (March - November) (y-1) for the period 1988 to 2023. Data point labels indicate </w:t>
            </w:r>
            <w:r>
              <w:t>catch</w:t>
            </w:r>
            <w:r w:rsidRPr="004A5D80">
              <w:t xml:space="preserve"> year with the 2024 catch prediction indicated in green. Data points for 1990 and 2006 has been omitted due to catch data being unreliable.</w:t>
            </w:r>
          </w:p>
          <w:p w14:paraId="7F22FB98" w14:textId="77777777" w:rsidR="003028A4" w:rsidRDefault="003028A4" w:rsidP="003028A4">
            <w:pPr>
              <w:pStyle w:val="Caption"/>
              <w:keepNext/>
            </w:pPr>
            <w:r>
              <w:rPr>
                <w:noProof/>
              </w:rPr>
              <w:drawing>
                <wp:inline distT="0" distB="0" distL="0" distR="0" wp14:anchorId="54A4137B" wp14:editId="657FF18B">
                  <wp:extent cx="4620414" cy="1977655"/>
                  <wp:effectExtent l="0" t="0" r="0" b="0"/>
                  <wp:docPr id="1666717990" name="Picture 2" descr="A graph depicting the monthly mean sea surface temperature within scallop grounds on the South Coast of Western Australia in 2022, 2023 and 2024 compared to historic climate data, as referenced in the South Coast Trawl Fishery 2024 Weight of Evidence Stock Assessment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17990" name="Picture 2" descr="A graph depicting the monthly mean sea surface temperature within scallop grounds on the South Coast of Western Australia in 2022, 2023 and 2024 compared to historic climate data, as referenced in the South Coast Trawl Fishery 2024 Weight of Evidence Stock Assessment Report. "/>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61702" cy="1995327"/>
                          </a:xfrm>
                          <a:prstGeom prst="rect">
                            <a:avLst/>
                          </a:prstGeom>
                          <a:noFill/>
                        </pic:spPr>
                      </pic:pic>
                    </a:graphicData>
                  </a:graphic>
                </wp:inline>
              </w:drawing>
            </w:r>
          </w:p>
          <w:p w14:paraId="334C6C1B" w14:textId="17E9D8CA" w:rsidR="003028A4" w:rsidRPr="003028A4" w:rsidRDefault="003028A4" w:rsidP="003028A4">
            <w:pPr>
              <w:pStyle w:val="Compact"/>
              <w:rPr>
                <w:i/>
                <w:iCs/>
              </w:rPr>
            </w:pPr>
            <w:r w:rsidRPr="003028A4">
              <w:rPr>
                <w:i/>
                <w:iCs/>
              </w:rPr>
              <w:t xml:space="preserve">Figure </w:t>
            </w:r>
            <w:r w:rsidRPr="003028A4">
              <w:rPr>
                <w:i/>
                <w:iCs/>
              </w:rPr>
              <w:fldChar w:fldCharType="begin"/>
            </w:r>
            <w:r w:rsidRPr="003028A4">
              <w:rPr>
                <w:i/>
                <w:iCs/>
              </w:rPr>
              <w:instrText xml:space="preserve"> SEQ Figure \* ARABIC </w:instrText>
            </w:r>
            <w:r w:rsidRPr="003028A4">
              <w:rPr>
                <w:i/>
                <w:iCs/>
              </w:rPr>
              <w:fldChar w:fldCharType="separate"/>
            </w:r>
            <w:r w:rsidR="00AB15B7">
              <w:rPr>
                <w:i/>
                <w:iCs/>
                <w:noProof/>
              </w:rPr>
              <w:t>28</w:t>
            </w:r>
            <w:r w:rsidRPr="003028A4">
              <w:rPr>
                <w:i/>
                <w:iCs/>
              </w:rPr>
              <w:fldChar w:fldCharType="end"/>
            </w:r>
            <w:r w:rsidRPr="003028A4">
              <w:rPr>
                <w:i/>
                <w:iCs/>
              </w:rPr>
              <w:t xml:space="preserve"> Monthly mean SST within scallop grounds on the South Coast for 2022 (grey dotted line), 2023 (red dotted line and 2024 (red dots) in comparison to the climatology (1981-2018) and the most recent decade (2010-19). </w:t>
            </w:r>
          </w:p>
        </w:tc>
      </w:tr>
      <w:tr w:rsidR="003028A4" w:rsidRPr="0095616E" w14:paraId="4A27A7EE" w14:textId="77777777" w:rsidTr="003028A4">
        <w:tc>
          <w:tcPr>
            <w:tcW w:w="9815" w:type="dxa"/>
            <w:gridSpan w:val="2"/>
            <w:shd w:val="clear" w:color="auto" w:fill="D3F5FF" w:themeFill="accent1" w:themeFillTint="1A"/>
          </w:tcPr>
          <w:p w14:paraId="61A31247" w14:textId="77777777" w:rsidR="003028A4" w:rsidRDefault="003028A4" w:rsidP="003028A4">
            <w:pPr>
              <w:pStyle w:val="Compact"/>
            </w:pPr>
            <w:r>
              <w:lastRenderedPageBreak/>
              <w:t xml:space="preserve">Environment </w:t>
            </w:r>
            <w:r>
              <w:rPr>
                <w:b/>
                <w:bCs/>
              </w:rPr>
              <w:t xml:space="preserve">Risk Rating </w:t>
            </w:r>
            <w:r w:rsidRPr="004A79A9">
              <w:t>based on future expected environ conditions.</w:t>
            </w:r>
          </w:p>
          <w:p w14:paraId="48010AA1" w14:textId="77777777" w:rsidR="003028A4" w:rsidRDefault="003028A4" w:rsidP="003028A4">
            <w:pPr>
              <w:pStyle w:val="Compact"/>
              <w:numPr>
                <w:ilvl w:val="0"/>
                <w:numId w:val="30"/>
              </w:numPr>
            </w:pPr>
            <w:r w:rsidRPr="00634750">
              <w:t>Recruitment levels</w:t>
            </w:r>
            <w:r>
              <w:t xml:space="preserve"> are strongly influenced by water temperature and wind conditions</w:t>
            </w:r>
          </w:p>
          <w:p w14:paraId="6B019E59" w14:textId="77777777" w:rsidR="003028A4" w:rsidRDefault="003028A4" w:rsidP="003028A4">
            <w:pPr>
              <w:pStyle w:val="Compact"/>
              <w:numPr>
                <w:ilvl w:val="0"/>
                <w:numId w:val="30"/>
              </w:numPr>
            </w:pPr>
            <w:r>
              <w:t>Catches of south coast scallops increase with warmer water conditions under La Ni</w:t>
            </w:r>
            <w:r>
              <w:rPr>
                <w:rFonts w:cs="Calibri"/>
              </w:rPr>
              <w:t>ñ</w:t>
            </w:r>
            <w:r>
              <w:t>a periods</w:t>
            </w:r>
          </w:p>
          <w:p w14:paraId="3824B0B2" w14:textId="77777777" w:rsidR="003028A4" w:rsidRDefault="003028A4" w:rsidP="003028A4">
            <w:pPr>
              <w:pStyle w:val="Compact"/>
              <w:numPr>
                <w:ilvl w:val="0"/>
                <w:numId w:val="30"/>
              </w:numPr>
            </w:pPr>
            <w:r>
              <w:t>Ocean temperatures and occurrence of MHWs are expected to increase into the future</w:t>
            </w:r>
          </w:p>
          <w:p w14:paraId="1CE2F6ED" w14:textId="729B79F2" w:rsidR="003028A4" w:rsidRPr="00572C94" w:rsidRDefault="003028A4" w:rsidP="003028A4">
            <w:pPr>
              <w:pStyle w:val="Compact"/>
            </w:pPr>
            <w:r w:rsidRPr="004A5D80">
              <w:rPr>
                <w:b/>
                <w:bCs/>
              </w:rPr>
              <w:t xml:space="preserve">Scallops on the south coast are likely to be positively impacted through medium to longer term climate change trends of increasing water temperatures in Western Australia. </w:t>
            </w:r>
          </w:p>
        </w:tc>
      </w:tr>
      <w:tr w:rsidR="003028A4" w:rsidRPr="0095616E" w14:paraId="715D6C20" w14:textId="77777777" w:rsidTr="007D67D5">
        <w:tc>
          <w:tcPr>
            <w:tcW w:w="9815" w:type="dxa"/>
            <w:gridSpan w:val="2"/>
            <w:shd w:val="clear" w:color="auto" w:fill="auto"/>
          </w:tcPr>
          <w:p w14:paraId="2809F1F3" w14:textId="77777777" w:rsidR="003028A4" w:rsidRDefault="003028A4" w:rsidP="003028A4">
            <w:r w:rsidRPr="006A22E4">
              <w:rPr>
                <w:b/>
                <w:bCs/>
              </w:rPr>
              <w:t>Final Risk</w:t>
            </w:r>
            <w:r>
              <w:t xml:space="preserve">: </w:t>
            </w:r>
          </w:p>
          <w:p w14:paraId="2093C787" w14:textId="77777777" w:rsidR="003028A4" w:rsidRDefault="003028A4" w:rsidP="003028A4">
            <w:r>
              <w:lastRenderedPageBreak/>
              <w:t>Scallops on the south coast are expected to benefit under future environmental conditions, with recruitment and subsequent catches impacted heavily by environmental conditions. Future catch levels are set in accordance with stock levels to ensure mitigation of over-exploitations. The WOE assessment for the 2023 season is:</w:t>
            </w:r>
          </w:p>
          <w:p w14:paraId="605A4E1F" w14:textId="77777777" w:rsidR="003028A4" w:rsidRDefault="003028A4" w:rsidP="003028A4">
            <w:r w:rsidRPr="00C61A45">
              <w:rPr>
                <w:u w:val="single"/>
              </w:rPr>
              <w:t>C1 Minor (Above Target):</w:t>
            </w:r>
            <w:r>
              <w:t xml:space="preserve"> It is REMOTE (&lt;5%) that the stock is above the target level owing to no formal target levels being established for this component of the Resource. </w:t>
            </w:r>
          </w:p>
          <w:p w14:paraId="0373F16D" w14:textId="77777777" w:rsidR="003028A4" w:rsidRDefault="003028A4" w:rsidP="003028A4">
            <w:pPr>
              <w:jc w:val="right"/>
            </w:pPr>
            <w:r>
              <w:t xml:space="preserve">Remote (1) x Minor (1)-&gt; </w:t>
            </w:r>
            <w:r w:rsidRPr="004B6198">
              <w:rPr>
                <w:i/>
                <w:iCs/>
              </w:rPr>
              <w:t>Negligible</w:t>
            </w:r>
          </w:p>
          <w:p w14:paraId="1201A73C" w14:textId="77777777" w:rsidR="003028A4" w:rsidRDefault="003028A4" w:rsidP="003028A4">
            <w:r w:rsidRPr="00C61A45">
              <w:rPr>
                <w:u w:val="single"/>
              </w:rPr>
              <w:t>C2 Moderate (Above Threshold, below Target):</w:t>
            </w:r>
            <w:r>
              <w:t xml:space="preserve"> It is LIKELY (&gt;50%) that the stock is above the threshold level. Recent catches levels were obtained with reduced effort in 2023, resulting in improved catch rates, from traditional fishing grounds.</w:t>
            </w:r>
          </w:p>
          <w:p w14:paraId="64796AF5" w14:textId="77777777" w:rsidR="003028A4" w:rsidRDefault="003028A4" w:rsidP="003028A4">
            <w:pPr>
              <w:jc w:val="right"/>
            </w:pPr>
            <w:r>
              <w:t xml:space="preserve">Likely (4) x Moderate (2)-&gt; </w:t>
            </w:r>
            <w:r w:rsidRPr="004C08F8">
              <w:rPr>
                <w:i/>
                <w:iCs/>
              </w:rPr>
              <w:t>Medium</w:t>
            </w:r>
          </w:p>
          <w:p w14:paraId="210921C2" w14:textId="77777777" w:rsidR="003028A4" w:rsidRDefault="003028A4" w:rsidP="003028A4">
            <w:r w:rsidRPr="00C61A45">
              <w:rPr>
                <w:u w:val="single"/>
              </w:rPr>
              <w:t>C3 High (Above Limit, below Threshold):</w:t>
            </w:r>
            <w:r>
              <w:t xml:space="preserve"> It is UNLIKELY (5-20%) that the stock is below the Threshold and above the limit. This is a productive species, with residual stock sufficient to produce sufficient recruitment. </w:t>
            </w:r>
          </w:p>
          <w:p w14:paraId="7660C067" w14:textId="77777777" w:rsidR="003028A4" w:rsidRDefault="003028A4" w:rsidP="003028A4">
            <w:pPr>
              <w:jc w:val="right"/>
            </w:pPr>
            <w:r>
              <w:t xml:space="preserve">Unlikely (2) x High (3)-&gt; </w:t>
            </w:r>
            <w:r w:rsidRPr="004C08F8">
              <w:rPr>
                <w:i/>
                <w:iCs/>
              </w:rPr>
              <w:t>Medium</w:t>
            </w:r>
          </w:p>
          <w:p w14:paraId="78C220B5" w14:textId="77777777" w:rsidR="003028A4" w:rsidRDefault="003028A4" w:rsidP="003028A4">
            <w:r w:rsidRPr="00C61A45">
              <w:rPr>
                <w:u w:val="single"/>
              </w:rPr>
              <w:t>C4 Major (Below Limit):</w:t>
            </w:r>
            <w:r>
              <w:t xml:space="preserve"> It is REMOTE (&lt;5%) that the stock is below the limit reference point, based on the level of fishing and likely extent of unfished grounds on the south coast </w:t>
            </w:r>
          </w:p>
          <w:p w14:paraId="4A6DB22B" w14:textId="77777777" w:rsidR="003028A4" w:rsidRDefault="003028A4" w:rsidP="003028A4">
            <w:pPr>
              <w:jc w:val="right"/>
              <w:rPr>
                <w:i/>
                <w:iCs/>
              </w:rPr>
            </w:pPr>
            <w:r>
              <w:t xml:space="preserve">Remote (1) x Major (4)-&gt; </w:t>
            </w:r>
            <w:r>
              <w:rPr>
                <w:i/>
                <w:iCs/>
              </w:rPr>
              <w:t>Low</w:t>
            </w:r>
          </w:p>
          <w:p w14:paraId="1774A7FE" w14:textId="01E785F8" w:rsidR="003028A4" w:rsidRDefault="003028A4" w:rsidP="003028A4">
            <w:r>
              <w:t xml:space="preserve">Therefore, the overall weight of evidence assessment for scallops on the south coast accessed by the SCTMF during 2023 is a </w:t>
            </w:r>
            <w:r w:rsidRPr="004C08F8">
              <w:rPr>
                <w:b/>
                <w:bCs/>
                <w:color w:val="FFFF00"/>
              </w:rPr>
              <w:t>MEDIUM</w:t>
            </w:r>
            <w:r w:rsidRPr="004C08F8">
              <w:rPr>
                <w:color w:val="FFFF00"/>
              </w:rPr>
              <w:t xml:space="preserve"> </w:t>
            </w:r>
            <w:r>
              <w:t>risk (</w:t>
            </w:r>
            <w:r>
              <w:fldChar w:fldCharType="begin"/>
            </w:r>
            <w:r>
              <w:instrText xml:space="preserve"> REF _Ref157583352 \h </w:instrText>
            </w:r>
            <w:r>
              <w:fldChar w:fldCharType="separate"/>
            </w:r>
            <w:r w:rsidR="00AB15B7">
              <w:t xml:space="preserve">Table </w:t>
            </w:r>
            <w:r w:rsidR="00AB15B7">
              <w:rPr>
                <w:noProof/>
              </w:rPr>
              <w:t>11</w:t>
            </w:r>
            <w:r>
              <w:fldChar w:fldCharType="end"/>
            </w:r>
            <w:r>
              <w:t xml:space="preserve">). </w:t>
            </w:r>
          </w:p>
        </w:tc>
      </w:tr>
    </w:tbl>
    <w:p w14:paraId="2EF904FC" w14:textId="77777777" w:rsidR="00FC26E2" w:rsidRDefault="00FC26E2" w:rsidP="00FC26E2">
      <w:pPr>
        <w:rPr>
          <w:lang w:val="en-US"/>
        </w:rPr>
      </w:pPr>
    </w:p>
    <w:p w14:paraId="41FB1C83" w14:textId="5AA619CB" w:rsidR="003028A4" w:rsidRPr="003028A4" w:rsidRDefault="003028A4" w:rsidP="003028A4">
      <w:pPr>
        <w:pStyle w:val="Caption"/>
      </w:pPr>
      <w:bookmarkStart w:id="114" w:name="_Ref157583352"/>
      <w:r>
        <w:t xml:space="preserve">Table </w:t>
      </w:r>
      <w:r>
        <w:fldChar w:fldCharType="begin"/>
      </w:r>
      <w:r>
        <w:instrText xml:space="preserve"> SEQ Table \* ARABIC </w:instrText>
      </w:r>
      <w:r>
        <w:fldChar w:fldCharType="separate"/>
      </w:r>
      <w:r w:rsidR="00AB15B7">
        <w:rPr>
          <w:noProof/>
        </w:rPr>
        <w:t>11</w:t>
      </w:r>
      <w:r>
        <w:fldChar w:fldCharType="end"/>
      </w:r>
      <w:bookmarkEnd w:id="114"/>
      <w:r>
        <w:t xml:space="preserve"> Risk matrix of stock depletion of scallops on the south coast accessed by the SCTMF</w:t>
      </w:r>
    </w:p>
    <w:tbl>
      <w:tblPr>
        <w:tblStyle w:val="TableGrid"/>
        <w:tblW w:w="0" w:type="auto"/>
        <w:tblInd w:w="1260" w:type="dxa"/>
        <w:tblLayout w:type="fixed"/>
        <w:tblLook w:val="04A0" w:firstRow="1" w:lastRow="0" w:firstColumn="1" w:lastColumn="0" w:noHBand="0" w:noVBand="1"/>
      </w:tblPr>
      <w:tblGrid>
        <w:gridCol w:w="870"/>
        <w:gridCol w:w="1440"/>
        <w:gridCol w:w="1425"/>
        <w:gridCol w:w="1425"/>
        <w:gridCol w:w="1470"/>
        <w:gridCol w:w="1470"/>
      </w:tblGrid>
      <w:tr w:rsidR="003028A4" w:rsidRPr="004B6198" w14:paraId="7B5CC913" w14:textId="77777777" w:rsidTr="003028A4">
        <w:trPr>
          <w:cnfStyle w:val="100000000000" w:firstRow="1" w:lastRow="0" w:firstColumn="0" w:lastColumn="0" w:oddVBand="0" w:evenVBand="0" w:oddHBand="0" w:evenHBand="0" w:firstRowFirstColumn="0" w:firstRowLastColumn="0" w:lastRowFirstColumn="0" w:lastRowLastColumn="0"/>
          <w:trHeight w:val="300"/>
        </w:trPr>
        <w:tc>
          <w:tcPr>
            <w:tcW w:w="870" w:type="dxa"/>
            <w:tcBorders>
              <w:top w:val="nil"/>
              <w:left w:val="nil"/>
              <w:bottom w:val="single" w:sz="8" w:space="0" w:color="auto"/>
              <w:right w:val="nil"/>
            </w:tcBorders>
            <w:shd w:val="clear" w:color="auto" w:fill="auto"/>
            <w:tcMar>
              <w:left w:w="108" w:type="dxa"/>
              <w:right w:w="108" w:type="dxa"/>
            </w:tcMar>
          </w:tcPr>
          <w:p w14:paraId="05AC8192" w14:textId="77777777" w:rsidR="003028A4" w:rsidRPr="004B6198" w:rsidRDefault="003028A4" w:rsidP="008C5150">
            <w:pPr>
              <w:spacing w:before="180" w:after="180"/>
              <w:rPr>
                <w:rFonts w:ascii="Cambria" w:eastAsia="Cambria" w:hAnsi="Cambria" w:cs="Cambria"/>
              </w:rPr>
            </w:pPr>
          </w:p>
        </w:tc>
        <w:tc>
          <w:tcPr>
            <w:tcW w:w="1440" w:type="dxa"/>
            <w:tcBorders>
              <w:top w:val="nil"/>
              <w:left w:val="nil"/>
              <w:bottom w:val="single" w:sz="4" w:space="0" w:color="auto"/>
              <w:right w:val="single" w:sz="8" w:space="0" w:color="auto"/>
            </w:tcBorders>
            <w:shd w:val="clear" w:color="auto" w:fill="auto"/>
            <w:tcMar>
              <w:left w:w="108" w:type="dxa"/>
              <w:right w:w="108" w:type="dxa"/>
            </w:tcMar>
          </w:tcPr>
          <w:p w14:paraId="45F371D1" w14:textId="77777777" w:rsidR="003028A4" w:rsidRPr="004B6198" w:rsidRDefault="003028A4" w:rsidP="008C5150">
            <w:pPr>
              <w:spacing w:before="180" w:after="180"/>
            </w:pPr>
            <w:r w:rsidRPr="004B6198">
              <w:rPr>
                <w:rFonts w:ascii="Cambria" w:eastAsia="Cambria" w:hAnsi="Cambria" w:cs="Cambria"/>
              </w:rPr>
              <w:t xml:space="preserve"> </w:t>
            </w:r>
          </w:p>
        </w:tc>
        <w:tc>
          <w:tcPr>
            <w:tcW w:w="5790" w:type="dxa"/>
            <w:gridSpan w:val="4"/>
            <w:tcBorders>
              <w:top w:val="single" w:sz="8" w:space="0" w:color="auto"/>
              <w:left w:val="single" w:sz="8" w:space="0" w:color="auto"/>
              <w:bottom w:val="single" w:sz="4" w:space="0" w:color="auto"/>
              <w:right w:val="single" w:sz="8" w:space="0" w:color="auto"/>
            </w:tcBorders>
            <w:shd w:val="clear" w:color="auto" w:fill="auto"/>
            <w:tcMar>
              <w:left w:w="108" w:type="dxa"/>
              <w:right w:w="108" w:type="dxa"/>
            </w:tcMar>
          </w:tcPr>
          <w:p w14:paraId="2762261C" w14:textId="77777777" w:rsidR="003028A4" w:rsidRPr="004B6198" w:rsidRDefault="003028A4" w:rsidP="008C5150">
            <w:pPr>
              <w:spacing w:before="180" w:after="180"/>
              <w:jc w:val="center"/>
            </w:pPr>
            <w:r w:rsidRPr="003028A4">
              <w:rPr>
                <w:rFonts w:ascii="Cambria" w:eastAsia="Cambria" w:hAnsi="Cambria" w:cs="Cambria"/>
                <w:color w:val="auto"/>
              </w:rPr>
              <w:t>LIKELIHOOD</w:t>
            </w:r>
          </w:p>
        </w:tc>
      </w:tr>
      <w:tr w:rsidR="003028A4" w:rsidRPr="004B6198" w14:paraId="587E5408" w14:textId="77777777" w:rsidTr="008C5150">
        <w:trPr>
          <w:trHeight w:val="300"/>
        </w:trPr>
        <w:tc>
          <w:tcPr>
            <w:tcW w:w="870" w:type="dxa"/>
            <w:vMerge w:val="restart"/>
            <w:tcBorders>
              <w:top w:val="single" w:sz="8" w:space="0" w:color="auto"/>
              <w:left w:val="single" w:sz="8" w:space="0" w:color="auto"/>
              <w:bottom w:val="single" w:sz="8" w:space="0" w:color="auto"/>
              <w:right w:val="single" w:sz="4" w:space="0" w:color="auto"/>
            </w:tcBorders>
            <w:tcMar>
              <w:left w:w="108" w:type="dxa"/>
              <w:right w:w="108" w:type="dxa"/>
            </w:tcMar>
            <w:textDirection w:val="btLr"/>
          </w:tcPr>
          <w:p w14:paraId="319AD3FE" w14:textId="77777777" w:rsidR="003028A4" w:rsidRPr="004B6198" w:rsidRDefault="003028A4" w:rsidP="008C5150">
            <w:pPr>
              <w:spacing w:before="180" w:after="180"/>
              <w:ind w:left="113" w:right="113"/>
              <w:jc w:val="center"/>
              <w:rPr>
                <w:rFonts w:ascii="Cambria" w:eastAsia="Cambria" w:hAnsi="Cambria" w:cs="Cambria"/>
              </w:rPr>
            </w:pPr>
            <w:r w:rsidRPr="004B6198">
              <w:rPr>
                <w:rFonts w:ascii="Cambria" w:eastAsia="Cambria" w:hAnsi="Cambria" w:cs="Cambria"/>
              </w:rPr>
              <w:t>CONSEQUENCE</w:t>
            </w:r>
          </w:p>
        </w:tc>
        <w:tc>
          <w:tcPr>
            <w:tcW w:w="1440" w:type="dxa"/>
            <w:tcBorders>
              <w:top w:val="single" w:sz="4" w:space="0" w:color="auto"/>
              <w:left w:val="single" w:sz="4" w:space="0" w:color="auto"/>
              <w:bottom w:val="single" w:sz="4" w:space="0" w:color="auto"/>
              <w:right w:val="single" w:sz="4" w:space="0" w:color="auto"/>
            </w:tcBorders>
            <w:tcMar>
              <w:left w:w="108" w:type="dxa"/>
              <w:right w:w="108" w:type="dxa"/>
            </w:tcMar>
          </w:tcPr>
          <w:p w14:paraId="1BC374F1" w14:textId="77777777" w:rsidR="003028A4" w:rsidRPr="004B6198" w:rsidRDefault="003028A4" w:rsidP="008C5150">
            <w:pPr>
              <w:spacing w:before="180" w:after="180"/>
            </w:pPr>
            <w:r w:rsidRPr="004B6198">
              <w:rPr>
                <w:rFonts w:ascii="Cambria" w:eastAsia="Cambria" w:hAnsi="Cambria" w:cs="Cambria"/>
              </w:rPr>
              <w:t xml:space="preserve"> </w:t>
            </w:r>
          </w:p>
        </w:tc>
        <w:tc>
          <w:tcPr>
            <w:tcW w:w="1425" w:type="dxa"/>
            <w:tcBorders>
              <w:top w:val="single" w:sz="4" w:space="0" w:color="auto"/>
              <w:left w:val="single" w:sz="4" w:space="0" w:color="auto"/>
              <w:bottom w:val="single" w:sz="18" w:space="0" w:color="auto"/>
              <w:right w:val="single" w:sz="4" w:space="0" w:color="auto"/>
            </w:tcBorders>
            <w:tcMar>
              <w:left w:w="108" w:type="dxa"/>
              <w:right w:w="108" w:type="dxa"/>
            </w:tcMar>
          </w:tcPr>
          <w:p w14:paraId="346A07D6" w14:textId="77777777" w:rsidR="003028A4" w:rsidRPr="004B6198" w:rsidRDefault="003028A4" w:rsidP="008C5150">
            <w:pPr>
              <w:spacing w:before="180" w:after="180"/>
              <w:jc w:val="center"/>
            </w:pPr>
            <w:r>
              <w:rPr>
                <w:rFonts w:ascii="Cambria" w:eastAsia="Cambria" w:hAnsi="Cambria" w:cs="Cambria"/>
              </w:rPr>
              <w:t>Remote</w:t>
            </w:r>
            <w:r>
              <w:rPr>
                <w:rFonts w:ascii="Cambria" w:eastAsia="Cambria" w:hAnsi="Cambria" w:cs="Cambria"/>
              </w:rPr>
              <w:br/>
              <w:t>(</w:t>
            </w:r>
            <w:r w:rsidRPr="004B6198">
              <w:rPr>
                <w:rFonts w:ascii="Cambria" w:eastAsia="Cambria" w:hAnsi="Cambria" w:cs="Cambria"/>
              </w:rPr>
              <w:t>1</w:t>
            </w:r>
            <w:r>
              <w:rPr>
                <w:rFonts w:ascii="Cambria" w:eastAsia="Cambria" w:hAnsi="Cambria" w:cs="Cambria"/>
              </w:rPr>
              <w:t>)</w:t>
            </w:r>
          </w:p>
        </w:tc>
        <w:tc>
          <w:tcPr>
            <w:tcW w:w="1425" w:type="dxa"/>
            <w:tcBorders>
              <w:top w:val="single" w:sz="4" w:space="0" w:color="auto"/>
              <w:left w:val="single" w:sz="4" w:space="0" w:color="auto"/>
              <w:bottom w:val="single" w:sz="4" w:space="0" w:color="auto"/>
              <w:right w:val="single" w:sz="4" w:space="0" w:color="auto"/>
            </w:tcBorders>
            <w:tcMar>
              <w:left w:w="108" w:type="dxa"/>
              <w:right w:w="108" w:type="dxa"/>
            </w:tcMar>
          </w:tcPr>
          <w:p w14:paraId="62BB5EC1" w14:textId="77777777" w:rsidR="003028A4" w:rsidRPr="004B6198" w:rsidRDefault="003028A4" w:rsidP="008C5150">
            <w:pPr>
              <w:spacing w:before="180" w:after="180"/>
              <w:jc w:val="center"/>
            </w:pPr>
            <w:r>
              <w:rPr>
                <w:rFonts w:ascii="Cambria" w:eastAsia="Cambria" w:hAnsi="Cambria" w:cs="Cambria"/>
              </w:rPr>
              <w:t>Unlikely</w:t>
            </w:r>
            <w:r>
              <w:rPr>
                <w:rFonts w:ascii="Cambria" w:eastAsia="Cambria" w:hAnsi="Cambria" w:cs="Cambria"/>
              </w:rPr>
              <w:br/>
              <w:t>(</w:t>
            </w:r>
            <w:r w:rsidRPr="004B6198">
              <w:rPr>
                <w:rFonts w:ascii="Cambria" w:eastAsia="Cambria" w:hAnsi="Cambria" w:cs="Cambria"/>
              </w:rPr>
              <w:t>2</w:t>
            </w:r>
            <w:r>
              <w:rPr>
                <w:rFonts w:ascii="Cambria" w:eastAsia="Cambria" w:hAnsi="Cambria" w:cs="Cambria"/>
              </w:rPr>
              <w:t>)</w:t>
            </w:r>
          </w:p>
        </w:tc>
        <w:tc>
          <w:tcPr>
            <w:tcW w:w="1470" w:type="dxa"/>
            <w:tcBorders>
              <w:top w:val="single" w:sz="4" w:space="0" w:color="auto"/>
              <w:left w:val="single" w:sz="4" w:space="0" w:color="auto"/>
              <w:bottom w:val="single" w:sz="4" w:space="0" w:color="auto"/>
              <w:right w:val="single" w:sz="4" w:space="0" w:color="auto"/>
            </w:tcBorders>
            <w:tcMar>
              <w:left w:w="108" w:type="dxa"/>
              <w:right w:w="108" w:type="dxa"/>
            </w:tcMar>
          </w:tcPr>
          <w:p w14:paraId="492EECED" w14:textId="77777777" w:rsidR="003028A4" w:rsidRPr="004B6198" w:rsidRDefault="003028A4" w:rsidP="008C5150">
            <w:pPr>
              <w:spacing w:before="180" w:after="180"/>
              <w:jc w:val="center"/>
            </w:pPr>
            <w:r>
              <w:rPr>
                <w:rFonts w:ascii="Cambria" w:eastAsia="Cambria" w:hAnsi="Cambria" w:cs="Cambria"/>
              </w:rPr>
              <w:t>Possible</w:t>
            </w:r>
            <w:r>
              <w:rPr>
                <w:rFonts w:ascii="Cambria" w:eastAsia="Cambria" w:hAnsi="Cambria" w:cs="Cambria"/>
              </w:rPr>
              <w:br/>
              <w:t>(</w:t>
            </w:r>
            <w:r w:rsidRPr="004B6198">
              <w:rPr>
                <w:rFonts w:ascii="Cambria" w:eastAsia="Cambria" w:hAnsi="Cambria" w:cs="Cambria"/>
              </w:rPr>
              <w:t>3</w:t>
            </w:r>
            <w:r>
              <w:rPr>
                <w:rFonts w:ascii="Cambria" w:eastAsia="Cambria" w:hAnsi="Cambria" w:cs="Cambria"/>
              </w:rPr>
              <w:t>)</w:t>
            </w:r>
          </w:p>
        </w:tc>
        <w:tc>
          <w:tcPr>
            <w:tcW w:w="1470" w:type="dxa"/>
            <w:tcBorders>
              <w:top w:val="single" w:sz="4" w:space="0" w:color="auto"/>
              <w:left w:val="single" w:sz="4" w:space="0" w:color="auto"/>
              <w:bottom w:val="single" w:sz="4" w:space="0" w:color="auto"/>
              <w:right w:val="single" w:sz="4" w:space="0" w:color="auto"/>
            </w:tcBorders>
            <w:tcMar>
              <w:left w:w="108" w:type="dxa"/>
              <w:right w:w="108" w:type="dxa"/>
            </w:tcMar>
          </w:tcPr>
          <w:p w14:paraId="28441FA2" w14:textId="77777777" w:rsidR="003028A4" w:rsidRPr="004B6198" w:rsidRDefault="003028A4" w:rsidP="008C5150">
            <w:pPr>
              <w:spacing w:before="180" w:after="180"/>
              <w:jc w:val="center"/>
            </w:pPr>
            <w:r>
              <w:rPr>
                <w:rFonts w:ascii="Cambria" w:eastAsia="Cambria" w:hAnsi="Cambria" w:cs="Cambria"/>
              </w:rPr>
              <w:t>Likely</w:t>
            </w:r>
            <w:r>
              <w:rPr>
                <w:rFonts w:ascii="Cambria" w:eastAsia="Cambria" w:hAnsi="Cambria" w:cs="Cambria"/>
              </w:rPr>
              <w:br/>
              <w:t>(</w:t>
            </w:r>
            <w:r w:rsidRPr="004B6198">
              <w:rPr>
                <w:rFonts w:ascii="Cambria" w:eastAsia="Cambria" w:hAnsi="Cambria" w:cs="Cambria"/>
              </w:rPr>
              <w:t>4</w:t>
            </w:r>
            <w:r>
              <w:rPr>
                <w:rFonts w:ascii="Cambria" w:eastAsia="Cambria" w:hAnsi="Cambria" w:cs="Cambria"/>
              </w:rPr>
              <w:t>)</w:t>
            </w:r>
          </w:p>
        </w:tc>
      </w:tr>
      <w:tr w:rsidR="003028A4" w:rsidRPr="004B6198" w14:paraId="05FA5C6E" w14:textId="77777777" w:rsidTr="003028A4">
        <w:trPr>
          <w:trHeight w:val="300"/>
        </w:trPr>
        <w:tc>
          <w:tcPr>
            <w:tcW w:w="870" w:type="dxa"/>
            <w:vMerge/>
            <w:tcBorders>
              <w:left w:val="single" w:sz="0" w:space="0" w:color="auto"/>
              <w:right w:val="single" w:sz="4" w:space="0" w:color="auto"/>
            </w:tcBorders>
            <w:vAlign w:val="center"/>
          </w:tcPr>
          <w:p w14:paraId="016A8A02" w14:textId="77777777" w:rsidR="003028A4" w:rsidRPr="004B6198" w:rsidRDefault="003028A4" w:rsidP="008C5150"/>
        </w:tc>
        <w:tc>
          <w:tcPr>
            <w:tcW w:w="1440" w:type="dxa"/>
            <w:tcBorders>
              <w:top w:val="single" w:sz="4" w:space="0" w:color="auto"/>
              <w:left w:val="single" w:sz="4" w:space="0" w:color="auto"/>
              <w:bottom w:val="single" w:sz="4" w:space="0" w:color="auto"/>
              <w:right w:val="single" w:sz="18" w:space="0" w:color="auto"/>
            </w:tcBorders>
            <w:tcMar>
              <w:left w:w="108" w:type="dxa"/>
              <w:right w:w="108" w:type="dxa"/>
            </w:tcMar>
          </w:tcPr>
          <w:p w14:paraId="6F3D0CB2" w14:textId="77777777" w:rsidR="003028A4" w:rsidRPr="004B6198" w:rsidRDefault="003028A4" w:rsidP="008C5150">
            <w:pPr>
              <w:spacing w:before="180" w:after="180"/>
              <w:jc w:val="center"/>
            </w:pPr>
            <w:r>
              <w:rPr>
                <w:rFonts w:ascii="Cambria" w:eastAsia="Cambria" w:hAnsi="Cambria" w:cs="Cambria"/>
              </w:rPr>
              <w:t xml:space="preserve">Minor </w:t>
            </w:r>
            <w:r>
              <w:rPr>
                <w:rFonts w:ascii="Cambria" w:eastAsia="Cambria" w:hAnsi="Cambria" w:cs="Cambria"/>
              </w:rPr>
              <w:br/>
              <w:t>(</w:t>
            </w:r>
            <w:r w:rsidRPr="004B6198">
              <w:rPr>
                <w:rFonts w:ascii="Cambria" w:eastAsia="Cambria" w:hAnsi="Cambria" w:cs="Cambria"/>
              </w:rPr>
              <w:t>1</w:t>
            </w:r>
            <w:r>
              <w:rPr>
                <w:rFonts w:ascii="Cambria" w:eastAsia="Cambria" w:hAnsi="Cambria" w:cs="Cambria"/>
              </w:rPr>
              <w:t>)</w:t>
            </w:r>
          </w:p>
        </w:tc>
        <w:tc>
          <w:tcPr>
            <w:tcW w:w="1425" w:type="dxa"/>
            <w:tcBorders>
              <w:top w:val="single" w:sz="18" w:space="0" w:color="auto"/>
              <w:left w:val="single" w:sz="18" w:space="0" w:color="auto"/>
              <w:bottom w:val="single" w:sz="18" w:space="0" w:color="auto"/>
              <w:right w:val="single" w:sz="18" w:space="0" w:color="auto"/>
            </w:tcBorders>
            <w:shd w:val="clear" w:color="auto" w:fill="D3F5FF" w:themeFill="accent1" w:themeFillTint="1A"/>
            <w:tcMar>
              <w:left w:w="108" w:type="dxa"/>
              <w:right w:w="108" w:type="dxa"/>
            </w:tcMar>
          </w:tcPr>
          <w:p w14:paraId="141CFBAF" w14:textId="77777777" w:rsidR="003028A4" w:rsidRPr="004B6198" w:rsidRDefault="003028A4" w:rsidP="008C5150">
            <w:pPr>
              <w:spacing w:before="180" w:after="180"/>
              <w:jc w:val="center"/>
            </w:pPr>
            <w:r>
              <w:rPr>
                <w:rFonts w:ascii="Cambria" w:eastAsia="Cambria" w:hAnsi="Cambria" w:cs="Cambria"/>
              </w:rPr>
              <w:t>Negligible</w:t>
            </w:r>
          </w:p>
        </w:tc>
        <w:tc>
          <w:tcPr>
            <w:tcW w:w="1425" w:type="dxa"/>
            <w:tcBorders>
              <w:top w:val="single" w:sz="4" w:space="0" w:color="auto"/>
              <w:left w:val="single" w:sz="18" w:space="0" w:color="auto"/>
              <w:bottom w:val="single" w:sz="4" w:space="0" w:color="auto"/>
              <w:right w:val="single" w:sz="4" w:space="0" w:color="auto"/>
            </w:tcBorders>
            <w:shd w:val="clear" w:color="auto" w:fill="D3F5FF" w:themeFill="accent1" w:themeFillTint="1A"/>
            <w:tcMar>
              <w:left w:w="108" w:type="dxa"/>
              <w:right w:w="108" w:type="dxa"/>
            </w:tcMar>
          </w:tcPr>
          <w:p w14:paraId="36F020B2" w14:textId="77777777" w:rsidR="003028A4" w:rsidRPr="004B6198" w:rsidRDefault="003028A4" w:rsidP="008C5150">
            <w:pPr>
              <w:spacing w:before="180" w:after="180"/>
              <w:jc w:val="center"/>
            </w:pPr>
            <w:r>
              <w:rPr>
                <w:rFonts w:ascii="Cambria" w:eastAsia="Cambria" w:hAnsi="Cambria" w:cs="Cambria"/>
              </w:rPr>
              <w:t>Negligible</w:t>
            </w:r>
          </w:p>
        </w:tc>
        <w:tc>
          <w:tcPr>
            <w:tcW w:w="1470" w:type="dxa"/>
            <w:tcBorders>
              <w:top w:val="single" w:sz="4" w:space="0" w:color="auto"/>
              <w:left w:val="single" w:sz="4" w:space="0" w:color="auto"/>
              <w:bottom w:val="single" w:sz="4" w:space="0" w:color="auto"/>
              <w:right w:val="single" w:sz="4" w:space="0" w:color="auto"/>
            </w:tcBorders>
            <w:shd w:val="clear" w:color="auto" w:fill="92D050"/>
            <w:tcMar>
              <w:left w:w="108" w:type="dxa"/>
              <w:right w:w="108" w:type="dxa"/>
            </w:tcMar>
          </w:tcPr>
          <w:p w14:paraId="35232861" w14:textId="77777777" w:rsidR="003028A4" w:rsidRPr="004B6198" w:rsidRDefault="003028A4" w:rsidP="008C5150">
            <w:pPr>
              <w:spacing w:before="180" w:after="180"/>
              <w:jc w:val="center"/>
            </w:pPr>
            <w:r>
              <w:rPr>
                <w:rFonts w:ascii="Cambria" w:eastAsia="Cambria" w:hAnsi="Cambria" w:cs="Cambria"/>
              </w:rPr>
              <w:t>Low</w:t>
            </w:r>
          </w:p>
        </w:tc>
        <w:tc>
          <w:tcPr>
            <w:tcW w:w="1470" w:type="dxa"/>
            <w:tcBorders>
              <w:top w:val="single" w:sz="4" w:space="0" w:color="auto"/>
              <w:left w:val="single" w:sz="4" w:space="0" w:color="auto"/>
              <w:bottom w:val="single" w:sz="18" w:space="0" w:color="auto"/>
              <w:right w:val="single" w:sz="4" w:space="0" w:color="auto"/>
            </w:tcBorders>
            <w:shd w:val="clear" w:color="auto" w:fill="92D050"/>
            <w:tcMar>
              <w:left w:w="108" w:type="dxa"/>
              <w:right w:w="108" w:type="dxa"/>
            </w:tcMar>
          </w:tcPr>
          <w:p w14:paraId="20D0D14E" w14:textId="77777777" w:rsidR="003028A4" w:rsidRPr="004B6198" w:rsidRDefault="003028A4" w:rsidP="008C5150">
            <w:pPr>
              <w:spacing w:before="180" w:after="180"/>
              <w:jc w:val="center"/>
            </w:pPr>
            <w:r>
              <w:rPr>
                <w:rFonts w:ascii="Cambria" w:eastAsia="Cambria" w:hAnsi="Cambria" w:cs="Cambria"/>
              </w:rPr>
              <w:t>Low</w:t>
            </w:r>
          </w:p>
        </w:tc>
      </w:tr>
      <w:tr w:rsidR="003028A4" w:rsidRPr="004B6198" w14:paraId="443301C1" w14:textId="77777777" w:rsidTr="003028A4">
        <w:trPr>
          <w:trHeight w:val="300"/>
        </w:trPr>
        <w:tc>
          <w:tcPr>
            <w:tcW w:w="870" w:type="dxa"/>
            <w:vMerge/>
            <w:tcBorders>
              <w:left w:val="single" w:sz="0" w:space="0" w:color="auto"/>
              <w:right w:val="single" w:sz="4" w:space="0" w:color="auto"/>
            </w:tcBorders>
            <w:vAlign w:val="center"/>
          </w:tcPr>
          <w:p w14:paraId="70B89930" w14:textId="77777777" w:rsidR="003028A4" w:rsidRPr="004B6198" w:rsidRDefault="003028A4" w:rsidP="008C5150"/>
        </w:tc>
        <w:tc>
          <w:tcPr>
            <w:tcW w:w="1440" w:type="dxa"/>
            <w:tcBorders>
              <w:top w:val="single" w:sz="4" w:space="0" w:color="auto"/>
              <w:left w:val="single" w:sz="4" w:space="0" w:color="auto"/>
              <w:bottom w:val="single" w:sz="4" w:space="0" w:color="auto"/>
              <w:right w:val="single" w:sz="4" w:space="0" w:color="auto"/>
            </w:tcBorders>
            <w:tcMar>
              <w:left w:w="108" w:type="dxa"/>
              <w:right w:w="108" w:type="dxa"/>
            </w:tcMar>
          </w:tcPr>
          <w:p w14:paraId="74D9AD3C" w14:textId="77777777" w:rsidR="003028A4" w:rsidRPr="004B6198" w:rsidRDefault="003028A4" w:rsidP="008C5150">
            <w:pPr>
              <w:spacing w:before="180" w:after="180"/>
              <w:jc w:val="center"/>
            </w:pPr>
            <w:r>
              <w:rPr>
                <w:rFonts w:ascii="Cambria" w:eastAsia="Cambria" w:hAnsi="Cambria" w:cs="Cambria"/>
              </w:rPr>
              <w:t>Moderate (</w:t>
            </w:r>
            <w:r w:rsidRPr="004B6198">
              <w:rPr>
                <w:rFonts w:ascii="Cambria" w:eastAsia="Cambria" w:hAnsi="Cambria" w:cs="Cambria"/>
              </w:rPr>
              <w:t>2</w:t>
            </w:r>
            <w:r>
              <w:rPr>
                <w:rFonts w:ascii="Cambria" w:eastAsia="Cambria" w:hAnsi="Cambria" w:cs="Cambria"/>
              </w:rPr>
              <w:t>)</w:t>
            </w:r>
          </w:p>
        </w:tc>
        <w:tc>
          <w:tcPr>
            <w:tcW w:w="1425" w:type="dxa"/>
            <w:tcBorders>
              <w:top w:val="single" w:sz="18" w:space="0" w:color="auto"/>
              <w:left w:val="single" w:sz="4" w:space="0" w:color="auto"/>
              <w:bottom w:val="single" w:sz="4" w:space="0" w:color="auto"/>
              <w:right w:val="single" w:sz="4" w:space="0" w:color="auto"/>
            </w:tcBorders>
            <w:shd w:val="clear" w:color="auto" w:fill="D3F5FF" w:themeFill="accent1" w:themeFillTint="1A"/>
            <w:tcMar>
              <w:left w:w="108" w:type="dxa"/>
              <w:right w:w="108" w:type="dxa"/>
            </w:tcMar>
          </w:tcPr>
          <w:p w14:paraId="5DD7DF17" w14:textId="77777777" w:rsidR="003028A4" w:rsidRPr="004B6198" w:rsidRDefault="003028A4" w:rsidP="008C5150">
            <w:pPr>
              <w:tabs>
                <w:tab w:val="left" w:pos="502"/>
                <w:tab w:val="center" w:pos="604"/>
              </w:tabs>
              <w:spacing w:before="180" w:after="180"/>
            </w:pPr>
            <w:r>
              <w:rPr>
                <w:rFonts w:ascii="Cambria" w:eastAsia="Cambria" w:hAnsi="Cambria" w:cs="Cambria"/>
              </w:rPr>
              <w:t>Negligible</w:t>
            </w:r>
          </w:p>
        </w:tc>
        <w:tc>
          <w:tcPr>
            <w:tcW w:w="1425" w:type="dxa"/>
            <w:tcBorders>
              <w:top w:val="single" w:sz="4" w:space="0" w:color="auto"/>
              <w:left w:val="single" w:sz="4" w:space="0" w:color="auto"/>
              <w:bottom w:val="single" w:sz="18" w:space="0" w:color="auto"/>
              <w:right w:val="single" w:sz="4" w:space="0" w:color="auto"/>
            </w:tcBorders>
            <w:shd w:val="clear" w:color="auto" w:fill="92D050"/>
            <w:tcMar>
              <w:left w:w="108" w:type="dxa"/>
              <w:right w:w="108" w:type="dxa"/>
            </w:tcMar>
          </w:tcPr>
          <w:p w14:paraId="3D965EC8" w14:textId="77777777" w:rsidR="003028A4" w:rsidRPr="004B6198" w:rsidRDefault="003028A4" w:rsidP="008C5150">
            <w:pPr>
              <w:spacing w:before="180" w:after="180"/>
              <w:jc w:val="center"/>
            </w:pPr>
            <w:r>
              <w:rPr>
                <w:rFonts w:ascii="Cambria" w:eastAsia="Cambria" w:hAnsi="Cambria" w:cs="Cambria"/>
              </w:rPr>
              <w:t>Low</w:t>
            </w:r>
          </w:p>
        </w:tc>
        <w:tc>
          <w:tcPr>
            <w:tcW w:w="1470" w:type="dxa"/>
            <w:tcBorders>
              <w:top w:val="single" w:sz="4" w:space="0" w:color="auto"/>
              <w:left w:val="single" w:sz="4" w:space="0" w:color="auto"/>
              <w:bottom w:val="single" w:sz="4" w:space="0" w:color="auto"/>
              <w:right w:val="single" w:sz="18" w:space="0" w:color="auto"/>
            </w:tcBorders>
            <w:shd w:val="clear" w:color="auto" w:fill="FFFF00"/>
            <w:tcMar>
              <w:left w:w="108" w:type="dxa"/>
              <w:right w:w="108" w:type="dxa"/>
            </w:tcMar>
          </w:tcPr>
          <w:p w14:paraId="4CBEE7F0" w14:textId="77777777" w:rsidR="003028A4" w:rsidRPr="004B6198" w:rsidRDefault="003028A4" w:rsidP="008C5150">
            <w:pPr>
              <w:spacing w:before="180" w:after="180"/>
              <w:jc w:val="center"/>
            </w:pPr>
            <w:r>
              <w:rPr>
                <w:rFonts w:ascii="Cambria" w:eastAsia="Cambria" w:hAnsi="Cambria" w:cs="Cambria"/>
              </w:rPr>
              <w:t>Medium</w:t>
            </w:r>
          </w:p>
        </w:tc>
        <w:tc>
          <w:tcPr>
            <w:tcW w:w="1470" w:type="dxa"/>
            <w:tcBorders>
              <w:top w:val="single" w:sz="18" w:space="0" w:color="auto"/>
              <w:left w:val="single" w:sz="18" w:space="0" w:color="auto"/>
              <w:bottom w:val="single" w:sz="18" w:space="0" w:color="auto"/>
              <w:right w:val="single" w:sz="18" w:space="0" w:color="auto"/>
            </w:tcBorders>
            <w:shd w:val="clear" w:color="auto" w:fill="FFFF00"/>
            <w:tcMar>
              <w:left w:w="108" w:type="dxa"/>
              <w:right w:w="108" w:type="dxa"/>
            </w:tcMar>
          </w:tcPr>
          <w:p w14:paraId="52D4AE64" w14:textId="77777777" w:rsidR="003028A4" w:rsidRPr="008378BF" w:rsidRDefault="003028A4" w:rsidP="008C5150">
            <w:pPr>
              <w:spacing w:before="180" w:after="180"/>
              <w:jc w:val="center"/>
              <w:rPr>
                <w:b/>
                <w:bCs/>
              </w:rPr>
            </w:pPr>
            <w:r w:rsidRPr="008378BF">
              <w:rPr>
                <w:rFonts w:ascii="Cambria" w:eastAsia="Cambria" w:hAnsi="Cambria" w:cs="Cambria"/>
                <w:b/>
                <w:bCs/>
              </w:rPr>
              <w:t>Medium</w:t>
            </w:r>
          </w:p>
        </w:tc>
      </w:tr>
      <w:tr w:rsidR="003028A4" w:rsidRPr="004B6198" w14:paraId="77203C5B" w14:textId="77777777" w:rsidTr="003028A4">
        <w:trPr>
          <w:trHeight w:val="300"/>
        </w:trPr>
        <w:tc>
          <w:tcPr>
            <w:tcW w:w="870" w:type="dxa"/>
            <w:vMerge/>
            <w:tcBorders>
              <w:left w:val="single" w:sz="0" w:space="0" w:color="auto"/>
              <w:right w:val="single" w:sz="4" w:space="0" w:color="auto"/>
            </w:tcBorders>
            <w:vAlign w:val="center"/>
          </w:tcPr>
          <w:p w14:paraId="73D71144" w14:textId="77777777" w:rsidR="003028A4" w:rsidRPr="004B6198" w:rsidRDefault="003028A4" w:rsidP="008C5150"/>
        </w:tc>
        <w:tc>
          <w:tcPr>
            <w:tcW w:w="1440" w:type="dxa"/>
            <w:tcBorders>
              <w:top w:val="single" w:sz="4" w:space="0" w:color="auto"/>
              <w:left w:val="single" w:sz="4" w:space="0" w:color="auto"/>
              <w:bottom w:val="single" w:sz="4" w:space="0" w:color="auto"/>
              <w:right w:val="single" w:sz="4" w:space="0" w:color="auto"/>
            </w:tcBorders>
            <w:tcMar>
              <w:left w:w="108" w:type="dxa"/>
              <w:right w:w="108" w:type="dxa"/>
            </w:tcMar>
          </w:tcPr>
          <w:p w14:paraId="1CBE5AD6" w14:textId="77777777" w:rsidR="003028A4" w:rsidRPr="004B6198" w:rsidRDefault="003028A4" w:rsidP="008C5150">
            <w:pPr>
              <w:spacing w:before="180" w:after="180"/>
              <w:jc w:val="center"/>
            </w:pPr>
            <w:r>
              <w:rPr>
                <w:rFonts w:ascii="Cambria" w:eastAsia="Cambria" w:hAnsi="Cambria" w:cs="Cambria"/>
              </w:rPr>
              <w:t>High</w:t>
            </w:r>
            <w:r>
              <w:rPr>
                <w:rFonts w:ascii="Cambria" w:eastAsia="Cambria" w:hAnsi="Cambria" w:cs="Cambria"/>
              </w:rPr>
              <w:br/>
              <w:t>(</w:t>
            </w:r>
            <w:r w:rsidRPr="004B6198">
              <w:rPr>
                <w:rFonts w:ascii="Cambria" w:eastAsia="Cambria" w:hAnsi="Cambria" w:cs="Cambria"/>
              </w:rPr>
              <w:t>3</w:t>
            </w:r>
            <w:r>
              <w:rPr>
                <w:rFonts w:ascii="Cambria" w:eastAsia="Cambria" w:hAnsi="Cambria" w:cs="Cambria"/>
              </w:rPr>
              <w:t>)</w:t>
            </w:r>
          </w:p>
        </w:tc>
        <w:tc>
          <w:tcPr>
            <w:tcW w:w="1425" w:type="dxa"/>
            <w:tcBorders>
              <w:top w:val="single" w:sz="4" w:space="0" w:color="auto"/>
              <w:left w:val="single" w:sz="4" w:space="0" w:color="auto"/>
              <w:bottom w:val="single" w:sz="18" w:space="0" w:color="auto"/>
              <w:right w:val="single" w:sz="18" w:space="0" w:color="auto"/>
            </w:tcBorders>
            <w:shd w:val="clear" w:color="auto" w:fill="92D050"/>
            <w:tcMar>
              <w:left w:w="108" w:type="dxa"/>
              <w:right w:w="108" w:type="dxa"/>
            </w:tcMar>
          </w:tcPr>
          <w:p w14:paraId="4DAF8468" w14:textId="77777777" w:rsidR="003028A4" w:rsidRPr="004B6198" w:rsidRDefault="003028A4" w:rsidP="008C5150">
            <w:pPr>
              <w:spacing w:before="180" w:after="180"/>
              <w:jc w:val="center"/>
            </w:pPr>
            <w:r>
              <w:rPr>
                <w:rFonts w:ascii="Cambria" w:eastAsia="Cambria" w:hAnsi="Cambria" w:cs="Cambria"/>
              </w:rPr>
              <w:t>Low</w:t>
            </w:r>
          </w:p>
        </w:tc>
        <w:tc>
          <w:tcPr>
            <w:tcW w:w="1425" w:type="dxa"/>
            <w:tcBorders>
              <w:top w:val="single" w:sz="18" w:space="0" w:color="auto"/>
              <w:left w:val="single" w:sz="18" w:space="0" w:color="auto"/>
              <w:bottom w:val="single" w:sz="18" w:space="0" w:color="auto"/>
              <w:right w:val="single" w:sz="18" w:space="0" w:color="auto"/>
            </w:tcBorders>
            <w:shd w:val="clear" w:color="auto" w:fill="FFFF00"/>
            <w:tcMar>
              <w:left w:w="108" w:type="dxa"/>
              <w:right w:w="108" w:type="dxa"/>
            </w:tcMar>
          </w:tcPr>
          <w:p w14:paraId="61775A41" w14:textId="77777777" w:rsidR="003028A4" w:rsidRPr="008378BF" w:rsidRDefault="003028A4" w:rsidP="008C5150">
            <w:pPr>
              <w:spacing w:before="180" w:after="180"/>
              <w:jc w:val="center"/>
              <w:rPr>
                <w:b/>
                <w:bCs/>
              </w:rPr>
            </w:pPr>
            <w:r w:rsidRPr="008378BF">
              <w:rPr>
                <w:rFonts w:ascii="Cambria" w:eastAsia="Cambria" w:hAnsi="Cambria" w:cs="Cambria"/>
                <w:b/>
                <w:bCs/>
              </w:rPr>
              <w:t>Medium</w:t>
            </w:r>
          </w:p>
        </w:tc>
        <w:tc>
          <w:tcPr>
            <w:tcW w:w="1470" w:type="dxa"/>
            <w:tcBorders>
              <w:top w:val="single" w:sz="4" w:space="0" w:color="auto"/>
              <w:left w:val="single" w:sz="18" w:space="0" w:color="auto"/>
              <w:bottom w:val="single" w:sz="4" w:space="0" w:color="auto"/>
              <w:right w:val="single" w:sz="4" w:space="0" w:color="auto"/>
            </w:tcBorders>
            <w:shd w:val="clear" w:color="auto" w:fill="FFC000"/>
            <w:tcMar>
              <w:left w:w="108" w:type="dxa"/>
              <w:right w:w="108" w:type="dxa"/>
            </w:tcMar>
          </w:tcPr>
          <w:p w14:paraId="3ACE4C9A" w14:textId="77777777" w:rsidR="003028A4" w:rsidRPr="008378BF" w:rsidRDefault="003028A4" w:rsidP="008C5150">
            <w:pPr>
              <w:spacing w:before="180" w:after="180"/>
              <w:jc w:val="center"/>
            </w:pPr>
            <w:r w:rsidRPr="008378BF">
              <w:rPr>
                <w:rFonts w:ascii="Cambria" w:eastAsia="Cambria" w:hAnsi="Cambria" w:cs="Cambria"/>
              </w:rPr>
              <w:t>High</w:t>
            </w:r>
          </w:p>
        </w:tc>
        <w:tc>
          <w:tcPr>
            <w:tcW w:w="1470" w:type="dxa"/>
            <w:tcBorders>
              <w:top w:val="single" w:sz="18" w:space="0" w:color="auto"/>
              <w:left w:val="single" w:sz="4" w:space="0" w:color="auto"/>
              <w:bottom w:val="single" w:sz="4" w:space="0" w:color="auto"/>
              <w:right w:val="single" w:sz="4" w:space="0" w:color="auto"/>
            </w:tcBorders>
            <w:shd w:val="clear" w:color="auto" w:fill="FFC000"/>
            <w:tcMar>
              <w:left w:w="108" w:type="dxa"/>
              <w:right w:w="108" w:type="dxa"/>
            </w:tcMar>
          </w:tcPr>
          <w:p w14:paraId="175D7362" w14:textId="77777777" w:rsidR="003028A4" w:rsidRPr="004B6198" w:rsidRDefault="003028A4" w:rsidP="008C5150">
            <w:pPr>
              <w:spacing w:before="180" w:after="180"/>
              <w:jc w:val="center"/>
              <w:rPr>
                <w:rFonts w:ascii="Cambria" w:eastAsia="Cambria" w:hAnsi="Cambria" w:cs="Cambria"/>
              </w:rPr>
            </w:pPr>
            <w:r>
              <w:rPr>
                <w:rFonts w:ascii="Cambria" w:eastAsia="Cambria" w:hAnsi="Cambria" w:cs="Cambria"/>
              </w:rPr>
              <w:t>High</w:t>
            </w:r>
          </w:p>
        </w:tc>
      </w:tr>
      <w:tr w:rsidR="003028A4" w:rsidRPr="004B6198" w14:paraId="0585A26E" w14:textId="77777777" w:rsidTr="003028A4">
        <w:trPr>
          <w:trHeight w:val="300"/>
        </w:trPr>
        <w:tc>
          <w:tcPr>
            <w:tcW w:w="870" w:type="dxa"/>
            <w:vMerge/>
            <w:tcBorders>
              <w:top w:val="single" w:sz="0" w:space="0" w:color="auto"/>
              <w:left w:val="single" w:sz="0" w:space="0" w:color="auto"/>
              <w:bottom w:val="single" w:sz="0" w:space="0" w:color="auto"/>
              <w:right w:val="single" w:sz="4" w:space="0" w:color="auto"/>
            </w:tcBorders>
            <w:vAlign w:val="center"/>
          </w:tcPr>
          <w:p w14:paraId="2AB87362" w14:textId="77777777" w:rsidR="003028A4" w:rsidRPr="004B6198" w:rsidRDefault="003028A4" w:rsidP="008C5150"/>
        </w:tc>
        <w:tc>
          <w:tcPr>
            <w:tcW w:w="1440" w:type="dxa"/>
            <w:tcBorders>
              <w:top w:val="single" w:sz="4" w:space="0" w:color="auto"/>
              <w:left w:val="single" w:sz="4" w:space="0" w:color="auto"/>
              <w:bottom w:val="single" w:sz="4" w:space="0" w:color="auto"/>
              <w:right w:val="single" w:sz="18" w:space="0" w:color="auto"/>
            </w:tcBorders>
            <w:tcMar>
              <w:left w:w="108" w:type="dxa"/>
              <w:right w:w="108" w:type="dxa"/>
            </w:tcMar>
          </w:tcPr>
          <w:p w14:paraId="012F480E" w14:textId="77777777" w:rsidR="003028A4" w:rsidRPr="004B6198" w:rsidRDefault="003028A4" w:rsidP="008C5150">
            <w:pPr>
              <w:spacing w:before="180" w:after="180"/>
              <w:jc w:val="center"/>
            </w:pPr>
            <w:r>
              <w:rPr>
                <w:rFonts w:ascii="Cambria" w:eastAsia="Cambria" w:hAnsi="Cambria" w:cs="Cambria"/>
              </w:rPr>
              <w:t>Major</w:t>
            </w:r>
            <w:r>
              <w:rPr>
                <w:rFonts w:ascii="Cambria" w:eastAsia="Cambria" w:hAnsi="Cambria" w:cs="Cambria"/>
              </w:rPr>
              <w:br/>
              <w:t>(</w:t>
            </w:r>
            <w:r w:rsidRPr="004B6198">
              <w:rPr>
                <w:rFonts w:ascii="Cambria" w:eastAsia="Cambria" w:hAnsi="Cambria" w:cs="Cambria"/>
              </w:rPr>
              <w:t>4</w:t>
            </w:r>
            <w:r>
              <w:rPr>
                <w:rFonts w:ascii="Cambria" w:eastAsia="Cambria" w:hAnsi="Cambria" w:cs="Cambria"/>
              </w:rPr>
              <w:t>)</w:t>
            </w:r>
          </w:p>
        </w:tc>
        <w:tc>
          <w:tcPr>
            <w:tcW w:w="1425" w:type="dxa"/>
            <w:tcBorders>
              <w:top w:val="single" w:sz="18" w:space="0" w:color="auto"/>
              <w:left w:val="single" w:sz="18" w:space="0" w:color="auto"/>
              <w:bottom w:val="single" w:sz="18" w:space="0" w:color="auto"/>
              <w:right w:val="single" w:sz="18" w:space="0" w:color="auto"/>
            </w:tcBorders>
            <w:shd w:val="clear" w:color="auto" w:fill="92D050"/>
            <w:tcMar>
              <w:left w:w="108" w:type="dxa"/>
              <w:right w:w="108" w:type="dxa"/>
            </w:tcMar>
          </w:tcPr>
          <w:p w14:paraId="0DEBDF36" w14:textId="77777777" w:rsidR="003028A4" w:rsidRPr="004B6198" w:rsidRDefault="003028A4" w:rsidP="008C5150">
            <w:pPr>
              <w:spacing w:before="180" w:after="180"/>
              <w:jc w:val="center"/>
            </w:pPr>
            <w:r>
              <w:rPr>
                <w:rFonts w:ascii="Cambria" w:eastAsia="Cambria" w:hAnsi="Cambria" w:cs="Cambria"/>
              </w:rPr>
              <w:t>Low</w:t>
            </w:r>
          </w:p>
        </w:tc>
        <w:tc>
          <w:tcPr>
            <w:tcW w:w="1425" w:type="dxa"/>
            <w:tcBorders>
              <w:top w:val="single" w:sz="18" w:space="0" w:color="auto"/>
              <w:left w:val="single" w:sz="18" w:space="0" w:color="auto"/>
              <w:bottom w:val="single" w:sz="4" w:space="0" w:color="auto"/>
              <w:right w:val="single" w:sz="4" w:space="0" w:color="auto"/>
            </w:tcBorders>
            <w:shd w:val="clear" w:color="auto" w:fill="FFFF00"/>
            <w:tcMar>
              <w:left w:w="108" w:type="dxa"/>
              <w:right w:w="108" w:type="dxa"/>
            </w:tcMar>
          </w:tcPr>
          <w:p w14:paraId="2CDECED8" w14:textId="77777777" w:rsidR="003028A4" w:rsidRPr="004B6198" w:rsidRDefault="003028A4" w:rsidP="008C5150">
            <w:pPr>
              <w:spacing w:before="180" w:after="180"/>
              <w:jc w:val="center"/>
            </w:pPr>
            <w:r>
              <w:rPr>
                <w:rFonts w:ascii="Cambria" w:eastAsia="Cambria" w:hAnsi="Cambria" w:cs="Cambria"/>
              </w:rPr>
              <w:t>Medium</w:t>
            </w:r>
          </w:p>
        </w:tc>
        <w:tc>
          <w:tcPr>
            <w:tcW w:w="1470" w:type="dxa"/>
            <w:tcBorders>
              <w:top w:val="single" w:sz="4" w:space="0" w:color="auto"/>
              <w:left w:val="single" w:sz="4" w:space="0" w:color="auto"/>
              <w:bottom w:val="single" w:sz="4" w:space="0" w:color="auto"/>
              <w:right w:val="single" w:sz="4" w:space="0" w:color="auto"/>
            </w:tcBorders>
            <w:shd w:val="clear" w:color="auto" w:fill="FF0000"/>
            <w:tcMar>
              <w:left w:w="108" w:type="dxa"/>
              <w:right w:w="108" w:type="dxa"/>
            </w:tcMar>
          </w:tcPr>
          <w:p w14:paraId="7AB20A98" w14:textId="77777777" w:rsidR="003028A4" w:rsidRPr="004B6198" w:rsidRDefault="003028A4" w:rsidP="008C5150">
            <w:pPr>
              <w:spacing w:before="180" w:after="180"/>
              <w:jc w:val="center"/>
            </w:pPr>
            <w:r>
              <w:rPr>
                <w:rFonts w:ascii="Cambria" w:eastAsia="Cambria" w:hAnsi="Cambria" w:cs="Cambria"/>
              </w:rPr>
              <w:t>Severe</w:t>
            </w:r>
          </w:p>
        </w:tc>
        <w:tc>
          <w:tcPr>
            <w:tcW w:w="1470" w:type="dxa"/>
            <w:tcBorders>
              <w:top w:val="single" w:sz="4" w:space="0" w:color="auto"/>
              <w:left w:val="single" w:sz="4" w:space="0" w:color="auto"/>
              <w:bottom w:val="single" w:sz="4" w:space="0" w:color="auto"/>
              <w:right w:val="single" w:sz="4" w:space="0" w:color="auto"/>
            </w:tcBorders>
            <w:shd w:val="clear" w:color="auto" w:fill="FF0000"/>
            <w:tcMar>
              <w:left w:w="108" w:type="dxa"/>
              <w:right w:w="108" w:type="dxa"/>
            </w:tcMar>
          </w:tcPr>
          <w:p w14:paraId="1B4D74C6" w14:textId="77777777" w:rsidR="003028A4" w:rsidRPr="004B6198" w:rsidRDefault="003028A4" w:rsidP="008C5150">
            <w:pPr>
              <w:spacing w:before="180" w:after="180"/>
              <w:jc w:val="center"/>
            </w:pPr>
            <w:r>
              <w:rPr>
                <w:rFonts w:ascii="Cambria" w:eastAsia="Cambria" w:hAnsi="Cambria" w:cs="Cambria"/>
              </w:rPr>
              <w:t>Severe</w:t>
            </w:r>
          </w:p>
        </w:tc>
      </w:tr>
    </w:tbl>
    <w:p w14:paraId="72B508E9" w14:textId="4ABEA6A8" w:rsidR="003028A4" w:rsidRDefault="003028A4" w:rsidP="003028A4">
      <w:pPr>
        <w:pStyle w:val="Heading2"/>
      </w:pPr>
    </w:p>
    <w:p w14:paraId="6554D560" w14:textId="77777777" w:rsidR="003028A4" w:rsidRDefault="003028A4" w:rsidP="003028A4"/>
    <w:p w14:paraId="1BD3FB84" w14:textId="77777777" w:rsidR="003028A4" w:rsidRDefault="003028A4" w:rsidP="003028A4"/>
    <w:p w14:paraId="68C2916D" w14:textId="2B4E4874" w:rsidR="003028A4" w:rsidRPr="003028A4" w:rsidRDefault="003028A4" w:rsidP="003028A4">
      <w:pPr>
        <w:rPr>
          <w:b/>
          <w:bCs/>
          <w:sz w:val="28"/>
          <w:szCs w:val="24"/>
        </w:rPr>
      </w:pPr>
      <w:r w:rsidRPr="003028A4">
        <w:rPr>
          <w:b/>
          <w:bCs/>
          <w:sz w:val="28"/>
          <w:szCs w:val="24"/>
        </w:rPr>
        <w:t xml:space="preserve">ECOLOGICAL ASSESSMENT </w:t>
      </w:r>
    </w:p>
    <w:tbl>
      <w:tblPr>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03"/>
        <w:gridCol w:w="8268"/>
      </w:tblGrid>
      <w:tr w:rsidR="003028A4" w:rsidRPr="003A658F" w14:paraId="7352993C" w14:textId="77777777" w:rsidTr="003028A4">
        <w:trPr>
          <w:trHeight w:val="300"/>
        </w:trPr>
        <w:tc>
          <w:tcPr>
            <w:tcW w:w="1289" w:type="dxa"/>
            <w:tcBorders>
              <w:top w:val="single" w:sz="6" w:space="0" w:color="auto"/>
              <w:left w:val="single" w:sz="6" w:space="0" w:color="auto"/>
              <w:bottom w:val="single" w:sz="6" w:space="0" w:color="auto"/>
              <w:right w:val="single" w:sz="6" w:space="0" w:color="auto"/>
            </w:tcBorders>
            <w:shd w:val="clear" w:color="auto" w:fill="003F51" w:themeFill="accent1"/>
            <w:hideMark/>
          </w:tcPr>
          <w:p w14:paraId="2623C044" w14:textId="77777777" w:rsidR="003028A4" w:rsidRPr="003A658F" w:rsidRDefault="003028A4" w:rsidP="008C5150">
            <w:pPr>
              <w:pStyle w:val="Compact"/>
            </w:pPr>
            <w:r w:rsidRPr="003A658F">
              <w:t>Category </w:t>
            </w:r>
          </w:p>
        </w:tc>
        <w:tc>
          <w:tcPr>
            <w:tcW w:w="8055" w:type="dxa"/>
            <w:tcBorders>
              <w:top w:val="single" w:sz="6" w:space="0" w:color="auto"/>
              <w:left w:val="single" w:sz="6" w:space="0" w:color="auto"/>
              <w:bottom w:val="single" w:sz="6" w:space="0" w:color="auto"/>
              <w:right w:val="single" w:sz="6" w:space="0" w:color="auto"/>
            </w:tcBorders>
            <w:shd w:val="clear" w:color="auto" w:fill="003F51" w:themeFill="accent1"/>
            <w:hideMark/>
          </w:tcPr>
          <w:p w14:paraId="4493C0A7" w14:textId="77777777" w:rsidR="003028A4" w:rsidRPr="003A658F" w:rsidRDefault="003028A4" w:rsidP="008C5150">
            <w:pPr>
              <w:pStyle w:val="Compact"/>
            </w:pPr>
            <w:r w:rsidRPr="003A658F">
              <w:t>Line of Evidence </w:t>
            </w:r>
          </w:p>
        </w:tc>
      </w:tr>
      <w:tr w:rsidR="003028A4" w:rsidRPr="003A658F" w14:paraId="7DA2FBA1" w14:textId="77777777" w:rsidTr="008C5150">
        <w:trPr>
          <w:trHeight w:val="300"/>
        </w:trPr>
        <w:tc>
          <w:tcPr>
            <w:tcW w:w="1289" w:type="dxa"/>
            <w:tcBorders>
              <w:top w:val="single" w:sz="6" w:space="0" w:color="auto"/>
              <w:left w:val="single" w:sz="6" w:space="0" w:color="auto"/>
              <w:bottom w:val="single" w:sz="6" w:space="0" w:color="auto"/>
              <w:right w:val="single" w:sz="6" w:space="0" w:color="auto"/>
            </w:tcBorders>
            <w:shd w:val="clear" w:color="auto" w:fill="auto"/>
            <w:hideMark/>
          </w:tcPr>
          <w:p w14:paraId="42CD9971" w14:textId="77777777" w:rsidR="003028A4" w:rsidRPr="003A658F" w:rsidRDefault="003028A4" w:rsidP="008C5150">
            <w:pPr>
              <w:pStyle w:val="Compact"/>
            </w:pPr>
            <w:r w:rsidRPr="003A658F">
              <w:t>Retained Species </w:t>
            </w:r>
          </w:p>
        </w:tc>
        <w:tc>
          <w:tcPr>
            <w:tcW w:w="8055" w:type="dxa"/>
            <w:tcBorders>
              <w:top w:val="single" w:sz="6" w:space="0" w:color="auto"/>
              <w:left w:val="single" w:sz="6" w:space="0" w:color="auto"/>
              <w:bottom w:val="single" w:sz="6" w:space="0" w:color="auto"/>
              <w:right w:val="single" w:sz="6" w:space="0" w:color="auto"/>
            </w:tcBorders>
            <w:shd w:val="clear" w:color="auto" w:fill="auto"/>
            <w:hideMark/>
          </w:tcPr>
          <w:p w14:paraId="64846D9F" w14:textId="79A6E902" w:rsidR="003028A4" w:rsidRDefault="003028A4" w:rsidP="008C5150">
            <w:r w:rsidRPr="002866C5">
              <w:t xml:space="preserve">There </w:t>
            </w:r>
            <w:r>
              <w:t>were</w:t>
            </w:r>
            <w:r w:rsidRPr="002866C5">
              <w:t xml:space="preserve"> no other species retained by the SCTMF in the 2023 season. </w:t>
            </w:r>
            <w:r>
              <w:t>Retention of other species is not prevalent in the SCTMF, with &lt; 0.5 t being retained since 2013 (</w:t>
            </w:r>
            <w:r>
              <w:fldChar w:fldCharType="begin"/>
            </w:r>
            <w:r>
              <w:instrText xml:space="preserve"> REF _Ref157590095 \h  \* MERGEFORMAT </w:instrText>
            </w:r>
            <w:r>
              <w:fldChar w:fldCharType="separate"/>
            </w:r>
            <w:r w:rsidR="00AB15B7">
              <w:t xml:space="preserve">Figure </w:t>
            </w:r>
            <w:r w:rsidR="00AB15B7">
              <w:rPr>
                <w:noProof/>
              </w:rPr>
              <w:t>29</w:t>
            </w:r>
            <w:r>
              <w:fldChar w:fldCharType="end"/>
            </w:r>
            <w:r>
              <w:t xml:space="preserve">). </w:t>
            </w:r>
          </w:p>
          <w:p w14:paraId="476E6A57" w14:textId="77777777" w:rsidR="003028A4" w:rsidRDefault="003028A4" w:rsidP="008C5150">
            <w:pPr>
              <w:pStyle w:val="BodyText"/>
              <w:keepNext/>
            </w:pPr>
            <w:r>
              <w:rPr>
                <w:noProof/>
              </w:rPr>
              <w:drawing>
                <wp:inline distT="0" distB="0" distL="0" distR="0" wp14:anchorId="4C45726F" wp14:editId="1721B8BC">
                  <wp:extent cx="5241233" cy="3144740"/>
                  <wp:effectExtent l="0" t="0" r="0" b="0"/>
                  <wp:docPr id="55367457" name="Picture 7" descr="A graph depicting the annual retained catch (tonnes) other than scallops as reported in the South Coast Trawl Fishery 2024 Weight of Evidence Stock Assessment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67457" name="Picture 7" descr="A graph depicting the annual retained catch (tonnes) other than scallops as reported in the South Coast Trawl Fishery 2024 Weight of Evidence Stock Assessment Report. "/>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48833" cy="3149300"/>
                          </a:xfrm>
                          <a:prstGeom prst="rect">
                            <a:avLst/>
                          </a:prstGeom>
                        </pic:spPr>
                      </pic:pic>
                    </a:graphicData>
                  </a:graphic>
                </wp:inline>
              </w:drawing>
            </w:r>
          </w:p>
          <w:p w14:paraId="71F275ED" w14:textId="29751E42" w:rsidR="003028A4" w:rsidRPr="002866C5" w:rsidRDefault="003028A4" w:rsidP="008C5150">
            <w:pPr>
              <w:pStyle w:val="Caption"/>
            </w:pPr>
            <w:bookmarkStart w:id="115" w:name="_Ref157590095"/>
            <w:r>
              <w:t xml:space="preserve">Figure </w:t>
            </w:r>
            <w:r>
              <w:fldChar w:fldCharType="begin"/>
            </w:r>
            <w:r>
              <w:instrText xml:space="preserve"> SEQ Figure \* ARABIC </w:instrText>
            </w:r>
            <w:r>
              <w:fldChar w:fldCharType="separate"/>
            </w:r>
            <w:r w:rsidR="00AB15B7">
              <w:rPr>
                <w:noProof/>
              </w:rPr>
              <w:t>29</w:t>
            </w:r>
            <w:r>
              <w:fldChar w:fldCharType="end"/>
            </w:r>
            <w:bookmarkEnd w:id="115"/>
            <w:r>
              <w:t xml:space="preserve"> Annual retained catch (t) of species other than scallops while accessing the south coast component of the Resource</w:t>
            </w:r>
          </w:p>
        </w:tc>
      </w:tr>
      <w:tr w:rsidR="003028A4" w:rsidRPr="003A658F" w14:paraId="0FCF1B32" w14:textId="77777777" w:rsidTr="003028A4">
        <w:trPr>
          <w:trHeight w:val="300"/>
        </w:trPr>
        <w:tc>
          <w:tcPr>
            <w:tcW w:w="9344" w:type="dxa"/>
            <w:gridSpan w:val="2"/>
            <w:tcBorders>
              <w:top w:val="single" w:sz="6" w:space="0" w:color="auto"/>
              <w:left w:val="single" w:sz="6" w:space="0" w:color="auto"/>
              <w:bottom w:val="single" w:sz="6" w:space="0" w:color="auto"/>
              <w:right w:val="single" w:sz="6" w:space="0" w:color="auto"/>
            </w:tcBorders>
            <w:shd w:val="clear" w:color="auto" w:fill="D3F5FF" w:themeFill="accent1" w:themeFillTint="1A"/>
            <w:hideMark/>
          </w:tcPr>
          <w:p w14:paraId="709C5D7A" w14:textId="77777777" w:rsidR="003028A4" w:rsidRPr="00C56B41" w:rsidRDefault="003028A4" w:rsidP="008C5150">
            <w:pPr>
              <w:pStyle w:val="Compact"/>
              <w:rPr>
                <w:b/>
                <w:bCs/>
                <w:u w:val="single"/>
              </w:rPr>
            </w:pPr>
            <w:r w:rsidRPr="003A658F">
              <w:rPr>
                <w:b/>
                <w:bCs/>
                <w:u w:val="single"/>
              </w:rPr>
              <w:t>Retained Species Assessment </w:t>
            </w:r>
          </w:p>
          <w:p w14:paraId="39BAF341" w14:textId="77777777" w:rsidR="003028A4" w:rsidRDefault="003028A4" w:rsidP="003028A4">
            <w:pPr>
              <w:pStyle w:val="Compact"/>
              <w:numPr>
                <w:ilvl w:val="0"/>
                <w:numId w:val="31"/>
              </w:numPr>
            </w:pPr>
            <w:r w:rsidRPr="001706F5">
              <w:t>T</w:t>
            </w:r>
            <w:r>
              <w:t>here were no other retained species in 2023</w:t>
            </w:r>
          </w:p>
          <w:p w14:paraId="5412C7AC" w14:textId="77777777" w:rsidR="003028A4" w:rsidRPr="001706F5" w:rsidRDefault="003028A4" w:rsidP="003028A4">
            <w:pPr>
              <w:pStyle w:val="Compact"/>
              <w:numPr>
                <w:ilvl w:val="0"/>
                <w:numId w:val="31"/>
              </w:numPr>
            </w:pPr>
            <w:r>
              <w:t>Retention of other species is not prevalent</w:t>
            </w:r>
          </w:p>
          <w:p w14:paraId="6F830120" w14:textId="77777777" w:rsidR="003028A4" w:rsidRPr="003A658F" w:rsidRDefault="003028A4" w:rsidP="008C5150">
            <w:pPr>
              <w:pStyle w:val="Compact"/>
            </w:pPr>
            <w:r w:rsidRPr="00C56B41">
              <w:rPr>
                <w:b/>
                <w:bCs/>
              </w:rPr>
              <w:t xml:space="preserve">The risk of fishing on other retained species is </w:t>
            </w:r>
            <w:r w:rsidRPr="00C56B41">
              <w:rPr>
                <w:b/>
                <w:bCs/>
                <w:color w:val="6B211B" w:themeColor="accent5"/>
              </w:rPr>
              <w:t>NEGLIG</w:t>
            </w:r>
            <w:r>
              <w:rPr>
                <w:b/>
                <w:bCs/>
                <w:color w:val="6B211B" w:themeColor="accent5"/>
              </w:rPr>
              <w:t>I</w:t>
            </w:r>
            <w:r w:rsidRPr="00C56B41">
              <w:rPr>
                <w:b/>
                <w:bCs/>
                <w:color w:val="6B211B" w:themeColor="accent5"/>
              </w:rPr>
              <w:t>BLE</w:t>
            </w:r>
          </w:p>
        </w:tc>
      </w:tr>
      <w:tr w:rsidR="003028A4" w:rsidRPr="003A658F" w14:paraId="29E00CBB" w14:textId="77777777" w:rsidTr="008C5150">
        <w:trPr>
          <w:trHeight w:val="300"/>
        </w:trPr>
        <w:tc>
          <w:tcPr>
            <w:tcW w:w="1289" w:type="dxa"/>
            <w:tcBorders>
              <w:top w:val="single" w:sz="6" w:space="0" w:color="auto"/>
              <w:left w:val="single" w:sz="6" w:space="0" w:color="auto"/>
              <w:bottom w:val="single" w:sz="6" w:space="0" w:color="auto"/>
              <w:right w:val="single" w:sz="6" w:space="0" w:color="auto"/>
            </w:tcBorders>
            <w:shd w:val="clear" w:color="auto" w:fill="auto"/>
            <w:hideMark/>
          </w:tcPr>
          <w:p w14:paraId="1752F64D" w14:textId="77777777" w:rsidR="003028A4" w:rsidRPr="003A658F" w:rsidRDefault="003028A4" w:rsidP="008C5150">
            <w:pPr>
              <w:pStyle w:val="Compact"/>
            </w:pPr>
            <w:r w:rsidRPr="003A658F">
              <w:t>By-catch Species </w:t>
            </w:r>
          </w:p>
        </w:tc>
        <w:tc>
          <w:tcPr>
            <w:tcW w:w="8055" w:type="dxa"/>
            <w:tcBorders>
              <w:top w:val="single" w:sz="6" w:space="0" w:color="auto"/>
              <w:left w:val="single" w:sz="6" w:space="0" w:color="auto"/>
              <w:bottom w:val="single" w:sz="6" w:space="0" w:color="auto"/>
              <w:right w:val="single" w:sz="6" w:space="0" w:color="auto"/>
            </w:tcBorders>
            <w:shd w:val="clear" w:color="auto" w:fill="auto"/>
            <w:hideMark/>
          </w:tcPr>
          <w:p w14:paraId="64BFB718" w14:textId="77777777" w:rsidR="003028A4" w:rsidRPr="003A658F" w:rsidRDefault="003028A4" w:rsidP="008C5150">
            <w:bookmarkStart w:id="116" w:name="_Hlk147400061"/>
            <w:r>
              <w:rPr>
                <w:lang w:val="en-US"/>
              </w:rPr>
              <w:t xml:space="preserve">Information about bycatch in the </w:t>
            </w:r>
            <w:r>
              <w:rPr>
                <w:rFonts w:eastAsia="Times New Roman"/>
              </w:rPr>
              <w:t xml:space="preserve">SCTMF is limited and the fishery is not required to report the discarded component of its catch.  A pilot scale </w:t>
            </w:r>
            <w:r>
              <w:rPr>
                <w:lang w:val="en-US"/>
              </w:rPr>
              <w:t xml:space="preserve">fishery-independent bycatch sampling program was introduced in late 2023. Samples of catch were retained from try net gear. </w:t>
            </w:r>
            <w:bookmarkEnd w:id="116"/>
            <w:r>
              <w:rPr>
                <w:lang w:val="en-US"/>
              </w:rPr>
              <w:t xml:space="preserve">A total of 29 bycatch species were identified weighing 14.7 kg were captured in the two shots, which also retained an additional 1.4 kg of scallops. The dominant species retained by weight were rays (3.6 kg), toadfish (2.7 kg), stingaree (2.5 kg), scallops (1.4 kg) and boxfish (1.2 kg). The elasmobranch species are </w:t>
            </w:r>
            <w:r>
              <w:rPr>
                <w:lang w:val="en-US"/>
              </w:rPr>
              <w:lastRenderedPageBreak/>
              <w:t>believed to have a good post release survival, with the toad and box fish being ubiquitous species.</w:t>
            </w:r>
          </w:p>
        </w:tc>
      </w:tr>
      <w:tr w:rsidR="003028A4" w:rsidRPr="003A658F" w14:paraId="79DD3509" w14:textId="77777777" w:rsidTr="003028A4">
        <w:trPr>
          <w:trHeight w:val="300"/>
        </w:trPr>
        <w:tc>
          <w:tcPr>
            <w:tcW w:w="9344" w:type="dxa"/>
            <w:gridSpan w:val="2"/>
            <w:tcBorders>
              <w:top w:val="single" w:sz="6" w:space="0" w:color="auto"/>
              <w:left w:val="single" w:sz="6" w:space="0" w:color="auto"/>
              <w:bottom w:val="single" w:sz="6" w:space="0" w:color="auto"/>
              <w:right w:val="single" w:sz="6" w:space="0" w:color="auto"/>
            </w:tcBorders>
            <w:shd w:val="clear" w:color="auto" w:fill="D3F5FF" w:themeFill="accent1" w:themeFillTint="1A"/>
            <w:hideMark/>
          </w:tcPr>
          <w:p w14:paraId="135522D3" w14:textId="77777777" w:rsidR="003028A4" w:rsidRDefault="003028A4" w:rsidP="008C5150">
            <w:pPr>
              <w:pStyle w:val="Compact"/>
            </w:pPr>
            <w:r w:rsidRPr="003A658F">
              <w:rPr>
                <w:b/>
                <w:bCs/>
                <w:u w:val="single"/>
              </w:rPr>
              <w:lastRenderedPageBreak/>
              <w:t>By-catch Species Assessment</w:t>
            </w:r>
            <w:r w:rsidRPr="003A658F">
              <w:t>  </w:t>
            </w:r>
          </w:p>
          <w:p w14:paraId="4425B7AB" w14:textId="77777777" w:rsidR="003028A4" w:rsidRDefault="003028A4" w:rsidP="003028A4">
            <w:pPr>
              <w:pStyle w:val="Compact"/>
              <w:numPr>
                <w:ilvl w:val="0"/>
                <w:numId w:val="33"/>
              </w:numPr>
            </w:pPr>
            <w:r>
              <w:t>Minimal bycatch sampling has occurred on the south coast</w:t>
            </w:r>
          </w:p>
          <w:p w14:paraId="7603EBBE" w14:textId="77777777" w:rsidR="003028A4" w:rsidRDefault="003028A4" w:rsidP="003028A4">
            <w:pPr>
              <w:pStyle w:val="Compact"/>
              <w:numPr>
                <w:ilvl w:val="0"/>
                <w:numId w:val="33"/>
              </w:numPr>
            </w:pPr>
            <w:r>
              <w:t>Dominant captured species are common and likely good post release survival</w:t>
            </w:r>
          </w:p>
          <w:p w14:paraId="0F77C2F3" w14:textId="77777777" w:rsidR="003028A4" w:rsidRDefault="003028A4" w:rsidP="003028A4">
            <w:pPr>
              <w:pStyle w:val="Compact"/>
              <w:numPr>
                <w:ilvl w:val="0"/>
                <w:numId w:val="33"/>
              </w:numPr>
            </w:pPr>
            <w:r>
              <w:t>The quantum of bycatch to target species is ~ 10 times</w:t>
            </w:r>
          </w:p>
          <w:p w14:paraId="007E9F8D" w14:textId="77777777" w:rsidR="003028A4" w:rsidRDefault="003028A4" w:rsidP="003028A4">
            <w:pPr>
              <w:pStyle w:val="Compact"/>
              <w:numPr>
                <w:ilvl w:val="0"/>
                <w:numId w:val="33"/>
              </w:numPr>
            </w:pPr>
            <w:r>
              <w:t>There is minimal fishing effort, restricted to specific grounds</w:t>
            </w:r>
          </w:p>
          <w:p w14:paraId="14BB8B57" w14:textId="77777777" w:rsidR="003028A4" w:rsidRPr="008C23FD" w:rsidRDefault="003028A4" w:rsidP="008C5150">
            <w:pPr>
              <w:pStyle w:val="Compact"/>
              <w:rPr>
                <w:b/>
                <w:bCs/>
              </w:rPr>
            </w:pPr>
            <w:r>
              <w:rPr>
                <w:b/>
                <w:bCs/>
              </w:rPr>
              <w:t xml:space="preserve">The risk of fishing on bycatch species is </w:t>
            </w:r>
            <w:r w:rsidRPr="00ED3D52">
              <w:rPr>
                <w:b/>
                <w:bCs/>
                <w:color w:val="21574C" w:themeColor="accent3"/>
              </w:rPr>
              <w:t>LOW</w:t>
            </w:r>
          </w:p>
        </w:tc>
      </w:tr>
      <w:tr w:rsidR="003028A4" w:rsidRPr="003A658F" w14:paraId="78F34B19" w14:textId="77777777" w:rsidTr="008C5150">
        <w:trPr>
          <w:trHeight w:val="300"/>
        </w:trPr>
        <w:tc>
          <w:tcPr>
            <w:tcW w:w="1289" w:type="dxa"/>
            <w:tcBorders>
              <w:top w:val="single" w:sz="6" w:space="0" w:color="auto"/>
              <w:left w:val="single" w:sz="6" w:space="0" w:color="auto"/>
              <w:bottom w:val="single" w:sz="6" w:space="0" w:color="auto"/>
              <w:right w:val="single" w:sz="6" w:space="0" w:color="auto"/>
            </w:tcBorders>
            <w:shd w:val="clear" w:color="auto" w:fill="auto"/>
            <w:hideMark/>
          </w:tcPr>
          <w:p w14:paraId="36489AF6" w14:textId="77777777" w:rsidR="003028A4" w:rsidRPr="003A658F" w:rsidRDefault="003028A4" w:rsidP="008C5150">
            <w:pPr>
              <w:pStyle w:val="Compact"/>
            </w:pPr>
            <w:r w:rsidRPr="003A658F">
              <w:t>ETP Species </w:t>
            </w:r>
          </w:p>
        </w:tc>
        <w:tc>
          <w:tcPr>
            <w:tcW w:w="8055" w:type="dxa"/>
            <w:tcBorders>
              <w:top w:val="single" w:sz="6" w:space="0" w:color="auto"/>
              <w:left w:val="single" w:sz="6" w:space="0" w:color="auto"/>
              <w:bottom w:val="single" w:sz="6" w:space="0" w:color="auto"/>
              <w:right w:val="single" w:sz="6" w:space="0" w:color="auto"/>
            </w:tcBorders>
            <w:shd w:val="clear" w:color="auto" w:fill="auto"/>
            <w:hideMark/>
          </w:tcPr>
          <w:p w14:paraId="1A6D94D4" w14:textId="77777777" w:rsidR="003028A4" w:rsidRPr="003A658F" w:rsidRDefault="003028A4" w:rsidP="008C5150">
            <w:pPr>
              <w:pStyle w:val="BodyText"/>
            </w:pPr>
            <w:r w:rsidRPr="0064389E">
              <w:t xml:space="preserve">There were no protected species </w:t>
            </w:r>
            <w:r>
              <w:t xml:space="preserve">interactions </w:t>
            </w:r>
            <w:r w:rsidRPr="0064389E">
              <w:t>reported in 2023.</w:t>
            </w:r>
            <w:r>
              <w:t xml:space="preserve"> Previous capture of a Loggerhead Turtle has been reported, which was released alive.</w:t>
            </w:r>
          </w:p>
        </w:tc>
      </w:tr>
      <w:tr w:rsidR="003028A4" w:rsidRPr="003A658F" w14:paraId="3BCCC49D" w14:textId="77777777" w:rsidTr="003028A4">
        <w:trPr>
          <w:trHeight w:val="300"/>
        </w:trPr>
        <w:tc>
          <w:tcPr>
            <w:tcW w:w="9344" w:type="dxa"/>
            <w:gridSpan w:val="2"/>
            <w:tcBorders>
              <w:top w:val="single" w:sz="6" w:space="0" w:color="auto"/>
              <w:left w:val="single" w:sz="6" w:space="0" w:color="auto"/>
              <w:bottom w:val="single" w:sz="6" w:space="0" w:color="auto"/>
              <w:right w:val="single" w:sz="6" w:space="0" w:color="auto"/>
            </w:tcBorders>
            <w:shd w:val="clear" w:color="auto" w:fill="D3F5FF" w:themeFill="accent1" w:themeFillTint="1A"/>
            <w:hideMark/>
          </w:tcPr>
          <w:p w14:paraId="2895063A" w14:textId="77777777" w:rsidR="003028A4" w:rsidRPr="00D60E98" w:rsidRDefault="003028A4" w:rsidP="008C5150">
            <w:pPr>
              <w:pStyle w:val="Compact"/>
              <w:rPr>
                <w:b/>
                <w:bCs/>
                <w:u w:val="single"/>
              </w:rPr>
            </w:pPr>
            <w:r w:rsidRPr="003A658F">
              <w:rPr>
                <w:b/>
                <w:bCs/>
                <w:u w:val="single"/>
              </w:rPr>
              <w:t>Endangered, Threatened and Protected (ETP) Species Assessment </w:t>
            </w:r>
          </w:p>
          <w:p w14:paraId="781CBA8E" w14:textId="77777777" w:rsidR="003028A4" w:rsidRDefault="003028A4" w:rsidP="003028A4">
            <w:pPr>
              <w:pStyle w:val="Compact"/>
              <w:numPr>
                <w:ilvl w:val="0"/>
                <w:numId w:val="33"/>
              </w:numPr>
            </w:pPr>
            <w:r>
              <w:t>There were no reported ETP interactions</w:t>
            </w:r>
          </w:p>
          <w:p w14:paraId="012DD17A" w14:textId="77777777" w:rsidR="003028A4" w:rsidRDefault="003028A4" w:rsidP="003028A4">
            <w:pPr>
              <w:pStyle w:val="Compact"/>
              <w:numPr>
                <w:ilvl w:val="0"/>
                <w:numId w:val="33"/>
              </w:numPr>
            </w:pPr>
            <w:r>
              <w:t>There is minimal potential for interactions, with species released alive</w:t>
            </w:r>
          </w:p>
          <w:p w14:paraId="55C9DA69" w14:textId="77777777" w:rsidR="003028A4" w:rsidRPr="003A658F" w:rsidRDefault="003028A4" w:rsidP="008C5150">
            <w:pPr>
              <w:pStyle w:val="Compact"/>
            </w:pPr>
            <w:r>
              <w:rPr>
                <w:b/>
                <w:bCs/>
              </w:rPr>
              <w:t xml:space="preserve">The risk of fishing on ETP species is </w:t>
            </w:r>
            <w:r w:rsidRPr="00C56B41">
              <w:rPr>
                <w:b/>
                <w:bCs/>
                <w:color w:val="6B211B" w:themeColor="accent5"/>
              </w:rPr>
              <w:t>NEGLIG</w:t>
            </w:r>
            <w:r>
              <w:rPr>
                <w:b/>
                <w:bCs/>
                <w:color w:val="6B211B" w:themeColor="accent5"/>
              </w:rPr>
              <w:t>I</w:t>
            </w:r>
            <w:r w:rsidRPr="00C56B41">
              <w:rPr>
                <w:b/>
                <w:bCs/>
                <w:color w:val="6B211B" w:themeColor="accent5"/>
              </w:rPr>
              <w:t>BLE</w:t>
            </w:r>
          </w:p>
        </w:tc>
      </w:tr>
      <w:tr w:rsidR="003028A4" w:rsidRPr="003A658F" w14:paraId="423D1E0B" w14:textId="77777777" w:rsidTr="008C5150">
        <w:trPr>
          <w:trHeight w:val="300"/>
        </w:trPr>
        <w:tc>
          <w:tcPr>
            <w:tcW w:w="1289" w:type="dxa"/>
            <w:tcBorders>
              <w:top w:val="single" w:sz="6" w:space="0" w:color="auto"/>
              <w:left w:val="single" w:sz="6" w:space="0" w:color="auto"/>
              <w:bottom w:val="single" w:sz="6" w:space="0" w:color="auto"/>
              <w:right w:val="single" w:sz="6" w:space="0" w:color="auto"/>
            </w:tcBorders>
            <w:shd w:val="clear" w:color="auto" w:fill="auto"/>
            <w:hideMark/>
          </w:tcPr>
          <w:p w14:paraId="399F9181" w14:textId="77777777" w:rsidR="003028A4" w:rsidRPr="003A658F" w:rsidRDefault="003028A4" w:rsidP="008C5150">
            <w:pPr>
              <w:pStyle w:val="Compact"/>
            </w:pPr>
            <w:r w:rsidRPr="003A658F">
              <w:t>Habitat </w:t>
            </w:r>
          </w:p>
        </w:tc>
        <w:tc>
          <w:tcPr>
            <w:tcW w:w="8055" w:type="dxa"/>
            <w:tcBorders>
              <w:top w:val="single" w:sz="6" w:space="0" w:color="auto"/>
              <w:left w:val="single" w:sz="6" w:space="0" w:color="auto"/>
              <w:bottom w:val="single" w:sz="6" w:space="0" w:color="auto"/>
              <w:right w:val="single" w:sz="6" w:space="0" w:color="auto"/>
            </w:tcBorders>
            <w:shd w:val="clear" w:color="auto" w:fill="auto"/>
            <w:hideMark/>
          </w:tcPr>
          <w:p w14:paraId="399DCCDE" w14:textId="5F80CFB5" w:rsidR="003028A4" w:rsidRDefault="003028A4" w:rsidP="008C5150">
            <w:r w:rsidRPr="00250F47">
              <w:rPr>
                <w:rFonts w:eastAsia="Times New Roman" w:cs="Times New Roman"/>
              </w:rPr>
              <w:t xml:space="preserve">Four boats reported landings during the 2023 season and the area trawled within this fishery represents a very small </w:t>
            </w:r>
            <w:r w:rsidRPr="006B7938">
              <w:rPr>
                <w:rFonts w:eastAsia="Times New Roman" w:cs="Times New Roman"/>
              </w:rPr>
              <w:t>(1.4%)</w:t>
            </w:r>
            <w:r w:rsidRPr="00250F47">
              <w:rPr>
                <w:rFonts w:eastAsia="Times New Roman" w:cs="Times New Roman"/>
              </w:rPr>
              <w:t xml:space="preserve"> percentage of the legislated boundary </w:t>
            </w:r>
            <w:r>
              <w:rPr>
                <w:rFonts w:eastAsia="Times New Roman" w:cs="Times New Roman"/>
              </w:rPr>
              <w:t xml:space="preserve">and is within historic levels </w:t>
            </w:r>
            <w:r w:rsidRPr="00250F47">
              <w:rPr>
                <w:rFonts w:eastAsia="Times New Roman" w:cs="Times New Roman"/>
              </w:rPr>
              <w:t>(</w:t>
            </w:r>
            <w:r>
              <w:rPr>
                <w:rFonts w:eastAsia="Times New Roman" w:cs="Times New Roman"/>
              </w:rPr>
              <w:fldChar w:fldCharType="begin"/>
            </w:r>
            <w:r>
              <w:rPr>
                <w:rFonts w:eastAsia="Times New Roman" w:cs="Times New Roman"/>
              </w:rPr>
              <w:instrText xml:space="preserve"> REF _Ref157592125 \h </w:instrText>
            </w:r>
            <w:r>
              <w:rPr>
                <w:rFonts w:eastAsia="Times New Roman" w:cs="Times New Roman"/>
              </w:rPr>
            </w:r>
            <w:r>
              <w:rPr>
                <w:rFonts w:eastAsia="Times New Roman" w:cs="Times New Roman"/>
              </w:rPr>
              <w:fldChar w:fldCharType="separate"/>
            </w:r>
            <w:r w:rsidR="00AB15B7">
              <w:t xml:space="preserve">Table </w:t>
            </w:r>
            <w:r w:rsidR="00AB15B7">
              <w:rPr>
                <w:noProof/>
              </w:rPr>
              <w:t>12</w:t>
            </w:r>
            <w:r>
              <w:rPr>
                <w:rFonts w:eastAsia="Times New Roman" w:cs="Times New Roman"/>
              </w:rPr>
              <w:fldChar w:fldCharType="end"/>
            </w:r>
            <w:r w:rsidRPr="00250F47">
              <w:rPr>
                <w:rFonts w:eastAsia="Times New Roman" w:cs="Times New Roman"/>
              </w:rPr>
              <w:t xml:space="preserve">). </w:t>
            </w:r>
          </w:p>
          <w:p w14:paraId="75C933AB" w14:textId="5A7B66B3" w:rsidR="003028A4" w:rsidRDefault="003028A4" w:rsidP="008C5150">
            <w:pPr>
              <w:pStyle w:val="Caption"/>
              <w:keepNext/>
            </w:pPr>
            <w:bookmarkStart w:id="117" w:name="_Ref157592125"/>
            <w:r>
              <w:t xml:space="preserve">Table </w:t>
            </w:r>
            <w:r>
              <w:fldChar w:fldCharType="begin"/>
            </w:r>
            <w:r>
              <w:instrText xml:space="preserve"> SEQ Table \* ARABIC </w:instrText>
            </w:r>
            <w:r>
              <w:fldChar w:fldCharType="separate"/>
            </w:r>
            <w:r w:rsidR="00AB15B7">
              <w:rPr>
                <w:noProof/>
              </w:rPr>
              <w:t>12</w:t>
            </w:r>
            <w:r>
              <w:fldChar w:fldCharType="end"/>
            </w:r>
            <w:bookmarkEnd w:id="117"/>
            <w:r w:rsidRPr="001456A1">
              <w:t xml:space="preserve"> Area trawled by scallop vessels in the South Coast fishery. Total fishery is 57299.8 km2 or 16706.0 nm2. (NF – No fishing)</w:t>
            </w:r>
          </w:p>
          <w:p w14:paraId="42D00ADA" w14:textId="77777777" w:rsidR="003028A4" w:rsidRPr="003A658F" w:rsidRDefault="003028A4" w:rsidP="008C5150">
            <w:pPr>
              <w:pStyle w:val="Compact"/>
              <w:jc w:val="center"/>
            </w:pPr>
            <w:r w:rsidRPr="00460669">
              <w:rPr>
                <w:noProof/>
              </w:rPr>
              <w:drawing>
                <wp:inline distT="0" distB="0" distL="0" distR="0" wp14:anchorId="0DFB073D" wp14:editId="72516FAC">
                  <wp:extent cx="3571875" cy="3124986"/>
                  <wp:effectExtent l="0" t="0" r="0" b="0"/>
                  <wp:docPr id="5402306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89994" cy="3140838"/>
                          </a:xfrm>
                          <a:prstGeom prst="rect">
                            <a:avLst/>
                          </a:prstGeom>
                          <a:noFill/>
                          <a:ln>
                            <a:noFill/>
                          </a:ln>
                        </pic:spPr>
                      </pic:pic>
                    </a:graphicData>
                  </a:graphic>
                </wp:inline>
              </w:drawing>
            </w:r>
          </w:p>
        </w:tc>
      </w:tr>
      <w:tr w:rsidR="003028A4" w:rsidRPr="003A658F" w14:paraId="1578F58A" w14:textId="77777777" w:rsidTr="003028A4">
        <w:trPr>
          <w:trHeight w:val="300"/>
        </w:trPr>
        <w:tc>
          <w:tcPr>
            <w:tcW w:w="9344" w:type="dxa"/>
            <w:gridSpan w:val="2"/>
            <w:tcBorders>
              <w:top w:val="single" w:sz="6" w:space="0" w:color="auto"/>
              <w:left w:val="single" w:sz="6" w:space="0" w:color="auto"/>
              <w:bottom w:val="single" w:sz="6" w:space="0" w:color="auto"/>
              <w:right w:val="single" w:sz="6" w:space="0" w:color="auto"/>
            </w:tcBorders>
            <w:shd w:val="clear" w:color="auto" w:fill="D3F5FF" w:themeFill="accent1" w:themeFillTint="1A"/>
            <w:hideMark/>
          </w:tcPr>
          <w:p w14:paraId="3DB66576" w14:textId="77777777" w:rsidR="003028A4" w:rsidRPr="00D76088" w:rsidRDefault="003028A4" w:rsidP="008C5150">
            <w:pPr>
              <w:pStyle w:val="Compact"/>
              <w:rPr>
                <w:b/>
                <w:bCs/>
                <w:u w:val="single"/>
              </w:rPr>
            </w:pPr>
            <w:r w:rsidRPr="003A658F">
              <w:rPr>
                <w:b/>
                <w:bCs/>
                <w:u w:val="single"/>
              </w:rPr>
              <w:t>Habitat Assessment </w:t>
            </w:r>
          </w:p>
          <w:p w14:paraId="195F3510" w14:textId="77777777" w:rsidR="003028A4" w:rsidRDefault="003028A4" w:rsidP="003028A4">
            <w:pPr>
              <w:pStyle w:val="Compact"/>
              <w:numPr>
                <w:ilvl w:val="0"/>
                <w:numId w:val="25"/>
              </w:numPr>
            </w:pPr>
            <w:r>
              <w:t>Fishing occurs over sandy habitats</w:t>
            </w:r>
          </w:p>
          <w:p w14:paraId="74836E71" w14:textId="77777777" w:rsidR="003028A4" w:rsidRDefault="003028A4" w:rsidP="003028A4">
            <w:pPr>
              <w:pStyle w:val="Compact"/>
              <w:numPr>
                <w:ilvl w:val="0"/>
                <w:numId w:val="25"/>
              </w:numPr>
            </w:pPr>
            <w:r>
              <w:t>The extent of fishing is small in comparison to the extent of the fishery</w:t>
            </w:r>
          </w:p>
          <w:p w14:paraId="7130D7C3" w14:textId="77777777" w:rsidR="003028A4" w:rsidRDefault="003028A4" w:rsidP="003028A4">
            <w:pPr>
              <w:pStyle w:val="Compact"/>
              <w:numPr>
                <w:ilvl w:val="0"/>
                <w:numId w:val="25"/>
              </w:numPr>
            </w:pPr>
            <w:r>
              <w:t>The area fished (812.4 km</w:t>
            </w:r>
            <w:r w:rsidRPr="00FC00B0">
              <w:rPr>
                <w:vertAlign w:val="superscript"/>
              </w:rPr>
              <w:t>2</w:t>
            </w:r>
            <w:r>
              <w:t xml:space="preserve">) was within historic levels </w:t>
            </w:r>
          </w:p>
          <w:p w14:paraId="79D257A3" w14:textId="77777777" w:rsidR="003028A4" w:rsidRPr="003A658F" w:rsidRDefault="003028A4" w:rsidP="008C5150">
            <w:pPr>
              <w:pStyle w:val="Compact"/>
            </w:pPr>
            <w:r>
              <w:rPr>
                <w:b/>
                <w:bCs/>
              </w:rPr>
              <w:t xml:space="preserve">The risk of fishing on habitats is </w:t>
            </w:r>
            <w:r w:rsidRPr="00C56B41">
              <w:rPr>
                <w:b/>
                <w:bCs/>
                <w:color w:val="6B211B" w:themeColor="accent5"/>
              </w:rPr>
              <w:t>NEGLIG</w:t>
            </w:r>
            <w:r>
              <w:rPr>
                <w:b/>
                <w:bCs/>
                <w:color w:val="6B211B" w:themeColor="accent5"/>
              </w:rPr>
              <w:t>I</w:t>
            </w:r>
            <w:r w:rsidRPr="00C56B41">
              <w:rPr>
                <w:b/>
                <w:bCs/>
                <w:color w:val="6B211B" w:themeColor="accent5"/>
              </w:rPr>
              <w:t>BLE</w:t>
            </w:r>
          </w:p>
        </w:tc>
      </w:tr>
      <w:tr w:rsidR="003028A4" w:rsidRPr="003A658F" w14:paraId="7376747B" w14:textId="77777777" w:rsidTr="008C5150">
        <w:trPr>
          <w:trHeight w:val="300"/>
        </w:trPr>
        <w:tc>
          <w:tcPr>
            <w:tcW w:w="1289" w:type="dxa"/>
            <w:tcBorders>
              <w:top w:val="single" w:sz="6" w:space="0" w:color="auto"/>
              <w:left w:val="single" w:sz="6" w:space="0" w:color="auto"/>
              <w:bottom w:val="single" w:sz="6" w:space="0" w:color="auto"/>
              <w:right w:val="single" w:sz="6" w:space="0" w:color="auto"/>
            </w:tcBorders>
            <w:shd w:val="clear" w:color="auto" w:fill="auto"/>
            <w:hideMark/>
          </w:tcPr>
          <w:p w14:paraId="5C706335" w14:textId="77777777" w:rsidR="003028A4" w:rsidRPr="003A658F" w:rsidRDefault="003028A4" w:rsidP="008C5150">
            <w:pPr>
              <w:pStyle w:val="Compact"/>
            </w:pPr>
            <w:r w:rsidRPr="003A658F">
              <w:lastRenderedPageBreak/>
              <w:t>Ecosystem </w:t>
            </w:r>
          </w:p>
        </w:tc>
        <w:tc>
          <w:tcPr>
            <w:tcW w:w="8055" w:type="dxa"/>
            <w:tcBorders>
              <w:top w:val="single" w:sz="6" w:space="0" w:color="auto"/>
              <w:left w:val="single" w:sz="6" w:space="0" w:color="auto"/>
              <w:bottom w:val="single" w:sz="6" w:space="0" w:color="auto"/>
              <w:right w:val="single" w:sz="6" w:space="0" w:color="auto"/>
            </w:tcBorders>
            <w:shd w:val="clear" w:color="auto" w:fill="auto"/>
            <w:hideMark/>
          </w:tcPr>
          <w:p w14:paraId="5E9ACB4F" w14:textId="77777777" w:rsidR="003028A4" w:rsidRPr="003A658F" w:rsidRDefault="003028A4" w:rsidP="008C5150">
            <w:r w:rsidRPr="00FD4774">
              <w:t>The food chain effects in the S</w:t>
            </w:r>
            <w:r>
              <w:t>C</w:t>
            </w:r>
            <w:r w:rsidRPr="00FD4774">
              <w:t xml:space="preserve">TMF </w:t>
            </w:r>
            <w:proofErr w:type="gramStart"/>
            <w:r w:rsidRPr="00FD4774">
              <w:t>are considered to be</w:t>
            </w:r>
            <w:proofErr w:type="gramEnd"/>
            <w:r w:rsidRPr="00FD4774">
              <w:t xml:space="preserve"> low because of the low overall effort and the very small percentage (&lt; </w:t>
            </w:r>
            <w:r>
              <w:t>3</w:t>
            </w:r>
            <w:r w:rsidRPr="00FD4774">
              <w:t xml:space="preserve">%) of the legislated fishing area actually trawled each year.  Moreover, </w:t>
            </w:r>
            <w:r w:rsidRPr="00FD4774">
              <w:rPr>
                <w:spacing w:val="-4"/>
              </w:rPr>
              <w:t>the total biomass of retained species is generally very low, and the high natural variability of scallop stock abundance (the key target species) means it is unlikely that any predators are highly dependent on this species</w:t>
            </w:r>
          </w:p>
        </w:tc>
      </w:tr>
      <w:tr w:rsidR="003028A4" w:rsidRPr="003A658F" w14:paraId="530F96EA" w14:textId="77777777" w:rsidTr="003028A4">
        <w:trPr>
          <w:trHeight w:val="300"/>
        </w:trPr>
        <w:tc>
          <w:tcPr>
            <w:tcW w:w="9344" w:type="dxa"/>
            <w:gridSpan w:val="2"/>
            <w:tcBorders>
              <w:top w:val="single" w:sz="6" w:space="0" w:color="auto"/>
              <w:left w:val="single" w:sz="6" w:space="0" w:color="auto"/>
              <w:bottom w:val="single" w:sz="6" w:space="0" w:color="auto"/>
              <w:right w:val="single" w:sz="6" w:space="0" w:color="auto"/>
            </w:tcBorders>
            <w:shd w:val="clear" w:color="auto" w:fill="D3F5FF" w:themeFill="accent1" w:themeFillTint="1A"/>
            <w:hideMark/>
          </w:tcPr>
          <w:p w14:paraId="225F8A45" w14:textId="77777777" w:rsidR="003028A4" w:rsidRPr="00491EAF" w:rsidRDefault="003028A4" w:rsidP="008C5150">
            <w:pPr>
              <w:pStyle w:val="Compact"/>
              <w:rPr>
                <w:b/>
                <w:bCs/>
                <w:u w:val="single"/>
              </w:rPr>
            </w:pPr>
            <w:r w:rsidRPr="003A658F">
              <w:rPr>
                <w:b/>
                <w:bCs/>
                <w:u w:val="single"/>
              </w:rPr>
              <w:t>Ecosystem Assessment </w:t>
            </w:r>
          </w:p>
          <w:p w14:paraId="46484F02" w14:textId="77777777" w:rsidR="003028A4" w:rsidRDefault="003028A4" w:rsidP="003028A4">
            <w:pPr>
              <w:pStyle w:val="Compact"/>
              <w:numPr>
                <w:ilvl w:val="0"/>
                <w:numId w:val="32"/>
              </w:numPr>
            </w:pPr>
            <w:r>
              <w:t>Low overall catch levels of target and other retained species</w:t>
            </w:r>
          </w:p>
          <w:p w14:paraId="5F0BE6AD" w14:textId="77777777" w:rsidR="003028A4" w:rsidRDefault="003028A4" w:rsidP="003028A4">
            <w:pPr>
              <w:pStyle w:val="Compact"/>
              <w:numPr>
                <w:ilvl w:val="0"/>
                <w:numId w:val="32"/>
              </w:numPr>
            </w:pPr>
            <w:r>
              <w:t>Main species kept are highly productive (scallops and prawns) and exhibit marked natural interannual fluctuations in recruitment</w:t>
            </w:r>
          </w:p>
          <w:p w14:paraId="669D6AB7" w14:textId="77777777" w:rsidR="003028A4" w:rsidRDefault="003028A4" w:rsidP="003028A4">
            <w:pPr>
              <w:pStyle w:val="Compact"/>
              <w:numPr>
                <w:ilvl w:val="0"/>
                <w:numId w:val="32"/>
              </w:numPr>
            </w:pPr>
            <w:r>
              <w:t>Unlikely that there are highly dependent predators on these species</w:t>
            </w:r>
          </w:p>
          <w:p w14:paraId="4013CF96" w14:textId="77777777" w:rsidR="003028A4" w:rsidRPr="003A658F" w:rsidRDefault="003028A4" w:rsidP="008C5150">
            <w:pPr>
              <w:pStyle w:val="Compact"/>
            </w:pPr>
            <w:r w:rsidRPr="00C56B41">
              <w:rPr>
                <w:b/>
                <w:bCs/>
              </w:rPr>
              <w:t xml:space="preserve">The risk of fishing on </w:t>
            </w:r>
            <w:r>
              <w:rPr>
                <w:b/>
                <w:bCs/>
              </w:rPr>
              <w:t>the ecosystem</w:t>
            </w:r>
            <w:r w:rsidRPr="00C56B41">
              <w:rPr>
                <w:b/>
                <w:bCs/>
              </w:rPr>
              <w:t xml:space="preserve"> is </w:t>
            </w:r>
            <w:r w:rsidRPr="00C56B41">
              <w:rPr>
                <w:b/>
                <w:bCs/>
                <w:color w:val="6B211B" w:themeColor="accent5"/>
              </w:rPr>
              <w:t>NEGLIG</w:t>
            </w:r>
            <w:r>
              <w:rPr>
                <w:b/>
                <w:bCs/>
                <w:color w:val="6B211B" w:themeColor="accent5"/>
              </w:rPr>
              <w:t>I</w:t>
            </w:r>
            <w:r w:rsidRPr="00C56B41">
              <w:rPr>
                <w:b/>
                <w:bCs/>
                <w:color w:val="6B211B" w:themeColor="accent5"/>
              </w:rPr>
              <w:t>BLE</w:t>
            </w:r>
          </w:p>
        </w:tc>
      </w:tr>
      <w:tr w:rsidR="003028A4" w:rsidRPr="003A658F" w14:paraId="3E9098DF" w14:textId="77777777" w:rsidTr="003028A4">
        <w:trPr>
          <w:trHeight w:val="300"/>
        </w:trPr>
        <w:tc>
          <w:tcPr>
            <w:tcW w:w="9344" w:type="dxa"/>
            <w:gridSpan w:val="2"/>
            <w:tcBorders>
              <w:top w:val="single" w:sz="6" w:space="0" w:color="auto"/>
              <w:left w:val="single" w:sz="6" w:space="0" w:color="auto"/>
              <w:bottom w:val="single" w:sz="6" w:space="0" w:color="auto"/>
              <w:right w:val="single" w:sz="6" w:space="0" w:color="auto"/>
            </w:tcBorders>
            <w:shd w:val="clear" w:color="auto" w:fill="auto"/>
            <w:hideMark/>
          </w:tcPr>
          <w:p w14:paraId="181D7EA7" w14:textId="77777777" w:rsidR="003028A4" w:rsidRPr="003A658F" w:rsidRDefault="003028A4" w:rsidP="008C5150">
            <w:pPr>
              <w:pStyle w:val="Compact"/>
            </w:pPr>
            <w:r w:rsidRPr="00FE6C20">
              <w:rPr>
                <w:b/>
                <w:bCs/>
              </w:rPr>
              <w:t>Ecosystem Effects of Fishing</w:t>
            </w:r>
            <w:r>
              <w:t xml:space="preserve"> </w:t>
            </w:r>
            <w:r w:rsidRPr="00FE6C20">
              <w:rPr>
                <w:rStyle w:val="BodyTextChar"/>
                <w:b/>
                <w:bCs/>
              </w:rPr>
              <w:t xml:space="preserve">Risk </w:t>
            </w:r>
            <w:proofErr w:type="gramStart"/>
            <w:r w:rsidRPr="00FE6C20">
              <w:rPr>
                <w:rStyle w:val="BodyTextChar"/>
                <w:b/>
                <w:bCs/>
              </w:rPr>
              <w:t>Assessment :</w:t>
            </w:r>
            <w:proofErr w:type="gramEnd"/>
            <w:r w:rsidRPr="003A658F">
              <w:t xml:space="preserve"> </w:t>
            </w:r>
            <w:r>
              <w:t xml:space="preserve">All components of the ecological assessment of scallop fishing by the SCTMF are NEGLIGIBLE or LOW. Fishing practices in 2023 did not indicate any noticeable or significant shifts which may impact the overall assessment of the ecological impact on the fishery. Therefore, the ecosystem effects of fishing by the SCTMF on the Resource </w:t>
            </w:r>
            <w:proofErr w:type="gramStart"/>
            <w:r>
              <w:t>is considered to be</w:t>
            </w:r>
            <w:proofErr w:type="gramEnd"/>
            <w:r>
              <w:t xml:space="preserve"> </w:t>
            </w:r>
            <w:r w:rsidRPr="004209BE">
              <w:rPr>
                <w:b/>
                <w:bCs/>
                <w:color w:val="21574C" w:themeColor="accent3"/>
              </w:rPr>
              <w:t>LOW</w:t>
            </w:r>
            <w:r>
              <w:t>.</w:t>
            </w:r>
            <w:r w:rsidRPr="003A658F">
              <w:t> </w:t>
            </w:r>
          </w:p>
        </w:tc>
      </w:tr>
    </w:tbl>
    <w:p w14:paraId="67A7EC03" w14:textId="77777777" w:rsidR="003028A4" w:rsidRDefault="003028A4" w:rsidP="00FC26E2">
      <w:pPr>
        <w:rPr>
          <w:lang w:val="en-US"/>
        </w:rPr>
      </w:pPr>
    </w:p>
    <w:p w14:paraId="0B7ACAE5" w14:textId="3CF2580C" w:rsidR="003028A4" w:rsidRDefault="003028A4" w:rsidP="00FC26E2">
      <w:pPr>
        <w:rPr>
          <w:b/>
          <w:bCs/>
          <w:lang w:val="en-US"/>
        </w:rPr>
      </w:pPr>
      <w:r>
        <w:rPr>
          <w:b/>
          <w:bCs/>
          <w:lang w:val="en-US"/>
        </w:rPr>
        <w:t>Appendix 1</w:t>
      </w:r>
    </w:p>
    <w:p w14:paraId="0F8883BD" w14:textId="77777777" w:rsidR="003028A4" w:rsidRPr="007A43D8" w:rsidRDefault="003028A4" w:rsidP="003028A4">
      <w:r w:rsidRPr="007A43D8">
        <w:rPr>
          <w:noProof/>
        </w:rPr>
        <w:drawing>
          <wp:inline distT="0" distB="0" distL="0" distR="0" wp14:anchorId="48BA4E44" wp14:editId="00F12538">
            <wp:extent cx="5731510" cy="4051935"/>
            <wp:effectExtent l="0" t="0" r="2540" b="5715"/>
            <wp:docPr id="1736770057" name="Picture 1" descr="A map of the South Coast Trawl Fishery, as referred to as Appendix 1 in the South Coast Trawl Fishery 2024 Weight of Evidence Stock Assessment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770057" name="Picture 1" descr="A map of the South Coast Trawl Fishery, as referred to as Appendix 1 in the South Coast Trawl Fishery 2024 Weight of Evidence Stock Assessment Report. "/>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1510" cy="4051935"/>
                    </a:xfrm>
                    <a:prstGeom prst="rect">
                      <a:avLst/>
                    </a:prstGeom>
                    <a:noFill/>
                    <a:ln>
                      <a:noFill/>
                    </a:ln>
                  </pic:spPr>
                </pic:pic>
              </a:graphicData>
            </a:graphic>
          </wp:inline>
        </w:drawing>
      </w:r>
    </w:p>
    <w:p w14:paraId="06AC1A56" w14:textId="755495DB" w:rsidR="003028A4" w:rsidRDefault="003028A4" w:rsidP="003028A4">
      <w:pPr>
        <w:pStyle w:val="Caption"/>
      </w:pPr>
      <w:bookmarkStart w:id="118" w:name="_Ref157766901"/>
      <w:r w:rsidRPr="000B7E06">
        <w:t xml:space="preserve">Append. Fig. </w:t>
      </w:r>
      <w:r w:rsidRPr="000B7E06">
        <w:fldChar w:fldCharType="begin"/>
      </w:r>
      <w:r w:rsidRPr="000B7E06">
        <w:instrText xml:space="preserve"> SEQ Append._Fig. \* ARABIC </w:instrText>
      </w:r>
      <w:r w:rsidRPr="000B7E06">
        <w:fldChar w:fldCharType="separate"/>
      </w:r>
      <w:r w:rsidR="00AB15B7">
        <w:rPr>
          <w:noProof/>
        </w:rPr>
        <w:t>4</w:t>
      </w:r>
      <w:r w:rsidRPr="000B7E06">
        <w:fldChar w:fldCharType="end"/>
      </w:r>
      <w:bookmarkEnd w:id="118"/>
      <w:r w:rsidRPr="000B7E06">
        <w:t xml:space="preserve"> Boundaries of the South Coast Trawl Managed Fishery</w:t>
      </w:r>
    </w:p>
    <w:p w14:paraId="16C84617" w14:textId="77777777" w:rsidR="003028A4" w:rsidRDefault="003028A4" w:rsidP="003028A4"/>
    <w:p w14:paraId="4F04DD95" w14:textId="77777777" w:rsidR="003028A4" w:rsidRDefault="003028A4" w:rsidP="003028A4"/>
    <w:p w14:paraId="5F16C30A" w14:textId="77777777" w:rsidR="003028A4" w:rsidRDefault="003028A4" w:rsidP="003028A4">
      <w:pPr>
        <w:pStyle w:val="DisclaimerHeading"/>
      </w:pPr>
      <w:r>
        <w:t xml:space="preserve">Important Disclaimer </w:t>
      </w:r>
    </w:p>
    <w:p w14:paraId="07454E86" w14:textId="77777777" w:rsidR="003028A4" w:rsidRDefault="003028A4" w:rsidP="003028A4">
      <w:pPr>
        <w:pStyle w:val="DisclaimerText"/>
      </w:pPr>
      <w:r>
        <w:t xml:space="preserve">The Chief Executive Officer of the Department of Primary Industries and Regional Development and the State of Western Australia accept no liability whatsoever by reason of negligence or otherwise arising from the use or release of this information or any part of it. </w:t>
      </w:r>
    </w:p>
    <w:p w14:paraId="76E8D47B" w14:textId="761D6291" w:rsidR="008921CA" w:rsidRPr="00B34694" w:rsidRDefault="003028A4" w:rsidP="009C0A9E">
      <w:pPr>
        <w:pStyle w:val="DisclaimerText"/>
      </w:pPr>
      <w:r>
        <w:t xml:space="preserve">Copyright © State of Western Australia (Department of Primary Industries and Regional Development), 2024. </w:t>
      </w:r>
      <w:r>
        <w:rPr>
          <w:noProof/>
        </w:rPr>
        <w:drawing>
          <wp:anchor distT="0" distB="0" distL="114300" distR="114300" simplePos="0" relativeHeight="251658248" behindDoc="1" locked="1" layoutInCell="1" allowOverlap="1" wp14:anchorId="605B5D0B" wp14:editId="606E7206">
            <wp:simplePos x="0" y="0"/>
            <wp:positionH relativeFrom="page">
              <wp:align>right</wp:align>
            </wp:positionH>
            <wp:positionV relativeFrom="page">
              <wp:posOffset>9072245</wp:posOffset>
            </wp:positionV>
            <wp:extent cx="5413375" cy="1619885"/>
            <wp:effectExtent l="0" t="0" r="0" b="0"/>
            <wp:wrapNone/>
            <wp:docPr id="12" name="End page graphic" descr="Graphical element as part of footer desig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nd page graphic" descr="Graphical element as part of footer design.">
                      <a:extLst>
                        <a:ext uri="{C183D7F6-B498-43B3-948B-1728B52AA6E4}">
                          <adec:decorative xmlns:adec="http://schemas.microsoft.com/office/drawing/2017/decorative" val="1"/>
                        </a:ext>
                      </a:extLst>
                    </pic:cNvPr>
                    <pic:cNvPicPr/>
                  </pic:nvPicPr>
                  <pic:blipFill>
                    <a:blip r:embed="rId97" cstate="print">
                      <a:extLst>
                        <a:ext uri="{28A0092B-C50C-407E-A947-70E740481C1C}">
                          <a14:useLocalDpi xmlns:a14="http://schemas.microsoft.com/office/drawing/2010/main" val="0"/>
                        </a:ext>
                      </a:extLst>
                    </a:blip>
                    <a:srcRect l="212" r="212"/>
                    <a:stretch>
                      <a:fillRect/>
                    </a:stretch>
                  </pic:blipFill>
                  <pic:spPr bwMode="auto">
                    <a:xfrm>
                      <a:off x="0" y="0"/>
                      <a:ext cx="5413375" cy="1619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8921CA" w:rsidRPr="00B34694" w:rsidSect="002A7592">
      <w:headerReference w:type="even" r:id="rId98"/>
      <w:headerReference w:type="default" r:id="rId99"/>
      <w:footerReference w:type="even" r:id="rId100"/>
      <w:footerReference w:type="default" r:id="rId101"/>
      <w:headerReference w:type="first" r:id="rId102"/>
      <w:footerReference w:type="first" r:id="rId103"/>
      <w:pgSz w:w="11906" w:h="16838" w:code="9"/>
      <w:pgMar w:top="1418" w:right="1134" w:bottom="1134" w:left="1134" w:header="1644"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8179D5" w14:textId="77777777" w:rsidR="0058169E" w:rsidRDefault="0058169E" w:rsidP="00E34FDB">
      <w:r>
        <w:separator/>
      </w:r>
    </w:p>
  </w:endnote>
  <w:endnote w:type="continuationSeparator" w:id="0">
    <w:p w14:paraId="54371E30" w14:textId="77777777" w:rsidR="0058169E" w:rsidRDefault="0058169E" w:rsidP="00E34FDB">
      <w:r>
        <w:continuationSeparator/>
      </w:r>
    </w:p>
  </w:endnote>
  <w:endnote w:type="continuationNotice" w:id="1">
    <w:p w14:paraId="1F878A48" w14:textId="77777777" w:rsidR="0058169E" w:rsidRDefault="0058169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5BE59C" w14:textId="5DB2EBFE" w:rsidR="009D711C" w:rsidRDefault="009D711C">
    <w:pPr>
      <w:pStyle w:val="Footer"/>
    </w:pPr>
    <w:r>
      <w:rPr>
        <w:noProof/>
      </w:rPr>
      <mc:AlternateContent>
        <mc:Choice Requires="wps">
          <w:drawing>
            <wp:anchor distT="0" distB="0" distL="0" distR="0" simplePos="0" relativeHeight="251658244" behindDoc="0" locked="0" layoutInCell="1" allowOverlap="1" wp14:anchorId="3414570D" wp14:editId="100BFA56">
              <wp:simplePos x="635" y="635"/>
              <wp:positionH relativeFrom="page">
                <wp:align>center</wp:align>
              </wp:positionH>
              <wp:positionV relativeFrom="page">
                <wp:align>bottom</wp:align>
              </wp:positionV>
              <wp:extent cx="551815" cy="391160"/>
              <wp:effectExtent l="0" t="0" r="635" b="0"/>
              <wp:wrapNone/>
              <wp:docPr id="168754362"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380A96E2" w14:textId="094B2529"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14570D" id="_x0000_t202" coordsize="21600,21600" o:spt="202" path="m,l,21600r21600,l21600,xe">
              <v:stroke joinstyle="miter"/>
              <v:path gradientshapeok="t" o:connecttype="rect"/>
            </v:shapetype>
            <v:shape id="Text Box 8" o:spid="_x0000_s1029" type="#_x0000_t202" alt="OFFICIAL" style="position:absolute;margin-left:0;margin-top:0;width:43.45pt;height:30.8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" filled="f" stroked="f">
              <v:fill o:detectmouseclick="t"/>
              <v:textbox style="mso-fit-shape-to-text:t" inset="0,0,0,15pt">
                <w:txbxContent>
                  <w:p w14:paraId="380A96E2" w14:textId="094B2529"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0832F0" w14:textId="36E7CA0F" w:rsidR="005A62ED" w:rsidRDefault="009D711C">
    <w:pPr>
      <w:pStyle w:val="Footer"/>
    </w:pPr>
    <w:r>
      <w:rPr>
        <w:noProof/>
      </w:rPr>
      <mc:AlternateContent>
        <mc:Choice Requires="wps">
          <w:drawing>
            <wp:anchor distT="0" distB="0" distL="0" distR="0" simplePos="0" relativeHeight="251658240" behindDoc="0" locked="0" layoutInCell="1" allowOverlap="1" wp14:anchorId="753F7943" wp14:editId="0DFCDFCE">
              <wp:simplePos x="914400" y="9894627"/>
              <wp:positionH relativeFrom="page">
                <wp:align>center</wp:align>
              </wp:positionH>
              <wp:positionV relativeFrom="page">
                <wp:align>bottom</wp:align>
              </wp:positionV>
              <wp:extent cx="551815" cy="391160"/>
              <wp:effectExtent l="0" t="0" r="635" b="0"/>
              <wp:wrapNone/>
              <wp:docPr id="942699139"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75B0DE70" w14:textId="1D526F0B"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53F7943" id="_x0000_t202" coordsize="21600,21600" o:spt="202" path="m,l,21600r21600,l21600,xe">
              <v:stroke joinstyle="miter"/>
              <v:path gradientshapeok="t" o:connecttype="rect"/>
            </v:shapetype>
            <v:shape id="Text Box 9" o:spid="_x0000_s1030" type="#_x0000_t202" alt="OFFICIAL" style="position:absolute;margin-left:0;margin-top:0;width:43.45pt;height:30.8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" filled="f" stroked="f">
              <v:fill o:detectmouseclick="t"/>
              <v:textbox style="mso-fit-shape-to-text:t" inset="0,0,0,15pt">
                <w:txbxContent>
                  <w:p w14:paraId="75B0DE70" w14:textId="1D526F0B"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v:textbox>
              <w10:wrap anchorx="page" anchory="page"/>
            </v:shape>
          </w:pict>
        </mc:Fallback>
      </mc:AlternateContent>
    </w:r>
    <w:sdt>
      <w:sdtPr>
        <w:id w:val="1041791670"/>
        <w:docPartObj>
          <w:docPartGallery w:val="Page Numbers (Bottom of Page)"/>
          <w:docPartUnique/>
        </w:docPartObj>
      </w:sdtPr>
      <w:sdtEndPr>
        <w:rPr>
          <w:noProof/>
        </w:rPr>
      </w:sdtEndPr>
      <w:sdtContent>
        <w:r w:rsidR="005A62ED">
          <w:fldChar w:fldCharType="begin"/>
        </w:r>
        <w:r w:rsidR="005A62ED">
          <w:instrText xml:space="preserve"> PAGE   \* MERGEFORMAT </w:instrText>
        </w:r>
        <w:r w:rsidR="005A62ED">
          <w:fldChar w:fldCharType="separate"/>
        </w:r>
        <w:r w:rsidR="005A62ED">
          <w:rPr>
            <w:noProof/>
          </w:rPr>
          <w:t>2</w:t>
        </w:r>
        <w:r w:rsidR="005A62ED">
          <w:rPr>
            <w:noProof/>
          </w:rPr>
          <w:fldChar w:fldCharType="end"/>
        </w:r>
      </w:sdtContent>
    </w:sdt>
  </w:p>
  <w:p w14:paraId="3E49001F" w14:textId="77777777" w:rsidR="005A62ED" w:rsidRDefault="005A62E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33D611" w14:textId="7F6E512B" w:rsidR="009D711C" w:rsidRDefault="009D711C">
    <w:pPr>
      <w:pStyle w:val="Footer"/>
    </w:pPr>
    <w:r>
      <w:rPr>
        <w:noProof/>
      </w:rPr>
      <mc:AlternateContent>
        <mc:Choice Requires="wps">
          <w:drawing>
            <wp:anchor distT="0" distB="0" distL="0" distR="0" simplePos="0" relativeHeight="251658246" behindDoc="0" locked="0" layoutInCell="1" allowOverlap="1" wp14:anchorId="462CD1DC" wp14:editId="2F720BAD">
              <wp:simplePos x="635" y="635"/>
              <wp:positionH relativeFrom="page">
                <wp:align>center</wp:align>
              </wp:positionH>
              <wp:positionV relativeFrom="page">
                <wp:align>bottom</wp:align>
              </wp:positionV>
              <wp:extent cx="551815" cy="391160"/>
              <wp:effectExtent l="0" t="0" r="635" b="0"/>
              <wp:wrapNone/>
              <wp:docPr id="24443035"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71060E6C" w14:textId="10643388"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2CD1DC" id="_x0000_t202" coordsize="21600,21600" o:spt="202" path="m,l,21600r21600,l21600,xe">
              <v:stroke joinstyle="miter"/>
              <v:path gradientshapeok="t" o:connecttype="rect"/>
            </v:shapetype>
            <v:shape id="Text Box 7" o:spid="_x0000_s1032" type="#_x0000_t202" alt="OFFICIAL" style="position:absolute;margin-left:0;margin-top:0;width:43.45pt;height:30.8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" filled="f" stroked="f">
              <v:fill o:detectmouseclick="t"/>
              <v:textbox style="mso-fit-shape-to-text:t" inset="0,0,0,15pt">
                <w:txbxContent>
                  <w:p w14:paraId="71060E6C" w14:textId="10643388"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B78D5A" w14:textId="03FAE8F4" w:rsidR="009D711C" w:rsidRDefault="009D711C">
    <w:pPr>
      <w:pStyle w:val="Footer"/>
    </w:pPr>
    <w:r>
      <w:rPr>
        <w:noProof/>
      </w:rPr>
      <mc:AlternateContent>
        <mc:Choice Requires="wps">
          <w:drawing>
            <wp:anchor distT="0" distB="0" distL="0" distR="0" simplePos="0" relativeHeight="251658249" behindDoc="0" locked="0" layoutInCell="1" allowOverlap="1" wp14:anchorId="4BC78F90" wp14:editId="0DD84B5F">
              <wp:simplePos x="635" y="635"/>
              <wp:positionH relativeFrom="page">
                <wp:align>center</wp:align>
              </wp:positionH>
              <wp:positionV relativeFrom="page">
                <wp:align>bottom</wp:align>
              </wp:positionV>
              <wp:extent cx="551815" cy="391160"/>
              <wp:effectExtent l="0" t="0" r="635" b="0"/>
              <wp:wrapNone/>
              <wp:docPr id="1449856770"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32FAD184" w14:textId="5B44782A"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BC78F90" id="_x0000_t202" coordsize="21600,21600" o:spt="202" path="m,l,21600r21600,l21600,xe">
              <v:stroke joinstyle="miter"/>
              <v:path gradientshapeok="t" o:connecttype="rect"/>
            </v:shapetype>
            <v:shape id="Text Box 11" o:spid="_x0000_s1035" type="#_x0000_t202" alt="OFFICIAL" style="position:absolute;margin-left:0;margin-top:0;width:43.45pt;height:30.8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" filled="f" stroked="f">
              <v:fill o:detectmouseclick="t"/>
              <v:textbox style="mso-fit-shape-to-text:t" inset="0,0,0,15pt">
                <w:txbxContent>
                  <w:p w14:paraId="32FAD184" w14:textId="5B44782A"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75C6B0" w14:textId="779EA675" w:rsidR="00033D8D" w:rsidRDefault="009D711C">
    <w:pPr>
      <w:pStyle w:val="Footer"/>
    </w:pPr>
    <w:r>
      <w:rPr>
        <w:noProof/>
      </w:rPr>
      <mc:AlternateContent>
        <mc:Choice Requires="wps">
          <w:drawing>
            <wp:anchor distT="0" distB="0" distL="0" distR="0" simplePos="0" relativeHeight="251658241" behindDoc="0" locked="0" layoutInCell="1" allowOverlap="1" wp14:anchorId="1C64CD1E" wp14:editId="290D162C">
              <wp:simplePos x="635" y="635"/>
              <wp:positionH relativeFrom="page">
                <wp:align>center</wp:align>
              </wp:positionH>
              <wp:positionV relativeFrom="page">
                <wp:align>bottom</wp:align>
              </wp:positionV>
              <wp:extent cx="551815" cy="391160"/>
              <wp:effectExtent l="0" t="0" r="635" b="0"/>
              <wp:wrapNone/>
              <wp:docPr id="1669039265" name="Text Box 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67302512" w14:textId="3D0B0C70"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C64CD1E" id="_x0000_t202" coordsize="21600,21600" o:spt="202" path="m,l,21600r21600,l21600,xe">
              <v:stroke joinstyle="miter"/>
              <v:path gradientshapeok="t" o:connecttype="rect"/>
            </v:shapetype>
            <v:shape id="Text Box 12" o:spid="_x0000_s1036" type="#_x0000_t202" alt="OFFICIAL" style="position:absolute;margin-left:0;margin-top:0;width:43.45pt;height:30.8pt;z-index:2516582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" filled="f" stroked="f">
              <v:fill o:detectmouseclick="t"/>
              <v:textbox style="mso-fit-shape-to-text:t" inset="0,0,0,15pt">
                <w:txbxContent>
                  <w:p w14:paraId="67302512" w14:textId="3D0B0C70"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v:textbox>
              <w10:wrap anchorx="page" anchory="page"/>
            </v:shape>
          </w:pict>
        </mc:Fallback>
      </mc:AlternateContent>
    </w:r>
    <w:sdt>
      <w:sdtPr>
        <w:id w:val="-1182046851"/>
        <w:docPartObj>
          <w:docPartGallery w:val="Page Numbers (Bottom of Page)"/>
          <w:docPartUnique/>
        </w:docPartObj>
      </w:sdtPr>
      <w:sdtEndPr>
        <w:rPr>
          <w:noProof/>
        </w:rPr>
      </w:sdtEndPr>
      <w:sdtContent>
        <w:r w:rsidR="00033D8D">
          <w:fldChar w:fldCharType="begin"/>
        </w:r>
        <w:r w:rsidR="00033D8D">
          <w:instrText xml:space="preserve"> PAGE   \* MERGEFORMAT </w:instrText>
        </w:r>
        <w:r w:rsidR="00033D8D">
          <w:fldChar w:fldCharType="separate"/>
        </w:r>
        <w:r w:rsidR="00033D8D">
          <w:rPr>
            <w:noProof/>
          </w:rPr>
          <w:t>2</w:t>
        </w:r>
        <w:r w:rsidR="00033D8D">
          <w:rPr>
            <w:noProof/>
          </w:rPr>
          <w:fldChar w:fldCharType="end"/>
        </w:r>
      </w:sdtContent>
    </w:sdt>
  </w:p>
  <w:p w14:paraId="2A8223E6" w14:textId="77777777" w:rsidR="00033D8D" w:rsidRDefault="00033D8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C6C439" w14:textId="6EF8885B" w:rsidR="009D711C" w:rsidRDefault="009D711C">
    <w:pPr>
      <w:pStyle w:val="Footer"/>
    </w:pPr>
    <w:r>
      <w:rPr>
        <w:noProof/>
      </w:rPr>
      <mc:AlternateContent>
        <mc:Choice Requires="wps">
          <w:drawing>
            <wp:anchor distT="0" distB="0" distL="0" distR="0" simplePos="0" relativeHeight="251658251" behindDoc="0" locked="0" layoutInCell="1" allowOverlap="1" wp14:anchorId="4F940497" wp14:editId="53E643B9">
              <wp:simplePos x="635" y="635"/>
              <wp:positionH relativeFrom="page">
                <wp:align>center</wp:align>
              </wp:positionH>
              <wp:positionV relativeFrom="page">
                <wp:align>bottom</wp:align>
              </wp:positionV>
              <wp:extent cx="551815" cy="391160"/>
              <wp:effectExtent l="0" t="0" r="635" b="0"/>
              <wp:wrapNone/>
              <wp:docPr id="2136651733"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301BBDCC" w14:textId="334CF5C8"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F940497" id="_x0000_t202" coordsize="21600,21600" o:spt="202" path="m,l,21600r21600,l21600,xe">
              <v:stroke joinstyle="miter"/>
              <v:path gradientshapeok="t" o:connecttype="rect"/>
            </v:shapetype>
            <v:shape id="Text Box 10" o:spid="_x0000_s1038" type="#_x0000_t202" alt="OFFICIAL" style="position:absolute;margin-left:0;margin-top:0;width:43.45pt;height:30.8pt;z-index:2516582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" filled="f" stroked="f">
              <v:fill o:detectmouseclick="t"/>
              <v:textbox style="mso-fit-shape-to-text:t" inset="0,0,0,15pt">
                <w:txbxContent>
                  <w:p w14:paraId="301BBDCC" w14:textId="334CF5C8"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97E4B27" w14:textId="77777777" w:rsidR="0058169E" w:rsidRDefault="0058169E" w:rsidP="00E34FDB">
      <w:r>
        <w:separator/>
      </w:r>
    </w:p>
  </w:footnote>
  <w:footnote w:type="continuationSeparator" w:id="0">
    <w:p w14:paraId="3032CFB9" w14:textId="77777777" w:rsidR="0058169E" w:rsidRDefault="0058169E" w:rsidP="00E34FDB">
      <w:r>
        <w:continuationSeparator/>
      </w:r>
    </w:p>
  </w:footnote>
  <w:footnote w:type="continuationNotice" w:id="1">
    <w:p w14:paraId="4A558C08" w14:textId="77777777" w:rsidR="0058169E" w:rsidRDefault="0058169E">
      <w:pPr>
        <w:spacing w:after="0" w:line="240" w:lineRule="auto"/>
      </w:pPr>
    </w:p>
  </w:footnote>
  <w:footnote w:id="2">
    <w:p w14:paraId="6493717F" w14:textId="3EF76E1A" w:rsidR="00D66CBD" w:rsidRPr="00D66CBD" w:rsidRDefault="00D66CBD" w:rsidP="00D66CBD">
      <w:pPr>
        <w:pStyle w:val="Footer"/>
      </w:pPr>
      <w:r>
        <w:rPr>
          <w:rStyle w:val="FootnoteReference"/>
        </w:rPr>
        <w:footnoteRef/>
      </w:r>
      <w:r>
        <w:t xml:space="preserve"> </w:t>
      </w:r>
      <w:r w:rsidRPr="00D66CBD">
        <w:rPr>
          <w:b w:val="0"/>
          <w:bCs/>
        </w:rPr>
        <w:t xml:space="preserve">Traditional scallop trawl grounds also reflect areas as described in </w:t>
      </w:r>
      <w:r w:rsidRPr="00D66CBD">
        <w:rPr>
          <w:b w:val="0"/>
          <w:bCs/>
          <w:i/>
          <w:iCs/>
        </w:rPr>
        <w:t xml:space="preserve">Notice 1 of 2023 </w:t>
      </w:r>
      <w:r w:rsidRPr="00D66CBD">
        <w:rPr>
          <w:b w:val="0"/>
          <w:bCs/>
        </w:rPr>
        <w:t xml:space="preserve">(refer to Figure </w:t>
      </w:r>
      <w:r w:rsidR="000F07D6">
        <w:rPr>
          <w:b w:val="0"/>
          <w:bCs/>
        </w:rPr>
        <w:t>3</w:t>
      </w:r>
      <w:r w:rsidRPr="00D66CBD">
        <w:rPr>
          <w:b w:val="0"/>
          <w:bCs/>
        </w:rPr>
        <w:t>).</w:t>
      </w:r>
      <w:r>
        <w:t xml:space="preserve"> </w:t>
      </w:r>
    </w:p>
  </w:footnote>
  <w:footnote w:id="3">
    <w:p w14:paraId="37BBDB7C" w14:textId="77777777" w:rsidR="00581779" w:rsidRPr="009F49A5" w:rsidRDefault="00581779" w:rsidP="00581779">
      <w:pPr>
        <w:pStyle w:val="FootnoteText"/>
        <w:rPr>
          <w:lang w:val="en-US"/>
        </w:rPr>
      </w:pPr>
      <w:r>
        <w:rPr>
          <w:rStyle w:val="FootnoteReference"/>
        </w:rPr>
        <w:footnoteRef/>
      </w:r>
      <w:r>
        <w:t xml:space="preserve"> </w:t>
      </w:r>
      <w:hyperlink r:id="rId1" w:history="1">
        <w:r w:rsidRPr="00E44546">
          <w:rPr>
            <w:rStyle w:val="Hyperlink"/>
          </w:rPr>
          <w:t>https://www.wa.gov.au/system/files/2024-03/regulatory_compliance_approach.pdf</w:t>
        </w:r>
      </w:hyperlink>
      <w:r>
        <w:t xml:space="preserve"> </w:t>
      </w:r>
    </w:p>
  </w:footnote>
  <w:footnote w:id="4">
    <w:p w14:paraId="3CDFE649" w14:textId="77777777" w:rsidR="00581779" w:rsidRPr="009F49A5" w:rsidRDefault="00581779" w:rsidP="00581779">
      <w:pPr>
        <w:pStyle w:val="FootnoteText"/>
        <w:rPr>
          <w:lang w:val="en-US"/>
        </w:rPr>
      </w:pPr>
      <w:r>
        <w:rPr>
          <w:rStyle w:val="FootnoteReference"/>
        </w:rPr>
        <w:footnoteRef/>
      </w:r>
      <w:r>
        <w:t xml:space="preserve"> </w:t>
      </w:r>
      <w:hyperlink r:id="rId2" w:history="1">
        <w:r w:rsidRPr="00E44546">
          <w:rPr>
            <w:rStyle w:val="Hyperlink"/>
          </w:rPr>
          <w:t>https://www.afma.gov.au/sites/default/files/2023-02/18050_national_fisheries_compliance_strategy-v2_1.pdf</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4C8F7F" w14:textId="61E5A6B4" w:rsidR="009D711C" w:rsidRDefault="009D711C">
    <w:pPr>
      <w:pStyle w:val="Header"/>
    </w:pPr>
    <w:r>
      <w:rPr>
        <w:noProof/>
      </w:rPr>
      <mc:AlternateContent>
        <mc:Choice Requires="wps">
          <w:drawing>
            <wp:anchor distT="0" distB="0" distL="0" distR="0" simplePos="0" relativeHeight="251658242" behindDoc="0" locked="0" layoutInCell="1" allowOverlap="1" wp14:anchorId="42392606" wp14:editId="757B2D6D">
              <wp:simplePos x="635" y="635"/>
              <wp:positionH relativeFrom="page">
                <wp:align>center</wp:align>
              </wp:positionH>
              <wp:positionV relativeFrom="page">
                <wp:align>top</wp:align>
              </wp:positionV>
              <wp:extent cx="551815" cy="391160"/>
              <wp:effectExtent l="0" t="0" r="635" b="8890"/>
              <wp:wrapNone/>
              <wp:docPr id="1282190446"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3DF606BB" w14:textId="226D047C"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2392606" id="_x0000_t202" coordsize="21600,21600" o:spt="202" path="m,l,21600r21600,l21600,xe">
              <v:stroke joinstyle="miter"/>
              <v:path gradientshapeok="t" o:connecttype="rect"/>
            </v:shapetype>
            <v:shape id="Text Box 2" o:spid="_x0000_s1027" type="#_x0000_t202" alt="OFFICIAL" style="position:absolute;margin-left:0;margin-top:0;width:43.45pt;height:30.8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" filled="f" stroked="f">
              <v:fill o:detectmouseclick="t"/>
              <v:textbox style="mso-fit-shape-to-text:t" inset="0,15pt,0,0">
                <w:txbxContent>
                  <w:p w14:paraId="3DF606BB" w14:textId="226D047C"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719A42" w14:textId="0F162F05" w:rsidR="009D711C" w:rsidRDefault="009D711C">
    <w:pPr>
      <w:pStyle w:val="Header"/>
    </w:pPr>
    <w:r>
      <w:rPr>
        <w:noProof/>
      </w:rPr>
      <mc:AlternateContent>
        <mc:Choice Requires="wps">
          <w:drawing>
            <wp:anchor distT="0" distB="0" distL="0" distR="0" simplePos="0" relativeHeight="251658243" behindDoc="0" locked="0" layoutInCell="1" allowOverlap="1" wp14:anchorId="61169367" wp14:editId="3C9C400B">
              <wp:simplePos x="914400" y="450376"/>
              <wp:positionH relativeFrom="page">
                <wp:align>center</wp:align>
              </wp:positionH>
              <wp:positionV relativeFrom="page">
                <wp:align>top</wp:align>
              </wp:positionV>
              <wp:extent cx="551815" cy="391160"/>
              <wp:effectExtent l="0" t="0" r="635" b="8890"/>
              <wp:wrapNone/>
              <wp:docPr id="1174501036"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4984468D" w14:textId="72935880"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1169367" id="_x0000_t202" coordsize="21600,21600" o:spt="202" path="m,l,21600r21600,l21600,xe">
              <v:stroke joinstyle="miter"/>
              <v:path gradientshapeok="t" o:connecttype="rect"/>
            </v:shapetype>
            <v:shape id="Text Box 3" o:spid="_x0000_s1028" type="#_x0000_t202" alt="OFFICIAL" style="position:absolute;margin-left:0;margin-top:0;width:43.45pt;height:30.8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" filled="f" stroked="f">
              <v:fill o:detectmouseclick="t"/>
              <v:textbox style="mso-fit-shape-to-text:t" inset="0,15pt,0,0">
                <w:txbxContent>
                  <w:p w14:paraId="4984468D" w14:textId="72935880"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6561DC" w14:textId="1B48CDB9" w:rsidR="009D711C" w:rsidRDefault="009D711C">
    <w:pPr>
      <w:pStyle w:val="Header"/>
    </w:pPr>
    <w:r>
      <w:rPr>
        <w:noProof/>
      </w:rPr>
      <mc:AlternateContent>
        <mc:Choice Requires="wps">
          <w:drawing>
            <wp:anchor distT="0" distB="0" distL="0" distR="0" simplePos="0" relativeHeight="251658245" behindDoc="0" locked="0" layoutInCell="1" allowOverlap="1" wp14:anchorId="5308E276" wp14:editId="4096A95A">
              <wp:simplePos x="635" y="635"/>
              <wp:positionH relativeFrom="page">
                <wp:align>center</wp:align>
              </wp:positionH>
              <wp:positionV relativeFrom="page">
                <wp:align>top</wp:align>
              </wp:positionV>
              <wp:extent cx="551815" cy="391160"/>
              <wp:effectExtent l="0" t="0" r="635" b="8890"/>
              <wp:wrapNone/>
              <wp:docPr id="747583582"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5E35F74C" w14:textId="575D0EB3"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308E276" id="_x0000_t202" coordsize="21600,21600" o:spt="202" path="m,l,21600r21600,l21600,xe">
              <v:stroke joinstyle="miter"/>
              <v:path gradientshapeok="t" o:connecttype="rect"/>
            </v:shapetype>
            <v:shape id="_x0000_s1031" type="#_x0000_t202" alt="OFFICIAL" style="position:absolute;margin-left:0;margin-top:0;width:43.45pt;height:30.8pt;z-index:25165824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" filled="f" stroked="f">
              <v:fill o:detectmouseclick="t"/>
              <v:textbox style="mso-fit-shape-to-text:t" inset="0,15pt,0,0">
                <w:txbxContent>
                  <w:p w14:paraId="5E35F74C" w14:textId="575D0EB3"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9D29E9" w14:textId="682D97E0" w:rsidR="009D711C" w:rsidRDefault="009D711C">
    <w:pPr>
      <w:pStyle w:val="Header"/>
    </w:pPr>
    <w:r>
      <w:rPr>
        <w:noProof/>
      </w:rPr>
      <mc:AlternateContent>
        <mc:Choice Requires="wps">
          <w:drawing>
            <wp:anchor distT="0" distB="0" distL="0" distR="0" simplePos="0" relativeHeight="251658247" behindDoc="0" locked="0" layoutInCell="1" allowOverlap="1" wp14:anchorId="38284983" wp14:editId="2FF1E5FF">
              <wp:simplePos x="635" y="635"/>
              <wp:positionH relativeFrom="page">
                <wp:align>center</wp:align>
              </wp:positionH>
              <wp:positionV relativeFrom="page">
                <wp:align>top</wp:align>
              </wp:positionV>
              <wp:extent cx="551815" cy="391160"/>
              <wp:effectExtent l="0" t="0" r="635" b="8890"/>
              <wp:wrapNone/>
              <wp:docPr id="1685441780"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6A445BAB" w14:textId="5B7DA6B5"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284983" id="_x0000_t202" coordsize="21600,21600" o:spt="202" path="m,l,21600r21600,l21600,xe">
              <v:stroke joinstyle="miter"/>
              <v:path gradientshapeok="t" o:connecttype="rect"/>
            </v:shapetype>
            <v:shape id="Text Box 5" o:spid="_x0000_s1033" type="#_x0000_t202" alt="OFFICIAL" style="position:absolute;margin-left:0;margin-top:0;width:43.45pt;height:30.8pt;z-index:25165824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" filled="f" stroked="f">
              <v:fill o:detectmouseclick="t"/>
              <v:textbox style="mso-fit-shape-to-text:t" inset="0,15pt,0,0">
                <w:txbxContent>
                  <w:p w14:paraId="6A445BAB" w14:textId="5B7DA6B5"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F05AB0" w14:textId="18F81AC3" w:rsidR="009D711C" w:rsidRDefault="009D711C">
    <w:pPr>
      <w:pStyle w:val="Header"/>
    </w:pPr>
    <w:r>
      <w:rPr>
        <w:noProof/>
      </w:rPr>
      <mc:AlternateContent>
        <mc:Choice Requires="wps">
          <w:drawing>
            <wp:anchor distT="0" distB="0" distL="0" distR="0" simplePos="0" relativeHeight="251658248" behindDoc="0" locked="0" layoutInCell="1" allowOverlap="1" wp14:anchorId="01277B3E" wp14:editId="19D34209">
              <wp:simplePos x="635" y="635"/>
              <wp:positionH relativeFrom="page">
                <wp:align>center</wp:align>
              </wp:positionH>
              <wp:positionV relativeFrom="page">
                <wp:align>top</wp:align>
              </wp:positionV>
              <wp:extent cx="551815" cy="391160"/>
              <wp:effectExtent l="0" t="0" r="635" b="8890"/>
              <wp:wrapNone/>
              <wp:docPr id="503597855"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1F7554EB" w14:textId="73476E78"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1277B3E" id="_x0000_t202" coordsize="21600,21600" o:spt="202" path="m,l,21600r21600,l21600,xe">
              <v:stroke joinstyle="miter"/>
              <v:path gradientshapeok="t" o:connecttype="rect"/>
            </v:shapetype>
            <v:shape id="Text Box 6" o:spid="_x0000_s1034" type="#_x0000_t202" alt="OFFICIAL" style="position:absolute;margin-left:0;margin-top:0;width:43.45pt;height:30.8pt;z-index:2516582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" filled="f" stroked="f">
              <v:fill o:detectmouseclick="t"/>
              <v:textbox style="mso-fit-shape-to-text:t" inset="0,15pt,0,0">
                <w:txbxContent>
                  <w:p w14:paraId="1F7554EB" w14:textId="73476E78"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D7B652" w14:textId="5A5CA1D7" w:rsidR="009D711C" w:rsidRDefault="009D711C">
    <w:pPr>
      <w:pStyle w:val="Header"/>
    </w:pPr>
    <w:r>
      <w:rPr>
        <w:noProof/>
      </w:rPr>
      <mc:AlternateContent>
        <mc:Choice Requires="wps">
          <w:drawing>
            <wp:anchor distT="0" distB="0" distL="0" distR="0" simplePos="0" relativeHeight="251658250" behindDoc="0" locked="0" layoutInCell="1" allowOverlap="1" wp14:anchorId="2EB98C06" wp14:editId="18393A6E">
              <wp:simplePos x="635" y="635"/>
              <wp:positionH relativeFrom="page">
                <wp:align>center</wp:align>
              </wp:positionH>
              <wp:positionV relativeFrom="page">
                <wp:align>top</wp:align>
              </wp:positionV>
              <wp:extent cx="551815" cy="391160"/>
              <wp:effectExtent l="0" t="0" r="635" b="8890"/>
              <wp:wrapNone/>
              <wp:docPr id="1071643684"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604FDE6B" w14:textId="731490E0"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EB98C06" id="_x0000_t202" coordsize="21600,21600" o:spt="202" path="m,l,21600r21600,l21600,xe">
              <v:stroke joinstyle="miter"/>
              <v:path gradientshapeok="t" o:connecttype="rect"/>
            </v:shapetype>
            <v:shape id="Text Box 4" o:spid="_x0000_s1037" type="#_x0000_t202" alt="OFFICIAL" style="position:absolute;margin-left:0;margin-top:0;width:43.45pt;height:30.8pt;z-index:25165825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" filled="f" stroked="f">
              <v:fill o:detectmouseclick="t"/>
              <v:textbox style="mso-fit-shape-to-text:t" inset="0,15pt,0,0">
                <w:txbxContent>
                  <w:p w14:paraId="604FDE6B" w14:textId="731490E0" w:rsidR="009D711C" w:rsidRPr="009D711C" w:rsidRDefault="009D711C" w:rsidP="009D711C">
                    <w:pPr>
                      <w:spacing w:after="0"/>
                      <w:rPr>
                        <w:rFonts w:ascii="Calibri" w:eastAsia="Calibri" w:hAnsi="Calibri" w:cs="Calibri"/>
                        <w:noProof/>
                        <w:color w:val="FF0000"/>
                        <w:szCs w:val="24"/>
                      </w:rPr>
                    </w:pPr>
                    <w:r w:rsidRPr="009D711C">
                      <w:rPr>
                        <w:rFonts w:ascii="Calibri" w:eastAsia="Calibri" w:hAnsi="Calibri" w:cs="Calibri"/>
                        <w:noProof/>
                        <w:color w:val="FF0000"/>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9B1A98"/>
    <w:multiLevelType w:val="hybridMultilevel"/>
    <w:tmpl w:val="FEA6E9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7B40F4"/>
    <w:multiLevelType w:val="hybridMultilevel"/>
    <w:tmpl w:val="250E01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FB449F"/>
    <w:multiLevelType w:val="hybridMultilevel"/>
    <w:tmpl w:val="7070E9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644F8A"/>
    <w:multiLevelType w:val="hybridMultilevel"/>
    <w:tmpl w:val="73A648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AC2735F"/>
    <w:multiLevelType w:val="multilevel"/>
    <w:tmpl w:val="50041352"/>
    <w:styleLink w:val="ListHeadings"/>
    <w:lvl w:ilvl="0">
      <w:start w:val="1"/>
      <w:numFmt w:val="decimal"/>
      <w:pStyle w:val="Heading1-numbered"/>
      <w:lvlText w:val="%1."/>
      <w:lvlJc w:val="left"/>
      <w:pPr>
        <w:tabs>
          <w:tab w:val="num" w:pos="360"/>
        </w:tabs>
        <w:ind w:left="340" w:hanging="340"/>
      </w:pPr>
      <w:rPr>
        <w:rFonts w:hint="default"/>
      </w:rPr>
    </w:lvl>
    <w:lvl w:ilvl="1">
      <w:start w:val="1"/>
      <w:numFmt w:val="decimal"/>
      <w:pStyle w:val="Heading2-numbered"/>
      <w:lvlText w:val="%1.%2."/>
      <w:lvlJc w:val="left"/>
      <w:pPr>
        <w:ind w:left="680" w:hanging="680"/>
      </w:pPr>
      <w:rPr>
        <w:rFonts w:hint="default"/>
      </w:rPr>
    </w:lvl>
    <w:lvl w:ilvl="2">
      <w:start w:val="1"/>
      <w:numFmt w:val="decimal"/>
      <w:lvlText w:val="%1.%2.%3."/>
      <w:lvlJc w:val="left"/>
      <w:pPr>
        <w:ind w:left="1021" w:hanging="102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AD53186"/>
    <w:multiLevelType w:val="hybridMultilevel"/>
    <w:tmpl w:val="1742B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C816718"/>
    <w:multiLevelType w:val="multilevel"/>
    <w:tmpl w:val="93083648"/>
    <w:numStyleLink w:val="Numbering"/>
  </w:abstractNum>
  <w:abstractNum w:abstractNumId="7" w15:restartNumberingAfterBreak="0">
    <w:nsid w:val="0F172A61"/>
    <w:multiLevelType w:val="hybridMultilevel"/>
    <w:tmpl w:val="0F42AD2A"/>
    <w:lvl w:ilvl="0" w:tplc="E62267DE">
      <w:start w:val="1317"/>
      <w:numFmt w:val="bullet"/>
      <w:lvlText w:val=""/>
      <w:lvlJc w:val="left"/>
      <w:pPr>
        <w:ind w:left="720" w:hanging="360"/>
      </w:pPr>
      <w:rPr>
        <w:rFonts w:ascii="Symbol" w:eastAsia="Arial" w:hAnsi="Symbol" w:cs="Arial" w:hint="default"/>
        <w:color w:val="000000" w:themeColor="text1"/>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F6F37EA"/>
    <w:multiLevelType w:val="multilevel"/>
    <w:tmpl w:val="93083648"/>
    <w:styleLink w:val="Numbering"/>
    <w:lvl w:ilvl="0">
      <w:start w:val="1"/>
      <w:numFmt w:val="decimal"/>
      <w:pStyle w:val="ListNumber"/>
      <w:lvlText w:val="%1."/>
      <w:lvlJc w:val="left"/>
      <w:pPr>
        <w:tabs>
          <w:tab w:val="num" w:pos="284"/>
        </w:tabs>
        <w:ind w:left="340" w:hanging="340"/>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tabs>
          <w:tab w:val="num" w:pos="1134"/>
        </w:tabs>
        <w:ind w:left="1021" w:hanging="1021"/>
      </w:pPr>
      <w:rPr>
        <w:rFonts w:hint="default"/>
      </w:rPr>
    </w:lvl>
    <w:lvl w:ilvl="3">
      <w:start w:val="1"/>
      <w:numFmt w:val="decimal"/>
      <w:pStyle w:val="ListNumber4"/>
      <w:lvlText w:val="%1.%2.%3.%4."/>
      <w:lvlJc w:val="left"/>
      <w:pPr>
        <w:ind w:left="1361" w:hanging="1361"/>
      </w:pPr>
      <w:rPr>
        <w:rFonts w:hint="default"/>
      </w:rPr>
    </w:lvl>
    <w:lvl w:ilvl="4">
      <w:start w:val="1"/>
      <w:numFmt w:val="decimal"/>
      <w:pStyle w:val="ListNumber5"/>
      <w:lvlText w:val="%1.%2.%3.%4.%5"/>
      <w:lvlJc w:val="left"/>
      <w:pPr>
        <w:ind w:left="1701" w:hanging="170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9" w15:restartNumberingAfterBreak="0">
    <w:nsid w:val="12172BFE"/>
    <w:multiLevelType w:val="hybridMultilevel"/>
    <w:tmpl w:val="18D040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5FB647E"/>
    <w:multiLevelType w:val="hybridMultilevel"/>
    <w:tmpl w:val="F8602B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1EE20614"/>
    <w:multiLevelType w:val="hybridMultilevel"/>
    <w:tmpl w:val="BD84284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49A5FF6"/>
    <w:multiLevelType w:val="hybridMultilevel"/>
    <w:tmpl w:val="8CCE2F68"/>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93173F2"/>
    <w:multiLevelType w:val="hybridMultilevel"/>
    <w:tmpl w:val="A120B5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C561751"/>
    <w:multiLevelType w:val="hybridMultilevel"/>
    <w:tmpl w:val="C0342354"/>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C6E3502"/>
    <w:multiLevelType w:val="hybridMultilevel"/>
    <w:tmpl w:val="6D2CA1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80D1A1D"/>
    <w:multiLevelType w:val="hybridMultilevel"/>
    <w:tmpl w:val="FFDC36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B4763EE"/>
    <w:multiLevelType w:val="hybridMultilevel"/>
    <w:tmpl w:val="8DE05924"/>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0401DED"/>
    <w:multiLevelType w:val="hybridMultilevel"/>
    <w:tmpl w:val="D7C087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0F8273B"/>
    <w:multiLevelType w:val="hybridMultilevel"/>
    <w:tmpl w:val="53C297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22E2A65"/>
    <w:multiLevelType w:val="hybridMultilevel"/>
    <w:tmpl w:val="FA88B8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5D65B3C"/>
    <w:multiLevelType w:val="hybridMultilevel"/>
    <w:tmpl w:val="C5524C7C"/>
    <w:lvl w:ilvl="0" w:tplc="0C09000F">
      <w:start w:val="1"/>
      <w:numFmt w:val="decimal"/>
      <w:lvlText w:val="%1."/>
      <w:lvlJc w:val="left"/>
      <w:pPr>
        <w:ind w:left="1080" w:hanging="360"/>
      </w:pPr>
      <w:rPr>
        <w:rFonts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23" w15:restartNumberingAfterBreak="0">
    <w:nsid w:val="525E1815"/>
    <w:multiLevelType w:val="multilevel"/>
    <w:tmpl w:val="E500EDE0"/>
    <w:numStyleLink w:val="Bullets"/>
  </w:abstractNum>
  <w:abstractNum w:abstractNumId="24" w15:restartNumberingAfterBreak="0">
    <w:nsid w:val="58B73D84"/>
    <w:multiLevelType w:val="multilevel"/>
    <w:tmpl w:val="50041352"/>
    <w:numStyleLink w:val="ListHeadings"/>
  </w:abstractNum>
  <w:abstractNum w:abstractNumId="25" w15:restartNumberingAfterBreak="0">
    <w:nsid w:val="5E2029A5"/>
    <w:multiLevelType w:val="hybridMultilevel"/>
    <w:tmpl w:val="C78CE59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60E1502C"/>
    <w:multiLevelType w:val="multilevel"/>
    <w:tmpl w:val="E500EDE0"/>
    <w:styleLink w:val="Bullets"/>
    <w:lvl w:ilvl="0">
      <w:start w:val="1"/>
      <w:numFmt w:val="bullet"/>
      <w:pStyle w:val="ListBullet"/>
      <w:lvlText w:val="•"/>
      <w:lvlJc w:val="left"/>
      <w:pPr>
        <w:ind w:left="340" w:hanging="340"/>
      </w:pPr>
      <w:rPr>
        <w:rFonts w:ascii="Arial" w:hAnsi="Arial" w:hint="default"/>
        <w:color w:val="auto"/>
      </w:rPr>
    </w:lvl>
    <w:lvl w:ilvl="1">
      <w:start w:val="1"/>
      <w:numFmt w:val="bullet"/>
      <w:pStyle w:val="ListBullet2"/>
      <w:lvlText w:val="–"/>
      <w:lvlJc w:val="left"/>
      <w:pPr>
        <w:ind w:left="680" w:hanging="340"/>
      </w:pPr>
      <w:rPr>
        <w:rFonts w:ascii="Calibri" w:hAnsi="Calibri" w:hint="default"/>
        <w:color w:val="auto"/>
      </w:rPr>
    </w:lvl>
    <w:lvl w:ilvl="2">
      <w:start w:val="1"/>
      <w:numFmt w:val="bullet"/>
      <w:pStyle w:val="ListBullet3"/>
      <w:lvlText w:val="–"/>
      <w:lvlJc w:val="left"/>
      <w:pPr>
        <w:ind w:left="1021" w:hanging="341"/>
      </w:pPr>
      <w:rPr>
        <w:rFonts w:ascii="Calibri" w:hAnsi="Calibri" w:hint="default"/>
        <w:color w:val="auto"/>
      </w:rPr>
    </w:lvl>
    <w:lvl w:ilvl="3">
      <w:start w:val="1"/>
      <w:numFmt w:val="bullet"/>
      <w:lvlText w:val="–"/>
      <w:lvlJc w:val="left"/>
      <w:pPr>
        <w:tabs>
          <w:tab w:val="num" w:pos="851"/>
        </w:tabs>
        <w:ind w:left="1134" w:hanging="283"/>
      </w:pPr>
      <w:rPr>
        <w:rFonts w:ascii="Calibri" w:hAnsi="Calibri" w:cs="Times New Roman"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27" w15:restartNumberingAfterBreak="0">
    <w:nsid w:val="68BE06B3"/>
    <w:multiLevelType w:val="hybridMultilevel"/>
    <w:tmpl w:val="728E16BC"/>
    <w:lvl w:ilvl="0" w:tplc="FFFFFFF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E7A7CED"/>
    <w:multiLevelType w:val="hybridMultilevel"/>
    <w:tmpl w:val="DCE036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2F4592D"/>
    <w:multiLevelType w:val="hybridMultilevel"/>
    <w:tmpl w:val="98EC28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79E3B2E"/>
    <w:multiLevelType w:val="hybridMultilevel"/>
    <w:tmpl w:val="F460B2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A044AFF"/>
    <w:multiLevelType w:val="hybridMultilevel"/>
    <w:tmpl w:val="DCE862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C337B69"/>
    <w:multiLevelType w:val="hybridMultilevel"/>
    <w:tmpl w:val="895E49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903418277">
    <w:abstractNumId w:val="26"/>
  </w:num>
  <w:num w:numId="2" w16cid:durableId="846598071">
    <w:abstractNumId w:val="8"/>
  </w:num>
  <w:num w:numId="3" w16cid:durableId="659580476">
    <w:abstractNumId w:val="4"/>
  </w:num>
  <w:num w:numId="4" w16cid:durableId="974717717">
    <w:abstractNumId w:val="24"/>
  </w:num>
  <w:num w:numId="5" w16cid:durableId="444039133">
    <w:abstractNumId w:val="11"/>
  </w:num>
  <w:num w:numId="6" w16cid:durableId="616912923">
    <w:abstractNumId w:val="23"/>
  </w:num>
  <w:num w:numId="7" w16cid:durableId="1744983779">
    <w:abstractNumId w:val="6"/>
  </w:num>
  <w:num w:numId="8" w16cid:durableId="940644928">
    <w:abstractNumId w:val="15"/>
  </w:num>
  <w:num w:numId="9" w16cid:durableId="1634822575">
    <w:abstractNumId w:val="19"/>
  </w:num>
  <w:num w:numId="10" w16cid:durableId="2084061549">
    <w:abstractNumId w:val="16"/>
  </w:num>
  <w:num w:numId="11" w16cid:durableId="203055693">
    <w:abstractNumId w:val="7"/>
  </w:num>
  <w:num w:numId="12" w16cid:durableId="1248031462">
    <w:abstractNumId w:val="17"/>
  </w:num>
  <w:num w:numId="13" w16cid:durableId="248127052">
    <w:abstractNumId w:val="9"/>
  </w:num>
  <w:num w:numId="14" w16cid:durableId="2143230167">
    <w:abstractNumId w:val="12"/>
  </w:num>
  <w:num w:numId="15" w16cid:durableId="642003268">
    <w:abstractNumId w:val="14"/>
  </w:num>
  <w:num w:numId="16" w16cid:durableId="2131970221">
    <w:abstractNumId w:val="27"/>
  </w:num>
  <w:num w:numId="17" w16cid:durableId="708457610">
    <w:abstractNumId w:val="13"/>
  </w:num>
  <w:num w:numId="18" w16cid:durableId="1853571403">
    <w:abstractNumId w:val="22"/>
  </w:num>
  <w:num w:numId="19" w16cid:durableId="599917414">
    <w:abstractNumId w:val="25"/>
  </w:num>
  <w:num w:numId="20" w16cid:durableId="2015910345">
    <w:abstractNumId w:val="18"/>
  </w:num>
  <w:num w:numId="21" w16cid:durableId="2029672182">
    <w:abstractNumId w:val="28"/>
  </w:num>
  <w:num w:numId="22" w16cid:durableId="320894766">
    <w:abstractNumId w:val="29"/>
  </w:num>
  <w:num w:numId="23" w16cid:durableId="1549876052">
    <w:abstractNumId w:val="20"/>
  </w:num>
  <w:num w:numId="24" w16cid:durableId="1310591327">
    <w:abstractNumId w:val="21"/>
  </w:num>
  <w:num w:numId="25" w16cid:durableId="1888375609">
    <w:abstractNumId w:val="30"/>
  </w:num>
  <w:num w:numId="26" w16cid:durableId="2070298407">
    <w:abstractNumId w:val="0"/>
  </w:num>
  <w:num w:numId="27" w16cid:durableId="1689746680">
    <w:abstractNumId w:val="2"/>
  </w:num>
  <w:num w:numId="28" w16cid:durableId="1567373829">
    <w:abstractNumId w:val="10"/>
  </w:num>
  <w:num w:numId="29" w16cid:durableId="252976419">
    <w:abstractNumId w:val="31"/>
  </w:num>
  <w:num w:numId="30" w16cid:durableId="742873300">
    <w:abstractNumId w:val="32"/>
  </w:num>
  <w:num w:numId="31" w16cid:durableId="2096827676">
    <w:abstractNumId w:val="5"/>
  </w:num>
  <w:num w:numId="32" w16cid:durableId="1756054855">
    <w:abstractNumId w:val="3"/>
  </w:num>
  <w:num w:numId="33" w16cid:durableId="446462874">
    <w:abstractNumId w:val="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01C6"/>
    <w:rsid w:val="00001759"/>
    <w:rsid w:val="00002F9B"/>
    <w:rsid w:val="00011DDA"/>
    <w:rsid w:val="00012D1B"/>
    <w:rsid w:val="0001308E"/>
    <w:rsid w:val="00017B25"/>
    <w:rsid w:val="00022689"/>
    <w:rsid w:val="00023CFD"/>
    <w:rsid w:val="0002448C"/>
    <w:rsid w:val="00024BF9"/>
    <w:rsid w:val="000250EF"/>
    <w:rsid w:val="00027EF1"/>
    <w:rsid w:val="000300AF"/>
    <w:rsid w:val="000300EA"/>
    <w:rsid w:val="0003126A"/>
    <w:rsid w:val="00032DE0"/>
    <w:rsid w:val="00033B68"/>
    <w:rsid w:val="00033D8D"/>
    <w:rsid w:val="00034F81"/>
    <w:rsid w:val="000358CB"/>
    <w:rsid w:val="00036377"/>
    <w:rsid w:val="000363F1"/>
    <w:rsid w:val="00043357"/>
    <w:rsid w:val="000463F6"/>
    <w:rsid w:val="0005053C"/>
    <w:rsid w:val="000523E6"/>
    <w:rsid w:val="0005729A"/>
    <w:rsid w:val="000640F6"/>
    <w:rsid w:val="000724AE"/>
    <w:rsid w:val="00074921"/>
    <w:rsid w:val="00076F09"/>
    <w:rsid w:val="0008037D"/>
    <w:rsid w:val="00082753"/>
    <w:rsid w:val="000901CD"/>
    <w:rsid w:val="00090D9C"/>
    <w:rsid w:val="00092413"/>
    <w:rsid w:val="00094418"/>
    <w:rsid w:val="000A1842"/>
    <w:rsid w:val="000A1FC4"/>
    <w:rsid w:val="000A6D5B"/>
    <w:rsid w:val="000A7BD8"/>
    <w:rsid w:val="000A7DD3"/>
    <w:rsid w:val="000B1DD6"/>
    <w:rsid w:val="000B2E66"/>
    <w:rsid w:val="000B497F"/>
    <w:rsid w:val="000C3F39"/>
    <w:rsid w:val="000C4EC2"/>
    <w:rsid w:val="000C6158"/>
    <w:rsid w:val="000C6FEE"/>
    <w:rsid w:val="000C704B"/>
    <w:rsid w:val="000C7906"/>
    <w:rsid w:val="000D2954"/>
    <w:rsid w:val="000D7AD5"/>
    <w:rsid w:val="000D7EE8"/>
    <w:rsid w:val="000E1D16"/>
    <w:rsid w:val="000E3B0B"/>
    <w:rsid w:val="000E7454"/>
    <w:rsid w:val="000E7D4F"/>
    <w:rsid w:val="000F07D6"/>
    <w:rsid w:val="000F09CA"/>
    <w:rsid w:val="000F1E6B"/>
    <w:rsid w:val="000F3003"/>
    <w:rsid w:val="000F6576"/>
    <w:rsid w:val="00100929"/>
    <w:rsid w:val="00100C2B"/>
    <w:rsid w:val="00104DB5"/>
    <w:rsid w:val="00106739"/>
    <w:rsid w:val="001069EE"/>
    <w:rsid w:val="00111B7F"/>
    <w:rsid w:val="00112A15"/>
    <w:rsid w:val="00112E8F"/>
    <w:rsid w:val="00113514"/>
    <w:rsid w:val="00114787"/>
    <w:rsid w:val="001148A7"/>
    <w:rsid w:val="001160D8"/>
    <w:rsid w:val="00116F70"/>
    <w:rsid w:val="00117655"/>
    <w:rsid w:val="001213C8"/>
    <w:rsid w:val="00121694"/>
    <w:rsid w:val="00122383"/>
    <w:rsid w:val="00122580"/>
    <w:rsid w:val="00123118"/>
    <w:rsid w:val="001268BC"/>
    <w:rsid w:val="00131E90"/>
    <w:rsid w:val="0013497A"/>
    <w:rsid w:val="001355D3"/>
    <w:rsid w:val="00135E1D"/>
    <w:rsid w:val="00137B09"/>
    <w:rsid w:val="00141047"/>
    <w:rsid w:val="0014247F"/>
    <w:rsid w:val="00144866"/>
    <w:rsid w:val="0015206B"/>
    <w:rsid w:val="0015387E"/>
    <w:rsid w:val="00153E12"/>
    <w:rsid w:val="00156083"/>
    <w:rsid w:val="0015651C"/>
    <w:rsid w:val="0015679A"/>
    <w:rsid w:val="00156BD2"/>
    <w:rsid w:val="001576B0"/>
    <w:rsid w:val="00161524"/>
    <w:rsid w:val="00161CD8"/>
    <w:rsid w:val="0016285E"/>
    <w:rsid w:val="001654FF"/>
    <w:rsid w:val="00171251"/>
    <w:rsid w:val="00172CF1"/>
    <w:rsid w:val="00173D61"/>
    <w:rsid w:val="00175E3A"/>
    <w:rsid w:val="0017690A"/>
    <w:rsid w:val="001825BA"/>
    <w:rsid w:val="001848B6"/>
    <w:rsid w:val="00192B25"/>
    <w:rsid w:val="00192D60"/>
    <w:rsid w:val="001975DC"/>
    <w:rsid w:val="001A0D77"/>
    <w:rsid w:val="001A1FA5"/>
    <w:rsid w:val="001A2E41"/>
    <w:rsid w:val="001A485A"/>
    <w:rsid w:val="001A5D0C"/>
    <w:rsid w:val="001A6CAC"/>
    <w:rsid w:val="001A710E"/>
    <w:rsid w:val="001B029B"/>
    <w:rsid w:val="001B6044"/>
    <w:rsid w:val="001B6AE2"/>
    <w:rsid w:val="001C08AF"/>
    <w:rsid w:val="001C486A"/>
    <w:rsid w:val="001C51BB"/>
    <w:rsid w:val="001C5D3D"/>
    <w:rsid w:val="001C7835"/>
    <w:rsid w:val="001D16E3"/>
    <w:rsid w:val="001D20A4"/>
    <w:rsid w:val="001D6EBF"/>
    <w:rsid w:val="001E079C"/>
    <w:rsid w:val="001E1AC8"/>
    <w:rsid w:val="001E2B06"/>
    <w:rsid w:val="001E4C19"/>
    <w:rsid w:val="001F13C1"/>
    <w:rsid w:val="001F23A2"/>
    <w:rsid w:val="001F35D1"/>
    <w:rsid w:val="001F446D"/>
    <w:rsid w:val="001F51C8"/>
    <w:rsid w:val="001F6314"/>
    <w:rsid w:val="001F640D"/>
    <w:rsid w:val="00200B92"/>
    <w:rsid w:val="002017FB"/>
    <w:rsid w:val="00201DBD"/>
    <w:rsid w:val="00202FFF"/>
    <w:rsid w:val="002068CA"/>
    <w:rsid w:val="00210446"/>
    <w:rsid w:val="0021396C"/>
    <w:rsid w:val="00221AB7"/>
    <w:rsid w:val="00222258"/>
    <w:rsid w:val="00222CE1"/>
    <w:rsid w:val="00224FCD"/>
    <w:rsid w:val="002254FB"/>
    <w:rsid w:val="002425CD"/>
    <w:rsid w:val="00244A27"/>
    <w:rsid w:val="00246435"/>
    <w:rsid w:val="00246BCF"/>
    <w:rsid w:val="00246FD0"/>
    <w:rsid w:val="00247564"/>
    <w:rsid w:val="00252850"/>
    <w:rsid w:val="00252CE6"/>
    <w:rsid w:val="00256F96"/>
    <w:rsid w:val="0026339E"/>
    <w:rsid w:val="0026503B"/>
    <w:rsid w:val="0026583A"/>
    <w:rsid w:val="0027021F"/>
    <w:rsid w:val="00270834"/>
    <w:rsid w:val="00270A39"/>
    <w:rsid w:val="00271A8D"/>
    <w:rsid w:val="00272F7F"/>
    <w:rsid w:val="002814E6"/>
    <w:rsid w:val="00282455"/>
    <w:rsid w:val="00286A3A"/>
    <w:rsid w:val="00291001"/>
    <w:rsid w:val="0029182C"/>
    <w:rsid w:val="00292A9F"/>
    <w:rsid w:val="00292CB8"/>
    <w:rsid w:val="002936EA"/>
    <w:rsid w:val="00293E89"/>
    <w:rsid w:val="00295438"/>
    <w:rsid w:val="002A2B58"/>
    <w:rsid w:val="002A3AF3"/>
    <w:rsid w:val="002A4A7A"/>
    <w:rsid w:val="002A6796"/>
    <w:rsid w:val="002A6A4F"/>
    <w:rsid w:val="002A7589"/>
    <w:rsid w:val="002A7592"/>
    <w:rsid w:val="002B024C"/>
    <w:rsid w:val="002B19CE"/>
    <w:rsid w:val="002B252A"/>
    <w:rsid w:val="002B2D28"/>
    <w:rsid w:val="002B2E86"/>
    <w:rsid w:val="002B2F17"/>
    <w:rsid w:val="002C215B"/>
    <w:rsid w:val="002C299B"/>
    <w:rsid w:val="002C77E9"/>
    <w:rsid w:val="002D541D"/>
    <w:rsid w:val="002D7FC0"/>
    <w:rsid w:val="002E09B7"/>
    <w:rsid w:val="002E0EDA"/>
    <w:rsid w:val="002E1FFF"/>
    <w:rsid w:val="002E512D"/>
    <w:rsid w:val="002F0465"/>
    <w:rsid w:val="002F3D9E"/>
    <w:rsid w:val="002F5592"/>
    <w:rsid w:val="002F781B"/>
    <w:rsid w:val="003014D5"/>
    <w:rsid w:val="003028A4"/>
    <w:rsid w:val="00305171"/>
    <w:rsid w:val="003066BE"/>
    <w:rsid w:val="003102EA"/>
    <w:rsid w:val="00313B75"/>
    <w:rsid w:val="0031582D"/>
    <w:rsid w:val="00315962"/>
    <w:rsid w:val="00316375"/>
    <w:rsid w:val="00320E24"/>
    <w:rsid w:val="003211B2"/>
    <w:rsid w:val="003238DB"/>
    <w:rsid w:val="00327875"/>
    <w:rsid w:val="00330337"/>
    <w:rsid w:val="003307B2"/>
    <w:rsid w:val="0033090C"/>
    <w:rsid w:val="00331F18"/>
    <w:rsid w:val="00332E0F"/>
    <w:rsid w:val="00336C1B"/>
    <w:rsid w:val="00345E7C"/>
    <w:rsid w:val="0034680A"/>
    <w:rsid w:val="00346827"/>
    <w:rsid w:val="00350557"/>
    <w:rsid w:val="00353736"/>
    <w:rsid w:val="003545B0"/>
    <w:rsid w:val="00357AE4"/>
    <w:rsid w:val="00360B23"/>
    <w:rsid w:val="00361777"/>
    <w:rsid w:val="0036336F"/>
    <w:rsid w:val="00363FF8"/>
    <w:rsid w:val="00364F58"/>
    <w:rsid w:val="00366C87"/>
    <w:rsid w:val="003676EF"/>
    <w:rsid w:val="00370515"/>
    <w:rsid w:val="00371D8F"/>
    <w:rsid w:val="0037502D"/>
    <w:rsid w:val="00376E9E"/>
    <w:rsid w:val="0037721D"/>
    <w:rsid w:val="00377257"/>
    <w:rsid w:val="003775BC"/>
    <w:rsid w:val="0038102A"/>
    <w:rsid w:val="0038399B"/>
    <w:rsid w:val="00390D6E"/>
    <w:rsid w:val="00391548"/>
    <w:rsid w:val="00392046"/>
    <w:rsid w:val="00392B95"/>
    <w:rsid w:val="003937CD"/>
    <w:rsid w:val="00394D69"/>
    <w:rsid w:val="00395A30"/>
    <w:rsid w:val="003977B2"/>
    <w:rsid w:val="003A1913"/>
    <w:rsid w:val="003A2FE5"/>
    <w:rsid w:val="003A33AB"/>
    <w:rsid w:val="003A45A7"/>
    <w:rsid w:val="003B0182"/>
    <w:rsid w:val="003B23CD"/>
    <w:rsid w:val="003B3FD5"/>
    <w:rsid w:val="003B4235"/>
    <w:rsid w:val="003B4E3E"/>
    <w:rsid w:val="003B5A00"/>
    <w:rsid w:val="003C4C70"/>
    <w:rsid w:val="003C7CE2"/>
    <w:rsid w:val="003D022C"/>
    <w:rsid w:val="003D0C9E"/>
    <w:rsid w:val="003D23A3"/>
    <w:rsid w:val="003D3729"/>
    <w:rsid w:val="003D3BD3"/>
    <w:rsid w:val="003D3C2E"/>
    <w:rsid w:val="003D5856"/>
    <w:rsid w:val="003D5E52"/>
    <w:rsid w:val="003D6196"/>
    <w:rsid w:val="003D765A"/>
    <w:rsid w:val="003D781E"/>
    <w:rsid w:val="003D7DF5"/>
    <w:rsid w:val="003E0037"/>
    <w:rsid w:val="003E26AB"/>
    <w:rsid w:val="003E2762"/>
    <w:rsid w:val="003E4640"/>
    <w:rsid w:val="003E5F6D"/>
    <w:rsid w:val="003E6CE3"/>
    <w:rsid w:val="003F4200"/>
    <w:rsid w:val="003F640B"/>
    <w:rsid w:val="0040040E"/>
    <w:rsid w:val="00404E4F"/>
    <w:rsid w:val="00405EAE"/>
    <w:rsid w:val="004125A0"/>
    <w:rsid w:val="00413251"/>
    <w:rsid w:val="0041356C"/>
    <w:rsid w:val="00413673"/>
    <w:rsid w:val="0041382B"/>
    <w:rsid w:val="00413A09"/>
    <w:rsid w:val="004158C5"/>
    <w:rsid w:val="0041673A"/>
    <w:rsid w:val="00416A25"/>
    <w:rsid w:val="00416FC6"/>
    <w:rsid w:val="0042044C"/>
    <w:rsid w:val="0042156A"/>
    <w:rsid w:val="00421A75"/>
    <w:rsid w:val="0042339A"/>
    <w:rsid w:val="0042508F"/>
    <w:rsid w:val="00430795"/>
    <w:rsid w:val="00430FCA"/>
    <w:rsid w:val="00431292"/>
    <w:rsid w:val="0043202C"/>
    <w:rsid w:val="00432E8E"/>
    <w:rsid w:val="0043402F"/>
    <w:rsid w:val="00443134"/>
    <w:rsid w:val="00443BB5"/>
    <w:rsid w:val="00446D0E"/>
    <w:rsid w:val="00446EC0"/>
    <w:rsid w:val="00447E27"/>
    <w:rsid w:val="004516BB"/>
    <w:rsid w:val="0045262A"/>
    <w:rsid w:val="00454B5A"/>
    <w:rsid w:val="00455177"/>
    <w:rsid w:val="004623F5"/>
    <w:rsid w:val="00462A2C"/>
    <w:rsid w:val="004635FD"/>
    <w:rsid w:val="004636F5"/>
    <w:rsid w:val="00464D19"/>
    <w:rsid w:val="004724DB"/>
    <w:rsid w:val="00473C8F"/>
    <w:rsid w:val="00473F98"/>
    <w:rsid w:val="0047501C"/>
    <w:rsid w:val="00475BAC"/>
    <w:rsid w:val="0047662C"/>
    <w:rsid w:val="00480C6F"/>
    <w:rsid w:val="00482939"/>
    <w:rsid w:val="00483045"/>
    <w:rsid w:val="00485BF1"/>
    <w:rsid w:val="00491911"/>
    <w:rsid w:val="00493CF2"/>
    <w:rsid w:val="00493F22"/>
    <w:rsid w:val="00496866"/>
    <w:rsid w:val="004A09BC"/>
    <w:rsid w:val="004A22E0"/>
    <w:rsid w:val="004A433E"/>
    <w:rsid w:val="004A64F1"/>
    <w:rsid w:val="004B06CD"/>
    <w:rsid w:val="004B609E"/>
    <w:rsid w:val="004B6C7D"/>
    <w:rsid w:val="004C09C7"/>
    <w:rsid w:val="004C0B1F"/>
    <w:rsid w:val="004C2AC9"/>
    <w:rsid w:val="004C5D6E"/>
    <w:rsid w:val="004C5EA1"/>
    <w:rsid w:val="004C6CCD"/>
    <w:rsid w:val="004C6CE2"/>
    <w:rsid w:val="004D336D"/>
    <w:rsid w:val="004D76B2"/>
    <w:rsid w:val="004E0833"/>
    <w:rsid w:val="004E0C0A"/>
    <w:rsid w:val="004E28C6"/>
    <w:rsid w:val="004E561D"/>
    <w:rsid w:val="004F138F"/>
    <w:rsid w:val="004F27BF"/>
    <w:rsid w:val="004F3198"/>
    <w:rsid w:val="004F4ACC"/>
    <w:rsid w:val="004F7D72"/>
    <w:rsid w:val="00500C61"/>
    <w:rsid w:val="00502144"/>
    <w:rsid w:val="005025D3"/>
    <w:rsid w:val="00503D23"/>
    <w:rsid w:val="0050492F"/>
    <w:rsid w:val="00504B4A"/>
    <w:rsid w:val="005065AD"/>
    <w:rsid w:val="0050670B"/>
    <w:rsid w:val="00506E37"/>
    <w:rsid w:val="0050714F"/>
    <w:rsid w:val="005141E8"/>
    <w:rsid w:val="0051487F"/>
    <w:rsid w:val="005156B1"/>
    <w:rsid w:val="00516A02"/>
    <w:rsid w:val="00520B62"/>
    <w:rsid w:val="00520B85"/>
    <w:rsid w:val="005216CF"/>
    <w:rsid w:val="00521C49"/>
    <w:rsid w:val="005234CE"/>
    <w:rsid w:val="005236D5"/>
    <w:rsid w:val="00527A9A"/>
    <w:rsid w:val="00531503"/>
    <w:rsid w:val="005325AB"/>
    <w:rsid w:val="00534EC8"/>
    <w:rsid w:val="00537327"/>
    <w:rsid w:val="0054070A"/>
    <w:rsid w:val="00541EC1"/>
    <w:rsid w:val="00541F59"/>
    <w:rsid w:val="0054648C"/>
    <w:rsid w:val="00550C99"/>
    <w:rsid w:val="00550EEA"/>
    <w:rsid w:val="00553413"/>
    <w:rsid w:val="00553E9E"/>
    <w:rsid w:val="00557B11"/>
    <w:rsid w:val="005612EB"/>
    <w:rsid w:val="00562E45"/>
    <w:rsid w:val="00563118"/>
    <w:rsid w:val="005712DC"/>
    <w:rsid w:val="0057441B"/>
    <w:rsid w:val="00574423"/>
    <w:rsid w:val="00575EB4"/>
    <w:rsid w:val="00577E2E"/>
    <w:rsid w:val="0058169E"/>
    <w:rsid w:val="00581779"/>
    <w:rsid w:val="0058369E"/>
    <w:rsid w:val="00583A1F"/>
    <w:rsid w:val="005841B8"/>
    <w:rsid w:val="00584202"/>
    <w:rsid w:val="00585A54"/>
    <w:rsid w:val="00590A4E"/>
    <w:rsid w:val="00592D85"/>
    <w:rsid w:val="00593314"/>
    <w:rsid w:val="0059394E"/>
    <w:rsid w:val="00594496"/>
    <w:rsid w:val="005A2537"/>
    <w:rsid w:val="005A62ED"/>
    <w:rsid w:val="005B33D0"/>
    <w:rsid w:val="005B36DF"/>
    <w:rsid w:val="005B5F35"/>
    <w:rsid w:val="005B65C4"/>
    <w:rsid w:val="005C43B3"/>
    <w:rsid w:val="005C6618"/>
    <w:rsid w:val="005D09CA"/>
    <w:rsid w:val="005D245D"/>
    <w:rsid w:val="005D2A14"/>
    <w:rsid w:val="005D5A73"/>
    <w:rsid w:val="005D6D9A"/>
    <w:rsid w:val="005E2C52"/>
    <w:rsid w:val="005E4AAD"/>
    <w:rsid w:val="005E4CA5"/>
    <w:rsid w:val="005F0C2C"/>
    <w:rsid w:val="005F69A8"/>
    <w:rsid w:val="00602C13"/>
    <w:rsid w:val="00603FD5"/>
    <w:rsid w:val="0060663E"/>
    <w:rsid w:val="00611761"/>
    <w:rsid w:val="006125EC"/>
    <w:rsid w:val="00616DC8"/>
    <w:rsid w:val="006218B3"/>
    <w:rsid w:val="00621BD5"/>
    <w:rsid w:val="00627BC0"/>
    <w:rsid w:val="00630481"/>
    <w:rsid w:val="0063117B"/>
    <w:rsid w:val="00635B74"/>
    <w:rsid w:val="006415D9"/>
    <w:rsid w:val="00644043"/>
    <w:rsid w:val="00646423"/>
    <w:rsid w:val="00654349"/>
    <w:rsid w:val="00662444"/>
    <w:rsid w:val="006629FF"/>
    <w:rsid w:val="00663868"/>
    <w:rsid w:val="0067014A"/>
    <w:rsid w:val="006734D0"/>
    <w:rsid w:val="00674DE9"/>
    <w:rsid w:val="0067574C"/>
    <w:rsid w:val="00676164"/>
    <w:rsid w:val="006778BB"/>
    <w:rsid w:val="006803FE"/>
    <w:rsid w:val="00682133"/>
    <w:rsid w:val="006842A9"/>
    <w:rsid w:val="00684A42"/>
    <w:rsid w:val="0068724F"/>
    <w:rsid w:val="00690637"/>
    <w:rsid w:val="0069091E"/>
    <w:rsid w:val="00693358"/>
    <w:rsid w:val="006934FA"/>
    <w:rsid w:val="00693FAF"/>
    <w:rsid w:val="00695257"/>
    <w:rsid w:val="006A045C"/>
    <w:rsid w:val="006A1B4D"/>
    <w:rsid w:val="006A1DEF"/>
    <w:rsid w:val="006A56F0"/>
    <w:rsid w:val="006A576F"/>
    <w:rsid w:val="006A681E"/>
    <w:rsid w:val="006B0569"/>
    <w:rsid w:val="006B25E9"/>
    <w:rsid w:val="006B43C0"/>
    <w:rsid w:val="006C0DB6"/>
    <w:rsid w:val="006C1D8D"/>
    <w:rsid w:val="006C217F"/>
    <w:rsid w:val="006C4AF4"/>
    <w:rsid w:val="006C55C8"/>
    <w:rsid w:val="006C72BD"/>
    <w:rsid w:val="006D1FB1"/>
    <w:rsid w:val="006D3480"/>
    <w:rsid w:val="006D3F2F"/>
    <w:rsid w:val="006E1418"/>
    <w:rsid w:val="006E2139"/>
    <w:rsid w:val="006E3536"/>
    <w:rsid w:val="006F1726"/>
    <w:rsid w:val="006F333D"/>
    <w:rsid w:val="006F4D89"/>
    <w:rsid w:val="006F4FAC"/>
    <w:rsid w:val="006F6DF6"/>
    <w:rsid w:val="0070342B"/>
    <w:rsid w:val="0070428E"/>
    <w:rsid w:val="00707004"/>
    <w:rsid w:val="007117DD"/>
    <w:rsid w:val="00711B9E"/>
    <w:rsid w:val="00712CE5"/>
    <w:rsid w:val="0071417B"/>
    <w:rsid w:val="00714488"/>
    <w:rsid w:val="00714FB5"/>
    <w:rsid w:val="00715BCB"/>
    <w:rsid w:val="00716FC0"/>
    <w:rsid w:val="00723771"/>
    <w:rsid w:val="00723AC9"/>
    <w:rsid w:val="00724B6C"/>
    <w:rsid w:val="007254A7"/>
    <w:rsid w:val="007353B5"/>
    <w:rsid w:val="0073592B"/>
    <w:rsid w:val="007449D0"/>
    <w:rsid w:val="0074654C"/>
    <w:rsid w:val="00752868"/>
    <w:rsid w:val="00753A73"/>
    <w:rsid w:val="00763D8C"/>
    <w:rsid w:val="007678D7"/>
    <w:rsid w:val="0077353F"/>
    <w:rsid w:val="00773F3B"/>
    <w:rsid w:val="007758EB"/>
    <w:rsid w:val="00780562"/>
    <w:rsid w:val="00782EBE"/>
    <w:rsid w:val="00787C13"/>
    <w:rsid w:val="00787CE6"/>
    <w:rsid w:val="0079016C"/>
    <w:rsid w:val="0079114F"/>
    <w:rsid w:val="00792163"/>
    <w:rsid w:val="007945CE"/>
    <w:rsid w:val="0079626C"/>
    <w:rsid w:val="0079645F"/>
    <w:rsid w:val="00797EE2"/>
    <w:rsid w:val="007A0363"/>
    <w:rsid w:val="007A08B1"/>
    <w:rsid w:val="007A0B16"/>
    <w:rsid w:val="007A27FE"/>
    <w:rsid w:val="007B107C"/>
    <w:rsid w:val="007B37F0"/>
    <w:rsid w:val="007B3E6F"/>
    <w:rsid w:val="007B40F4"/>
    <w:rsid w:val="007B5681"/>
    <w:rsid w:val="007B7F43"/>
    <w:rsid w:val="007C090F"/>
    <w:rsid w:val="007C10F9"/>
    <w:rsid w:val="007C2661"/>
    <w:rsid w:val="007C3138"/>
    <w:rsid w:val="007C50E6"/>
    <w:rsid w:val="007C5D8B"/>
    <w:rsid w:val="007C746C"/>
    <w:rsid w:val="007D007A"/>
    <w:rsid w:val="007D0BF7"/>
    <w:rsid w:val="007D5AA5"/>
    <w:rsid w:val="007E32D2"/>
    <w:rsid w:val="007E55D1"/>
    <w:rsid w:val="007F14C8"/>
    <w:rsid w:val="007F3F5D"/>
    <w:rsid w:val="007F6D17"/>
    <w:rsid w:val="007F70C0"/>
    <w:rsid w:val="00801808"/>
    <w:rsid w:val="00802381"/>
    <w:rsid w:val="008037B6"/>
    <w:rsid w:val="00804D91"/>
    <w:rsid w:val="00807BF4"/>
    <w:rsid w:val="00807CA5"/>
    <w:rsid w:val="00811014"/>
    <w:rsid w:val="00811B75"/>
    <w:rsid w:val="00812CF6"/>
    <w:rsid w:val="0081533C"/>
    <w:rsid w:val="00817C53"/>
    <w:rsid w:val="00820A16"/>
    <w:rsid w:val="008229BD"/>
    <w:rsid w:val="008272C3"/>
    <w:rsid w:val="00827FB5"/>
    <w:rsid w:val="00830F5A"/>
    <w:rsid w:val="00835E3A"/>
    <w:rsid w:val="0083654B"/>
    <w:rsid w:val="00837F2A"/>
    <w:rsid w:val="00841018"/>
    <w:rsid w:val="00843AE6"/>
    <w:rsid w:val="008451C7"/>
    <w:rsid w:val="008462D2"/>
    <w:rsid w:val="0085439B"/>
    <w:rsid w:val="00854BDF"/>
    <w:rsid w:val="00855EDE"/>
    <w:rsid w:val="008561CD"/>
    <w:rsid w:val="0086005E"/>
    <w:rsid w:val="00862568"/>
    <w:rsid w:val="008659F5"/>
    <w:rsid w:val="00871218"/>
    <w:rsid w:val="008728BF"/>
    <w:rsid w:val="00874EBD"/>
    <w:rsid w:val="00876558"/>
    <w:rsid w:val="00882CE3"/>
    <w:rsid w:val="00884099"/>
    <w:rsid w:val="00884E9F"/>
    <w:rsid w:val="00885859"/>
    <w:rsid w:val="00885D5B"/>
    <w:rsid w:val="00886C64"/>
    <w:rsid w:val="00887F6B"/>
    <w:rsid w:val="00887F94"/>
    <w:rsid w:val="0089026B"/>
    <w:rsid w:val="0089033D"/>
    <w:rsid w:val="008921CA"/>
    <w:rsid w:val="00894611"/>
    <w:rsid w:val="00894B6A"/>
    <w:rsid w:val="00895BF3"/>
    <w:rsid w:val="00896637"/>
    <w:rsid w:val="008A007F"/>
    <w:rsid w:val="008A6136"/>
    <w:rsid w:val="008A65B8"/>
    <w:rsid w:val="008A6FC9"/>
    <w:rsid w:val="008B05C3"/>
    <w:rsid w:val="008B061B"/>
    <w:rsid w:val="008B2178"/>
    <w:rsid w:val="008B41D4"/>
    <w:rsid w:val="008B4965"/>
    <w:rsid w:val="008B50E0"/>
    <w:rsid w:val="008C0769"/>
    <w:rsid w:val="008C1AFB"/>
    <w:rsid w:val="008C2A8C"/>
    <w:rsid w:val="008C42FC"/>
    <w:rsid w:val="008C5FA8"/>
    <w:rsid w:val="008D1ABD"/>
    <w:rsid w:val="008D1D4F"/>
    <w:rsid w:val="008D1F29"/>
    <w:rsid w:val="008D5CBD"/>
    <w:rsid w:val="008D7EEC"/>
    <w:rsid w:val="008E0075"/>
    <w:rsid w:val="008E1D08"/>
    <w:rsid w:val="008E2185"/>
    <w:rsid w:val="008E2321"/>
    <w:rsid w:val="008E35EB"/>
    <w:rsid w:val="008E4555"/>
    <w:rsid w:val="008E5184"/>
    <w:rsid w:val="008E60D7"/>
    <w:rsid w:val="008E6758"/>
    <w:rsid w:val="008F520E"/>
    <w:rsid w:val="008F5219"/>
    <w:rsid w:val="008F5D9F"/>
    <w:rsid w:val="008F70D1"/>
    <w:rsid w:val="0090137A"/>
    <w:rsid w:val="00904E47"/>
    <w:rsid w:val="00905D4F"/>
    <w:rsid w:val="009064EF"/>
    <w:rsid w:val="00914EEE"/>
    <w:rsid w:val="00915633"/>
    <w:rsid w:val="00916193"/>
    <w:rsid w:val="00916296"/>
    <w:rsid w:val="00916D71"/>
    <w:rsid w:val="00917AB1"/>
    <w:rsid w:val="00917EE5"/>
    <w:rsid w:val="00921B0A"/>
    <w:rsid w:val="00925EC5"/>
    <w:rsid w:val="00927E50"/>
    <w:rsid w:val="009327D1"/>
    <w:rsid w:val="009336FC"/>
    <w:rsid w:val="009337DF"/>
    <w:rsid w:val="00934628"/>
    <w:rsid w:val="00935D42"/>
    <w:rsid w:val="00936068"/>
    <w:rsid w:val="0093778C"/>
    <w:rsid w:val="0094488F"/>
    <w:rsid w:val="00944EB9"/>
    <w:rsid w:val="00950B56"/>
    <w:rsid w:val="0095119B"/>
    <w:rsid w:val="009517CC"/>
    <w:rsid w:val="00953B4A"/>
    <w:rsid w:val="00955AB5"/>
    <w:rsid w:val="0095616E"/>
    <w:rsid w:val="00956AF4"/>
    <w:rsid w:val="0095722F"/>
    <w:rsid w:val="009601AB"/>
    <w:rsid w:val="0096158E"/>
    <w:rsid w:val="009615D4"/>
    <w:rsid w:val="009626EC"/>
    <w:rsid w:val="009628D1"/>
    <w:rsid w:val="00966957"/>
    <w:rsid w:val="00970E15"/>
    <w:rsid w:val="00971087"/>
    <w:rsid w:val="00971A2D"/>
    <w:rsid w:val="009721B9"/>
    <w:rsid w:val="009723BF"/>
    <w:rsid w:val="00972AC9"/>
    <w:rsid w:val="009732A6"/>
    <w:rsid w:val="00973AA4"/>
    <w:rsid w:val="00974677"/>
    <w:rsid w:val="00975891"/>
    <w:rsid w:val="00981979"/>
    <w:rsid w:val="00983742"/>
    <w:rsid w:val="009838D2"/>
    <w:rsid w:val="009838E7"/>
    <w:rsid w:val="0098648D"/>
    <w:rsid w:val="00992E1E"/>
    <w:rsid w:val="0099556B"/>
    <w:rsid w:val="00995DD1"/>
    <w:rsid w:val="009977E1"/>
    <w:rsid w:val="009A2AC2"/>
    <w:rsid w:val="009A2F17"/>
    <w:rsid w:val="009A3CC8"/>
    <w:rsid w:val="009A4681"/>
    <w:rsid w:val="009A50F6"/>
    <w:rsid w:val="009B163C"/>
    <w:rsid w:val="009B4B2E"/>
    <w:rsid w:val="009B7A73"/>
    <w:rsid w:val="009C0A9E"/>
    <w:rsid w:val="009C0F55"/>
    <w:rsid w:val="009C1114"/>
    <w:rsid w:val="009C12CE"/>
    <w:rsid w:val="009C323B"/>
    <w:rsid w:val="009C3950"/>
    <w:rsid w:val="009C5432"/>
    <w:rsid w:val="009D0052"/>
    <w:rsid w:val="009D24EA"/>
    <w:rsid w:val="009D24F5"/>
    <w:rsid w:val="009D2D05"/>
    <w:rsid w:val="009D5A3E"/>
    <w:rsid w:val="009D6191"/>
    <w:rsid w:val="009D711C"/>
    <w:rsid w:val="009E3555"/>
    <w:rsid w:val="009E3AC1"/>
    <w:rsid w:val="009E7BA2"/>
    <w:rsid w:val="009F0C0F"/>
    <w:rsid w:val="009F4A6C"/>
    <w:rsid w:val="009F5683"/>
    <w:rsid w:val="00A00FDC"/>
    <w:rsid w:val="00A01BB5"/>
    <w:rsid w:val="00A01F26"/>
    <w:rsid w:val="00A04A71"/>
    <w:rsid w:val="00A05D15"/>
    <w:rsid w:val="00A06319"/>
    <w:rsid w:val="00A10038"/>
    <w:rsid w:val="00A1205E"/>
    <w:rsid w:val="00A13664"/>
    <w:rsid w:val="00A151DA"/>
    <w:rsid w:val="00A16E2A"/>
    <w:rsid w:val="00A208F0"/>
    <w:rsid w:val="00A22047"/>
    <w:rsid w:val="00A22F36"/>
    <w:rsid w:val="00A232A3"/>
    <w:rsid w:val="00A24EF4"/>
    <w:rsid w:val="00A27786"/>
    <w:rsid w:val="00A27E44"/>
    <w:rsid w:val="00A3317F"/>
    <w:rsid w:val="00A335EF"/>
    <w:rsid w:val="00A33747"/>
    <w:rsid w:val="00A36E99"/>
    <w:rsid w:val="00A4121C"/>
    <w:rsid w:val="00A421C0"/>
    <w:rsid w:val="00A42412"/>
    <w:rsid w:val="00A43587"/>
    <w:rsid w:val="00A46DA0"/>
    <w:rsid w:val="00A47933"/>
    <w:rsid w:val="00A47D36"/>
    <w:rsid w:val="00A50359"/>
    <w:rsid w:val="00A548B8"/>
    <w:rsid w:val="00A5573D"/>
    <w:rsid w:val="00A60C3B"/>
    <w:rsid w:val="00A620B4"/>
    <w:rsid w:val="00A640BD"/>
    <w:rsid w:val="00A67AC5"/>
    <w:rsid w:val="00A67F5C"/>
    <w:rsid w:val="00A7228A"/>
    <w:rsid w:val="00A746B0"/>
    <w:rsid w:val="00A74FB7"/>
    <w:rsid w:val="00A76BC7"/>
    <w:rsid w:val="00A83DDA"/>
    <w:rsid w:val="00A90151"/>
    <w:rsid w:val="00A9135A"/>
    <w:rsid w:val="00A91388"/>
    <w:rsid w:val="00A923FB"/>
    <w:rsid w:val="00A9359B"/>
    <w:rsid w:val="00A93B59"/>
    <w:rsid w:val="00A93C3C"/>
    <w:rsid w:val="00A944BB"/>
    <w:rsid w:val="00A9578F"/>
    <w:rsid w:val="00A96058"/>
    <w:rsid w:val="00A96A6A"/>
    <w:rsid w:val="00A97CA3"/>
    <w:rsid w:val="00AA163B"/>
    <w:rsid w:val="00AA4347"/>
    <w:rsid w:val="00AA4991"/>
    <w:rsid w:val="00AA7F7B"/>
    <w:rsid w:val="00AB15B7"/>
    <w:rsid w:val="00AB28D0"/>
    <w:rsid w:val="00AB5B89"/>
    <w:rsid w:val="00AB5F12"/>
    <w:rsid w:val="00AB7528"/>
    <w:rsid w:val="00AB7E85"/>
    <w:rsid w:val="00AC0558"/>
    <w:rsid w:val="00AC0822"/>
    <w:rsid w:val="00AC1625"/>
    <w:rsid w:val="00AC5D0E"/>
    <w:rsid w:val="00AC644A"/>
    <w:rsid w:val="00AC7830"/>
    <w:rsid w:val="00AD0A1C"/>
    <w:rsid w:val="00AD3402"/>
    <w:rsid w:val="00AD3629"/>
    <w:rsid w:val="00AD38E0"/>
    <w:rsid w:val="00AD450C"/>
    <w:rsid w:val="00AD4C11"/>
    <w:rsid w:val="00AD5ED9"/>
    <w:rsid w:val="00AD78CF"/>
    <w:rsid w:val="00AE01C6"/>
    <w:rsid w:val="00AE16BC"/>
    <w:rsid w:val="00AE2708"/>
    <w:rsid w:val="00AE5B71"/>
    <w:rsid w:val="00AE6836"/>
    <w:rsid w:val="00AE721A"/>
    <w:rsid w:val="00AE7D3F"/>
    <w:rsid w:val="00AF05A5"/>
    <w:rsid w:val="00AF133B"/>
    <w:rsid w:val="00B00253"/>
    <w:rsid w:val="00B0051F"/>
    <w:rsid w:val="00B014EF"/>
    <w:rsid w:val="00B05BC3"/>
    <w:rsid w:val="00B05D95"/>
    <w:rsid w:val="00B13F89"/>
    <w:rsid w:val="00B14A83"/>
    <w:rsid w:val="00B153EB"/>
    <w:rsid w:val="00B15FD2"/>
    <w:rsid w:val="00B1639A"/>
    <w:rsid w:val="00B20244"/>
    <w:rsid w:val="00B21F04"/>
    <w:rsid w:val="00B2351C"/>
    <w:rsid w:val="00B23603"/>
    <w:rsid w:val="00B255CB"/>
    <w:rsid w:val="00B31907"/>
    <w:rsid w:val="00B32D6C"/>
    <w:rsid w:val="00B331F7"/>
    <w:rsid w:val="00B34694"/>
    <w:rsid w:val="00B35490"/>
    <w:rsid w:val="00B3630B"/>
    <w:rsid w:val="00B37422"/>
    <w:rsid w:val="00B3749D"/>
    <w:rsid w:val="00B4035A"/>
    <w:rsid w:val="00B41B57"/>
    <w:rsid w:val="00B4620C"/>
    <w:rsid w:val="00B515B2"/>
    <w:rsid w:val="00B523F3"/>
    <w:rsid w:val="00B52AFF"/>
    <w:rsid w:val="00B535C1"/>
    <w:rsid w:val="00B56695"/>
    <w:rsid w:val="00B567DC"/>
    <w:rsid w:val="00B612BB"/>
    <w:rsid w:val="00B63120"/>
    <w:rsid w:val="00B641EE"/>
    <w:rsid w:val="00B65811"/>
    <w:rsid w:val="00B65DAA"/>
    <w:rsid w:val="00B66B2F"/>
    <w:rsid w:val="00B700A5"/>
    <w:rsid w:val="00B74F7F"/>
    <w:rsid w:val="00B7506C"/>
    <w:rsid w:val="00B75B08"/>
    <w:rsid w:val="00B760C2"/>
    <w:rsid w:val="00B76F91"/>
    <w:rsid w:val="00B84893"/>
    <w:rsid w:val="00B857BA"/>
    <w:rsid w:val="00B85B56"/>
    <w:rsid w:val="00B86893"/>
    <w:rsid w:val="00B87859"/>
    <w:rsid w:val="00B91D47"/>
    <w:rsid w:val="00B922FB"/>
    <w:rsid w:val="00B97191"/>
    <w:rsid w:val="00BA05DF"/>
    <w:rsid w:val="00BA2F58"/>
    <w:rsid w:val="00BA347A"/>
    <w:rsid w:val="00BA3CB8"/>
    <w:rsid w:val="00BA4A25"/>
    <w:rsid w:val="00BA7623"/>
    <w:rsid w:val="00BB02DA"/>
    <w:rsid w:val="00BB4833"/>
    <w:rsid w:val="00BC09F5"/>
    <w:rsid w:val="00BC4857"/>
    <w:rsid w:val="00BC5958"/>
    <w:rsid w:val="00BD085B"/>
    <w:rsid w:val="00BD0BCD"/>
    <w:rsid w:val="00BD4752"/>
    <w:rsid w:val="00BD5080"/>
    <w:rsid w:val="00BD5A79"/>
    <w:rsid w:val="00BD7A90"/>
    <w:rsid w:val="00BD7B68"/>
    <w:rsid w:val="00BD7FB4"/>
    <w:rsid w:val="00BE3A38"/>
    <w:rsid w:val="00BE5389"/>
    <w:rsid w:val="00BE753F"/>
    <w:rsid w:val="00BE7898"/>
    <w:rsid w:val="00BE7B2D"/>
    <w:rsid w:val="00BF1E68"/>
    <w:rsid w:val="00BF1EB8"/>
    <w:rsid w:val="00BF57A5"/>
    <w:rsid w:val="00BF68C8"/>
    <w:rsid w:val="00C00DF7"/>
    <w:rsid w:val="00C01BB7"/>
    <w:rsid w:val="00C01C3B"/>
    <w:rsid w:val="00C01E68"/>
    <w:rsid w:val="00C02941"/>
    <w:rsid w:val="00C02B61"/>
    <w:rsid w:val="00C0323E"/>
    <w:rsid w:val="00C03E0C"/>
    <w:rsid w:val="00C05406"/>
    <w:rsid w:val="00C07FFB"/>
    <w:rsid w:val="00C11924"/>
    <w:rsid w:val="00C13A33"/>
    <w:rsid w:val="00C13A8B"/>
    <w:rsid w:val="00C141BB"/>
    <w:rsid w:val="00C1499B"/>
    <w:rsid w:val="00C15CEC"/>
    <w:rsid w:val="00C16983"/>
    <w:rsid w:val="00C21464"/>
    <w:rsid w:val="00C24892"/>
    <w:rsid w:val="00C24DC7"/>
    <w:rsid w:val="00C273F3"/>
    <w:rsid w:val="00C32477"/>
    <w:rsid w:val="00C326F9"/>
    <w:rsid w:val="00C32EA6"/>
    <w:rsid w:val="00C33E09"/>
    <w:rsid w:val="00C34BE3"/>
    <w:rsid w:val="00C35209"/>
    <w:rsid w:val="00C37A12"/>
    <w:rsid w:val="00C37A29"/>
    <w:rsid w:val="00C41D36"/>
    <w:rsid w:val="00C41DED"/>
    <w:rsid w:val="00C4307A"/>
    <w:rsid w:val="00C52717"/>
    <w:rsid w:val="00C53FAA"/>
    <w:rsid w:val="00C5406A"/>
    <w:rsid w:val="00C5527D"/>
    <w:rsid w:val="00C57D4A"/>
    <w:rsid w:val="00C57FEF"/>
    <w:rsid w:val="00C60F22"/>
    <w:rsid w:val="00C62638"/>
    <w:rsid w:val="00C6275C"/>
    <w:rsid w:val="00C64228"/>
    <w:rsid w:val="00C66841"/>
    <w:rsid w:val="00C669DD"/>
    <w:rsid w:val="00C703A2"/>
    <w:rsid w:val="00C70EFC"/>
    <w:rsid w:val="00C74C22"/>
    <w:rsid w:val="00C76888"/>
    <w:rsid w:val="00C77170"/>
    <w:rsid w:val="00C812B5"/>
    <w:rsid w:val="00C8130E"/>
    <w:rsid w:val="00C81BCE"/>
    <w:rsid w:val="00C830CA"/>
    <w:rsid w:val="00C932F3"/>
    <w:rsid w:val="00C935A9"/>
    <w:rsid w:val="00C93DA3"/>
    <w:rsid w:val="00C9665A"/>
    <w:rsid w:val="00C96DCD"/>
    <w:rsid w:val="00C9775B"/>
    <w:rsid w:val="00CA13EC"/>
    <w:rsid w:val="00CA2B68"/>
    <w:rsid w:val="00CA659F"/>
    <w:rsid w:val="00CA75D4"/>
    <w:rsid w:val="00CB156C"/>
    <w:rsid w:val="00CB22A5"/>
    <w:rsid w:val="00CC39DD"/>
    <w:rsid w:val="00CC5D3D"/>
    <w:rsid w:val="00CC7C11"/>
    <w:rsid w:val="00CD1635"/>
    <w:rsid w:val="00CD1EA8"/>
    <w:rsid w:val="00CD33C7"/>
    <w:rsid w:val="00CD61EB"/>
    <w:rsid w:val="00CD67F8"/>
    <w:rsid w:val="00CE0FB2"/>
    <w:rsid w:val="00CE13B6"/>
    <w:rsid w:val="00CE4E56"/>
    <w:rsid w:val="00CE5A83"/>
    <w:rsid w:val="00CE774E"/>
    <w:rsid w:val="00CF02F0"/>
    <w:rsid w:val="00CF3725"/>
    <w:rsid w:val="00CF6212"/>
    <w:rsid w:val="00CF646A"/>
    <w:rsid w:val="00CF6D61"/>
    <w:rsid w:val="00D02519"/>
    <w:rsid w:val="00D0292B"/>
    <w:rsid w:val="00D02F4B"/>
    <w:rsid w:val="00D03567"/>
    <w:rsid w:val="00D12AC5"/>
    <w:rsid w:val="00D16F74"/>
    <w:rsid w:val="00D20560"/>
    <w:rsid w:val="00D235F6"/>
    <w:rsid w:val="00D23884"/>
    <w:rsid w:val="00D261B7"/>
    <w:rsid w:val="00D26D3E"/>
    <w:rsid w:val="00D31380"/>
    <w:rsid w:val="00D3253B"/>
    <w:rsid w:val="00D32D2F"/>
    <w:rsid w:val="00D36431"/>
    <w:rsid w:val="00D37023"/>
    <w:rsid w:val="00D41A5A"/>
    <w:rsid w:val="00D436E4"/>
    <w:rsid w:val="00D4695F"/>
    <w:rsid w:val="00D46B3D"/>
    <w:rsid w:val="00D51FAA"/>
    <w:rsid w:val="00D55545"/>
    <w:rsid w:val="00D5774E"/>
    <w:rsid w:val="00D60649"/>
    <w:rsid w:val="00D6156E"/>
    <w:rsid w:val="00D61E88"/>
    <w:rsid w:val="00D636F8"/>
    <w:rsid w:val="00D650ED"/>
    <w:rsid w:val="00D66685"/>
    <w:rsid w:val="00D66CBD"/>
    <w:rsid w:val="00D6720A"/>
    <w:rsid w:val="00D6754C"/>
    <w:rsid w:val="00D67A8C"/>
    <w:rsid w:val="00D73137"/>
    <w:rsid w:val="00D77002"/>
    <w:rsid w:val="00D81F3C"/>
    <w:rsid w:val="00D820AA"/>
    <w:rsid w:val="00D82889"/>
    <w:rsid w:val="00D83923"/>
    <w:rsid w:val="00D85F4F"/>
    <w:rsid w:val="00D865A8"/>
    <w:rsid w:val="00D87E91"/>
    <w:rsid w:val="00D91D53"/>
    <w:rsid w:val="00D9419D"/>
    <w:rsid w:val="00D96122"/>
    <w:rsid w:val="00D96365"/>
    <w:rsid w:val="00D96D49"/>
    <w:rsid w:val="00D97B9F"/>
    <w:rsid w:val="00DA0C47"/>
    <w:rsid w:val="00DA131D"/>
    <w:rsid w:val="00DA2090"/>
    <w:rsid w:val="00DA23E2"/>
    <w:rsid w:val="00DA3425"/>
    <w:rsid w:val="00DA5F2F"/>
    <w:rsid w:val="00DA6E2B"/>
    <w:rsid w:val="00DA739D"/>
    <w:rsid w:val="00DA7798"/>
    <w:rsid w:val="00DB051E"/>
    <w:rsid w:val="00DB28F7"/>
    <w:rsid w:val="00DB32FE"/>
    <w:rsid w:val="00DB3922"/>
    <w:rsid w:val="00DB62AB"/>
    <w:rsid w:val="00DC32E2"/>
    <w:rsid w:val="00DC4999"/>
    <w:rsid w:val="00DC5A1C"/>
    <w:rsid w:val="00DC73AB"/>
    <w:rsid w:val="00DD15FF"/>
    <w:rsid w:val="00DE28D9"/>
    <w:rsid w:val="00DE7AA0"/>
    <w:rsid w:val="00DF03B4"/>
    <w:rsid w:val="00DF0BD0"/>
    <w:rsid w:val="00DF1176"/>
    <w:rsid w:val="00DF2A0E"/>
    <w:rsid w:val="00DF30DB"/>
    <w:rsid w:val="00DF389F"/>
    <w:rsid w:val="00DF4E3E"/>
    <w:rsid w:val="00DF5E2E"/>
    <w:rsid w:val="00DF7473"/>
    <w:rsid w:val="00E01B7B"/>
    <w:rsid w:val="00E0453D"/>
    <w:rsid w:val="00E05450"/>
    <w:rsid w:val="00E05AD1"/>
    <w:rsid w:val="00E05FA6"/>
    <w:rsid w:val="00E06005"/>
    <w:rsid w:val="00E06BA0"/>
    <w:rsid w:val="00E079A4"/>
    <w:rsid w:val="00E10668"/>
    <w:rsid w:val="00E1183E"/>
    <w:rsid w:val="00E12EF1"/>
    <w:rsid w:val="00E146CB"/>
    <w:rsid w:val="00E14B56"/>
    <w:rsid w:val="00E25474"/>
    <w:rsid w:val="00E25521"/>
    <w:rsid w:val="00E323DD"/>
    <w:rsid w:val="00E32F93"/>
    <w:rsid w:val="00E3425C"/>
    <w:rsid w:val="00E34FDB"/>
    <w:rsid w:val="00E36D47"/>
    <w:rsid w:val="00E41369"/>
    <w:rsid w:val="00E42E3C"/>
    <w:rsid w:val="00E518FB"/>
    <w:rsid w:val="00E54B2B"/>
    <w:rsid w:val="00E5537B"/>
    <w:rsid w:val="00E55F49"/>
    <w:rsid w:val="00E57E9D"/>
    <w:rsid w:val="00E616BD"/>
    <w:rsid w:val="00E65B2D"/>
    <w:rsid w:val="00E70ED1"/>
    <w:rsid w:val="00E737A5"/>
    <w:rsid w:val="00E74BAC"/>
    <w:rsid w:val="00E77F23"/>
    <w:rsid w:val="00E81DA0"/>
    <w:rsid w:val="00E82606"/>
    <w:rsid w:val="00E8374D"/>
    <w:rsid w:val="00E86ACC"/>
    <w:rsid w:val="00E86C55"/>
    <w:rsid w:val="00E87755"/>
    <w:rsid w:val="00E915E5"/>
    <w:rsid w:val="00E929FC"/>
    <w:rsid w:val="00E92AAE"/>
    <w:rsid w:val="00E96BD7"/>
    <w:rsid w:val="00EA1943"/>
    <w:rsid w:val="00EA559E"/>
    <w:rsid w:val="00EB1068"/>
    <w:rsid w:val="00EB2B78"/>
    <w:rsid w:val="00EB4819"/>
    <w:rsid w:val="00EC183A"/>
    <w:rsid w:val="00EC2C12"/>
    <w:rsid w:val="00EC45D6"/>
    <w:rsid w:val="00EC47B2"/>
    <w:rsid w:val="00EC4B46"/>
    <w:rsid w:val="00EC75A7"/>
    <w:rsid w:val="00EC7D0C"/>
    <w:rsid w:val="00ED4EF5"/>
    <w:rsid w:val="00ED6F4B"/>
    <w:rsid w:val="00ED78C6"/>
    <w:rsid w:val="00EE1139"/>
    <w:rsid w:val="00EE28B0"/>
    <w:rsid w:val="00EE491E"/>
    <w:rsid w:val="00EE6F14"/>
    <w:rsid w:val="00EF09A7"/>
    <w:rsid w:val="00EF2D7A"/>
    <w:rsid w:val="00EF3F23"/>
    <w:rsid w:val="00EF4088"/>
    <w:rsid w:val="00EF4E81"/>
    <w:rsid w:val="00EF641A"/>
    <w:rsid w:val="00EF695D"/>
    <w:rsid w:val="00F00598"/>
    <w:rsid w:val="00F01392"/>
    <w:rsid w:val="00F02721"/>
    <w:rsid w:val="00F12622"/>
    <w:rsid w:val="00F12D5B"/>
    <w:rsid w:val="00F130F9"/>
    <w:rsid w:val="00F15138"/>
    <w:rsid w:val="00F162D4"/>
    <w:rsid w:val="00F206DC"/>
    <w:rsid w:val="00F227A6"/>
    <w:rsid w:val="00F234FA"/>
    <w:rsid w:val="00F2354B"/>
    <w:rsid w:val="00F23DB9"/>
    <w:rsid w:val="00F25B1F"/>
    <w:rsid w:val="00F27AB2"/>
    <w:rsid w:val="00F27E15"/>
    <w:rsid w:val="00F34391"/>
    <w:rsid w:val="00F37B1F"/>
    <w:rsid w:val="00F4010B"/>
    <w:rsid w:val="00F4249F"/>
    <w:rsid w:val="00F4389C"/>
    <w:rsid w:val="00F445F5"/>
    <w:rsid w:val="00F44DF1"/>
    <w:rsid w:val="00F4702C"/>
    <w:rsid w:val="00F4712B"/>
    <w:rsid w:val="00F505B8"/>
    <w:rsid w:val="00F51539"/>
    <w:rsid w:val="00F53397"/>
    <w:rsid w:val="00F552E4"/>
    <w:rsid w:val="00F55DD8"/>
    <w:rsid w:val="00F634F6"/>
    <w:rsid w:val="00F63788"/>
    <w:rsid w:val="00F648AA"/>
    <w:rsid w:val="00F67662"/>
    <w:rsid w:val="00F712A6"/>
    <w:rsid w:val="00F73386"/>
    <w:rsid w:val="00F75481"/>
    <w:rsid w:val="00F77774"/>
    <w:rsid w:val="00F77CC9"/>
    <w:rsid w:val="00F818D1"/>
    <w:rsid w:val="00F81F68"/>
    <w:rsid w:val="00F87903"/>
    <w:rsid w:val="00F87B07"/>
    <w:rsid w:val="00F9300B"/>
    <w:rsid w:val="00F9349F"/>
    <w:rsid w:val="00F938E6"/>
    <w:rsid w:val="00F93954"/>
    <w:rsid w:val="00F94880"/>
    <w:rsid w:val="00FA131D"/>
    <w:rsid w:val="00FA3C0A"/>
    <w:rsid w:val="00FA4EEF"/>
    <w:rsid w:val="00FB07FD"/>
    <w:rsid w:val="00FB0D65"/>
    <w:rsid w:val="00FB1CF9"/>
    <w:rsid w:val="00FB3002"/>
    <w:rsid w:val="00FB4A9F"/>
    <w:rsid w:val="00FB503D"/>
    <w:rsid w:val="00FB6471"/>
    <w:rsid w:val="00FB7650"/>
    <w:rsid w:val="00FC26E2"/>
    <w:rsid w:val="00FC2935"/>
    <w:rsid w:val="00FC2D8B"/>
    <w:rsid w:val="00FC2EC4"/>
    <w:rsid w:val="00FC7838"/>
    <w:rsid w:val="00FD3306"/>
    <w:rsid w:val="00FD50F2"/>
    <w:rsid w:val="00FD5619"/>
    <w:rsid w:val="00FE0740"/>
    <w:rsid w:val="00FE1B9D"/>
    <w:rsid w:val="00FE22B3"/>
    <w:rsid w:val="00FE3963"/>
    <w:rsid w:val="00FE57D8"/>
    <w:rsid w:val="00FE68A9"/>
    <w:rsid w:val="00FE777E"/>
    <w:rsid w:val="00FF4D36"/>
    <w:rsid w:val="00FF7F1B"/>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0019BF"/>
  <w15:chartTrackingRefBased/>
  <w15:docId w15:val="{40CE71C2-8156-49B5-B244-8210253E2A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0"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0"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739D"/>
    <w:rPr>
      <w:sz w:val="24"/>
    </w:rPr>
  </w:style>
  <w:style w:type="paragraph" w:styleId="Heading1">
    <w:name w:val="heading 1"/>
    <w:basedOn w:val="Normal"/>
    <w:next w:val="Normal"/>
    <w:link w:val="Heading1Char"/>
    <w:uiPriority w:val="9"/>
    <w:qFormat/>
    <w:rsid w:val="007678D7"/>
    <w:pPr>
      <w:keepNext/>
      <w:keepLines/>
      <w:pageBreakBefore/>
      <w:spacing w:before="360"/>
      <w:outlineLvl w:val="0"/>
    </w:pPr>
    <w:rPr>
      <w:rFonts w:asciiTheme="majorHAnsi" w:eastAsiaTheme="majorEastAsia" w:hAnsiTheme="majorHAnsi" w:cstheme="majorBidi"/>
      <w:b/>
      <w:color w:val="003F51" w:themeColor="accent1"/>
      <w:sz w:val="40"/>
      <w:szCs w:val="32"/>
    </w:rPr>
  </w:style>
  <w:style w:type="paragraph" w:styleId="Heading2">
    <w:name w:val="heading 2"/>
    <w:basedOn w:val="Normal"/>
    <w:next w:val="Normal"/>
    <w:link w:val="Heading2Char"/>
    <w:uiPriority w:val="9"/>
    <w:unhideWhenUsed/>
    <w:qFormat/>
    <w:rsid w:val="007678D7"/>
    <w:pPr>
      <w:keepNext/>
      <w:keepLines/>
      <w:spacing w:before="240"/>
      <w:outlineLvl w:val="1"/>
    </w:pPr>
    <w:rPr>
      <w:rFonts w:asciiTheme="majorHAnsi" w:eastAsiaTheme="majorEastAsia" w:hAnsiTheme="majorHAnsi" w:cstheme="majorBidi"/>
      <w:b/>
      <w:color w:val="42797F"/>
      <w:sz w:val="32"/>
      <w:szCs w:val="26"/>
    </w:rPr>
  </w:style>
  <w:style w:type="paragraph" w:styleId="Heading3">
    <w:name w:val="heading 3"/>
    <w:basedOn w:val="Normal"/>
    <w:next w:val="Normal"/>
    <w:link w:val="Heading3Char"/>
    <w:uiPriority w:val="9"/>
    <w:unhideWhenUsed/>
    <w:qFormat/>
    <w:rsid w:val="007678D7"/>
    <w:pPr>
      <w:keepNext/>
      <w:keepLines/>
      <w:spacing w:before="240"/>
      <w:outlineLvl w:val="2"/>
    </w:pPr>
    <w:rPr>
      <w:rFonts w:asciiTheme="majorHAnsi" w:eastAsiaTheme="majorEastAsia" w:hAnsiTheme="majorHAnsi" w:cstheme="majorBidi"/>
      <w:b/>
      <w:color w:val="003F51" w:themeColor="accent1"/>
      <w:sz w:val="28"/>
      <w:szCs w:val="24"/>
    </w:rPr>
  </w:style>
  <w:style w:type="paragraph" w:styleId="Heading4">
    <w:name w:val="heading 4"/>
    <w:basedOn w:val="Normal"/>
    <w:next w:val="Normal"/>
    <w:link w:val="Heading4Char"/>
    <w:uiPriority w:val="9"/>
    <w:unhideWhenUsed/>
    <w:qFormat/>
    <w:rsid w:val="00F51539"/>
    <w:pPr>
      <w:keepNext/>
      <w:keepLines/>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qFormat/>
    <w:rsid w:val="009D24F5"/>
    <w:pPr>
      <w:keepNext/>
      <w:keepLines/>
      <w:spacing w:after="60"/>
      <w:outlineLvl w:val="4"/>
    </w:pPr>
    <w:rPr>
      <w:rFonts w:asciiTheme="majorHAnsi" w:eastAsiaTheme="majorEastAsia" w:hAnsiTheme="majorHAnsi" w:cstheme="majorBidi"/>
      <w:b/>
      <w:sz w:val="18"/>
    </w:rPr>
  </w:style>
  <w:style w:type="paragraph" w:styleId="Heading6">
    <w:name w:val="heading 6"/>
    <w:basedOn w:val="Normal"/>
    <w:next w:val="BodyText"/>
    <w:link w:val="Heading6Char"/>
    <w:uiPriority w:val="9"/>
    <w:unhideWhenUsed/>
    <w:qFormat/>
    <w:rsid w:val="00FC26E2"/>
    <w:pPr>
      <w:keepNext/>
      <w:keepLines/>
      <w:spacing w:before="200" w:after="0" w:line="240" w:lineRule="auto"/>
      <w:outlineLvl w:val="5"/>
    </w:pPr>
    <w:rPr>
      <w:rFonts w:asciiTheme="majorHAnsi" w:eastAsiaTheme="majorEastAsia" w:hAnsiTheme="majorHAnsi" w:cstheme="majorBidi"/>
      <w:color w:val="003F51" w:themeColor="accent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semiHidden/>
    <w:rsid w:val="00C11924"/>
    <w:rPr>
      <w:color w:val="808080"/>
    </w:rPr>
  </w:style>
  <w:style w:type="paragraph" w:styleId="Date">
    <w:name w:val="Date"/>
    <w:basedOn w:val="Normal"/>
    <w:next w:val="Normal"/>
    <w:link w:val="DateChar"/>
    <w:unhideWhenUsed/>
    <w:qFormat/>
    <w:rsid w:val="00C11924"/>
  </w:style>
  <w:style w:type="character" w:customStyle="1" w:styleId="DateChar">
    <w:name w:val="Date Char"/>
    <w:basedOn w:val="DefaultParagraphFont"/>
    <w:link w:val="Date"/>
    <w:rsid w:val="00C11924"/>
  </w:style>
  <w:style w:type="paragraph" w:styleId="NoSpacing">
    <w:name w:val="No Spacing"/>
    <w:uiPriority w:val="1"/>
    <w:qFormat/>
    <w:rsid w:val="00B63120"/>
    <w:pPr>
      <w:spacing w:after="0" w:line="252" w:lineRule="auto"/>
    </w:pPr>
    <w:rPr>
      <w:sz w:val="24"/>
    </w:rPr>
  </w:style>
  <w:style w:type="paragraph" w:styleId="ListBullet">
    <w:name w:val="List Bullet"/>
    <w:basedOn w:val="Normal"/>
    <w:uiPriority w:val="99"/>
    <w:unhideWhenUsed/>
    <w:qFormat/>
    <w:rsid w:val="00A923FB"/>
    <w:pPr>
      <w:numPr>
        <w:numId w:val="6"/>
      </w:numPr>
      <w:contextualSpacing/>
    </w:pPr>
  </w:style>
  <w:style w:type="paragraph" w:styleId="ListBullet2">
    <w:name w:val="List Bullet 2"/>
    <w:basedOn w:val="Normal"/>
    <w:uiPriority w:val="99"/>
    <w:unhideWhenUsed/>
    <w:qFormat/>
    <w:rsid w:val="00F77CC9"/>
    <w:pPr>
      <w:numPr>
        <w:ilvl w:val="1"/>
        <w:numId w:val="6"/>
      </w:numPr>
      <w:contextualSpacing/>
    </w:pPr>
  </w:style>
  <w:style w:type="paragraph" w:styleId="ListNumber">
    <w:name w:val="List Number"/>
    <w:basedOn w:val="Normal"/>
    <w:uiPriority w:val="99"/>
    <w:unhideWhenUsed/>
    <w:qFormat/>
    <w:rsid w:val="00F77CC9"/>
    <w:pPr>
      <w:numPr>
        <w:numId w:val="7"/>
      </w:numPr>
      <w:contextualSpacing/>
    </w:pPr>
  </w:style>
  <w:style w:type="numbering" w:customStyle="1" w:styleId="Bullets">
    <w:name w:val="Bullets"/>
    <w:uiPriority w:val="99"/>
    <w:rsid w:val="00F77CC9"/>
    <w:pPr>
      <w:numPr>
        <w:numId w:val="1"/>
      </w:numPr>
    </w:pPr>
  </w:style>
  <w:style w:type="character" w:customStyle="1" w:styleId="Heading1Char">
    <w:name w:val="Heading 1 Char"/>
    <w:basedOn w:val="DefaultParagraphFont"/>
    <w:link w:val="Heading1"/>
    <w:uiPriority w:val="9"/>
    <w:rsid w:val="007678D7"/>
    <w:rPr>
      <w:rFonts w:asciiTheme="majorHAnsi" w:eastAsiaTheme="majorEastAsia" w:hAnsiTheme="majorHAnsi" w:cstheme="majorBidi"/>
      <w:b/>
      <w:color w:val="003F51" w:themeColor="accent1"/>
      <w:sz w:val="40"/>
      <w:szCs w:val="32"/>
    </w:rPr>
  </w:style>
  <w:style w:type="paragraph" w:styleId="ListNumber2">
    <w:name w:val="List Number 2"/>
    <w:basedOn w:val="Normal"/>
    <w:uiPriority w:val="99"/>
    <w:unhideWhenUsed/>
    <w:qFormat/>
    <w:rsid w:val="00F77CC9"/>
    <w:pPr>
      <w:numPr>
        <w:ilvl w:val="1"/>
        <w:numId w:val="7"/>
      </w:numPr>
      <w:contextualSpacing/>
    </w:pPr>
  </w:style>
  <w:style w:type="character" w:customStyle="1" w:styleId="Heading2Char">
    <w:name w:val="Heading 2 Char"/>
    <w:basedOn w:val="DefaultParagraphFont"/>
    <w:link w:val="Heading2"/>
    <w:uiPriority w:val="9"/>
    <w:rsid w:val="007678D7"/>
    <w:rPr>
      <w:rFonts w:asciiTheme="majorHAnsi" w:eastAsiaTheme="majorEastAsia" w:hAnsiTheme="majorHAnsi" w:cstheme="majorBidi"/>
      <w:b/>
      <w:color w:val="42797F"/>
      <w:sz w:val="32"/>
      <w:szCs w:val="26"/>
    </w:rPr>
  </w:style>
  <w:style w:type="paragraph" w:styleId="ListParagraph">
    <w:name w:val="List Paragraph"/>
    <w:basedOn w:val="Normal"/>
    <w:link w:val="ListParagraphChar"/>
    <w:uiPriority w:val="34"/>
    <w:qFormat/>
    <w:rsid w:val="00594496"/>
    <w:pPr>
      <w:ind w:left="284"/>
      <w:contextualSpacing/>
    </w:pPr>
  </w:style>
  <w:style w:type="paragraph" w:styleId="Header">
    <w:name w:val="header"/>
    <w:basedOn w:val="Normal"/>
    <w:link w:val="HeaderChar"/>
    <w:uiPriority w:val="99"/>
    <w:unhideWhenUsed/>
    <w:rsid w:val="00E34FDB"/>
    <w:pPr>
      <w:tabs>
        <w:tab w:val="center" w:pos="4513"/>
        <w:tab w:val="right" w:pos="9026"/>
      </w:tabs>
      <w:spacing w:after="0"/>
    </w:pPr>
  </w:style>
  <w:style w:type="character" w:customStyle="1" w:styleId="HeaderChar">
    <w:name w:val="Header Char"/>
    <w:basedOn w:val="DefaultParagraphFont"/>
    <w:link w:val="Header"/>
    <w:uiPriority w:val="99"/>
    <w:rsid w:val="00E34FDB"/>
    <w:rPr>
      <w:sz w:val="24"/>
    </w:rPr>
  </w:style>
  <w:style w:type="paragraph" w:styleId="Footer">
    <w:name w:val="footer"/>
    <w:basedOn w:val="Normal"/>
    <w:link w:val="FooterChar"/>
    <w:uiPriority w:val="99"/>
    <w:unhideWhenUsed/>
    <w:rsid w:val="00AF133B"/>
    <w:pPr>
      <w:tabs>
        <w:tab w:val="center" w:pos="4513"/>
        <w:tab w:val="right" w:pos="9026"/>
      </w:tabs>
      <w:spacing w:after="0"/>
    </w:pPr>
    <w:rPr>
      <w:b/>
      <w:sz w:val="22"/>
    </w:rPr>
  </w:style>
  <w:style w:type="character" w:customStyle="1" w:styleId="FooterChar">
    <w:name w:val="Footer Char"/>
    <w:basedOn w:val="DefaultParagraphFont"/>
    <w:link w:val="Footer"/>
    <w:uiPriority w:val="99"/>
    <w:rsid w:val="00AF133B"/>
    <w:rPr>
      <w:b/>
    </w:rPr>
  </w:style>
  <w:style w:type="numbering" w:customStyle="1" w:styleId="Numbering">
    <w:name w:val="Numbering"/>
    <w:uiPriority w:val="99"/>
    <w:rsid w:val="00F77CC9"/>
    <w:pPr>
      <w:numPr>
        <w:numId w:val="2"/>
      </w:numPr>
    </w:pPr>
  </w:style>
  <w:style w:type="paragraph" w:styleId="ListBullet3">
    <w:name w:val="List Bullet 3"/>
    <w:basedOn w:val="Normal"/>
    <w:uiPriority w:val="99"/>
    <w:unhideWhenUsed/>
    <w:rsid w:val="00F77CC9"/>
    <w:pPr>
      <w:numPr>
        <w:ilvl w:val="2"/>
        <w:numId w:val="6"/>
      </w:numPr>
      <w:contextualSpacing/>
    </w:pPr>
  </w:style>
  <w:style w:type="paragraph" w:styleId="ListContinue2">
    <w:name w:val="List Continue 2"/>
    <w:basedOn w:val="Normal"/>
    <w:uiPriority w:val="99"/>
    <w:unhideWhenUsed/>
    <w:qFormat/>
    <w:rsid w:val="00F77CC9"/>
    <w:pPr>
      <w:ind w:left="680"/>
      <w:contextualSpacing/>
    </w:pPr>
  </w:style>
  <w:style w:type="paragraph" w:styleId="ListNumber3">
    <w:name w:val="List Number 3"/>
    <w:basedOn w:val="Normal"/>
    <w:uiPriority w:val="99"/>
    <w:unhideWhenUsed/>
    <w:qFormat/>
    <w:rsid w:val="00F77CC9"/>
    <w:pPr>
      <w:numPr>
        <w:ilvl w:val="2"/>
        <w:numId w:val="7"/>
      </w:numPr>
      <w:contextualSpacing/>
    </w:pPr>
  </w:style>
  <w:style w:type="paragraph" w:styleId="ListNumber4">
    <w:name w:val="List Number 4"/>
    <w:basedOn w:val="Normal"/>
    <w:uiPriority w:val="99"/>
    <w:unhideWhenUsed/>
    <w:qFormat/>
    <w:rsid w:val="00F77CC9"/>
    <w:pPr>
      <w:numPr>
        <w:ilvl w:val="3"/>
        <w:numId w:val="7"/>
      </w:numPr>
      <w:contextualSpacing/>
    </w:pPr>
  </w:style>
  <w:style w:type="paragraph" w:styleId="ListNumber5">
    <w:name w:val="List Number 5"/>
    <w:basedOn w:val="Normal"/>
    <w:uiPriority w:val="99"/>
    <w:unhideWhenUsed/>
    <w:rsid w:val="00F77CC9"/>
    <w:pPr>
      <w:numPr>
        <w:ilvl w:val="4"/>
        <w:numId w:val="7"/>
      </w:numPr>
      <w:contextualSpacing/>
    </w:pPr>
  </w:style>
  <w:style w:type="paragraph" w:styleId="ListContinue">
    <w:name w:val="List Continue"/>
    <w:basedOn w:val="Normal"/>
    <w:uiPriority w:val="99"/>
    <w:unhideWhenUsed/>
    <w:qFormat/>
    <w:rsid w:val="00F77CC9"/>
    <w:pPr>
      <w:ind w:left="340"/>
      <w:contextualSpacing/>
    </w:pPr>
  </w:style>
  <w:style w:type="paragraph" w:styleId="ListContinue3">
    <w:name w:val="List Continue 3"/>
    <w:basedOn w:val="Normal"/>
    <w:uiPriority w:val="99"/>
    <w:unhideWhenUsed/>
    <w:qFormat/>
    <w:rsid w:val="00F77CC9"/>
    <w:pPr>
      <w:ind w:left="1021"/>
      <w:contextualSpacing/>
    </w:pPr>
  </w:style>
  <w:style w:type="paragraph" w:styleId="ListContinue4">
    <w:name w:val="List Continue 4"/>
    <w:basedOn w:val="Normal"/>
    <w:uiPriority w:val="99"/>
    <w:unhideWhenUsed/>
    <w:qFormat/>
    <w:rsid w:val="00F77CC9"/>
    <w:pPr>
      <w:ind w:left="1361"/>
      <w:contextualSpacing/>
    </w:pPr>
  </w:style>
  <w:style w:type="character" w:customStyle="1" w:styleId="Heading3Char">
    <w:name w:val="Heading 3 Char"/>
    <w:basedOn w:val="DefaultParagraphFont"/>
    <w:link w:val="Heading3"/>
    <w:uiPriority w:val="9"/>
    <w:rsid w:val="007678D7"/>
    <w:rPr>
      <w:rFonts w:asciiTheme="majorHAnsi" w:eastAsiaTheme="majorEastAsia" w:hAnsiTheme="majorHAnsi" w:cstheme="majorBidi"/>
      <w:b/>
      <w:color w:val="003F51" w:themeColor="accent1"/>
      <w:sz w:val="28"/>
      <w:szCs w:val="24"/>
    </w:rPr>
  </w:style>
  <w:style w:type="character" w:customStyle="1" w:styleId="Heading4Char">
    <w:name w:val="Heading 4 Char"/>
    <w:basedOn w:val="DefaultParagraphFont"/>
    <w:link w:val="Heading4"/>
    <w:uiPriority w:val="9"/>
    <w:rsid w:val="00F51539"/>
    <w:rPr>
      <w:rFonts w:asciiTheme="majorHAnsi" w:eastAsiaTheme="majorEastAsia" w:hAnsiTheme="majorHAnsi" w:cstheme="majorBidi"/>
      <w:b/>
      <w:iCs/>
      <w:sz w:val="24"/>
    </w:rPr>
  </w:style>
  <w:style w:type="character" w:customStyle="1" w:styleId="Heading5Char">
    <w:name w:val="Heading 5 Char"/>
    <w:basedOn w:val="DefaultParagraphFont"/>
    <w:link w:val="Heading5"/>
    <w:uiPriority w:val="9"/>
    <w:rsid w:val="00CE13B6"/>
    <w:rPr>
      <w:rFonts w:asciiTheme="majorHAnsi" w:eastAsiaTheme="majorEastAsia" w:hAnsiTheme="majorHAnsi" w:cstheme="majorBidi"/>
      <w:b/>
      <w:sz w:val="18"/>
    </w:rPr>
  </w:style>
  <w:style w:type="numbering" w:customStyle="1" w:styleId="ListHeadings">
    <w:name w:val="List Headings"/>
    <w:uiPriority w:val="99"/>
    <w:rsid w:val="00D16F74"/>
    <w:pPr>
      <w:numPr>
        <w:numId w:val="3"/>
      </w:numPr>
    </w:pPr>
  </w:style>
  <w:style w:type="paragraph" w:styleId="Title">
    <w:name w:val="Title"/>
    <w:basedOn w:val="Normal"/>
    <w:next w:val="Normal"/>
    <w:link w:val="TitleChar"/>
    <w:qFormat/>
    <w:rsid w:val="00953B4A"/>
    <w:pPr>
      <w:framePr w:w="8505" w:h="5670" w:hRule="exact" w:hSpace="6804" w:wrap="around" w:vAnchor="page" w:hAnchor="margin" w:y="2836" w:anchorLock="1"/>
      <w:spacing w:before="360" w:after="0" w:line="228" w:lineRule="auto"/>
      <w:contextualSpacing/>
    </w:pPr>
    <w:rPr>
      <w:rFonts w:asciiTheme="majorHAnsi" w:eastAsiaTheme="majorEastAsia" w:hAnsiTheme="majorHAnsi" w:cstheme="majorBidi"/>
      <w:b/>
      <w:color w:val="003F51" w:themeColor="accent1"/>
      <w:spacing w:val="-10"/>
      <w:kern w:val="28"/>
      <w:sz w:val="92"/>
      <w:szCs w:val="56"/>
    </w:rPr>
  </w:style>
  <w:style w:type="character" w:customStyle="1" w:styleId="TitleChar">
    <w:name w:val="Title Char"/>
    <w:basedOn w:val="DefaultParagraphFont"/>
    <w:link w:val="Title"/>
    <w:rsid w:val="00953B4A"/>
    <w:rPr>
      <w:rFonts w:asciiTheme="majorHAnsi" w:eastAsiaTheme="majorEastAsia" w:hAnsiTheme="majorHAnsi" w:cstheme="majorBidi"/>
      <w:b/>
      <w:color w:val="003F51" w:themeColor="accent1"/>
      <w:spacing w:val="-10"/>
      <w:kern w:val="28"/>
      <w:sz w:val="92"/>
      <w:szCs w:val="56"/>
    </w:rPr>
  </w:style>
  <w:style w:type="paragraph" w:customStyle="1" w:styleId="Pull-outQuote">
    <w:name w:val="Pull-out Quote"/>
    <w:basedOn w:val="Normal"/>
    <w:link w:val="Pull-outQuoteChar"/>
    <w:semiHidden/>
    <w:rsid w:val="009D24F5"/>
    <w:pPr>
      <w:pBdr>
        <w:top w:val="single" w:sz="4" w:space="4" w:color="003F51" w:themeColor="text2"/>
        <w:left w:val="single" w:sz="4" w:space="4" w:color="003F51" w:themeColor="text2"/>
        <w:bottom w:val="single" w:sz="4" w:space="4" w:color="003F51" w:themeColor="text2"/>
        <w:right w:val="single" w:sz="4" w:space="4" w:color="003F51" w:themeColor="text2"/>
      </w:pBdr>
      <w:shd w:val="clear" w:color="auto" w:fill="003F51" w:themeFill="text2"/>
      <w:ind w:left="113" w:right="113"/>
    </w:pPr>
    <w:rPr>
      <w:color w:val="FFFFFF" w:themeColor="background1"/>
    </w:rPr>
  </w:style>
  <w:style w:type="paragraph" w:customStyle="1" w:styleId="Pull-outQuoteHeading">
    <w:name w:val="Pull-out Quote Heading"/>
    <w:basedOn w:val="Pull-outQuote"/>
    <w:next w:val="Pull-outQuote"/>
    <w:link w:val="Pull-outQuoteHeadingChar"/>
    <w:semiHidden/>
    <w:rsid w:val="004B609E"/>
    <w:rPr>
      <w:b/>
    </w:rPr>
  </w:style>
  <w:style w:type="character" w:customStyle="1" w:styleId="Pull-outQuoteChar">
    <w:name w:val="Pull-out Quote Char"/>
    <w:basedOn w:val="DefaultParagraphFont"/>
    <w:link w:val="Pull-outQuote"/>
    <w:semiHidden/>
    <w:rsid w:val="0050670B"/>
    <w:rPr>
      <w:color w:val="FFFFFF" w:themeColor="background1"/>
      <w:sz w:val="20"/>
      <w:shd w:val="clear" w:color="auto" w:fill="003F51" w:themeFill="text2"/>
    </w:rPr>
  </w:style>
  <w:style w:type="character" w:customStyle="1" w:styleId="Pull-outQuoteHeadingChar">
    <w:name w:val="Pull-out Quote Heading Char"/>
    <w:basedOn w:val="Pull-outQuoteChar"/>
    <w:link w:val="Pull-outQuoteHeading"/>
    <w:semiHidden/>
    <w:rsid w:val="0050670B"/>
    <w:rPr>
      <w:b/>
      <w:color w:val="FFFFFF" w:themeColor="background1"/>
      <w:sz w:val="20"/>
      <w:shd w:val="clear" w:color="auto" w:fill="003F51" w:themeFill="text2"/>
    </w:rPr>
  </w:style>
  <w:style w:type="paragraph" w:customStyle="1" w:styleId="Heading1-numbered">
    <w:name w:val="Heading 1-numbered"/>
    <w:basedOn w:val="Heading1"/>
    <w:next w:val="Normal"/>
    <w:link w:val="Heading1-numberedChar"/>
    <w:uiPriority w:val="9"/>
    <w:semiHidden/>
    <w:rsid w:val="00D16F74"/>
    <w:pPr>
      <w:numPr>
        <w:numId w:val="4"/>
      </w:numPr>
    </w:pPr>
  </w:style>
  <w:style w:type="paragraph" w:customStyle="1" w:styleId="Heading2-numbered">
    <w:name w:val="Heading 2-numbered"/>
    <w:basedOn w:val="Heading2"/>
    <w:next w:val="Normal"/>
    <w:link w:val="Heading2-numberedChar"/>
    <w:uiPriority w:val="9"/>
    <w:semiHidden/>
    <w:rsid w:val="00D16F74"/>
    <w:pPr>
      <w:numPr>
        <w:ilvl w:val="1"/>
        <w:numId w:val="4"/>
      </w:numPr>
    </w:pPr>
  </w:style>
  <w:style w:type="character" w:customStyle="1" w:styleId="Heading1-numberedChar">
    <w:name w:val="Heading 1-numbered Char"/>
    <w:basedOn w:val="Heading1Char"/>
    <w:link w:val="Heading1-numbered"/>
    <w:uiPriority w:val="9"/>
    <w:semiHidden/>
    <w:rsid w:val="0041673A"/>
    <w:rPr>
      <w:rFonts w:asciiTheme="majorHAnsi" w:eastAsiaTheme="majorEastAsia" w:hAnsiTheme="majorHAnsi" w:cstheme="majorBidi"/>
      <w:b/>
      <w:color w:val="003F51" w:themeColor="accent1"/>
      <w:sz w:val="40"/>
      <w:szCs w:val="32"/>
    </w:rPr>
  </w:style>
  <w:style w:type="character" w:customStyle="1" w:styleId="Heading2-numberedChar">
    <w:name w:val="Heading 2-numbered Char"/>
    <w:basedOn w:val="Heading2Char"/>
    <w:link w:val="Heading2-numbered"/>
    <w:uiPriority w:val="9"/>
    <w:semiHidden/>
    <w:rsid w:val="0041673A"/>
    <w:rPr>
      <w:rFonts w:asciiTheme="majorHAnsi" w:eastAsiaTheme="majorEastAsia" w:hAnsiTheme="majorHAnsi" w:cstheme="majorBidi"/>
      <w:b/>
      <w:color w:val="42797F"/>
      <w:sz w:val="32"/>
      <w:szCs w:val="26"/>
    </w:rPr>
  </w:style>
  <w:style w:type="paragraph" w:styleId="ListContinue5">
    <w:name w:val="List Continue 5"/>
    <w:basedOn w:val="Normal"/>
    <w:uiPriority w:val="99"/>
    <w:unhideWhenUsed/>
    <w:qFormat/>
    <w:rsid w:val="00F77CC9"/>
    <w:pPr>
      <w:ind w:left="1701"/>
      <w:contextualSpacing/>
    </w:pPr>
  </w:style>
  <w:style w:type="table" w:styleId="TableGrid">
    <w:name w:val="Table Grid"/>
    <w:basedOn w:val="TableNormal"/>
    <w:uiPriority w:val="59"/>
    <w:rsid w:val="006E1418"/>
    <w:pPr>
      <w:spacing w:after="0" w:line="240" w:lineRule="auto"/>
    </w:pPr>
    <w:tblPr>
      <w:tblBorders>
        <w:top w:val="single" w:sz="4" w:space="0" w:color="003F51" w:themeColor="accent1"/>
        <w:left w:val="single" w:sz="4" w:space="0" w:color="003F51" w:themeColor="accent1"/>
        <w:bottom w:val="single" w:sz="4" w:space="0" w:color="003F51" w:themeColor="accent1"/>
        <w:right w:val="single" w:sz="4" w:space="0" w:color="003F51" w:themeColor="accent1"/>
        <w:insideH w:val="single" w:sz="4" w:space="0" w:color="003F51" w:themeColor="accent1"/>
        <w:insideV w:val="single" w:sz="4" w:space="0" w:color="003F51" w:themeColor="accent1"/>
      </w:tblBorders>
      <w:tblCellMar>
        <w:top w:w="57" w:type="dxa"/>
        <w:left w:w="57" w:type="dxa"/>
        <w:bottom w:w="57" w:type="dxa"/>
        <w:right w:w="57" w:type="dxa"/>
      </w:tblCellMar>
    </w:tblPr>
    <w:tblStylePr w:type="firstRow">
      <w:rPr>
        <w:b/>
        <w:color w:val="FFFFFF" w:themeColor="background1"/>
      </w:rPr>
      <w:tblPr/>
      <w:tcPr>
        <w:tcBorders>
          <w:insideV w:val="single" w:sz="4" w:space="0" w:color="FFFFFF" w:themeColor="background1"/>
        </w:tcBorders>
        <w:shd w:val="clear" w:color="auto" w:fill="003F51" w:themeFill="accent1"/>
      </w:tcPr>
    </w:tblStylePr>
  </w:style>
  <w:style w:type="paragraph" w:styleId="Caption">
    <w:name w:val="caption"/>
    <w:aliases w:val="Legenda Carácter Carácter Carácter Carácter Carácter Carácter Carácter Carácter Carácter Carácter Carácter Carácter Carácter Carácter Carácter Carácter,Figure,Figure Caption"/>
    <w:basedOn w:val="Normal"/>
    <w:next w:val="Normal"/>
    <w:link w:val="CaptionChar"/>
    <w:unhideWhenUsed/>
    <w:qFormat/>
    <w:rsid w:val="009C323B"/>
    <w:pPr>
      <w:spacing w:after="240"/>
    </w:pPr>
    <w:rPr>
      <w:i/>
      <w:iCs/>
      <w:color w:val="000000" w:themeColor="text1"/>
      <w:szCs w:val="18"/>
    </w:rPr>
  </w:style>
  <w:style w:type="paragraph" w:styleId="List">
    <w:name w:val="List"/>
    <w:basedOn w:val="Normal"/>
    <w:uiPriority w:val="99"/>
    <w:unhideWhenUsed/>
    <w:qFormat/>
    <w:rsid w:val="00E25474"/>
    <w:pPr>
      <w:numPr>
        <w:numId w:val="5"/>
      </w:numPr>
      <w:contextualSpacing/>
    </w:pPr>
  </w:style>
  <w:style w:type="paragraph" w:styleId="List2">
    <w:name w:val="List 2"/>
    <w:basedOn w:val="Normal"/>
    <w:uiPriority w:val="99"/>
    <w:unhideWhenUsed/>
    <w:qFormat/>
    <w:rsid w:val="00E25474"/>
    <w:pPr>
      <w:numPr>
        <w:ilvl w:val="1"/>
        <w:numId w:val="5"/>
      </w:numPr>
      <w:contextualSpacing/>
    </w:pPr>
  </w:style>
  <w:style w:type="numbering" w:customStyle="1" w:styleId="LetteredList">
    <w:name w:val="Lettered List"/>
    <w:uiPriority w:val="99"/>
    <w:rsid w:val="00E25474"/>
    <w:pPr>
      <w:numPr>
        <w:numId w:val="5"/>
      </w:numPr>
    </w:pPr>
  </w:style>
  <w:style w:type="paragraph" w:styleId="Subtitle">
    <w:name w:val="Subtitle"/>
    <w:basedOn w:val="Normal"/>
    <w:next w:val="Normal"/>
    <w:link w:val="SubtitleChar"/>
    <w:qFormat/>
    <w:rsid w:val="00953B4A"/>
    <w:pPr>
      <w:numPr>
        <w:ilvl w:val="1"/>
      </w:numPr>
      <w:spacing w:before="200"/>
    </w:pPr>
    <w:rPr>
      <w:rFonts w:eastAsiaTheme="minorEastAsia"/>
      <w:b/>
      <w:color w:val="42797F"/>
      <w:sz w:val="40"/>
    </w:rPr>
  </w:style>
  <w:style w:type="character" w:customStyle="1" w:styleId="SubtitleChar">
    <w:name w:val="Subtitle Char"/>
    <w:basedOn w:val="DefaultParagraphFont"/>
    <w:link w:val="Subtitle"/>
    <w:rsid w:val="00953B4A"/>
    <w:rPr>
      <w:rFonts w:eastAsiaTheme="minorEastAsia"/>
      <w:b/>
      <w:color w:val="42797F"/>
      <w:sz w:val="40"/>
    </w:rPr>
  </w:style>
  <w:style w:type="paragraph" w:styleId="TOCHeading">
    <w:name w:val="TOC Heading"/>
    <w:basedOn w:val="Heading1"/>
    <w:next w:val="Normal"/>
    <w:uiPriority w:val="39"/>
    <w:unhideWhenUsed/>
    <w:qFormat/>
    <w:rsid w:val="00A24EF4"/>
    <w:pPr>
      <w:spacing w:after="0"/>
      <w:outlineLvl w:val="9"/>
    </w:pPr>
    <w:rPr>
      <w:sz w:val="32"/>
      <w:lang w:val="en-US"/>
    </w:rPr>
  </w:style>
  <w:style w:type="paragraph" w:styleId="TOC1">
    <w:name w:val="toc 1"/>
    <w:basedOn w:val="Normal"/>
    <w:next w:val="Normal"/>
    <w:autoRedefine/>
    <w:uiPriority w:val="39"/>
    <w:unhideWhenUsed/>
    <w:rsid w:val="0079645F"/>
    <w:pPr>
      <w:spacing w:before="240" w:after="100"/>
    </w:pPr>
    <w:rPr>
      <w:bCs/>
    </w:rPr>
  </w:style>
  <w:style w:type="paragraph" w:styleId="TOC2">
    <w:name w:val="toc 2"/>
    <w:basedOn w:val="Normal"/>
    <w:next w:val="Normal"/>
    <w:autoRedefine/>
    <w:uiPriority w:val="39"/>
    <w:unhideWhenUsed/>
    <w:rsid w:val="000F3003"/>
    <w:pPr>
      <w:tabs>
        <w:tab w:val="right" w:leader="dot" w:pos="9628"/>
      </w:tabs>
      <w:spacing w:after="100"/>
    </w:pPr>
    <w:rPr>
      <w:i/>
      <w:iCs/>
      <w:noProof/>
    </w:rPr>
  </w:style>
  <w:style w:type="paragraph" w:styleId="TOC3">
    <w:name w:val="toc 3"/>
    <w:basedOn w:val="Normal"/>
    <w:next w:val="Normal"/>
    <w:autoRedefine/>
    <w:uiPriority w:val="39"/>
    <w:unhideWhenUsed/>
    <w:rsid w:val="004E0833"/>
    <w:pPr>
      <w:tabs>
        <w:tab w:val="right" w:leader="dot" w:pos="9628"/>
      </w:tabs>
      <w:spacing w:after="100"/>
      <w:ind w:left="284"/>
    </w:pPr>
  </w:style>
  <w:style w:type="character" w:styleId="Hyperlink">
    <w:name w:val="Hyperlink"/>
    <w:basedOn w:val="DefaultParagraphFont"/>
    <w:uiPriority w:val="99"/>
    <w:unhideWhenUsed/>
    <w:rsid w:val="00A24EF4"/>
    <w:rPr>
      <w:color w:val="000000"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styleId="BodyText">
    <w:name w:val="Body Text"/>
    <w:basedOn w:val="Normal"/>
    <w:link w:val="BodyTextChar"/>
    <w:unhideWhenUsed/>
    <w:qFormat/>
    <w:rsid w:val="00F51539"/>
  </w:style>
  <w:style w:type="paragraph" w:customStyle="1" w:styleId="FooterLeft">
    <w:name w:val="Footer Left"/>
    <w:basedOn w:val="Footer"/>
    <w:semiHidden/>
    <w:qFormat/>
    <w:rsid w:val="00A33747"/>
    <w:pPr>
      <w:framePr w:w="8505" w:wrap="around" w:hAnchor="margin" w:yAlign="bottom" w:anchorLock="1"/>
      <w:pBdr>
        <w:top w:val="single" w:sz="4" w:space="1" w:color="auto"/>
      </w:pBdr>
    </w:pPr>
  </w:style>
  <w:style w:type="paragraph" w:customStyle="1" w:styleId="FooterRight">
    <w:name w:val="Footer Right"/>
    <w:basedOn w:val="FooterLeft"/>
    <w:semiHidden/>
    <w:qFormat/>
    <w:rsid w:val="000D7EE8"/>
    <w:pPr>
      <w:framePr w:wrap="around" w:xAlign="right"/>
      <w:jc w:val="right"/>
    </w:pPr>
  </w:style>
  <w:style w:type="table" w:customStyle="1" w:styleId="DepartmentofPrimaryIndustry-default">
    <w:name w:val="Department of Primary Industry-default"/>
    <w:basedOn w:val="TableNormal"/>
    <w:uiPriority w:val="99"/>
    <w:rsid w:val="007678D7"/>
    <w:pPr>
      <w:spacing w:after="0" w:line="240" w:lineRule="auto"/>
    </w:pPr>
    <w:tblPr>
      <w:tblBorders>
        <w:top w:val="single" w:sz="4" w:space="0" w:color="003F51" w:themeColor="accent1"/>
        <w:left w:val="single" w:sz="4" w:space="0" w:color="003F51" w:themeColor="accent1"/>
        <w:bottom w:val="single" w:sz="4" w:space="0" w:color="003F51" w:themeColor="accent1"/>
        <w:right w:val="single" w:sz="4" w:space="0" w:color="003F51" w:themeColor="accent1"/>
        <w:insideH w:val="single" w:sz="4" w:space="0" w:color="003F51" w:themeColor="accent1"/>
        <w:insideV w:val="single" w:sz="4" w:space="0" w:color="003F51" w:themeColor="accent1"/>
      </w:tblBorders>
      <w:tblCellMar>
        <w:top w:w="57" w:type="dxa"/>
        <w:left w:w="57" w:type="dxa"/>
        <w:bottom w:w="57" w:type="dxa"/>
        <w:right w:w="57" w:type="dxa"/>
      </w:tblCellMar>
    </w:tblPr>
    <w:tblStylePr w:type="firstRow">
      <w:rPr>
        <w:b/>
        <w:color w:val="FFFFFF" w:themeColor="background1"/>
      </w:rPr>
      <w:tblPr/>
      <w:tcPr>
        <w:tcBorders>
          <w:insideV w:val="single" w:sz="4" w:space="0" w:color="FFFFFF" w:themeColor="background1"/>
        </w:tcBorders>
        <w:shd w:val="clear" w:color="auto" w:fill="003F51" w:themeFill="accent1"/>
      </w:tcPr>
    </w:tblStylePr>
  </w:style>
  <w:style w:type="paragraph" w:customStyle="1" w:styleId="DisclaimerText">
    <w:name w:val="Disclaimer Text"/>
    <w:basedOn w:val="Normal"/>
    <w:rsid w:val="009C323B"/>
    <w:rPr>
      <w:sz w:val="22"/>
    </w:rPr>
  </w:style>
  <w:style w:type="paragraph" w:customStyle="1" w:styleId="DisclaimerHeading">
    <w:name w:val="Disclaimer Heading"/>
    <w:basedOn w:val="DisclaimerText"/>
    <w:rsid w:val="009C323B"/>
    <w:pPr>
      <w:spacing w:before="480" w:after="40"/>
    </w:pPr>
    <w:rPr>
      <w:b/>
    </w:rPr>
  </w:style>
  <w:style w:type="character" w:customStyle="1" w:styleId="BodyTextChar">
    <w:name w:val="Body Text Char"/>
    <w:basedOn w:val="DefaultParagraphFont"/>
    <w:link w:val="BodyText"/>
    <w:rsid w:val="00F51539"/>
    <w:rPr>
      <w:sz w:val="24"/>
    </w:rPr>
  </w:style>
  <w:style w:type="paragraph" w:styleId="Quote">
    <w:name w:val="Quote"/>
    <w:basedOn w:val="Normal"/>
    <w:next w:val="Normal"/>
    <w:link w:val="QuoteChar"/>
    <w:uiPriority w:val="29"/>
    <w:rsid w:val="00173D61"/>
    <w:rPr>
      <w:b/>
      <w:iCs/>
      <w:color w:val="8B2B15"/>
      <w:sz w:val="40"/>
    </w:rPr>
  </w:style>
  <w:style w:type="character" w:customStyle="1" w:styleId="QuoteChar">
    <w:name w:val="Quote Char"/>
    <w:basedOn w:val="DefaultParagraphFont"/>
    <w:link w:val="Quote"/>
    <w:uiPriority w:val="29"/>
    <w:rsid w:val="00173D61"/>
    <w:rPr>
      <w:b/>
      <w:iCs/>
      <w:color w:val="8B2B15"/>
      <w:sz w:val="40"/>
    </w:rPr>
  </w:style>
  <w:style w:type="paragraph" w:customStyle="1" w:styleId="Cover-logo">
    <w:name w:val="Cover-logo"/>
    <w:basedOn w:val="Normal"/>
    <w:rsid w:val="00395A30"/>
    <w:pPr>
      <w:framePr w:w="4536" w:hSpace="6804" w:wrap="around" w:vAnchor="page" w:hAnchor="margin" w:y="852" w:anchorLock="1"/>
    </w:pPr>
    <w:rPr>
      <w:noProof/>
    </w:rPr>
  </w:style>
  <w:style w:type="paragraph" w:customStyle="1" w:styleId="Cover-tagline">
    <w:name w:val="Cover-tagline"/>
    <w:basedOn w:val="Cover-logo"/>
    <w:rsid w:val="00395A30"/>
    <w:pPr>
      <w:framePr w:wrap="around" w:xAlign="right" w:y="937"/>
      <w:jc w:val="right"/>
    </w:pPr>
  </w:style>
  <w:style w:type="table" w:styleId="TableGridLight">
    <w:name w:val="Grid Table Light"/>
    <w:basedOn w:val="TableNormal"/>
    <w:uiPriority w:val="40"/>
    <w:rsid w:val="00F7338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pple-converted-space">
    <w:name w:val="apple-converted-space"/>
    <w:basedOn w:val="DefaultParagraphFont"/>
    <w:rsid w:val="005F69A8"/>
  </w:style>
  <w:style w:type="character" w:styleId="UnresolvedMention">
    <w:name w:val="Unresolved Mention"/>
    <w:basedOn w:val="DefaultParagraphFont"/>
    <w:uiPriority w:val="99"/>
    <w:semiHidden/>
    <w:unhideWhenUsed/>
    <w:rsid w:val="003B23CD"/>
    <w:rPr>
      <w:color w:val="605E5C"/>
      <w:shd w:val="clear" w:color="auto" w:fill="E1DFDD"/>
    </w:rPr>
  </w:style>
  <w:style w:type="character" w:styleId="FollowedHyperlink">
    <w:name w:val="FollowedHyperlink"/>
    <w:basedOn w:val="DefaultParagraphFont"/>
    <w:uiPriority w:val="99"/>
    <w:semiHidden/>
    <w:unhideWhenUsed/>
    <w:rsid w:val="00A27E44"/>
    <w:rPr>
      <w:color w:val="000000" w:themeColor="followedHyperlink"/>
      <w:u w:val="single"/>
    </w:rPr>
  </w:style>
  <w:style w:type="paragraph" w:styleId="NormalWeb">
    <w:name w:val="Normal (Web)"/>
    <w:basedOn w:val="Normal"/>
    <w:uiPriority w:val="99"/>
    <w:unhideWhenUsed/>
    <w:rsid w:val="0016285E"/>
    <w:pPr>
      <w:spacing w:before="100" w:beforeAutospacing="1" w:after="100" w:afterAutospacing="1"/>
    </w:pPr>
    <w:rPr>
      <w:rFonts w:ascii="Times New Roman" w:eastAsia="Times New Roman" w:hAnsi="Times New Roman" w:cs="Times New Roman"/>
      <w:szCs w:val="24"/>
      <w:lang w:eastAsia="en-GB"/>
    </w:rPr>
  </w:style>
  <w:style w:type="table" w:customStyle="1" w:styleId="DepartmentofPrimaryIndustries-default">
    <w:name w:val="Department of Primary Industries-default"/>
    <w:basedOn w:val="TableNormal"/>
    <w:uiPriority w:val="99"/>
    <w:rsid w:val="007678D7"/>
    <w:pPr>
      <w:spacing w:after="0" w:line="240" w:lineRule="auto"/>
    </w:pPr>
    <w:tblPr>
      <w:tblBorders>
        <w:top w:val="single" w:sz="4" w:space="0" w:color="003F51" w:themeColor="accent1"/>
        <w:left w:val="single" w:sz="4" w:space="0" w:color="003F51" w:themeColor="accent1"/>
        <w:bottom w:val="single" w:sz="4" w:space="0" w:color="003F51" w:themeColor="accent1"/>
        <w:right w:val="single" w:sz="4" w:space="0" w:color="003F51" w:themeColor="accent1"/>
        <w:insideH w:val="single" w:sz="4" w:space="0" w:color="003F51" w:themeColor="accent1"/>
        <w:insideV w:val="single" w:sz="4" w:space="0" w:color="003F51" w:themeColor="accent1"/>
      </w:tblBorders>
      <w:tblCellMar>
        <w:top w:w="57" w:type="dxa"/>
        <w:left w:w="57" w:type="dxa"/>
        <w:bottom w:w="57" w:type="dxa"/>
        <w:right w:w="57" w:type="dxa"/>
      </w:tblCellMar>
    </w:tblPr>
    <w:tblStylePr w:type="firstRow">
      <w:rPr>
        <w:b/>
        <w:color w:val="FFFFFF" w:themeColor="background1"/>
      </w:rPr>
      <w:tblPr/>
      <w:tcPr>
        <w:tcBorders>
          <w:insideV w:val="single" w:sz="4" w:space="0" w:color="FFFFFF" w:themeColor="background1"/>
        </w:tcBorders>
        <w:shd w:val="clear" w:color="auto" w:fill="003F51" w:themeFill="accent1"/>
      </w:tcPr>
    </w:tblStylePr>
  </w:style>
  <w:style w:type="character" w:customStyle="1" w:styleId="cf21">
    <w:name w:val="cf21"/>
    <w:basedOn w:val="DefaultParagraphFont"/>
    <w:rsid w:val="00473F98"/>
    <w:rPr>
      <w:rFonts w:ascii="Segoe UI" w:hAnsi="Segoe UI" w:cs="Segoe UI" w:hint="default"/>
      <w:sz w:val="18"/>
      <w:szCs w:val="18"/>
    </w:rPr>
  </w:style>
  <w:style w:type="character" w:customStyle="1" w:styleId="CaptionChar">
    <w:name w:val="Caption Char"/>
    <w:aliases w:val="Legenda Carácter Carácter Carácter Carácter Carácter Carácter Carácter Carácter Carácter Carácter Carácter Carácter Carácter Carácter Carácter Carácter Char,Figure Char,Figure Caption Char"/>
    <w:link w:val="Caption"/>
    <w:locked/>
    <w:rsid w:val="00473F98"/>
    <w:rPr>
      <w:i/>
      <w:iCs/>
      <w:color w:val="000000" w:themeColor="text1"/>
      <w:sz w:val="24"/>
      <w:szCs w:val="18"/>
    </w:rPr>
  </w:style>
  <w:style w:type="character" w:styleId="CommentReference">
    <w:name w:val="annotation reference"/>
    <w:basedOn w:val="DefaultParagraphFont"/>
    <w:uiPriority w:val="99"/>
    <w:semiHidden/>
    <w:unhideWhenUsed/>
    <w:rsid w:val="009327D1"/>
    <w:rPr>
      <w:sz w:val="16"/>
      <w:szCs w:val="16"/>
    </w:rPr>
  </w:style>
  <w:style w:type="paragraph" w:styleId="CommentText">
    <w:name w:val="annotation text"/>
    <w:basedOn w:val="Normal"/>
    <w:link w:val="CommentTextChar"/>
    <w:uiPriority w:val="99"/>
    <w:unhideWhenUsed/>
    <w:rsid w:val="009327D1"/>
    <w:rPr>
      <w:sz w:val="20"/>
      <w:szCs w:val="20"/>
    </w:rPr>
  </w:style>
  <w:style w:type="character" w:customStyle="1" w:styleId="CommentTextChar">
    <w:name w:val="Comment Text Char"/>
    <w:basedOn w:val="DefaultParagraphFont"/>
    <w:link w:val="CommentText"/>
    <w:uiPriority w:val="99"/>
    <w:rsid w:val="009327D1"/>
    <w:rPr>
      <w:sz w:val="20"/>
      <w:szCs w:val="20"/>
    </w:rPr>
  </w:style>
  <w:style w:type="paragraph" w:styleId="Revision">
    <w:name w:val="Revision"/>
    <w:hidden/>
    <w:semiHidden/>
    <w:rsid w:val="00973AA4"/>
    <w:pPr>
      <w:spacing w:after="0" w:line="240" w:lineRule="auto"/>
    </w:pPr>
    <w:rPr>
      <w:sz w:val="24"/>
    </w:rPr>
  </w:style>
  <w:style w:type="paragraph" w:styleId="CommentSubject">
    <w:name w:val="annotation subject"/>
    <w:basedOn w:val="CommentText"/>
    <w:next w:val="CommentText"/>
    <w:link w:val="CommentSubjectChar"/>
    <w:semiHidden/>
    <w:unhideWhenUsed/>
    <w:rsid w:val="00973AA4"/>
    <w:pPr>
      <w:spacing w:after="120"/>
    </w:pPr>
    <w:rPr>
      <w:b/>
      <w:bCs/>
    </w:rPr>
  </w:style>
  <w:style w:type="character" w:customStyle="1" w:styleId="CommentSubjectChar">
    <w:name w:val="Comment Subject Char"/>
    <w:basedOn w:val="CommentTextChar"/>
    <w:link w:val="CommentSubject"/>
    <w:semiHidden/>
    <w:rsid w:val="00973AA4"/>
    <w:rPr>
      <w:b/>
      <w:bCs/>
      <w:sz w:val="20"/>
      <w:szCs w:val="20"/>
    </w:rPr>
  </w:style>
  <w:style w:type="character" w:customStyle="1" w:styleId="ListParagraphChar">
    <w:name w:val="List Paragraph Char"/>
    <w:link w:val="ListParagraph"/>
    <w:uiPriority w:val="34"/>
    <w:locked/>
    <w:rsid w:val="00C830CA"/>
    <w:rPr>
      <w:sz w:val="24"/>
    </w:rPr>
  </w:style>
  <w:style w:type="paragraph" w:styleId="FootnoteText">
    <w:name w:val="footnote text"/>
    <w:basedOn w:val="Normal"/>
    <w:link w:val="FootnoteTextChar"/>
    <w:uiPriority w:val="9"/>
    <w:unhideWhenUsed/>
    <w:qFormat/>
    <w:rsid w:val="00D66CBD"/>
    <w:pPr>
      <w:spacing w:after="0"/>
    </w:pPr>
    <w:rPr>
      <w:sz w:val="20"/>
      <w:szCs w:val="20"/>
    </w:rPr>
  </w:style>
  <w:style w:type="character" w:customStyle="1" w:styleId="FootnoteTextChar">
    <w:name w:val="Footnote Text Char"/>
    <w:basedOn w:val="DefaultParagraphFont"/>
    <w:link w:val="FootnoteText"/>
    <w:uiPriority w:val="9"/>
    <w:rsid w:val="00D66CBD"/>
    <w:rPr>
      <w:sz w:val="20"/>
      <w:szCs w:val="20"/>
    </w:rPr>
  </w:style>
  <w:style w:type="character" w:styleId="FootnoteReference">
    <w:name w:val="footnote reference"/>
    <w:basedOn w:val="DefaultParagraphFont"/>
    <w:unhideWhenUsed/>
    <w:rsid w:val="00D66CBD"/>
    <w:rPr>
      <w:vertAlign w:val="superscript"/>
    </w:rPr>
  </w:style>
  <w:style w:type="character" w:customStyle="1" w:styleId="Heading6Char">
    <w:name w:val="Heading 6 Char"/>
    <w:basedOn w:val="DefaultParagraphFont"/>
    <w:link w:val="Heading6"/>
    <w:uiPriority w:val="9"/>
    <w:rsid w:val="00FC26E2"/>
    <w:rPr>
      <w:rFonts w:asciiTheme="majorHAnsi" w:eastAsiaTheme="majorEastAsia" w:hAnsiTheme="majorHAnsi" w:cstheme="majorBidi"/>
      <w:color w:val="003F51" w:themeColor="accent1"/>
      <w:sz w:val="24"/>
      <w:szCs w:val="24"/>
    </w:rPr>
  </w:style>
  <w:style w:type="paragraph" w:customStyle="1" w:styleId="FirstParagraph">
    <w:name w:val="First Paragraph"/>
    <w:basedOn w:val="BodyText"/>
    <w:next w:val="BodyText"/>
    <w:qFormat/>
    <w:rsid w:val="00FC26E2"/>
    <w:pPr>
      <w:spacing w:before="180" w:after="180" w:line="240" w:lineRule="auto"/>
    </w:pPr>
    <w:rPr>
      <w:rFonts w:ascii="Calibri" w:hAnsi="Calibri"/>
      <w:szCs w:val="24"/>
    </w:rPr>
  </w:style>
  <w:style w:type="paragraph" w:customStyle="1" w:styleId="Compact">
    <w:name w:val="Compact"/>
    <w:basedOn w:val="BodyText"/>
    <w:qFormat/>
    <w:rsid w:val="00FC26E2"/>
    <w:pPr>
      <w:spacing w:before="36" w:after="36" w:line="240" w:lineRule="auto"/>
    </w:pPr>
    <w:rPr>
      <w:rFonts w:ascii="Calibri" w:hAnsi="Calibri"/>
      <w:szCs w:val="24"/>
    </w:rPr>
  </w:style>
  <w:style w:type="paragraph" w:customStyle="1" w:styleId="Author">
    <w:name w:val="Author"/>
    <w:next w:val="BodyText"/>
    <w:qFormat/>
    <w:rsid w:val="00FC26E2"/>
    <w:pPr>
      <w:keepNext/>
      <w:keepLines/>
      <w:spacing w:after="200" w:line="240" w:lineRule="auto"/>
      <w:jc w:val="center"/>
    </w:pPr>
    <w:rPr>
      <w:sz w:val="24"/>
      <w:szCs w:val="24"/>
      <w:lang w:val="en-US"/>
    </w:rPr>
  </w:style>
  <w:style w:type="paragraph" w:customStyle="1" w:styleId="Abstract">
    <w:name w:val="Abstract"/>
    <w:basedOn w:val="Normal"/>
    <w:next w:val="BodyText"/>
    <w:qFormat/>
    <w:rsid w:val="00FC26E2"/>
    <w:pPr>
      <w:keepNext/>
      <w:keepLines/>
      <w:spacing w:before="300" w:after="300" w:line="240" w:lineRule="auto"/>
    </w:pPr>
    <w:rPr>
      <w:sz w:val="20"/>
      <w:szCs w:val="20"/>
    </w:rPr>
  </w:style>
  <w:style w:type="paragraph" w:styleId="Bibliography">
    <w:name w:val="Bibliography"/>
    <w:basedOn w:val="Normal"/>
    <w:qFormat/>
    <w:rsid w:val="00FC26E2"/>
    <w:pPr>
      <w:spacing w:after="200" w:line="240" w:lineRule="auto"/>
    </w:pPr>
    <w:rPr>
      <w:szCs w:val="24"/>
    </w:rPr>
  </w:style>
  <w:style w:type="paragraph" w:styleId="BlockText">
    <w:name w:val="Block Text"/>
    <w:basedOn w:val="BodyText"/>
    <w:next w:val="BodyText"/>
    <w:uiPriority w:val="9"/>
    <w:unhideWhenUsed/>
    <w:qFormat/>
    <w:rsid w:val="00FC26E2"/>
    <w:pPr>
      <w:spacing w:before="100" w:after="100" w:line="240" w:lineRule="auto"/>
    </w:pPr>
    <w:rPr>
      <w:rFonts w:asciiTheme="majorHAnsi" w:eastAsiaTheme="majorEastAsia" w:hAnsiTheme="majorHAnsi" w:cstheme="majorBidi"/>
      <w:bCs/>
      <w:sz w:val="20"/>
      <w:szCs w:val="20"/>
    </w:rPr>
  </w:style>
  <w:style w:type="paragraph" w:customStyle="1" w:styleId="DefinitionTerm">
    <w:name w:val="Definition Term"/>
    <w:basedOn w:val="Normal"/>
    <w:next w:val="Definition"/>
    <w:rsid w:val="00FC26E2"/>
    <w:pPr>
      <w:keepNext/>
      <w:keepLines/>
      <w:spacing w:after="0" w:line="240" w:lineRule="auto"/>
    </w:pPr>
    <w:rPr>
      <w:b/>
      <w:szCs w:val="24"/>
    </w:rPr>
  </w:style>
  <w:style w:type="paragraph" w:customStyle="1" w:styleId="Definition">
    <w:name w:val="Definition"/>
    <w:basedOn w:val="Normal"/>
    <w:rsid w:val="00FC26E2"/>
    <w:pPr>
      <w:spacing w:after="200" w:line="240" w:lineRule="auto"/>
    </w:pPr>
    <w:rPr>
      <w:szCs w:val="24"/>
    </w:rPr>
  </w:style>
  <w:style w:type="paragraph" w:customStyle="1" w:styleId="TableCaption">
    <w:name w:val="Table Caption"/>
    <w:basedOn w:val="Caption"/>
    <w:rsid w:val="00FC26E2"/>
    <w:pPr>
      <w:keepNext/>
      <w:spacing w:after="120" w:line="240" w:lineRule="auto"/>
    </w:pPr>
    <w:rPr>
      <w:iCs w:val="0"/>
      <w:color w:val="auto"/>
      <w:szCs w:val="24"/>
    </w:rPr>
  </w:style>
  <w:style w:type="paragraph" w:customStyle="1" w:styleId="ImageCaption">
    <w:name w:val="Image Caption"/>
    <w:basedOn w:val="Caption"/>
    <w:rsid w:val="00FC26E2"/>
    <w:pPr>
      <w:spacing w:after="120" w:line="240" w:lineRule="auto"/>
    </w:pPr>
    <w:rPr>
      <w:iCs w:val="0"/>
      <w:color w:val="auto"/>
      <w:szCs w:val="24"/>
    </w:rPr>
  </w:style>
  <w:style w:type="paragraph" w:customStyle="1" w:styleId="FigurewithCaption">
    <w:name w:val="Figure with Caption"/>
    <w:basedOn w:val="Caption"/>
    <w:rsid w:val="00FC26E2"/>
    <w:pPr>
      <w:keepNext/>
      <w:spacing w:after="200" w:line="240" w:lineRule="auto"/>
    </w:pPr>
    <w:rPr>
      <w:i w:val="0"/>
      <w:iCs w:val="0"/>
      <w:color w:val="auto"/>
      <w:szCs w:val="24"/>
    </w:rPr>
  </w:style>
  <w:style w:type="character" w:customStyle="1" w:styleId="VerbatimChar">
    <w:name w:val="Verbatim Char"/>
    <w:basedOn w:val="CaptionChar"/>
    <w:link w:val="SourceCode"/>
    <w:rsid w:val="00FC26E2"/>
    <w:rPr>
      <w:rFonts w:ascii="Consolas" w:hAnsi="Consolas"/>
      <w:i/>
      <w:iCs w:val="0"/>
      <w:color w:val="000000" w:themeColor="text1"/>
      <w:sz w:val="24"/>
      <w:szCs w:val="18"/>
      <w:shd w:val="clear" w:color="auto" w:fill="F8F8F8"/>
    </w:rPr>
  </w:style>
  <w:style w:type="paragraph" w:customStyle="1" w:styleId="SourceCode">
    <w:name w:val="Source Code"/>
    <w:basedOn w:val="Normal"/>
    <w:link w:val="VerbatimChar"/>
    <w:rsid w:val="00FC26E2"/>
    <w:pPr>
      <w:shd w:val="clear" w:color="auto" w:fill="F8F8F8"/>
      <w:wordWrap w:val="0"/>
      <w:spacing w:after="200" w:line="240" w:lineRule="auto"/>
    </w:pPr>
    <w:rPr>
      <w:rFonts w:ascii="Consolas" w:hAnsi="Consolas"/>
      <w:i/>
      <w:sz w:val="22"/>
    </w:rPr>
  </w:style>
  <w:style w:type="character" w:customStyle="1" w:styleId="KeywordTok">
    <w:name w:val="KeywordTok"/>
    <w:basedOn w:val="VerbatimChar"/>
    <w:rsid w:val="00FC26E2"/>
    <w:rPr>
      <w:rFonts w:ascii="Consolas" w:hAnsi="Consolas"/>
      <w:b/>
      <w:i/>
      <w:iCs w:val="0"/>
      <w:color w:val="204A87"/>
      <w:sz w:val="24"/>
      <w:szCs w:val="18"/>
      <w:shd w:val="clear" w:color="auto" w:fill="F8F8F8"/>
    </w:rPr>
  </w:style>
  <w:style w:type="character" w:customStyle="1" w:styleId="DataTypeTok">
    <w:name w:val="DataTypeTok"/>
    <w:basedOn w:val="VerbatimChar"/>
    <w:rsid w:val="00FC26E2"/>
    <w:rPr>
      <w:rFonts w:ascii="Consolas" w:hAnsi="Consolas"/>
      <w:i/>
      <w:iCs w:val="0"/>
      <w:color w:val="204A87"/>
      <w:sz w:val="24"/>
      <w:szCs w:val="18"/>
      <w:shd w:val="clear" w:color="auto" w:fill="F8F8F8"/>
    </w:rPr>
  </w:style>
  <w:style w:type="character" w:customStyle="1" w:styleId="DecValTok">
    <w:name w:val="DecValTok"/>
    <w:basedOn w:val="VerbatimChar"/>
    <w:rsid w:val="00FC26E2"/>
    <w:rPr>
      <w:rFonts w:ascii="Consolas" w:hAnsi="Consolas"/>
      <w:i/>
      <w:iCs w:val="0"/>
      <w:color w:val="0000CF"/>
      <w:sz w:val="24"/>
      <w:szCs w:val="18"/>
      <w:shd w:val="clear" w:color="auto" w:fill="F8F8F8"/>
    </w:rPr>
  </w:style>
  <w:style w:type="character" w:customStyle="1" w:styleId="BaseNTok">
    <w:name w:val="BaseNTok"/>
    <w:basedOn w:val="VerbatimChar"/>
    <w:rsid w:val="00FC26E2"/>
    <w:rPr>
      <w:rFonts w:ascii="Consolas" w:hAnsi="Consolas"/>
      <w:i/>
      <w:iCs w:val="0"/>
      <w:color w:val="0000CF"/>
      <w:sz w:val="24"/>
      <w:szCs w:val="18"/>
      <w:shd w:val="clear" w:color="auto" w:fill="F8F8F8"/>
    </w:rPr>
  </w:style>
  <w:style w:type="character" w:customStyle="1" w:styleId="FloatTok">
    <w:name w:val="FloatTok"/>
    <w:basedOn w:val="VerbatimChar"/>
    <w:rsid w:val="00FC26E2"/>
    <w:rPr>
      <w:rFonts w:ascii="Consolas" w:hAnsi="Consolas"/>
      <w:i/>
      <w:iCs w:val="0"/>
      <w:color w:val="0000CF"/>
      <w:sz w:val="24"/>
      <w:szCs w:val="18"/>
      <w:shd w:val="clear" w:color="auto" w:fill="F8F8F8"/>
    </w:rPr>
  </w:style>
  <w:style w:type="character" w:customStyle="1" w:styleId="ConstantTok">
    <w:name w:val="ConstantTok"/>
    <w:basedOn w:val="VerbatimChar"/>
    <w:rsid w:val="00FC26E2"/>
    <w:rPr>
      <w:rFonts w:ascii="Consolas" w:hAnsi="Consolas"/>
      <w:i/>
      <w:iCs w:val="0"/>
      <w:color w:val="000000"/>
      <w:sz w:val="24"/>
      <w:szCs w:val="18"/>
      <w:shd w:val="clear" w:color="auto" w:fill="F8F8F8"/>
    </w:rPr>
  </w:style>
  <w:style w:type="character" w:customStyle="1" w:styleId="CharTok">
    <w:name w:val="CharTok"/>
    <w:basedOn w:val="VerbatimChar"/>
    <w:rsid w:val="00FC26E2"/>
    <w:rPr>
      <w:rFonts w:ascii="Consolas" w:hAnsi="Consolas"/>
      <w:i/>
      <w:iCs w:val="0"/>
      <w:color w:val="4E9A06"/>
      <w:sz w:val="24"/>
      <w:szCs w:val="18"/>
      <w:shd w:val="clear" w:color="auto" w:fill="F8F8F8"/>
    </w:rPr>
  </w:style>
  <w:style w:type="character" w:customStyle="1" w:styleId="SpecialCharTok">
    <w:name w:val="SpecialCharTok"/>
    <w:basedOn w:val="VerbatimChar"/>
    <w:rsid w:val="00FC26E2"/>
    <w:rPr>
      <w:rFonts w:ascii="Consolas" w:hAnsi="Consolas"/>
      <w:i/>
      <w:iCs w:val="0"/>
      <w:color w:val="000000"/>
      <w:sz w:val="24"/>
      <w:szCs w:val="18"/>
      <w:shd w:val="clear" w:color="auto" w:fill="F8F8F8"/>
    </w:rPr>
  </w:style>
  <w:style w:type="character" w:customStyle="1" w:styleId="StringTok">
    <w:name w:val="StringTok"/>
    <w:basedOn w:val="VerbatimChar"/>
    <w:rsid w:val="00FC26E2"/>
    <w:rPr>
      <w:rFonts w:ascii="Consolas" w:hAnsi="Consolas"/>
      <w:i/>
      <w:iCs w:val="0"/>
      <w:color w:val="4E9A06"/>
      <w:sz w:val="24"/>
      <w:szCs w:val="18"/>
      <w:shd w:val="clear" w:color="auto" w:fill="F8F8F8"/>
    </w:rPr>
  </w:style>
  <w:style w:type="character" w:customStyle="1" w:styleId="VerbatimStringTok">
    <w:name w:val="VerbatimStringTok"/>
    <w:basedOn w:val="VerbatimChar"/>
    <w:rsid w:val="00FC26E2"/>
    <w:rPr>
      <w:rFonts w:ascii="Consolas" w:hAnsi="Consolas"/>
      <w:i/>
      <w:iCs w:val="0"/>
      <w:color w:val="4E9A06"/>
      <w:sz w:val="24"/>
      <w:szCs w:val="18"/>
      <w:shd w:val="clear" w:color="auto" w:fill="F8F8F8"/>
    </w:rPr>
  </w:style>
  <w:style w:type="character" w:customStyle="1" w:styleId="SpecialStringTok">
    <w:name w:val="SpecialStringTok"/>
    <w:basedOn w:val="VerbatimChar"/>
    <w:rsid w:val="00FC26E2"/>
    <w:rPr>
      <w:rFonts w:ascii="Consolas" w:hAnsi="Consolas"/>
      <w:i/>
      <w:iCs w:val="0"/>
      <w:color w:val="4E9A06"/>
      <w:sz w:val="24"/>
      <w:szCs w:val="18"/>
      <w:shd w:val="clear" w:color="auto" w:fill="F8F8F8"/>
    </w:rPr>
  </w:style>
  <w:style w:type="character" w:customStyle="1" w:styleId="ImportTok">
    <w:name w:val="ImportTok"/>
    <w:basedOn w:val="VerbatimChar"/>
    <w:rsid w:val="00FC26E2"/>
    <w:rPr>
      <w:rFonts w:ascii="Consolas" w:hAnsi="Consolas"/>
      <w:i/>
      <w:iCs w:val="0"/>
      <w:color w:val="000000" w:themeColor="text1"/>
      <w:sz w:val="24"/>
      <w:szCs w:val="18"/>
      <w:shd w:val="clear" w:color="auto" w:fill="F8F8F8"/>
    </w:rPr>
  </w:style>
  <w:style w:type="character" w:customStyle="1" w:styleId="CommentTok">
    <w:name w:val="CommentTok"/>
    <w:basedOn w:val="VerbatimChar"/>
    <w:rsid w:val="00FC26E2"/>
    <w:rPr>
      <w:rFonts w:ascii="Consolas" w:hAnsi="Consolas"/>
      <w:i w:val="0"/>
      <w:iCs w:val="0"/>
      <w:color w:val="8F5902"/>
      <w:sz w:val="24"/>
      <w:szCs w:val="18"/>
      <w:shd w:val="clear" w:color="auto" w:fill="F8F8F8"/>
    </w:rPr>
  </w:style>
  <w:style w:type="character" w:customStyle="1" w:styleId="DocumentationTok">
    <w:name w:val="DocumentationTok"/>
    <w:basedOn w:val="VerbatimChar"/>
    <w:rsid w:val="00FC26E2"/>
    <w:rPr>
      <w:rFonts w:ascii="Consolas" w:hAnsi="Consolas"/>
      <w:b/>
      <w:i w:val="0"/>
      <w:iCs w:val="0"/>
      <w:color w:val="8F5902"/>
      <w:sz w:val="24"/>
      <w:szCs w:val="18"/>
      <w:shd w:val="clear" w:color="auto" w:fill="F8F8F8"/>
    </w:rPr>
  </w:style>
  <w:style w:type="character" w:customStyle="1" w:styleId="AnnotationTok">
    <w:name w:val="AnnotationTok"/>
    <w:basedOn w:val="VerbatimChar"/>
    <w:rsid w:val="00FC26E2"/>
    <w:rPr>
      <w:rFonts w:ascii="Consolas" w:hAnsi="Consolas"/>
      <w:b/>
      <w:i w:val="0"/>
      <w:iCs w:val="0"/>
      <w:color w:val="8F5902"/>
      <w:sz w:val="24"/>
      <w:szCs w:val="18"/>
      <w:shd w:val="clear" w:color="auto" w:fill="F8F8F8"/>
    </w:rPr>
  </w:style>
  <w:style w:type="character" w:customStyle="1" w:styleId="CommentVarTok">
    <w:name w:val="CommentVarTok"/>
    <w:basedOn w:val="VerbatimChar"/>
    <w:rsid w:val="00FC26E2"/>
    <w:rPr>
      <w:rFonts w:ascii="Consolas" w:hAnsi="Consolas"/>
      <w:b/>
      <w:i w:val="0"/>
      <w:iCs w:val="0"/>
      <w:color w:val="8F5902"/>
      <w:sz w:val="24"/>
      <w:szCs w:val="18"/>
      <w:shd w:val="clear" w:color="auto" w:fill="F8F8F8"/>
    </w:rPr>
  </w:style>
  <w:style w:type="character" w:customStyle="1" w:styleId="OtherTok">
    <w:name w:val="OtherTok"/>
    <w:basedOn w:val="VerbatimChar"/>
    <w:rsid w:val="00FC26E2"/>
    <w:rPr>
      <w:rFonts w:ascii="Consolas" w:hAnsi="Consolas"/>
      <w:i/>
      <w:iCs w:val="0"/>
      <w:color w:val="8F5902"/>
      <w:sz w:val="24"/>
      <w:szCs w:val="18"/>
      <w:shd w:val="clear" w:color="auto" w:fill="F8F8F8"/>
    </w:rPr>
  </w:style>
  <w:style w:type="character" w:customStyle="1" w:styleId="FunctionTok">
    <w:name w:val="FunctionTok"/>
    <w:basedOn w:val="VerbatimChar"/>
    <w:rsid w:val="00FC26E2"/>
    <w:rPr>
      <w:rFonts w:ascii="Consolas" w:hAnsi="Consolas"/>
      <w:i/>
      <w:iCs w:val="0"/>
      <w:color w:val="000000"/>
      <w:sz w:val="24"/>
      <w:szCs w:val="18"/>
      <w:shd w:val="clear" w:color="auto" w:fill="F8F8F8"/>
    </w:rPr>
  </w:style>
  <w:style w:type="character" w:customStyle="1" w:styleId="VariableTok">
    <w:name w:val="VariableTok"/>
    <w:basedOn w:val="VerbatimChar"/>
    <w:rsid w:val="00FC26E2"/>
    <w:rPr>
      <w:rFonts w:ascii="Consolas" w:hAnsi="Consolas"/>
      <w:i/>
      <w:iCs w:val="0"/>
      <w:color w:val="000000"/>
      <w:sz w:val="24"/>
      <w:szCs w:val="18"/>
      <w:shd w:val="clear" w:color="auto" w:fill="F8F8F8"/>
    </w:rPr>
  </w:style>
  <w:style w:type="character" w:customStyle="1" w:styleId="ControlFlowTok">
    <w:name w:val="ControlFlowTok"/>
    <w:basedOn w:val="VerbatimChar"/>
    <w:rsid w:val="00FC26E2"/>
    <w:rPr>
      <w:rFonts w:ascii="Consolas" w:hAnsi="Consolas"/>
      <w:b/>
      <w:i/>
      <w:iCs w:val="0"/>
      <w:color w:val="204A87"/>
      <w:sz w:val="24"/>
      <w:szCs w:val="18"/>
      <w:shd w:val="clear" w:color="auto" w:fill="F8F8F8"/>
    </w:rPr>
  </w:style>
  <w:style w:type="character" w:customStyle="1" w:styleId="OperatorTok">
    <w:name w:val="OperatorTok"/>
    <w:basedOn w:val="VerbatimChar"/>
    <w:rsid w:val="00FC26E2"/>
    <w:rPr>
      <w:rFonts w:ascii="Consolas" w:hAnsi="Consolas"/>
      <w:b/>
      <w:i/>
      <w:iCs w:val="0"/>
      <w:color w:val="CE5C00"/>
      <w:sz w:val="24"/>
      <w:szCs w:val="18"/>
      <w:shd w:val="clear" w:color="auto" w:fill="F8F8F8"/>
    </w:rPr>
  </w:style>
  <w:style w:type="character" w:customStyle="1" w:styleId="BuiltInTok">
    <w:name w:val="BuiltInTok"/>
    <w:basedOn w:val="VerbatimChar"/>
    <w:rsid w:val="00FC26E2"/>
    <w:rPr>
      <w:rFonts w:ascii="Consolas" w:hAnsi="Consolas"/>
      <w:i/>
      <w:iCs w:val="0"/>
      <w:color w:val="000000" w:themeColor="text1"/>
      <w:sz w:val="24"/>
      <w:szCs w:val="18"/>
      <w:shd w:val="clear" w:color="auto" w:fill="F8F8F8"/>
    </w:rPr>
  </w:style>
  <w:style w:type="character" w:customStyle="1" w:styleId="ExtensionTok">
    <w:name w:val="ExtensionTok"/>
    <w:basedOn w:val="VerbatimChar"/>
    <w:rsid w:val="00FC26E2"/>
    <w:rPr>
      <w:rFonts w:ascii="Consolas" w:hAnsi="Consolas"/>
      <w:i/>
      <w:iCs w:val="0"/>
      <w:color w:val="000000" w:themeColor="text1"/>
      <w:sz w:val="24"/>
      <w:szCs w:val="18"/>
      <w:shd w:val="clear" w:color="auto" w:fill="F8F8F8"/>
    </w:rPr>
  </w:style>
  <w:style w:type="character" w:customStyle="1" w:styleId="PreprocessorTok">
    <w:name w:val="PreprocessorTok"/>
    <w:basedOn w:val="VerbatimChar"/>
    <w:rsid w:val="00FC26E2"/>
    <w:rPr>
      <w:rFonts w:ascii="Consolas" w:hAnsi="Consolas"/>
      <w:i w:val="0"/>
      <w:iCs w:val="0"/>
      <w:color w:val="8F5902"/>
      <w:sz w:val="24"/>
      <w:szCs w:val="18"/>
      <w:shd w:val="clear" w:color="auto" w:fill="F8F8F8"/>
    </w:rPr>
  </w:style>
  <w:style w:type="character" w:customStyle="1" w:styleId="AttributeTok">
    <w:name w:val="AttributeTok"/>
    <w:basedOn w:val="VerbatimChar"/>
    <w:rsid w:val="00FC26E2"/>
    <w:rPr>
      <w:rFonts w:ascii="Consolas" w:hAnsi="Consolas"/>
      <w:i/>
      <w:iCs w:val="0"/>
      <w:color w:val="C4A000"/>
      <w:sz w:val="24"/>
      <w:szCs w:val="18"/>
      <w:shd w:val="clear" w:color="auto" w:fill="F8F8F8"/>
    </w:rPr>
  </w:style>
  <w:style w:type="character" w:customStyle="1" w:styleId="RegionMarkerTok">
    <w:name w:val="RegionMarkerTok"/>
    <w:basedOn w:val="VerbatimChar"/>
    <w:rsid w:val="00FC26E2"/>
    <w:rPr>
      <w:rFonts w:ascii="Consolas" w:hAnsi="Consolas"/>
      <w:i/>
      <w:iCs w:val="0"/>
      <w:color w:val="000000" w:themeColor="text1"/>
      <w:sz w:val="24"/>
      <w:szCs w:val="18"/>
      <w:shd w:val="clear" w:color="auto" w:fill="F8F8F8"/>
    </w:rPr>
  </w:style>
  <w:style w:type="character" w:customStyle="1" w:styleId="InformationTok">
    <w:name w:val="InformationTok"/>
    <w:basedOn w:val="VerbatimChar"/>
    <w:rsid w:val="00FC26E2"/>
    <w:rPr>
      <w:rFonts w:ascii="Consolas" w:hAnsi="Consolas"/>
      <w:b/>
      <w:i w:val="0"/>
      <w:iCs w:val="0"/>
      <w:color w:val="8F5902"/>
      <w:sz w:val="24"/>
      <w:szCs w:val="18"/>
      <w:shd w:val="clear" w:color="auto" w:fill="F8F8F8"/>
    </w:rPr>
  </w:style>
  <w:style w:type="character" w:customStyle="1" w:styleId="WarningTok">
    <w:name w:val="WarningTok"/>
    <w:basedOn w:val="VerbatimChar"/>
    <w:rsid w:val="00FC26E2"/>
    <w:rPr>
      <w:rFonts w:ascii="Consolas" w:hAnsi="Consolas"/>
      <w:b/>
      <w:i w:val="0"/>
      <w:iCs w:val="0"/>
      <w:color w:val="8F5902"/>
      <w:sz w:val="24"/>
      <w:szCs w:val="18"/>
      <w:shd w:val="clear" w:color="auto" w:fill="F8F8F8"/>
    </w:rPr>
  </w:style>
  <w:style w:type="character" w:customStyle="1" w:styleId="AlertTok">
    <w:name w:val="AlertTok"/>
    <w:basedOn w:val="VerbatimChar"/>
    <w:rsid w:val="00FC26E2"/>
    <w:rPr>
      <w:rFonts w:ascii="Consolas" w:hAnsi="Consolas"/>
      <w:i/>
      <w:iCs w:val="0"/>
      <w:color w:val="EF2929"/>
      <w:sz w:val="24"/>
      <w:szCs w:val="18"/>
      <w:shd w:val="clear" w:color="auto" w:fill="F8F8F8"/>
    </w:rPr>
  </w:style>
  <w:style w:type="character" w:customStyle="1" w:styleId="ErrorTok">
    <w:name w:val="ErrorTok"/>
    <w:basedOn w:val="VerbatimChar"/>
    <w:rsid w:val="00FC26E2"/>
    <w:rPr>
      <w:rFonts w:ascii="Consolas" w:hAnsi="Consolas"/>
      <w:b/>
      <w:i/>
      <w:iCs w:val="0"/>
      <w:color w:val="A40000"/>
      <w:sz w:val="24"/>
      <w:szCs w:val="18"/>
      <w:shd w:val="clear" w:color="auto" w:fill="F8F8F8"/>
    </w:rPr>
  </w:style>
  <w:style w:type="character" w:customStyle="1" w:styleId="NormalTok">
    <w:name w:val="NormalTok"/>
    <w:basedOn w:val="VerbatimChar"/>
    <w:rsid w:val="00FC26E2"/>
    <w:rPr>
      <w:rFonts w:ascii="Consolas" w:hAnsi="Consolas"/>
      <w:i/>
      <w:iCs w:val="0"/>
      <w:color w:val="000000" w:themeColor="text1"/>
      <w:sz w:val="24"/>
      <w:szCs w:val="18"/>
      <w:shd w:val="clear" w:color="auto" w:fill="F8F8F8"/>
    </w:rPr>
  </w:style>
  <w:style w:type="paragraph" w:styleId="BalloonText">
    <w:name w:val="Balloon Text"/>
    <w:basedOn w:val="Normal"/>
    <w:link w:val="BalloonTextChar"/>
    <w:semiHidden/>
    <w:unhideWhenUsed/>
    <w:rsid w:val="00FC26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semiHidden/>
    <w:rsid w:val="00FC26E2"/>
    <w:rPr>
      <w:rFonts w:ascii="Segoe UI" w:hAnsi="Segoe UI" w:cs="Segoe UI"/>
      <w:sz w:val="18"/>
      <w:szCs w:val="18"/>
    </w:rPr>
  </w:style>
  <w:style w:type="character" w:styleId="IntenseEmphasis">
    <w:name w:val="Intense Emphasis"/>
    <w:basedOn w:val="DefaultParagraphFont"/>
    <w:uiPriority w:val="21"/>
    <w:qFormat/>
    <w:rsid w:val="00FC26E2"/>
    <w:rPr>
      <w:i/>
      <w:iCs/>
      <w:color w:val="003F51" w:themeColor="accent1"/>
    </w:rPr>
  </w:style>
  <w:style w:type="character" w:styleId="Emphasis">
    <w:name w:val="Emphasis"/>
    <w:basedOn w:val="DefaultParagraphFont"/>
    <w:uiPriority w:val="20"/>
    <w:qFormat/>
    <w:rsid w:val="00FC26E2"/>
    <w:rPr>
      <w:i/>
      <w:iCs/>
    </w:rPr>
  </w:style>
  <w:style w:type="paragraph" w:customStyle="1" w:styleId="SoFBodytext">
    <w:name w:val="SoF Body text"/>
    <w:rsid w:val="00FC26E2"/>
    <w:pPr>
      <w:overflowPunct w:val="0"/>
      <w:autoSpaceDE w:val="0"/>
      <w:autoSpaceDN w:val="0"/>
      <w:adjustRightInd w:val="0"/>
      <w:spacing w:before="120" w:after="0" w:line="240" w:lineRule="auto"/>
      <w:textAlignment w:val="baseline"/>
    </w:pPr>
    <w:rPr>
      <w:rFonts w:ascii="Times New Roman" w:eastAsia="Times New Roman" w:hAnsi="Times New Roman" w:cs="Times New Roman"/>
      <w:sz w:val="24"/>
      <w:szCs w:val="20"/>
      <w:lang w:val="en-US"/>
    </w:rPr>
  </w:style>
  <w:style w:type="character" w:customStyle="1" w:styleId="normaltextrun">
    <w:name w:val="normaltextrun"/>
    <w:basedOn w:val="DefaultParagraphFont"/>
    <w:rsid w:val="00FC26E2"/>
  </w:style>
  <w:style w:type="paragraph" w:customStyle="1" w:styleId="1BodyCopy">
    <w:name w:val="1. Body Copy"/>
    <w:basedOn w:val="Normal"/>
    <w:rsid w:val="00FC26E2"/>
    <w:pPr>
      <w:widowControl w:val="0"/>
      <w:suppressAutoHyphens/>
      <w:autoSpaceDE w:val="0"/>
      <w:autoSpaceDN w:val="0"/>
      <w:adjustRightInd w:val="0"/>
      <w:spacing w:after="85" w:line="230" w:lineRule="atLeast"/>
      <w:textAlignment w:val="baseline"/>
    </w:pPr>
    <w:rPr>
      <w:rFonts w:ascii="TimesNewRomanPSMT" w:eastAsia="Times New Roman" w:hAnsi="TimesNewRomanPSMT" w:cs="Times New Roman"/>
      <w:color w:val="000000"/>
      <w:sz w:val="18"/>
      <w:szCs w:val="18"/>
    </w:rPr>
  </w:style>
  <w:style w:type="character" w:customStyle="1" w:styleId="eop">
    <w:name w:val="eop"/>
    <w:basedOn w:val="DefaultParagraphFont"/>
    <w:rsid w:val="00FC26E2"/>
  </w:style>
  <w:style w:type="character" w:customStyle="1" w:styleId="cf01">
    <w:name w:val="cf01"/>
    <w:basedOn w:val="DefaultParagraphFont"/>
    <w:rsid w:val="00FC26E2"/>
    <w:rPr>
      <w:rFonts w:ascii="Segoe UI" w:hAnsi="Segoe UI" w:cs="Segoe UI" w:hint="default"/>
      <w:sz w:val="18"/>
      <w:szCs w:val="18"/>
    </w:rPr>
  </w:style>
  <w:style w:type="paragraph" w:customStyle="1" w:styleId="pf0">
    <w:name w:val="pf0"/>
    <w:basedOn w:val="Normal"/>
    <w:rsid w:val="00FC26E2"/>
    <w:pPr>
      <w:spacing w:before="100" w:beforeAutospacing="1" w:after="100" w:afterAutospacing="1" w:line="240" w:lineRule="auto"/>
    </w:pPr>
    <w:rPr>
      <w:rFonts w:ascii="Times New Roman" w:eastAsia="Times New Roman" w:hAnsi="Times New Roman" w:cs="Times New Roman"/>
      <w:szCs w:val="24"/>
      <w:lang w:eastAsia="en-AU"/>
    </w:rPr>
  </w:style>
  <w:style w:type="table" w:customStyle="1" w:styleId="TableGrid1">
    <w:name w:val="Table Grid1"/>
    <w:basedOn w:val="TableNormal"/>
    <w:next w:val="TableGrid"/>
    <w:uiPriority w:val="59"/>
    <w:rsid w:val="00FC26E2"/>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0958174">
      <w:bodyDiv w:val="1"/>
      <w:marLeft w:val="0"/>
      <w:marRight w:val="0"/>
      <w:marTop w:val="0"/>
      <w:marBottom w:val="0"/>
      <w:divBdr>
        <w:top w:val="none" w:sz="0" w:space="0" w:color="auto"/>
        <w:left w:val="none" w:sz="0" w:space="0" w:color="auto"/>
        <w:bottom w:val="none" w:sz="0" w:space="0" w:color="auto"/>
        <w:right w:val="none" w:sz="0" w:space="0" w:color="auto"/>
      </w:divBdr>
    </w:div>
    <w:div w:id="123619219">
      <w:bodyDiv w:val="1"/>
      <w:marLeft w:val="0"/>
      <w:marRight w:val="0"/>
      <w:marTop w:val="0"/>
      <w:marBottom w:val="0"/>
      <w:divBdr>
        <w:top w:val="none" w:sz="0" w:space="0" w:color="auto"/>
        <w:left w:val="none" w:sz="0" w:space="0" w:color="auto"/>
        <w:bottom w:val="none" w:sz="0" w:space="0" w:color="auto"/>
        <w:right w:val="none" w:sz="0" w:space="0" w:color="auto"/>
      </w:divBdr>
    </w:div>
    <w:div w:id="724986947">
      <w:bodyDiv w:val="1"/>
      <w:marLeft w:val="0"/>
      <w:marRight w:val="0"/>
      <w:marTop w:val="0"/>
      <w:marBottom w:val="0"/>
      <w:divBdr>
        <w:top w:val="none" w:sz="0" w:space="0" w:color="auto"/>
        <w:left w:val="none" w:sz="0" w:space="0" w:color="auto"/>
        <w:bottom w:val="none" w:sz="0" w:space="0" w:color="auto"/>
        <w:right w:val="none" w:sz="0" w:space="0" w:color="auto"/>
      </w:divBdr>
    </w:div>
    <w:div w:id="735467882">
      <w:bodyDiv w:val="1"/>
      <w:marLeft w:val="0"/>
      <w:marRight w:val="0"/>
      <w:marTop w:val="0"/>
      <w:marBottom w:val="0"/>
      <w:divBdr>
        <w:top w:val="none" w:sz="0" w:space="0" w:color="auto"/>
        <w:left w:val="none" w:sz="0" w:space="0" w:color="auto"/>
        <w:bottom w:val="none" w:sz="0" w:space="0" w:color="auto"/>
        <w:right w:val="none" w:sz="0" w:space="0" w:color="auto"/>
      </w:divBdr>
    </w:div>
    <w:div w:id="783113415">
      <w:bodyDiv w:val="1"/>
      <w:marLeft w:val="0"/>
      <w:marRight w:val="0"/>
      <w:marTop w:val="0"/>
      <w:marBottom w:val="0"/>
      <w:divBdr>
        <w:top w:val="none" w:sz="0" w:space="0" w:color="auto"/>
        <w:left w:val="none" w:sz="0" w:space="0" w:color="auto"/>
        <w:bottom w:val="none" w:sz="0" w:space="0" w:color="auto"/>
        <w:right w:val="none" w:sz="0" w:space="0" w:color="auto"/>
      </w:divBdr>
    </w:div>
    <w:div w:id="1097869331">
      <w:bodyDiv w:val="1"/>
      <w:marLeft w:val="0"/>
      <w:marRight w:val="0"/>
      <w:marTop w:val="0"/>
      <w:marBottom w:val="0"/>
      <w:divBdr>
        <w:top w:val="none" w:sz="0" w:space="0" w:color="auto"/>
        <w:left w:val="none" w:sz="0" w:space="0" w:color="auto"/>
        <w:bottom w:val="none" w:sz="0" w:space="0" w:color="auto"/>
        <w:right w:val="none" w:sz="0" w:space="0" w:color="auto"/>
      </w:divBdr>
    </w:div>
    <w:div w:id="1188103546">
      <w:bodyDiv w:val="1"/>
      <w:marLeft w:val="0"/>
      <w:marRight w:val="0"/>
      <w:marTop w:val="0"/>
      <w:marBottom w:val="0"/>
      <w:divBdr>
        <w:top w:val="none" w:sz="0" w:space="0" w:color="auto"/>
        <w:left w:val="none" w:sz="0" w:space="0" w:color="auto"/>
        <w:bottom w:val="none" w:sz="0" w:space="0" w:color="auto"/>
        <w:right w:val="none" w:sz="0" w:space="0" w:color="auto"/>
      </w:divBdr>
    </w:div>
    <w:div w:id="1244334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www.fish.wa.gov.au/Documents/management_papers/fmp299.pdf" TargetMode="External"/><Relationship Id="rId42" Type="http://schemas.openxmlformats.org/officeDocument/2006/relationships/hyperlink" Target="https://library.dpird.wa.gov.au/cgi/viewcontent.cgi?article=1323&amp;context=fr_fmp" TargetMode="External"/><Relationship Id="rId47" Type="http://schemas.openxmlformats.org/officeDocument/2006/relationships/hyperlink" Target="https://fish.gov.au/report/404-Ballots-Saucer-Scallop-2020" TargetMode="External"/><Relationship Id="rId63" Type="http://schemas.openxmlformats.org/officeDocument/2006/relationships/image" Target="media/image15.jpg"/><Relationship Id="rId68" Type="http://schemas.openxmlformats.org/officeDocument/2006/relationships/image" Target="media/image20.jpeg"/><Relationship Id="rId84" Type="http://schemas.openxmlformats.org/officeDocument/2006/relationships/header" Target="header2.xml"/><Relationship Id="rId89" Type="http://schemas.openxmlformats.org/officeDocument/2006/relationships/image" Target="media/image35.png"/><Relationship Id="rId16" Type="http://schemas.openxmlformats.org/officeDocument/2006/relationships/image" Target="media/image5.svg"/><Relationship Id="rId11" Type="http://schemas.openxmlformats.org/officeDocument/2006/relationships/endnotes" Target="endnotes.xml"/><Relationship Id="rId32" Type="http://schemas.openxmlformats.org/officeDocument/2006/relationships/hyperlink" Target="https://www.fish.wa.gov.au/Species/Scallop/Pages/default.aspx" TargetMode="External"/><Relationship Id="rId37" Type="http://schemas.openxmlformats.org/officeDocument/2006/relationships/hyperlink" Target="https://www.fish.wa.gov.au/Documents/sofar/status_reports_of_the_fisheries_and_aquatic_resources_2022-23.pdf" TargetMode="External"/><Relationship Id="rId53" Type="http://schemas.openxmlformats.org/officeDocument/2006/relationships/hyperlink" Target="https://www.fish.wa.gov.au/Documents/sofar/status_reports_of_the_fisheries_and_aquatic_resources_2022-23.pdf" TargetMode="External"/><Relationship Id="rId58" Type="http://schemas.openxmlformats.org/officeDocument/2006/relationships/hyperlink" Target="file:///C:\Users\rel\Downloads\MRAG_Abrolhos%20scallops_PCR%20(1).pdf" TargetMode="External"/><Relationship Id="rId74" Type="http://schemas.openxmlformats.org/officeDocument/2006/relationships/image" Target="media/image26.png"/><Relationship Id="rId79" Type="http://schemas.openxmlformats.org/officeDocument/2006/relationships/image" Target="media/image31.png"/><Relationship Id="rId102" Type="http://schemas.openxmlformats.org/officeDocument/2006/relationships/header" Target="header6.xml"/><Relationship Id="rId5" Type="http://schemas.openxmlformats.org/officeDocument/2006/relationships/customXml" Target="../customXml/item5.xml"/><Relationship Id="rId90" Type="http://schemas.openxmlformats.org/officeDocument/2006/relationships/image" Target="media/image36.jpeg"/><Relationship Id="rId95" Type="http://schemas.openxmlformats.org/officeDocument/2006/relationships/image" Target="media/image41.jpeg"/><Relationship Id="rId22" Type="http://schemas.openxmlformats.org/officeDocument/2006/relationships/hyperlink" Target="file:///\\dpird.wa.gov.au\data\Agency%20Data\Conferences%20and%20Workshops\Invert%20trawl%20stuff\WTOs\AIMWT-SCT%20Application%20(DUE%204%20OCT)\Saucer%20Scallop%20Resource%20of%20the%20Abrolhos%20Islands%20Harvest%20Strategy%20:%202020%20-%202025%20:%20Version%201.1%20(dpird.wa.gov.au" TargetMode="External"/><Relationship Id="rId27" Type="http://schemas.openxmlformats.org/officeDocument/2006/relationships/image" Target="media/image11.tiff"/><Relationship Id="rId43" Type="http://schemas.openxmlformats.org/officeDocument/2006/relationships/hyperlink" Target="https://www.fish.wa.gov.au/Documents/commercial_fishing/vms/abrolhos_island_midwest_trawl_ap_directions.pdf" TargetMode="External"/><Relationship Id="rId48" Type="http://schemas.openxmlformats.org/officeDocument/2006/relationships/hyperlink" Target="https://library.dpird.wa.gov.au/fr_rr/115/" TargetMode="External"/><Relationship Id="rId64" Type="http://schemas.openxmlformats.org/officeDocument/2006/relationships/image" Target="media/image16.emf"/><Relationship Id="rId69" Type="http://schemas.openxmlformats.org/officeDocument/2006/relationships/image" Target="media/image21.jpeg"/><Relationship Id="rId80" Type="http://schemas.openxmlformats.org/officeDocument/2006/relationships/image" Target="media/image32.jpeg"/><Relationship Id="rId85" Type="http://schemas.openxmlformats.org/officeDocument/2006/relationships/footer" Target="footer1.xml"/><Relationship Id="rId12" Type="http://schemas.openxmlformats.org/officeDocument/2006/relationships/image" Target="media/image1.png"/><Relationship Id="rId17" Type="http://schemas.openxmlformats.org/officeDocument/2006/relationships/hyperlink" Target="mailto:Rebecca.Leaversuch@dpird.wa.gov.au" TargetMode="External"/><Relationship Id="rId33" Type="http://schemas.openxmlformats.org/officeDocument/2006/relationships/hyperlink" Target="file:///C:\Users\rel\Downloads\Abrolhos%20scallop_MSC-2nd%20Surveillance%20Report_FINAL.pdf" TargetMode="External"/><Relationship Id="rId38" Type="http://schemas.openxmlformats.org/officeDocument/2006/relationships/hyperlink" Target="https://www.fish.wa.gov.au/Documents/resource_assessment/resource_assessment_report_003.pdf" TargetMode="External"/><Relationship Id="rId59" Type="http://schemas.openxmlformats.org/officeDocument/2006/relationships/hyperlink" Target="file:///C:\Users\rel\Downloads\Abrolhos%20scallop_MSC-2nd%20Surveillance%20Report_FINAL.pdf" TargetMode="External"/><Relationship Id="rId103" Type="http://schemas.openxmlformats.org/officeDocument/2006/relationships/footer" Target="footer6.xml"/><Relationship Id="rId20" Type="http://schemas.openxmlformats.org/officeDocument/2006/relationships/image" Target="media/image7.png"/><Relationship Id="rId41" Type="http://schemas.openxmlformats.org/officeDocument/2006/relationships/hyperlink" Target="https://www.fish.wa.gov.au/Sustainability-and-Environment/Sustainable-Fisheries/Pages/State-of-the-Fisheries.aspx" TargetMode="External"/><Relationship Id="rId54" Type="http://schemas.openxmlformats.org/officeDocument/2006/relationships/hyperlink" Target="https://www.fish.wa.gov.au/Species/Scallop/Pages/default.aspx" TargetMode="External"/><Relationship Id="rId62" Type="http://schemas.openxmlformats.org/officeDocument/2006/relationships/image" Target="media/image14.emf"/><Relationship Id="rId70" Type="http://schemas.openxmlformats.org/officeDocument/2006/relationships/image" Target="media/image22.jpeg"/><Relationship Id="rId75" Type="http://schemas.openxmlformats.org/officeDocument/2006/relationships/image" Target="media/image27.png"/><Relationship Id="rId83" Type="http://schemas.openxmlformats.org/officeDocument/2006/relationships/header" Target="header1.xml"/><Relationship Id="rId88" Type="http://schemas.openxmlformats.org/officeDocument/2006/relationships/footer" Target="footer3.xml"/><Relationship Id="rId91" Type="http://schemas.openxmlformats.org/officeDocument/2006/relationships/image" Target="media/image37.jpeg"/><Relationship Id="rId96"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2.jpeg"/><Relationship Id="rId36" Type="http://schemas.openxmlformats.org/officeDocument/2006/relationships/hyperlink" Target="https://www.fish.wa.gov.au/Documents/management_papers/fmp299.pdf" TargetMode="External"/><Relationship Id="rId49" Type="http://schemas.openxmlformats.org/officeDocument/2006/relationships/hyperlink" Target="https://www.wa.gov.au/system/files/2021-08/Abrolhos%20Islands%20and%20Mid%20West%20Trawl.pdf" TargetMode="External"/><Relationship Id="rId57" Type="http://schemas.openxmlformats.org/officeDocument/2006/relationships/hyperlink" Target="https://www.fish.wa.gov.au/Documents/wamsc_reports/wamsc_report_no_20.pdf" TargetMode="External"/><Relationship Id="rId10" Type="http://schemas.openxmlformats.org/officeDocument/2006/relationships/footnotes" Target="footnotes.xml"/><Relationship Id="rId31" Type="http://schemas.openxmlformats.org/officeDocument/2006/relationships/hyperlink" Target="https://library.dpird.wa.gov.au/cgi/viewcontent.cgi?article=1323&amp;context=fr_fmp" TargetMode="External"/><Relationship Id="rId44" Type="http://schemas.openxmlformats.org/officeDocument/2006/relationships/hyperlink" Target="https://www.fish.wa.gov.au/Documents/commercial_fishing/vms/south_coast_trawl_ap_directions.pdf" TargetMode="External"/><Relationship Id="rId52" Type="http://schemas.openxmlformats.org/officeDocument/2006/relationships/hyperlink" Target="https://www.fish.wa.gov.au/Documents/sofar/status_reports_of_the_fisheries_and_aquatic_resources_2021-22.pdf" TargetMode="External"/><Relationship Id="rId60" Type="http://schemas.openxmlformats.org/officeDocument/2006/relationships/image" Target="media/image13.png"/><Relationship Id="rId65" Type="http://schemas.openxmlformats.org/officeDocument/2006/relationships/image" Target="media/image17.emf"/><Relationship Id="rId73" Type="http://schemas.openxmlformats.org/officeDocument/2006/relationships/image" Target="media/image25.png"/><Relationship Id="rId78" Type="http://schemas.openxmlformats.org/officeDocument/2006/relationships/image" Target="media/image30.png"/><Relationship Id="rId81" Type="http://schemas.openxmlformats.org/officeDocument/2006/relationships/image" Target="media/image33.jpeg"/><Relationship Id="rId86" Type="http://schemas.openxmlformats.org/officeDocument/2006/relationships/footer" Target="footer2.xml"/><Relationship Id="rId94" Type="http://schemas.openxmlformats.org/officeDocument/2006/relationships/image" Target="media/image40.png"/><Relationship Id="rId99" Type="http://schemas.openxmlformats.org/officeDocument/2006/relationships/header" Target="header5.xml"/><Relationship Id="rId101"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svg"/><Relationship Id="rId18" Type="http://schemas.openxmlformats.org/officeDocument/2006/relationships/hyperlink" Target="https://www.wa.gov.au/system/files/2021-08/Abrolhos%20Islands%20and%20Mid%20West%20Trawl.pdf" TargetMode="External"/><Relationship Id="rId39" Type="http://schemas.openxmlformats.org/officeDocument/2006/relationships/hyperlink" Target="C://Users/rel/Downloads/Abrolhos%20scallop_MSC-2nd%20Surveillance%20Report_FINAL.pdf" TargetMode="External"/><Relationship Id="rId34" Type="http://schemas.openxmlformats.org/officeDocument/2006/relationships/hyperlink" Target="https://www.wa.gov.au/system/files/2021-08/Abrolhos%20Islands%20and%20Mid%20West%20Trawl.pdf" TargetMode="External"/><Relationship Id="rId50" Type="http://schemas.openxmlformats.org/officeDocument/2006/relationships/hyperlink" Target="https://library.dpird.wa.gov.au/cgi/viewcontent.cgi?article=1009&amp;context=fr_msc" TargetMode="External"/><Relationship Id="rId55" Type="http://schemas.openxmlformats.org/officeDocument/2006/relationships/hyperlink" Target="https://www.dcceew.gov.au/sites/default/files/env/pages/c74a140e-8640-415e-aba5-d455fa623d13/files/abrolhos-assessment-2013.pdf" TargetMode="External"/><Relationship Id="rId76" Type="http://schemas.openxmlformats.org/officeDocument/2006/relationships/image" Target="media/image28.png"/><Relationship Id="rId97" Type="http://schemas.openxmlformats.org/officeDocument/2006/relationships/image" Target="media/image43.png"/><Relationship Id="rId104"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23.png"/><Relationship Id="rId92" Type="http://schemas.openxmlformats.org/officeDocument/2006/relationships/image" Target="media/image38.png"/><Relationship Id="rId2" Type="http://schemas.openxmlformats.org/officeDocument/2006/relationships/customXml" Target="../customXml/item2.xml"/><Relationship Id="rId29" Type="http://schemas.openxmlformats.org/officeDocument/2006/relationships/hyperlink" Target="https://library.dpird.wa.gov.au/cgi/viewcontent.cgi?article=1323&amp;context=fr_fmp" TargetMode="External"/><Relationship Id="rId24" Type="http://schemas.openxmlformats.org/officeDocument/2006/relationships/hyperlink" Target="https://www.wa.gov.au/system/files/2023-02/Areas_Closed_to_Fishing_for_Scallops_and_Prawns_in_the_Abrolhos_Islands_and_Mid_West_Trawl_Managed_Fishery_Notice_No_1_of_2023.pdf" TargetMode="External"/><Relationship Id="rId40" Type="http://schemas.openxmlformats.org/officeDocument/2006/relationships/hyperlink" Target="file:///C:\Users\rel\Director\Cache\ecm.dpird.wa.gov.au%20uA1596\A13086100\Ecological%20Risk%20Assessment%20of%20the%20Abrolhos%20Islands%20and%20Mid-West%20Trawl%20Managed%20Fishery%20(dpird.wa.gov.au)" TargetMode="External"/><Relationship Id="rId45" Type="http://schemas.openxmlformats.org/officeDocument/2006/relationships/hyperlink" Target="https://www.dcceew.gov.au/environment/marine/fisheries/wa/abrolhos-island" TargetMode="External"/><Relationship Id="rId66" Type="http://schemas.openxmlformats.org/officeDocument/2006/relationships/image" Target="media/image18.jpeg"/><Relationship Id="rId87" Type="http://schemas.openxmlformats.org/officeDocument/2006/relationships/header" Target="header3.xml"/><Relationship Id="rId61" Type="http://schemas.openxmlformats.org/officeDocument/2006/relationships/image" Target="cid:image001.png@01DB1972.34FD8E40" TargetMode="External"/><Relationship Id="rId82" Type="http://schemas.openxmlformats.org/officeDocument/2006/relationships/image" Target="media/image34.png"/><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hyperlink" Target="C://Users/rel/Downloads/Abrolhos%20scallop_MSC-2nd%20Surveillance%20Report_FINAL%20(4).pdf" TargetMode="External"/><Relationship Id="rId35" Type="http://schemas.openxmlformats.org/officeDocument/2006/relationships/hyperlink" Target="https://library.dpird.wa.gov.au/cgi/viewcontent.cgi?article=1323&amp;context=fr_fmp" TargetMode="External"/><Relationship Id="rId56" Type="http://schemas.openxmlformats.org/officeDocument/2006/relationships/hyperlink" Target="https://view.officeapps.live.com/op/view.aspx?src=https%3A%2F%2Fwww.dcceew.gov.au%2Fsites%2Fdefault%2Ffiles%2Fenv%2Fpages%2F163de9df-d5d4-4a3e-a4af-0e3ad804fec6%2Ffiles%2Fassessment-2013.docx&amp;wdOrigin=BROWSELINK" TargetMode="External"/><Relationship Id="rId77" Type="http://schemas.openxmlformats.org/officeDocument/2006/relationships/image" Target="media/image29.png"/><Relationship Id="rId100" Type="http://schemas.openxmlformats.org/officeDocument/2006/relationships/footer" Target="footer4.xml"/><Relationship Id="rId105"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hyperlink" Target="https://www.fish.wa.gov.au/Documents/management_papers/fmp299.pdf" TargetMode="External"/><Relationship Id="rId72" Type="http://schemas.openxmlformats.org/officeDocument/2006/relationships/image" Target="media/image24.png"/><Relationship Id="rId93" Type="http://schemas.openxmlformats.org/officeDocument/2006/relationships/image" Target="media/image39.png"/><Relationship Id="rId98" Type="http://schemas.openxmlformats.org/officeDocument/2006/relationships/header" Target="header4.xml"/><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hyperlink" Target="https://www.dcceew.gov.au/environment/marine/fisheries/wa/south-coast-trawl" TargetMode="External"/><Relationship Id="rId67" Type="http://schemas.openxmlformats.org/officeDocument/2006/relationships/image" Target="media/image19.png"/></Relationships>
</file>

<file path=word/_rels/footnotes.xml.rels><?xml version="1.0" encoding="UTF-8" standalone="yes"?>
<Relationships xmlns="http://schemas.openxmlformats.org/package/2006/relationships"><Relationship Id="rId2" Type="http://schemas.openxmlformats.org/officeDocument/2006/relationships/hyperlink" Target="https://www.afma.gov.au/sites/default/files/2023-02/18050_national_fisheries_compliance_strategy-v2_1.pdf" TargetMode="External"/><Relationship Id="rId1" Type="http://schemas.openxmlformats.org/officeDocument/2006/relationships/hyperlink" Target="https://www.wa.gov.au/system/files/2024-03/regulatory_compliance_approach.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el\Downloads\Word%20with%20cover%20template%20-%20Blue%20v2.dotx" TargetMode="External"/></Relationships>
</file>

<file path=word/theme/theme1.xml><?xml version="1.0" encoding="utf-8"?>
<a:theme xmlns:a="http://schemas.openxmlformats.org/drawingml/2006/main" name="Office Theme">
  <a:themeElements>
    <a:clrScheme name="DOP">
      <a:dk1>
        <a:sysClr val="windowText" lastClr="000000"/>
      </a:dk1>
      <a:lt1>
        <a:sysClr val="window" lastClr="FFFFFF"/>
      </a:lt1>
      <a:dk2>
        <a:srgbClr val="003F51"/>
      </a:dk2>
      <a:lt2>
        <a:srgbClr val="FFFFFF"/>
      </a:lt2>
      <a:accent1>
        <a:srgbClr val="003F51"/>
      </a:accent1>
      <a:accent2>
        <a:srgbClr val="BFD7DF"/>
      </a:accent2>
      <a:accent3>
        <a:srgbClr val="21574C"/>
      </a:accent3>
      <a:accent4>
        <a:srgbClr val="C0CEA2"/>
      </a:accent4>
      <a:accent5>
        <a:srgbClr val="6B211B"/>
      </a:accent5>
      <a:accent6>
        <a:srgbClr val="E39064"/>
      </a:accent6>
      <a:hlink>
        <a:srgbClr val="000000"/>
      </a:hlink>
      <a:folHlink>
        <a:srgbClr val="00000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F50F47AB517254F8A3906BB2D5DD39D" ma:contentTypeVersion="6" ma:contentTypeDescription="Create a new document." ma:contentTypeScope="" ma:versionID="38f8c1d38410d7c767a2e652e02eff70">
  <xsd:schema xmlns:xsd="http://www.w3.org/2001/XMLSchema" xmlns:xs="http://www.w3.org/2001/XMLSchema" xmlns:p="http://schemas.microsoft.com/office/2006/metadata/properties" xmlns:ns2="88f681b1-250c-43c0-9e4f-fd378acee535" xmlns:ns3="b24bd9d2-b4ed-4cf3-8a53-43a57d808485" targetNamespace="http://schemas.microsoft.com/office/2006/metadata/properties" ma:root="true" ma:fieldsID="3e2490e934ad14910055dda3c09ca611" ns2:_="" ns3:_="">
    <xsd:import namespace="88f681b1-250c-43c0-9e4f-fd378acee535"/>
    <xsd:import namespace="b24bd9d2-b4ed-4cf3-8a53-43a57d80848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8f681b1-250c-43c0-9e4f-fd378acee53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24bd9d2-b4ed-4cf3-8a53-43a57d80848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etadata xmlns="http://www.objective.com/ecm/document/metadata/B11C4AC340A7423FA2930B16A78B07CE" version="1.0.0">
  <systemFields>
    <field name="Objective-Id">
      <value order="0">A13252892</value>
    </field>
    <field name="Objective-Title">
      <value order="0">EPBC Act Export Approval - AIMWT and SCT Application (revised draft)</value>
    </field>
    <field name="Objective-Description">
      <value order="0"/>
    </field>
    <field name="Objective-CreationStamp">
      <value order="0">2024-11-08T07:06:04Z</value>
    </field>
    <field name="Objective-IsApproved">
      <value order="0">false</value>
    </field>
    <field name="Objective-IsPublished">
      <value order="0">true</value>
    </field>
    <field name="Objective-DatePublished">
      <value order="0">2024-11-26T07:26:44Z</value>
    </field>
    <field name="Objective-ModificationStamp">
      <value order="0">2024-11-26T07:26:45Z</value>
    </field>
    <field name="Objective-Owner">
      <value order="0">Rebecca Leaversuch</value>
    </field>
    <field name="Objective-Path">
      <value order="0">DPIRD Global Folder:00 Sustainability and Biosecurity:03.2 Aquatic Resource Management:Aquatic Resource Management:Management - South Coast and West Coast Scallop:Abrolhos Islands and Mid West Trawl Managed Fishery - South Coast Trawl - Wildlife Trade Operation - Application - 2024:Final Draft</value>
    </field>
    <field name="Objective-Parent">
      <value order="0">Final Draft</value>
    </field>
    <field name="Objective-State">
      <value order="0">Published</value>
    </field>
    <field name="Objective-VersionId">
      <value order="0">vA15891876</value>
    </field>
    <field name="Objective-Version">
      <value order="0">12.0</value>
    </field>
    <field name="Objective-VersionNumber">
      <value order="0">12</value>
    </field>
    <field name="Objective-VersionComment">
      <value order="0"/>
    </field>
    <field name="Objective-FileNumber">
      <value order="0">DPIRD 24-05636</value>
    </field>
    <field name="Objective-Classification">
      <value order="0">OFFICIAL</value>
    </field>
    <field name="Objective-Caveats">
      <value order="0"/>
    </field>
  </systemFields>
  <catalogues>
    <catalogue name="Corporate Document Type Catalogue" type="type" ori="id:cA51">
      <field name="Objective-Notes">
        <value order="0">
08-11-2024 16:04:56 Version 2.0 sent for action by Rebecca Leaversuch - pA1179536
13-11-2024 10:22:22 Joanne Kennedy selected Send Back. 
13-11-2024 11:50:31 Version 6.0 sent for action by Rebecca Leaversuch - pA1183052
13-11-2024 14:45:57 Sarah Brown selected Action. 
15-11-2024 11:18:44 Version 11.0 sent for action by Rebecca Leaversuch - pA1184780
</value>
      </field>
      <field name="Objective-Connect Creator">
        <value order="0"/>
      </field>
      <field name="Objective-Migrated Provenance">
        <value order="0"/>
      </field>
      <field name="Objective-Migrated Original ID">
        <value order="0"/>
      </field>
      <field name="Objective-Migrated Object Type">
        <value order="0"/>
      </field>
      <field name="Objective-Migrated Metadata Field">
        <value order="0"/>
      </field>
      <field name="Objective-Number of Pages">
        <value order="0"/>
      </field>
      <field name="Objective-Office Lodged">
        <value order="0"/>
      </field>
      <field name="Objective-Allow Intranet Search">
        <value order="0"/>
      </field>
    </catalogue>
  </catalogues>
</metadata>
</file>

<file path=customXml/itemProps1.xml><?xml version="1.0" encoding="utf-8"?>
<ds:datastoreItem xmlns:ds="http://schemas.openxmlformats.org/officeDocument/2006/customXml" ds:itemID="{D9F2A053-0084-4B60-9147-23D61A0FC19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customXml/itemProps3.xml><?xml version="1.0" encoding="utf-8"?>
<ds:datastoreItem xmlns:ds="http://schemas.openxmlformats.org/officeDocument/2006/customXml" ds:itemID="{24A6F122-E8B6-4BB9-ACBE-C551FC3301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8f681b1-250c-43c0-9e4f-fd378acee535"/>
    <ds:schemaRef ds:uri="b24bd9d2-b4ed-4cf3-8a53-43a57d8084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8D9E872-E363-4563-BE16-97B79560E935}">
  <ds:schemaRefs>
    <ds:schemaRef ds:uri="http://schemas.microsoft.com/sharepoint/v3/contenttype/forms"/>
  </ds:schemaRefs>
</ds:datastoreItem>
</file>

<file path=customXml/itemProps5.xml><?xml version="1.0" encoding="utf-8"?>
<ds:datastoreItem xmlns:ds="http://schemas.openxmlformats.org/officeDocument/2006/customXml" ds:itemID="{5745109E-2DDF-40CB-AC2B-FF9B10C90820}">
  <ds:schemaRefs>
    <ds:schemaRef ds:uri="http://www.objective.com/ecm/document/metadata/B11C4AC340A7423FA2930B16A78B07CE"/>
  </ds:schemaRefs>
</ds:datastoreItem>
</file>

<file path=docMetadata/LabelInfo.xml><?xml version="1.0" encoding="utf-8"?>
<clbl:labelList xmlns:clbl="http://schemas.microsoft.com/office/2020/mipLabelMetadata">
  <clbl:label id="{2e6ba7ff-9897-4e65-9803-3be34fd9cf5a}" enabled="1" method="Privileged" siteId="{8c3c81bc-2b3c-44af-b3f7-6f620b3910ee}" removed="0"/>
</clbl:labelList>
</file>

<file path=docProps/app.xml><?xml version="1.0" encoding="utf-8"?>
<Properties xmlns="http://schemas.openxmlformats.org/officeDocument/2006/extended-properties" xmlns:vt="http://schemas.openxmlformats.org/officeDocument/2006/docPropsVTypes">
  <Template>Word with cover template - Blue v2</Template>
  <TotalTime>28</TotalTime>
  <Pages>88</Pages>
  <Words>21542</Words>
  <Characters>119132</Characters>
  <Application>Microsoft Office Word</Application>
  <DocSecurity>0</DocSecurity>
  <Lines>3722</Lines>
  <Paragraphs>2038</Paragraphs>
  <ScaleCrop>false</ScaleCrop>
  <HeadingPairs>
    <vt:vector size="2" baseType="variant">
      <vt:variant>
        <vt:lpstr>Title</vt:lpstr>
      </vt:variant>
      <vt:variant>
        <vt:i4>1</vt:i4>
      </vt:variant>
    </vt:vector>
  </HeadingPairs>
  <TitlesOfParts>
    <vt:vector size="1" baseType="lpstr">
      <vt:lpstr>Application for assessment of the Western Australian Abrolhos Islands and Mid West Trawl Managed Fishery and South Coast Trawl Fishery for approval under the Environment Protection and Biodiversity Conservation Act 1999</vt:lpstr>
    </vt:vector>
  </TitlesOfParts>
  <Manager/>
  <Company>DPIRD</Company>
  <LinksUpToDate>false</LinksUpToDate>
  <CharactersWithSpaces>138636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Application for assessment of the Western Australian Abrolhos Islands and Mid West Trawl Managed Fishery and South Coast Trawl Fishery for approval under the Environment Protection and Biodiversity Conservation Act 1999</dc:title>
  <dc:subject/>
  <dc:creator>Rebecca Leaversuch</dc:creator>
  <cp:keywords/>
  <dc:description>B000-22-04-12</dc:description>
  <cp:lastModifiedBy>Maria SCHMITZ FONTES</cp:lastModifiedBy>
  <cp:revision>17</cp:revision>
  <cp:lastPrinted>2024-11-28T06:17:00Z</cp:lastPrinted>
  <dcterms:created xsi:type="dcterms:W3CDTF">2024-11-28T23:34:00Z</dcterms:created>
  <dcterms:modified xsi:type="dcterms:W3CDTF">2024-11-28T23:57:00Z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0x0101008F50F47AB517254F8A3906BB2D5DD39D</vt:lpwstr>
  </property>
  <property fmtid="{D5CDD505-2E9C-101B-9397-08002B2CF9AE}" pid="3" name="Objective-Id">
    <vt:lpwstr>A13252892</vt:lpwstr>
  </property>
  <property fmtid="{D5CDD505-2E9C-101B-9397-08002B2CF9AE}" pid="4" name="Objective-Title">
    <vt:lpwstr>EPBC Act Export Approval - AIMWT and SCT Application (revised draft)</vt:lpwstr>
  </property>
  <property fmtid="{D5CDD505-2E9C-101B-9397-08002B2CF9AE}" pid="5" name="Objective-Description">
    <vt:lpwstr/>
  </property>
  <property fmtid="{D5CDD505-2E9C-101B-9397-08002B2CF9AE}" pid="6" name="Objective-CreationStamp">
    <vt:filetime>2024-11-08T07:06:04Z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2024-11-26T07:26:44Z</vt:filetime>
  </property>
  <property fmtid="{D5CDD505-2E9C-101B-9397-08002B2CF9AE}" pid="10" name="Objective-ModificationStamp">
    <vt:filetime>2024-11-26T07:26:45Z</vt:filetime>
  </property>
  <property fmtid="{D5CDD505-2E9C-101B-9397-08002B2CF9AE}" pid="11" name="Objective-Owner">
    <vt:lpwstr>Rebecca Leaversuch</vt:lpwstr>
  </property>
  <property fmtid="{D5CDD505-2E9C-101B-9397-08002B2CF9AE}" pid="12" name="Objective-Path">
    <vt:lpwstr>DPIRD Global Folder:00 Sustainability and Biosecurity:03.2 Aquatic Resource Management:Aquatic Resource Management:Management - South Coast and West Coast Scallop:Abrolhos Islands and Mid West Trawl Managed Fishery - South Coast Trawl - Wildlife Trade Operation - Application - 2024:Final Draft</vt:lpwstr>
  </property>
  <property fmtid="{D5CDD505-2E9C-101B-9397-08002B2CF9AE}" pid="13" name="Objective-Parent">
    <vt:lpwstr>Final Draft</vt:lpwstr>
  </property>
  <property fmtid="{D5CDD505-2E9C-101B-9397-08002B2CF9AE}" pid="14" name="Objective-State">
    <vt:lpwstr>Published</vt:lpwstr>
  </property>
  <property fmtid="{D5CDD505-2E9C-101B-9397-08002B2CF9AE}" pid="15" name="Objective-VersionId">
    <vt:lpwstr>vA15891876</vt:lpwstr>
  </property>
  <property fmtid="{D5CDD505-2E9C-101B-9397-08002B2CF9AE}" pid="16" name="Objective-Version">
    <vt:lpwstr>12.0</vt:lpwstr>
  </property>
  <property fmtid="{D5CDD505-2E9C-101B-9397-08002B2CF9AE}" pid="17" name="Objective-VersionNumber">
    <vt:r8>12</vt:r8>
  </property>
  <property fmtid="{D5CDD505-2E9C-101B-9397-08002B2CF9AE}" pid="18" name="Objective-VersionComment">
    <vt:lpwstr/>
  </property>
  <property fmtid="{D5CDD505-2E9C-101B-9397-08002B2CF9AE}" pid="19" name="Objective-FileNumber">
    <vt:lpwstr>DPIRD 24-05636</vt:lpwstr>
  </property>
  <property fmtid="{D5CDD505-2E9C-101B-9397-08002B2CF9AE}" pid="20" name="Objective-Classification">
    <vt:lpwstr>OFFICIAL</vt:lpwstr>
  </property>
  <property fmtid="{D5CDD505-2E9C-101B-9397-08002B2CF9AE}" pid="21" name="Objective-Caveats">
    <vt:lpwstr/>
  </property>
  <property fmtid="{D5CDD505-2E9C-101B-9397-08002B2CF9AE}" pid="22" name="Objective-Notes">
    <vt:lpwstr>_x000d_08-11-2024 16:04:56 Version 2.0 sent for action by Rebecca Leaversuch - pA1179536_x000d_13-11-2024 10:22:22 Joanne Kennedy selected Send Back. _x000d__x000d_13-11-2024 11:50:31 Version 6.0 sent for action by Rebecca Leaversuch - pA1183052_x000d_13-11-2024 14:45:57 Sarah Brown selected Action. _x000d__x000d_15-11-2024 11:18:44 Version 11.0 sent for action by Rebecca Leaversuch - pA1184780_x000d_</vt:lpwstr>
  </property>
  <property fmtid="{D5CDD505-2E9C-101B-9397-08002B2CF9AE}" pid="23" name="Objective-Connect Creator">
    <vt:lpwstr/>
  </property>
  <property fmtid="{D5CDD505-2E9C-101B-9397-08002B2CF9AE}" pid="24" name="Objective-Migrated Provenance">
    <vt:lpwstr/>
  </property>
  <property fmtid="{D5CDD505-2E9C-101B-9397-08002B2CF9AE}" pid="25" name="Objective-Migrated Original ID">
    <vt:lpwstr/>
  </property>
  <property fmtid="{D5CDD505-2E9C-101B-9397-08002B2CF9AE}" pid="26" name="Objective-Migrated Object Type">
    <vt:lpwstr/>
  </property>
  <property fmtid="{D5CDD505-2E9C-101B-9397-08002B2CF9AE}" pid="27" name="Objective-Migrated Metadata Field">
    <vt:lpwstr/>
  </property>
  <property fmtid="{D5CDD505-2E9C-101B-9397-08002B2CF9AE}" pid="28" name="Objective-Number of Pages">
    <vt:lpwstr/>
  </property>
  <property fmtid="{D5CDD505-2E9C-101B-9397-08002B2CF9AE}" pid="29" name="Objective-Office Lodged">
    <vt:lpwstr/>
  </property>
  <property fmtid="{D5CDD505-2E9C-101B-9397-08002B2CF9AE}" pid="30" name="Objective-Allow Intranet Search">
    <vt:lpwstr/>
  </property>
  <property fmtid="{D5CDD505-2E9C-101B-9397-08002B2CF9AE}" pid="31" name="ClassificationContentMarkingHeaderShapeIds">
    <vt:lpwstr>2c8f385e,4c6cac6e,460176ac,3fdffc24,6475ccf4,1e044b1f</vt:lpwstr>
  </property>
  <property fmtid="{D5CDD505-2E9C-101B-9397-08002B2CF9AE}" pid="32" name="ClassificationContentMarkingHeaderFontProps">
    <vt:lpwstr>#ff0000,12,Calibri</vt:lpwstr>
  </property>
  <property fmtid="{D5CDD505-2E9C-101B-9397-08002B2CF9AE}" pid="33" name="ClassificationContentMarkingHeaderText">
    <vt:lpwstr>OFFICIAL</vt:lpwstr>
  </property>
  <property fmtid="{D5CDD505-2E9C-101B-9397-08002B2CF9AE}" pid="34" name="ClassificationContentMarkingFooterShapeIds">
    <vt:lpwstr>174f89b,a0efcba,38307283,7f5ab7d5,566b0f02,637b84a1</vt:lpwstr>
  </property>
  <property fmtid="{D5CDD505-2E9C-101B-9397-08002B2CF9AE}" pid="35" name="ClassificationContentMarkingFooterFontProps">
    <vt:lpwstr>#ff0000,12,Calibri</vt:lpwstr>
  </property>
  <property fmtid="{D5CDD505-2E9C-101B-9397-08002B2CF9AE}" pid="36" name="ClassificationContentMarkingFooterText">
    <vt:lpwstr>OFFICIAL</vt:lpwstr>
  </property>
</Properties>
</file>