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90CB7C" w14:textId="084C6AE6" w:rsidR="00557ED0" w:rsidRDefault="00557ED0" w:rsidP="00557ED0">
      <w:pPr>
        <w:pStyle w:val="Heading1"/>
        <w:jc w:val="center"/>
        <w:rPr>
          <w:rStyle w:val="Emphasis"/>
          <w:i w:val="0"/>
          <w:sz w:val="36"/>
          <w:szCs w:val="36"/>
        </w:rPr>
      </w:pPr>
      <w:r w:rsidRPr="00C54DED">
        <w:rPr>
          <w:sz w:val="36"/>
          <w:szCs w:val="36"/>
        </w:rPr>
        <w:t>DRAFT - Conservation Advice for</w:t>
      </w:r>
      <w:r>
        <w:rPr>
          <w:sz w:val="36"/>
          <w:szCs w:val="36"/>
        </w:rPr>
        <w:t xml:space="preserve"> </w:t>
      </w:r>
      <w:r w:rsidRPr="00C54DED">
        <w:rPr>
          <w:rStyle w:val="Emphasis"/>
          <w:sz w:val="36"/>
          <w:szCs w:val="36"/>
        </w:rPr>
        <w:t xml:space="preserve">Euastacus </w:t>
      </w:r>
      <w:r>
        <w:rPr>
          <w:rStyle w:val="Emphasis"/>
          <w:sz w:val="36"/>
          <w:szCs w:val="36"/>
        </w:rPr>
        <w:t>balanensis</w:t>
      </w:r>
      <w:r>
        <w:rPr>
          <w:rStyle w:val="Emphasis"/>
          <w:i w:val="0"/>
          <w:sz w:val="36"/>
          <w:szCs w:val="36"/>
        </w:rPr>
        <w:t xml:space="preserve"> </w:t>
      </w:r>
    </w:p>
    <w:p w14:paraId="1813B77B" w14:textId="037C0D0C" w:rsidR="00B3335F" w:rsidRDefault="00557ED0" w:rsidP="00D15D2A">
      <w:pPr>
        <w:pStyle w:val="Heading1"/>
        <w:jc w:val="center"/>
      </w:pPr>
      <w:r w:rsidRPr="2DB3A534">
        <w:rPr>
          <w:rStyle w:val="Emphasis"/>
          <w:i w:val="0"/>
          <w:iCs w:val="0"/>
          <w:sz w:val="36"/>
          <w:szCs w:val="36"/>
        </w:rPr>
        <w:t>(</w:t>
      </w:r>
      <w:r w:rsidR="0086717F" w:rsidRPr="2DB3A534">
        <w:rPr>
          <w:sz w:val="36"/>
          <w:szCs w:val="36"/>
        </w:rPr>
        <w:t>Balan spiny crayfish</w:t>
      </w:r>
      <w:r w:rsidRPr="2DB3A534">
        <w:rPr>
          <w:rStyle w:val="Emphasis"/>
          <w:i w:val="0"/>
          <w:iCs w:val="0"/>
          <w:sz w:val="36"/>
          <w:szCs w:val="36"/>
        </w:rPr>
        <w:t>)</w:t>
      </w:r>
      <w:bookmarkStart w:id="0" w:name="_Hlk65647756"/>
      <w:bookmarkEnd w:id="0"/>
    </w:p>
    <w:p w14:paraId="665F75CD" w14:textId="4264487B" w:rsidR="00557ED0" w:rsidRDefault="008170AB" w:rsidP="00E320E4">
      <w:pPr>
        <w:jc w:val="center"/>
      </w:pPr>
      <w:r>
        <w:rPr>
          <w:noProof/>
          <w:lang w:val="en-US"/>
        </w:rPr>
        <mc:AlternateContent>
          <mc:Choice Requires="wps">
            <w:drawing>
              <wp:inline distT="0" distB="0" distL="0" distR="0" wp14:anchorId="3CE246DD" wp14:editId="6C0587A8">
                <wp:extent cx="4467225" cy="3000375"/>
                <wp:effectExtent l="0" t="0" r="28575" b="2857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3000375"/>
                        </a:xfrm>
                        <a:prstGeom prst="rect">
                          <a:avLst/>
                        </a:prstGeom>
                        <a:solidFill>
                          <a:srgbClr val="FFFFFF"/>
                        </a:solidFill>
                        <a:ln w="9525">
                          <a:solidFill>
                            <a:srgbClr val="000000"/>
                          </a:solidFill>
                          <a:miter lim="800000"/>
                          <a:headEnd/>
                          <a:tailEnd/>
                        </a:ln>
                      </wps:spPr>
                      <wps:txbx>
                        <w:txbxContent>
                          <w:p w14:paraId="104BAFAC" w14:textId="77777777" w:rsidR="00557ED0" w:rsidRPr="004F4666" w:rsidRDefault="00557ED0" w:rsidP="00557ED0">
                            <w:pPr>
                              <w:jc w:val="center"/>
                              <w:rPr>
                                <w:b/>
                                <w:color w:val="000000" w:themeColor="text1"/>
                                <w:sz w:val="32"/>
                              </w:rPr>
                            </w:pPr>
                            <w:r w:rsidRPr="004F4666">
                              <w:rPr>
                                <w:noProof/>
                                <w:lang w:val="en-US"/>
                              </w:rPr>
                              <w:drawing>
                                <wp:inline distT="0" distB="0" distL="0" distR="0" wp14:anchorId="2EB41DCF" wp14:editId="1CF9EFE8">
                                  <wp:extent cx="3914775" cy="293608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19525" cy="2939645"/>
                                          </a:xfrm>
                                          <a:prstGeom prst="rect">
                                            <a:avLst/>
                                          </a:prstGeom>
                                        </pic:spPr>
                                      </pic:pic>
                                    </a:graphicData>
                                  </a:graphic>
                                </wp:inline>
                              </w:drawing>
                            </w:r>
                          </w:p>
                          <w:p w14:paraId="429F0791" w14:textId="77777777" w:rsidR="00557ED0" w:rsidRDefault="00557ED0" w:rsidP="00557ED0">
                            <w:pPr>
                              <w:jc w:val="center"/>
                              <w:rPr>
                                <w:b/>
                                <w:color w:val="FF0000"/>
                                <w:sz w:val="32"/>
                              </w:rPr>
                            </w:pPr>
                          </w:p>
                          <w:p w14:paraId="69F21459" w14:textId="77777777" w:rsidR="00557ED0" w:rsidRPr="0091244A" w:rsidRDefault="00557ED0" w:rsidP="00557ED0">
                            <w:pPr>
                              <w:jc w:val="center"/>
                              <w:rPr>
                                <w:b/>
                              </w:rPr>
                            </w:pPr>
                            <w:r w:rsidRPr="0091244A">
                              <w:rPr>
                                <w:b/>
                                <w:color w:val="FF0000"/>
                                <w:sz w:val="32"/>
                              </w:rPr>
                              <w:t xml:space="preserve">Image </w:t>
                            </w:r>
                            <w:r>
                              <w:rPr>
                                <w:b/>
                                <w:color w:val="FF0000"/>
                                <w:sz w:val="32"/>
                              </w:rPr>
                              <w:t>to be inserted</w:t>
                            </w:r>
                            <w:r w:rsidRPr="0091244A">
                              <w:rPr>
                                <w:b/>
                                <w:color w:val="FF0000"/>
                                <w:sz w:val="32"/>
                              </w:rPr>
                              <w:t xml:space="preserve"> </w:t>
                            </w:r>
                            <w:r>
                              <w:rPr>
                                <w:b/>
                                <w:color w:val="FF0000"/>
                                <w:sz w:val="32"/>
                              </w:rPr>
                              <w:t>- later</w:t>
                            </w:r>
                          </w:p>
                          <w:p w14:paraId="07038FE6" w14:textId="77777777" w:rsidR="00557ED0" w:rsidRDefault="00557ED0" w:rsidP="00557ED0"/>
                        </w:txbxContent>
                      </wps:txbx>
                      <wps:bodyPr rot="0" vert="horz" wrap="square" lIns="91440" tIns="45720" rIns="91440" bIns="45720" anchor="t" anchorCtr="0">
                        <a:noAutofit/>
                      </wps:bodyPr>
                    </wps:wsp>
                  </a:graphicData>
                </a:graphic>
              </wp:inline>
            </w:drawing>
          </mc:Choice>
          <mc:Fallback>
            <w:pict>
              <v:shapetype w14:anchorId="3CE246DD" id="_x0000_t202" coordsize="21600,21600" o:spt="202" path="m,l,21600r21600,l21600,xe">
                <v:stroke joinstyle="miter"/>
                <v:path gradientshapeok="t" o:connecttype="rect"/>
              </v:shapetype>
              <v:shape id="Text Box 2" o:spid="_x0000_s1026" type="#_x0000_t202" style="width:351.75pt;height:2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">
                <v:textbox>
                  <w:txbxContent>
                    <w:p w14:paraId="104BAFAC" w14:textId="77777777" w:rsidR="00557ED0" w:rsidRPr="004F4666" w:rsidRDefault="00557ED0" w:rsidP="00557ED0">
                      <w:pPr>
                        <w:jc w:val="center"/>
                        <w:rPr>
                          <w:b/>
                          <w:color w:val="000000" w:themeColor="text1"/>
                          <w:sz w:val="32"/>
                        </w:rPr>
                      </w:pPr>
                      <w:r w:rsidRPr="004F4666">
                        <w:rPr>
                          <w:noProof/>
                          <w:lang w:val="en-US"/>
                        </w:rPr>
                        <w:drawing>
                          <wp:inline distT="0" distB="0" distL="0" distR="0" wp14:anchorId="2EB41DCF" wp14:editId="1CF9EFE8">
                            <wp:extent cx="3914775" cy="293608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19525" cy="2939645"/>
                                    </a:xfrm>
                                    <a:prstGeom prst="rect">
                                      <a:avLst/>
                                    </a:prstGeom>
                                  </pic:spPr>
                                </pic:pic>
                              </a:graphicData>
                            </a:graphic>
                          </wp:inline>
                        </w:drawing>
                      </w:r>
                    </w:p>
                    <w:p w14:paraId="429F0791" w14:textId="77777777" w:rsidR="00557ED0" w:rsidRDefault="00557ED0" w:rsidP="00557ED0">
                      <w:pPr>
                        <w:jc w:val="center"/>
                        <w:rPr>
                          <w:b/>
                          <w:color w:val="FF0000"/>
                          <w:sz w:val="32"/>
                        </w:rPr>
                      </w:pPr>
                    </w:p>
                    <w:p w14:paraId="69F21459" w14:textId="77777777" w:rsidR="00557ED0" w:rsidRPr="0091244A" w:rsidRDefault="00557ED0" w:rsidP="00557ED0">
                      <w:pPr>
                        <w:jc w:val="center"/>
                        <w:rPr>
                          <w:b/>
                        </w:rPr>
                      </w:pPr>
                      <w:r w:rsidRPr="0091244A">
                        <w:rPr>
                          <w:b/>
                          <w:color w:val="FF0000"/>
                          <w:sz w:val="32"/>
                        </w:rPr>
                        <w:t xml:space="preserve">Image </w:t>
                      </w:r>
                      <w:r>
                        <w:rPr>
                          <w:b/>
                          <w:color w:val="FF0000"/>
                          <w:sz w:val="32"/>
                        </w:rPr>
                        <w:t>to be inserted</w:t>
                      </w:r>
                      <w:r w:rsidRPr="0091244A">
                        <w:rPr>
                          <w:b/>
                          <w:color w:val="FF0000"/>
                          <w:sz w:val="32"/>
                        </w:rPr>
                        <w:t xml:space="preserve"> </w:t>
                      </w:r>
                      <w:r>
                        <w:rPr>
                          <w:b/>
                          <w:color w:val="FF0000"/>
                          <w:sz w:val="32"/>
                        </w:rPr>
                        <w:t>- later</w:t>
                      </w:r>
                    </w:p>
                    <w:p w14:paraId="07038FE6" w14:textId="77777777" w:rsidR="00557ED0" w:rsidRDefault="00557ED0" w:rsidP="00557ED0"/>
                  </w:txbxContent>
                </v:textbox>
                <w10:anchorlock/>
              </v:shape>
            </w:pict>
          </mc:Fallback>
        </mc:AlternateContent>
      </w:r>
    </w:p>
    <w:p w14:paraId="3D4AB06B" w14:textId="77777777" w:rsidR="00557ED0" w:rsidRPr="00E320E4" w:rsidRDefault="00557ED0" w:rsidP="00557ED0">
      <w:pPr>
        <w:pStyle w:val="FigureTableNoteSource"/>
        <w:jc w:val="center"/>
        <w:rPr>
          <w:bCs/>
          <w:color w:val="000000" w:themeColor="text1"/>
        </w:rPr>
      </w:pPr>
      <w:bookmarkStart w:id="1" w:name="_Hlk46319602"/>
      <w:r w:rsidRPr="2DB3A534">
        <w:rPr>
          <w:rStyle w:val="Emphasis"/>
          <w:color w:val="000000" w:themeColor="text1"/>
        </w:rPr>
        <w:t>Euastacus balanensis</w:t>
      </w:r>
      <w:r w:rsidRPr="2DB3A534">
        <w:rPr>
          <w:rStyle w:val="Emphasis"/>
          <w:i w:val="0"/>
          <w:iCs w:val="0"/>
          <w:color w:val="000000" w:themeColor="text1"/>
        </w:rPr>
        <w:t xml:space="preserve"> i</w:t>
      </w:r>
      <w:r w:rsidRPr="2DB3A534">
        <w:rPr>
          <w:color w:val="000000" w:themeColor="text1"/>
        </w:rPr>
        <w:t>n a captive setting. Image does not depict the species’ natural habitat © Copyright, Rob McCormack.</w:t>
      </w:r>
    </w:p>
    <w:bookmarkEnd w:id="1"/>
    <w:p w14:paraId="755EDC73" w14:textId="77777777" w:rsidR="00557ED0" w:rsidRPr="00AC3A2A" w:rsidRDefault="00557ED0" w:rsidP="00557ED0">
      <w:pPr>
        <w:pStyle w:val="Heading2"/>
        <w:ind w:left="720" w:hanging="720"/>
      </w:pPr>
      <w:r>
        <w:t>Conservation status</w:t>
      </w:r>
    </w:p>
    <w:p w14:paraId="533C10FA" w14:textId="77777777" w:rsidR="00557ED0" w:rsidRPr="007209CB" w:rsidRDefault="00557ED0" w:rsidP="00557ED0">
      <w:r w:rsidRPr="00C72B99">
        <w:rPr>
          <w:rStyle w:val="Emphasis"/>
        </w:rPr>
        <w:t>E</w:t>
      </w:r>
      <w:r>
        <w:rPr>
          <w:rStyle w:val="Emphasis"/>
        </w:rPr>
        <w:t>uastacus</w:t>
      </w:r>
      <w:r w:rsidRPr="00C72B99">
        <w:rPr>
          <w:rStyle w:val="Emphasis"/>
        </w:rPr>
        <w:t xml:space="preserve"> </w:t>
      </w:r>
      <w:r w:rsidRPr="001E719B">
        <w:rPr>
          <w:rStyle w:val="Emphasis"/>
        </w:rPr>
        <w:t>balanensis</w:t>
      </w:r>
      <w:r w:rsidRPr="003E295B">
        <w:rPr>
          <w:i/>
        </w:rPr>
        <w:t xml:space="preserve"> </w:t>
      </w:r>
      <w:r w:rsidRPr="003E295B">
        <w:t>is</w:t>
      </w:r>
      <w:r w:rsidRPr="004156ED">
        <w:t xml:space="preserve"> </w:t>
      </w:r>
      <w:r>
        <w:t xml:space="preserve">proposed to be listed in </w:t>
      </w:r>
      <w:r w:rsidRPr="000F26C3">
        <w:t xml:space="preserve">the </w:t>
      </w:r>
      <w:r w:rsidRPr="007209CB">
        <w:t>Endangered category of the threatened species list under the</w:t>
      </w:r>
      <w:r w:rsidRPr="007209CB">
        <w:rPr>
          <w:rStyle w:val="Emphasis"/>
        </w:rPr>
        <w:t xml:space="preserve"> Environment Protection and Biodiversity Conservation Act 1999</w:t>
      </w:r>
      <w:r w:rsidRPr="007209CB">
        <w:rPr>
          <w:rStyle w:val="Emphasis"/>
          <w:i w:val="0"/>
          <w:iCs w:val="0"/>
        </w:rPr>
        <w:t>.</w:t>
      </w:r>
    </w:p>
    <w:p w14:paraId="4264218F" w14:textId="34644953" w:rsidR="00557ED0" w:rsidRPr="007209CB" w:rsidRDefault="00557ED0" w:rsidP="00557ED0">
      <w:r w:rsidRPr="007209CB">
        <w:rPr>
          <w:rStyle w:val="Emphasis"/>
        </w:rPr>
        <w:t>Euastacus balanensis</w:t>
      </w:r>
      <w:r w:rsidRPr="007209CB">
        <w:rPr>
          <w:rStyle w:val="Emphasis"/>
          <w:i w:val="0"/>
          <w:iCs w:val="0"/>
        </w:rPr>
        <w:t xml:space="preserve"> </w:t>
      </w:r>
      <w:r w:rsidRPr="007209CB">
        <w:t xml:space="preserve">was assessed to be eligible for listing as </w:t>
      </w:r>
      <w:sdt>
        <w:sdtPr>
          <w:id w:val="257643898"/>
          <w:placeholder>
            <w:docPart w:val="F251D994CA614C5387B07CC2B93708F9"/>
          </w:placeholder>
          <w:dropDownList>
            <w:listItem w:displayText="Critically Endangered" w:value="Critically Endangered"/>
            <w:listItem w:displayText="Endangered" w:value="Endangered"/>
            <w:listItem w:displayText="Vulnerable" w:value="Vulnerable"/>
            <w:listItem w:displayText="Conservation Dependent" w:value="Conservation Dependent"/>
            <w:listItem w:displayText="Extinct in the Wild" w:value="Extinct in the Wild"/>
          </w:dropDownList>
        </w:sdtPr>
        <w:sdtEndPr/>
        <w:sdtContent>
          <w:r w:rsidRPr="007209CB">
            <w:t>Endangered</w:t>
          </w:r>
        </w:sdtContent>
      </w:sdt>
      <w:r w:rsidRPr="007209CB">
        <w:t xml:space="preserve"> under Criterion 2. The assessment is at Attachment A. The assessment of the species’ eligibility against each of the listing criteria is:</w:t>
      </w:r>
    </w:p>
    <w:p w14:paraId="16684384" w14:textId="77777777" w:rsidR="00557ED0" w:rsidRPr="007209CB" w:rsidRDefault="00557ED0" w:rsidP="00557ED0">
      <w:pPr>
        <w:pStyle w:val="ListBullet"/>
      </w:pPr>
      <w:r w:rsidRPr="007209CB">
        <w:t xml:space="preserve">Criterion 1: </w:t>
      </w:r>
      <w:sdt>
        <w:sdtPr>
          <w:id w:val="77107183"/>
          <w:placeholder>
            <w:docPart w:val="463C1E1FE68749FBB00E1918F73E2D8C"/>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Pr="007209CB">
            <w:t>Insufficient data</w:t>
          </w:r>
        </w:sdtContent>
      </w:sdt>
    </w:p>
    <w:p w14:paraId="38F2ED41" w14:textId="30DE3708" w:rsidR="00557ED0" w:rsidRPr="00C04E3B" w:rsidRDefault="00557ED0" w:rsidP="00557ED0">
      <w:pPr>
        <w:pStyle w:val="ListBullet"/>
        <w:rPr>
          <w:lang w:val="de-CH"/>
        </w:rPr>
      </w:pPr>
      <w:r w:rsidRPr="00C04E3B">
        <w:rPr>
          <w:lang w:val="de-CH"/>
        </w:rPr>
        <w:t>Criterion 2: B1ab(iii</w:t>
      </w:r>
      <w:r w:rsidR="00C73C49">
        <w:rPr>
          <w:lang w:val="de-CH"/>
        </w:rPr>
        <w:t>, v</w:t>
      </w:r>
      <w:r w:rsidRPr="00C04E3B">
        <w:rPr>
          <w:lang w:val="de-CH"/>
        </w:rPr>
        <w:t>)+B2ab(iii</w:t>
      </w:r>
      <w:r w:rsidR="00C73C49">
        <w:rPr>
          <w:lang w:val="de-CH"/>
        </w:rPr>
        <w:t>, v</w:t>
      </w:r>
      <w:r w:rsidRPr="00C04E3B">
        <w:rPr>
          <w:lang w:val="de-CH"/>
        </w:rPr>
        <w:t xml:space="preserve">): </w:t>
      </w:r>
      <w:sdt>
        <w:sdtPr>
          <w:rPr>
            <w:lang w:val="de-CH"/>
          </w:rPr>
          <w:id w:val="-1042367401"/>
          <w:placeholder>
            <w:docPart w:val="C65C0F038939462D9461CCA9907EC40E"/>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Pr="0061044D">
            <w:rPr>
              <w:lang w:val="de-CH"/>
            </w:rPr>
            <w:t>Endangered</w:t>
          </w:r>
        </w:sdtContent>
      </w:sdt>
    </w:p>
    <w:p w14:paraId="5A84A955" w14:textId="77777777" w:rsidR="00557ED0" w:rsidRDefault="00557ED0" w:rsidP="00557ED0">
      <w:pPr>
        <w:pStyle w:val="ListBullet"/>
      </w:pPr>
      <w:r>
        <w:t xml:space="preserve">Criterion 3: </w:t>
      </w:r>
      <w:sdt>
        <w:sdtPr>
          <w:id w:val="-151294044"/>
          <w:placeholder>
            <w:docPart w:val="5CEB39D28067466A9291B5036F7CD4AF"/>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t>Insufficient data</w:t>
          </w:r>
        </w:sdtContent>
      </w:sdt>
    </w:p>
    <w:p w14:paraId="2E61101A" w14:textId="3EFC7AD7" w:rsidR="00557ED0" w:rsidRDefault="00557ED0" w:rsidP="00557ED0">
      <w:pPr>
        <w:pStyle w:val="ListBullet"/>
      </w:pPr>
      <w:r>
        <w:t>Criterion 4:</w:t>
      </w:r>
      <w:r w:rsidR="006F7DF6">
        <w:t xml:space="preserve"> D2</w:t>
      </w:r>
      <w:r>
        <w:t xml:space="preserve"> </w:t>
      </w:r>
      <w:sdt>
        <w:sdtPr>
          <w:id w:val="-2084978900"/>
          <w:placeholder>
            <w:docPart w:val="08DE8575507441D4BCA3D8505E715011"/>
          </w:placeholder>
          <w:dropDownList>
            <w:listItem w:displayText="Critically Endangered" w:value="Critically Endangered"/>
            <w:listItem w:displayText="Endangered" w:value="Endangered"/>
            <w:listItem w:displayText="Vulnerable" w:value="Vulnerable"/>
            <w:listItem w:displayText="Insufficient data" w:value="Insufficient data"/>
            <w:listItem w:displayText="Ineligible" w:value="Ineligible"/>
          </w:dropDownList>
        </w:sdtPr>
        <w:sdtEndPr/>
        <w:sdtContent>
          <w:r w:rsidR="00C41AA9">
            <w:t>Vulnerable</w:t>
          </w:r>
        </w:sdtContent>
      </w:sdt>
    </w:p>
    <w:p w14:paraId="5CB37056" w14:textId="77777777" w:rsidR="00557ED0" w:rsidRDefault="00557ED0" w:rsidP="00557ED0">
      <w:pPr>
        <w:pStyle w:val="ListBullet"/>
      </w:pPr>
      <w:r>
        <w:t xml:space="preserve">Criterion 5: </w:t>
      </w:r>
      <w:sdt>
        <w:sdtPr>
          <w:id w:val="1205373663"/>
          <w:placeholder>
            <w:docPart w:val="0C87687F91F143FFBCCC9C487822CB74"/>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t>Insufficient data</w:t>
          </w:r>
        </w:sdtContent>
      </w:sdt>
    </w:p>
    <w:p w14:paraId="6AE98A9A" w14:textId="1003D093" w:rsidR="00557ED0" w:rsidRDefault="00557ED0" w:rsidP="00557ED0">
      <w:r>
        <w:t xml:space="preserve">The main factors that make the </w:t>
      </w:r>
      <w:r w:rsidRPr="008C23C2">
        <w:t>species eligible for listing</w:t>
      </w:r>
      <w:r>
        <w:t xml:space="preserve"> in the </w:t>
      </w:r>
      <w:sdt>
        <w:sdtPr>
          <w:id w:val="-775248640"/>
          <w:placeholder>
            <w:docPart w:val="CAB853E7C9C04B90BD296150D65EFCD4"/>
          </w:placeholder>
          <w:dropDownList>
            <w:listItem w:displayText="Critically Endangered" w:value="Critically Endangered"/>
            <w:listItem w:displayText="Endangered" w:value="Endangered"/>
            <w:listItem w:displayText="Vulnerable" w:value="Vulnerable"/>
            <w:listItem w:displayText="Conservation Dependent" w:value="Conservation Dependent"/>
            <w:listItem w:displayText="Extinct in the Wild" w:value="Extinct in the Wild"/>
          </w:dropDownList>
        </w:sdtPr>
        <w:sdtEndPr/>
        <w:sdtContent>
          <w:r w:rsidRPr="007209CB">
            <w:t>Endangered</w:t>
          </w:r>
        </w:sdtContent>
      </w:sdt>
      <w:r>
        <w:t xml:space="preserve"> category are the impacts of climate change (extreme weather events, increased temperature, i</w:t>
      </w:r>
      <w:r w:rsidRPr="00637ECC">
        <w:t xml:space="preserve">ncreased </w:t>
      </w:r>
      <w:r w:rsidR="006E7F28">
        <w:t>severity</w:t>
      </w:r>
      <w:r w:rsidR="00627AFF">
        <w:t xml:space="preserve"> and </w:t>
      </w:r>
      <w:r w:rsidRPr="00637ECC">
        <w:t>frequency of bushfire</w:t>
      </w:r>
      <w:r>
        <w:t xml:space="preserve">) on its highly restricted distribution, which will very likely lead to a </w:t>
      </w:r>
      <w:r w:rsidR="007F5B9C">
        <w:t xml:space="preserve">continuing </w:t>
      </w:r>
      <w:r>
        <w:t>decline in t</w:t>
      </w:r>
      <w:r w:rsidRPr="004156ED">
        <w:rPr>
          <w:lang w:eastAsia="ja-JP"/>
        </w:rPr>
        <w:t>he area, extent</w:t>
      </w:r>
      <w:r>
        <w:rPr>
          <w:lang w:eastAsia="ja-JP"/>
        </w:rPr>
        <w:t xml:space="preserve">, and </w:t>
      </w:r>
      <w:r w:rsidRPr="004156ED">
        <w:t>quality of habitat</w:t>
      </w:r>
      <w:r w:rsidR="006E7F28">
        <w:t xml:space="preserve"> and number of mature individuals</w:t>
      </w:r>
      <w:r>
        <w:t>.</w:t>
      </w:r>
    </w:p>
    <w:p w14:paraId="1C771D59" w14:textId="34AC5A3F" w:rsidR="00557ED0" w:rsidRPr="004156ED" w:rsidRDefault="00557ED0" w:rsidP="00557ED0">
      <w:r>
        <w:t xml:space="preserve">Species can also be listed as threatened under state and territory legislation. For information on the current listing status of this species, see the </w:t>
      </w:r>
      <w:hyperlink r:id="rId15" w:history="1">
        <w:r w:rsidRPr="00624A10">
          <w:rPr>
            <w:rStyle w:val="Hyperlink"/>
          </w:rPr>
          <w:t>Species Profile and Threat Database</w:t>
        </w:r>
      </w:hyperlink>
      <w:r>
        <w:t>.</w:t>
      </w:r>
    </w:p>
    <w:p w14:paraId="20ADAC49" w14:textId="77777777" w:rsidR="00557ED0" w:rsidRDefault="00557ED0" w:rsidP="00557ED0">
      <w:pPr>
        <w:pStyle w:val="Heading2"/>
        <w:ind w:left="720" w:hanging="720"/>
      </w:pPr>
      <w:r>
        <w:lastRenderedPageBreak/>
        <w:t>Species information</w:t>
      </w:r>
    </w:p>
    <w:p w14:paraId="41B734E7" w14:textId="77777777" w:rsidR="00557ED0" w:rsidRDefault="00557ED0" w:rsidP="00557ED0">
      <w:pPr>
        <w:pStyle w:val="Heading3"/>
      </w:pPr>
      <w:r>
        <w:t>Taxonomy</w:t>
      </w:r>
    </w:p>
    <w:p w14:paraId="7BAB8E4E" w14:textId="20C3CE36" w:rsidR="0086717F" w:rsidRDefault="0086717F" w:rsidP="0086717F">
      <w:bookmarkStart w:id="2" w:name="_Toc409769199"/>
      <w:bookmarkStart w:id="3" w:name="_Toc454439316"/>
      <w:bookmarkStart w:id="4" w:name="_Hlk46319676"/>
      <w:bookmarkStart w:id="5" w:name="_Ref445985062"/>
      <w:r w:rsidRPr="2DB3A534">
        <w:rPr>
          <w:rFonts w:eastAsia="Cambria" w:cs="Cambria"/>
          <w:color w:val="000000" w:themeColor="text1"/>
        </w:rPr>
        <w:t xml:space="preserve">Conventionally accepted as </w:t>
      </w:r>
      <w:r w:rsidRPr="0061044D">
        <w:rPr>
          <w:rFonts w:eastAsia="Cambria" w:cs="Cambria"/>
          <w:i/>
          <w:iCs/>
          <w:color w:val="000000" w:themeColor="text1"/>
        </w:rPr>
        <w:t>Euastacus balanensis</w:t>
      </w:r>
      <w:r w:rsidRPr="2DB3A534">
        <w:rPr>
          <w:rFonts w:eastAsia="Cambria" w:cs="Cambria"/>
          <w:color w:val="000000" w:themeColor="text1"/>
        </w:rPr>
        <w:t xml:space="preserve"> Morgan, 1988 (Family: Parastacidae), however genetic studies have demonstrated there are at least three divergent lineages within </w:t>
      </w:r>
      <w:r w:rsidRPr="0061044D">
        <w:rPr>
          <w:rFonts w:eastAsia="Cambria" w:cs="Cambria"/>
          <w:i/>
          <w:iCs/>
          <w:color w:val="000000" w:themeColor="text1"/>
        </w:rPr>
        <w:t>E. balanensis</w:t>
      </w:r>
      <w:r w:rsidRPr="2DB3A534">
        <w:rPr>
          <w:rFonts w:eastAsia="Cambria" w:cs="Cambria"/>
          <w:color w:val="000000" w:themeColor="text1"/>
        </w:rPr>
        <w:t xml:space="preserve"> (Ponniah &amp; Hughes 2004; Shull et al. 2005; Austin et al. 2022). One lineage (</w:t>
      </w:r>
      <w:r w:rsidRPr="0061044D">
        <w:rPr>
          <w:rFonts w:eastAsia="Cambria" w:cs="Cambria"/>
          <w:i/>
          <w:iCs/>
          <w:color w:val="000000" w:themeColor="text1"/>
        </w:rPr>
        <w:t>E. balanensis</w:t>
      </w:r>
      <w:r w:rsidRPr="2DB3A534">
        <w:rPr>
          <w:rFonts w:eastAsia="Cambria" w:cs="Cambria"/>
          <w:color w:val="000000" w:themeColor="text1"/>
        </w:rPr>
        <w:t xml:space="preserve"> s.s.) is found in the northern (Lamb Range, including the type location) and southeastern (Bellenden Kerr) parts of the species' range. A second lineage (</w:t>
      </w:r>
      <w:r w:rsidRPr="0061044D">
        <w:rPr>
          <w:rFonts w:eastAsia="Cambria" w:cs="Cambria"/>
          <w:i/>
          <w:iCs/>
          <w:color w:val="000000" w:themeColor="text1"/>
        </w:rPr>
        <w:t>E. cf. balanensis</w:t>
      </w:r>
      <w:r w:rsidRPr="2DB3A534">
        <w:rPr>
          <w:rFonts w:eastAsia="Cambria" w:cs="Cambria"/>
          <w:color w:val="000000" w:themeColor="text1"/>
        </w:rPr>
        <w:t xml:space="preserve"> 2) is also found at Bellenden Kerr, and a third (</w:t>
      </w:r>
      <w:r w:rsidRPr="0061044D">
        <w:rPr>
          <w:rFonts w:eastAsia="Cambria" w:cs="Cambria"/>
          <w:i/>
          <w:iCs/>
          <w:color w:val="000000" w:themeColor="text1"/>
        </w:rPr>
        <w:t>E. cf. balanensis</w:t>
      </w:r>
      <w:r w:rsidRPr="2DB3A534">
        <w:rPr>
          <w:rFonts w:eastAsia="Cambria" w:cs="Cambria"/>
          <w:color w:val="000000" w:themeColor="text1"/>
        </w:rPr>
        <w:t xml:space="preserve"> 1) in the southwestern part of the range at Mount Bartle Frere. Further work is required to clarify the genetics and taxonomic status of the divergent lineages.</w:t>
      </w:r>
    </w:p>
    <w:bookmarkEnd w:id="4"/>
    <w:p w14:paraId="1B187C28" w14:textId="77777777" w:rsidR="00557ED0" w:rsidRPr="008064B3" w:rsidRDefault="00557ED0" w:rsidP="00557ED0">
      <w:pPr>
        <w:pStyle w:val="Heading3"/>
      </w:pPr>
      <w:r w:rsidRPr="008064B3">
        <w:t>Description</w:t>
      </w:r>
    </w:p>
    <w:p w14:paraId="1528C2FB" w14:textId="74901200" w:rsidR="00557ED0" w:rsidRPr="00434F9A" w:rsidRDefault="00B71783" w:rsidP="00557ED0">
      <w:pPr>
        <w:rPr>
          <w:rFonts w:asciiTheme="majorHAnsi" w:hAnsiTheme="majorHAnsi"/>
        </w:rPr>
      </w:pPr>
      <w:r w:rsidRPr="0061044D">
        <w:rPr>
          <w:iCs/>
        </w:rPr>
        <w:t>Balan spiny crayfish</w:t>
      </w:r>
      <w:r w:rsidRPr="00B71783" w:rsidDel="00B71783">
        <w:rPr>
          <w:i/>
        </w:rPr>
        <w:t xml:space="preserve"> </w:t>
      </w:r>
      <w:r w:rsidR="00557ED0" w:rsidRPr="00434F9A">
        <w:t xml:space="preserve">is a poorly spinose species of </w:t>
      </w:r>
      <w:r w:rsidR="00557ED0" w:rsidRPr="00434F9A">
        <w:rPr>
          <w:i/>
        </w:rPr>
        <w:t>Euastacus</w:t>
      </w:r>
      <w:r w:rsidR="00557ED0" w:rsidRPr="00434F9A">
        <w:t xml:space="preserve"> </w:t>
      </w:r>
      <w:r w:rsidR="00557ED0" w:rsidRPr="00434F9A">
        <w:rPr>
          <w:iCs/>
        </w:rPr>
        <w:t>(Coughran 2008)</w:t>
      </w:r>
      <w:r w:rsidR="00557ED0" w:rsidRPr="00434F9A">
        <w:t xml:space="preserve"> and is recorded as reaching at least 33 mm occipital-carapace length (OCL</w:t>
      </w:r>
      <w:r w:rsidR="008E7E21">
        <w:t>;</w:t>
      </w:r>
      <w:r w:rsidR="00557ED0" w:rsidRPr="00434F9A">
        <w:t xml:space="preserve"> Morgan 1997)</w:t>
      </w:r>
      <w:r w:rsidR="00486A2E">
        <w:t xml:space="preserve"> </w:t>
      </w:r>
      <w:r w:rsidR="00557ED0" w:rsidRPr="00434F9A">
        <w:t>(Morgan 1998</w:t>
      </w:r>
      <w:r w:rsidR="0086717F">
        <w:t>;</w:t>
      </w:r>
      <w:r w:rsidR="00557ED0" w:rsidRPr="00434F9A">
        <w:t xml:space="preserve"> Coughran 2008)</w:t>
      </w:r>
      <w:r w:rsidR="00557ED0" w:rsidRPr="00E94E50">
        <w:t>.</w:t>
      </w:r>
      <w:r w:rsidR="00557ED0">
        <w:t xml:space="preserve"> T</w:t>
      </w:r>
      <w:r w:rsidR="00557ED0" w:rsidRPr="002E2018">
        <w:t>he</w:t>
      </w:r>
      <w:r w:rsidR="00557ED0">
        <w:t xml:space="preserve"> </w:t>
      </w:r>
      <w:r w:rsidR="00557ED0" w:rsidRPr="00764300">
        <w:t>species typically presents as a</w:t>
      </w:r>
      <w:r w:rsidR="00557ED0">
        <w:t xml:space="preserve"> </w:t>
      </w:r>
      <w:r w:rsidR="00557ED0" w:rsidRPr="00434F9A">
        <w:rPr>
          <w:rFonts w:asciiTheme="majorHAnsi" w:eastAsia="Cambria" w:hAnsiTheme="majorHAnsi" w:cs="Times"/>
          <w:lang w:val="en-US" w:eastAsia="en-AU"/>
        </w:rPr>
        <w:t>dark green</w:t>
      </w:r>
      <w:r w:rsidR="00557ED0">
        <w:rPr>
          <w:rFonts w:asciiTheme="majorHAnsi" w:eastAsia="Cambria" w:hAnsiTheme="majorHAnsi" w:cs="Times"/>
          <w:lang w:val="en-US" w:eastAsia="en-AU"/>
        </w:rPr>
        <w:t xml:space="preserve"> (or </w:t>
      </w:r>
      <w:r w:rsidR="00557ED0" w:rsidRPr="00434F9A">
        <w:rPr>
          <w:rFonts w:asciiTheme="majorHAnsi" w:eastAsia="Cambria" w:hAnsiTheme="majorHAnsi" w:cs="Times"/>
          <w:lang w:val="en-US" w:eastAsia="en-AU"/>
        </w:rPr>
        <w:t>brown</w:t>
      </w:r>
      <w:r w:rsidR="00557ED0">
        <w:rPr>
          <w:rFonts w:asciiTheme="majorHAnsi" w:eastAsia="Cambria" w:hAnsiTheme="majorHAnsi" w:cs="Times"/>
          <w:lang w:val="en-US" w:eastAsia="en-AU"/>
        </w:rPr>
        <w:t>,</w:t>
      </w:r>
      <w:r w:rsidR="00557ED0" w:rsidRPr="00434F9A">
        <w:rPr>
          <w:rFonts w:asciiTheme="majorHAnsi" w:eastAsia="Cambria" w:hAnsiTheme="majorHAnsi" w:cs="Times"/>
          <w:lang w:val="en-US" w:eastAsia="en-AU"/>
        </w:rPr>
        <w:t xml:space="preserve"> or olive</w:t>
      </w:r>
      <w:r w:rsidR="00557ED0">
        <w:rPr>
          <w:rFonts w:asciiTheme="majorHAnsi" w:eastAsia="Cambria" w:hAnsiTheme="majorHAnsi" w:cs="Times"/>
          <w:lang w:val="en-US" w:eastAsia="en-AU"/>
        </w:rPr>
        <w:t>)</w:t>
      </w:r>
      <w:r w:rsidR="00557ED0" w:rsidRPr="00764300">
        <w:t xml:space="preserve"> coloured crayfish overall</w:t>
      </w:r>
      <w:r w:rsidR="00557ED0">
        <w:t xml:space="preserve">, with orange and green undersides (Morgan 1988). Spines on the carapace or abdomen may be orange, brown or varying shades of green. The chelae (i.e. claws) are overall </w:t>
      </w:r>
      <w:r w:rsidR="00557ED0" w:rsidRPr="00434F9A">
        <w:rPr>
          <w:rFonts w:asciiTheme="majorHAnsi" w:eastAsia="Cambria" w:hAnsiTheme="majorHAnsi" w:cs="Times"/>
          <w:lang w:val="en-US" w:eastAsia="en-AU"/>
        </w:rPr>
        <w:t>green/brown</w:t>
      </w:r>
      <w:r w:rsidR="00557ED0">
        <w:rPr>
          <w:rFonts w:asciiTheme="majorHAnsi" w:eastAsia="Cambria" w:hAnsiTheme="majorHAnsi" w:cs="Times"/>
          <w:lang w:val="en-US" w:eastAsia="en-AU"/>
        </w:rPr>
        <w:t>, with green-orange undersides, and orange-tipped spines (Morgan 1988).</w:t>
      </w:r>
    </w:p>
    <w:p w14:paraId="3D10FBDA" w14:textId="3C2992F9" w:rsidR="0086717F" w:rsidRPr="008E5DB2" w:rsidRDefault="0086717F" w:rsidP="0086717F">
      <w:pPr>
        <w:autoSpaceDE w:val="0"/>
        <w:autoSpaceDN w:val="0"/>
        <w:adjustRightInd w:val="0"/>
      </w:pPr>
      <w:r>
        <w:t xml:space="preserve">The morphological characteristics used to identify </w:t>
      </w:r>
      <w:r w:rsidRPr="2DB3A534">
        <w:rPr>
          <w:i/>
          <w:iCs/>
        </w:rPr>
        <w:t>Euastacus</w:t>
      </w:r>
      <w:r>
        <w:t xml:space="preserve"> are typically subtle, with the differences often a few spines, and/or the presence of a groove. In general appearance, </w:t>
      </w:r>
      <w:r w:rsidR="00151517" w:rsidRPr="00151517">
        <w:t>Balan spiny crayfish</w:t>
      </w:r>
      <w:r>
        <w:t xml:space="preserve"> most closely resembles </w:t>
      </w:r>
      <w:r w:rsidRPr="2DB3A534">
        <w:rPr>
          <w:i/>
          <w:iCs/>
        </w:rPr>
        <w:t xml:space="preserve">E. eungella </w:t>
      </w:r>
      <w:r>
        <w:t>(Eungella spiny crayfish)</w:t>
      </w:r>
      <w:r w:rsidRPr="2DB3A534">
        <w:rPr>
          <w:i/>
          <w:iCs/>
        </w:rPr>
        <w:t xml:space="preserve"> </w:t>
      </w:r>
      <w:r>
        <w:t xml:space="preserve">(Morgan 1988). </w:t>
      </w:r>
      <w:r w:rsidR="00324C82" w:rsidRPr="00324C82">
        <w:t>Balan spiny crayfish</w:t>
      </w:r>
      <w:r w:rsidR="00324C82">
        <w:t xml:space="preserve"> </w:t>
      </w:r>
      <w:r>
        <w:t xml:space="preserve">and </w:t>
      </w:r>
      <w:r w:rsidRPr="2DB3A534">
        <w:rPr>
          <w:i/>
          <w:iCs/>
        </w:rPr>
        <w:t>E. eungella</w:t>
      </w:r>
      <w:r>
        <w:t xml:space="preserve"> can, however, be distinguished from each other by differences in spination of the chelae and coloration, and different distributions (Morgan 1988). For example, </w:t>
      </w:r>
      <w:r w:rsidR="00C81A1C" w:rsidRPr="00C81A1C">
        <w:t xml:space="preserve">Balan spiny crayfish </w:t>
      </w:r>
      <w:r>
        <w:t xml:space="preserve">has one spine above the dactylar cutting edge and one apical mesal dactylar spine whereas </w:t>
      </w:r>
      <w:r w:rsidRPr="2DB3A534">
        <w:rPr>
          <w:i/>
          <w:iCs/>
        </w:rPr>
        <w:t>E. eungella</w:t>
      </w:r>
      <w:r w:rsidRPr="2DB3A534">
        <w:rPr>
          <w:lang w:val="en-US" w:eastAsia="en-AU"/>
        </w:rPr>
        <w:t xml:space="preserve"> (specimens </w:t>
      </w:r>
      <w:r>
        <w:t>&gt;20 mm OCL) has</w:t>
      </w:r>
      <w:r w:rsidRPr="2DB3A534">
        <w:rPr>
          <w:lang w:val="en-US" w:eastAsia="en-AU"/>
        </w:rPr>
        <w:t xml:space="preserve"> a </w:t>
      </w:r>
      <w:r>
        <w:t xml:space="preserve">row of 3–8 spines are present above the dactylar cutting edge and 1–3 apical mesal spines present </w:t>
      </w:r>
      <w:r w:rsidRPr="2DB3A534">
        <w:rPr>
          <w:rFonts w:asciiTheme="majorHAnsi" w:eastAsia="Cambria" w:hAnsiTheme="majorHAnsi" w:cs="Times"/>
          <w:lang w:val="en-US" w:eastAsia="en-AU"/>
        </w:rPr>
        <w:t xml:space="preserve">(Morgan 1988). </w:t>
      </w:r>
    </w:p>
    <w:p w14:paraId="656AF3DE" w14:textId="51945146" w:rsidR="00557ED0" w:rsidRDefault="00557ED0" w:rsidP="00557ED0">
      <w:r w:rsidRPr="00165D83">
        <w:t xml:space="preserve">Accurate and reliable identification of </w:t>
      </w:r>
      <w:r w:rsidRPr="00165D83">
        <w:rPr>
          <w:i/>
        </w:rPr>
        <w:t>Euastacus</w:t>
      </w:r>
      <w:r w:rsidRPr="00165D83">
        <w:rPr>
          <w:iCs/>
        </w:rPr>
        <w:t xml:space="preserve"> </w:t>
      </w:r>
      <w:r w:rsidRPr="00165D83">
        <w:t>is challenging and technical terminology</w:t>
      </w:r>
      <w:r>
        <w:t xml:space="preserve"> is</w:t>
      </w:r>
      <w:r w:rsidRPr="00165D83">
        <w:t xml:space="preserve"> require</w:t>
      </w:r>
      <w:r>
        <w:t>d</w:t>
      </w:r>
      <w:r w:rsidRPr="00165D83">
        <w:t xml:space="preserve"> to describe the</w:t>
      </w:r>
      <w:r>
        <w:t xml:space="preserve"> subtle</w:t>
      </w:r>
      <w:r w:rsidRPr="00165D83">
        <w:t xml:space="preserve"> morphological features separating the</w:t>
      </w:r>
      <w:r>
        <w:t>se two</w:t>
      </w:r>
      <w:r w:rsidRPr="00165D83">
        <w:t xml:space="preserve"> species.</w:t>
      </w:r>
      <w:r>
        <w:t xml:space="preserve"> Detailed descriptions, and figures of these two similar looking species can be found in the original 1988 description by Morgan, plus additional details in Coughran (2008).</w:t>
      </w:r>
    </w:p>
    <w:p w14:paraId="531A7D64" w14:textId="77777777" w:rsidR="00557ED0" w:rsidRPr="008064B3" w:rsidRDefault="00557ED0" w:rsidP="00557ED0">
      <w:pPr>
        <w:pStyle w:val="Heading3"/>
      </w:pPr>
      <w:r w:rsidRPr="008064B3">
        <w:t>Distribution</w:t>
      </w:r>
    </w:p>
    <w:p w14:paraId="585A91E7" w14:textId="150A0010" w:rsidR="0086717F" w:rsidRDefault="00BE1CF2" w:rsidP="0086717F">
      <w:r w:rsidRPr="00BE1CF2">
        <w:t xml:space="preserve">Balan spiny crayfish </w:t>
      </w:r>
      <w:r w:rsidR="0086717F">
        <w:t>is endemic to far north Queensland</w:t>
      </w:r>
      <w:r w:rsidR="00627AFF">
        <w:t>.</w:t>
      </w:r>
      <w:r w:rsidR="0086717F">
        <w:t xml:space="preserve"> The species’ entire distribution is across six </w:t>
      </w:r>
      <w:r w:rsidR="000352B0">
        <w:t>s</w:t>
      </w:r>
      <w:r w:rsidR="004657D3">
        <w:t>ubpopoulations</w:t>
      </w:r>
      <w:r w:rsidR="000352B0">
        <w:t xml:space="preserve"> </w:t>
      </w:r>
      <w:r w:rsidR="000A644C">
        <w:t>(</w:t>
      </w:r>
      <w:r w:rsidR="00380EBB">
        <w:t>Alterton Tableland west of Cairns, The Bellenden Ker Range, Russell River, Mulgrave River, Davies Creek and Kauri Creek)</w:t>
      </w:r>
      <w:r w:rsidR="0061044D">
        <w:t xml:space="preserve"> </w:t>
      </w:r>
      <w:r w:rsidR="0090592E">
        <w:t xml:space="preserve">across </w:t>
      </w:r>
      <w:r w:rsidR="0086717F">
        <w:t xml:space="preserve">three discrete areas, with northern </w:t>
      </w:r>
      <w:r w:rsidR="004657D3">
        <w:t>subpopulations</w:t>
      </w:r>
      <w:r w:rsidR="0086717F">
        <w:t xml:space="preserve"> in</w:t>
      </w:r>
      <w:r w:rsidR="006E7F28">
        <w:t xml:space="preserve"> rainforests of</w:t>
      </w:r>
      <w:r w:rsidR="0086717F">
        <w:t xml:space="preserve"> Dinden and Danbulla </w:t>
      </w:r>
      <w:r w:rsidR="006E7F28">
        <w:t>n</w:t>
      </w:r>
      <w:r w:rsidR="0086717F">
        <w:t>ational parks (Lamb Range), and southeastern (Bellenden Ker) and southwestern (Bartle Frere) s</w:t>
      </w:r>
      <w:r w:rsidR="004657D3">
        <w:t>ubpopulations</w:t>
      </w:r>
      <w:r w:rsidR="0086717F">
        <w:t xml:space="preserve"> in Wooroonooran National Park (Morgan 1988; Ponniah &amp; Hughes 2004; Shull et al. 2005; Coughran &amp; Furse 2010).</w:t>
      </w:r>
    </w:p>
    <w:p w14:paraId="257C7824" w14:textId="77777777" w:rsidR="00557ED0" w:rsidRPr="002E5141" w:rsidRDefault="00557ED0" w:rsidP="00557ED0">
      <w:pPr>
        <w:rPr>
          <w:rFonts w:eastAsia="Cambria" w:cs="Cambria"/>
          <w:color w:val="000000" w:themeColor="text1"/>
        </w:rPr>
      </w:pPr>
      <w:r w:rsidRPr="00636A7C">
        <w:rPr>
          <w:rFonts w:eastAsia="Cambria" w:cs="Cambria"/>
          <w:color w:val="000000" w:themeColor="text1"/>
        </w:rPr>
        <w:t xml:space="preserve">Specimens collected from the </w:t>
      </w:r>
      <w:r>
        <w:rPr>
          <w:rFonts w:eastAsia="Cambria" w:cs="Cambria"/>
          <w:color w:val="000000" w:themeColor="text1"/>
        </w:rPr>
        <w:t>s</w:t>
      </w:r>
      <w:r w:rsidRPr="00636A7C">
        <w:rPr>
          <w:rFonts w:eastAsia="Cambria" w:cs="Cambria"/>
          <w:color w:val="000000" w:themeColor="text1"/>
        </w:rPr>
        <w:t>outherly extent of the</w:t>
      </w:r>
      <w:r>
        <w:rPr>
          <w:rFonts w:eastAsia="Cambria" w:cs="Cambria"/>
          <w:color w:val="000000" w:themeColor="text1"/>
        </w:rPr>
        <w:t xml:space="preserve"> species’</w:t>
      </w:r>
      <w:r w:rsidRPr="00636A7C">
        <w:rPr>
          <w:rFonts w:eastAsia="Cambria" w:cs="Cambria"/>
          <w:color w:val="000000" w:themeColor="text1"/>
        </w:rPr>
        <w:t xml:space="preserve"> range, Summit Creek on Mount Bartle Frere were identified as divergent lineage 1 (</w:t>
      </w:r>
      <w:r w:rsidRPr="00636A7C">
        <w:rPr>
          <w:rFonts w:eastAsia="Cambria" w:cs="Cambria"/>
          <w:i/>
          <w:color w:val="000000" w:themeColor="text1"/>
        </w:rPr>
        <w:t>E.</w:t>
      </w:r>
      <w:r w:rsidRPr="007209CB">
        <w:rPr>
          <w:rFonts w:eastAsia="Cambria" w:cs="Cambria"/>
          <w:iCs/>
          <w:color w:val="000000" w:themeColor="text1"/>
        </w:rPr>
        <w:t xml:space="preserve"> cf</w:t>
      </w:r>
      <w:r w:rsidRPr="00636A7C">
        <w:rPr>
          <w:rFonts w:eastAsia="Cambria" w:cs="Cambria"/>
          <w:i/>
          <w:color w:val="000000" w:themeColor="text1"/>
        </w:rPr>
        <w:t>. balanensis</w:t>
      </w:r>
      <w:r w:rsidRPr="00636A7C">
        <w:t>) and lineage 2 (</w:t>
      </w:r>
      <w:r w:rsidRPr="00636A7C">
        <w:rPr>
          <w:rFonts w:eastAsia="Cambria" w:cs="Cambria"/>
          <w:i/>
          <w:color w:val="000000" w:themeColor="text1"/>
        </w:rPr>
        <w:t xml:space="preserve">E. </w:t>
      </w:r>
      <w:r w:rsidRPr="007209CB">
        <w:rPr>
          <w:rFonts w:eastAsia="Cambria" w:cs="Cambria"/>
          <w:iCs/>
          <w:color w:val="000000" w:themeColor="text1"/>
        </w:rPr>
        <w:t>cf.</w:t>
      </w:r>
      <w:r w:rsidRPr="00636A7C">
        <w:rPr>
          <w:rFonts w:eastAsia="Cambria" w:cs="Cambria"/>
          <w:i/>
          <w:color w:val="000000" w:themeColor="text1"/>
        </w:rPr>
        <w:t xml:space="preserve"> balanensis</w:t>
      </w:r>
      <w:r w:rsidRPr="00636A7C">
        <w:rPr>
          <w:rFonts w:eastAsia="Cambria" w:cs="Cambria"/>
          <w:color w:val="000000" w:themeColor="text1"/>
        </w:rPr>
        <w:t xml:space="preserve"> 2) from a tributary of the Mulgrave River on Mount Bellenden Kerr</w:t>
      </w:r>
      <w:r>
        <w:rPr>
          <w:rFonts w:eastAsia="Cambria" w:cs="Cambria"/>
          <w:color w:val="000000" w:themeColor="text1"/>
        </w:rPr>
        <w:t xml:space="preserve"> at the eastern extent of the species’ range</w:t>
      </w:r>
      <w:r w:rsidRPr="00636A7C">
        <w:rPr>
          <w:rFonts w:eastAsia="Cambria" w:cs="Cambria"/>
          <w:color w:val="000000" w:themeColor="text1"/>
        </w:rPr>
        <w:t xml:space="preserve"> </w:t>
      </w:r>
      <w:r>
        <w:rPr>
          <w:rFonts w:eastAsia="Cambria" w:cs="Cambria"/>
          <w:color w:val="000000" w:themeColor="text1"/>
        </w:rPr>
        <w:t>(</w:t>
      </w:r>
      <w:r w:rsidRPr="00636A7C">
        <w:t>Ponniah &amp; Hughes 2004</w:t>
      </w:r>
      <w:r>
        <w:t>; Shull et al. 2005; Austin et al. 2022</w:t>
      </w:r>
      <w:r w:rsidRPr="00636A7C">
        <w:t>)</w:t>
      </w:r>
      <w:r w:rsidRPr="00636A7C">
        <w:rPr>
          <w:rFonts w:eastAsia="Cambria" w:cs="Cambria"/>
          <w:color w:val="000000" w:themeColor="text1"/>
        </w:rPr>
        <w:t>.</w:t>
      </w:r>
    </w:p>
    <w:p w14:paraId="68DCEB80" w14:textId="192AA6BC" w:rsidR="0086717F" w:rsidRDefault="0086717F" w:rsidP="0086717F">
      <w:r w:rsidRPr="00BF2721">
        <w:t>This species in</w:t>
      </w:r>
      <w:r>
        <w:t xml:space="preserve"> only</w:t>
      </w:r>
      <w:r w:rsidRPr="00BF2721">
        <w:t xml:space="preserve"> known from </w:t>
      </w:r>
      <w:r>
        <w:t xml:space="preserve">this </w:t>
      </w:r>
      <w:r w:rsidRPr="00BF2721">
        <w:t xml:space="preserve">area </w:t>
      </w:r>
      <w:r>
        <w:t>at altitudes &gt;7</w:t>
      </w:r>
      <w:r w:rsidRPr="00BF2721">
        <w:t>00 m above sea level (a.s.l.) where it occupies</w:t>
      </w:r>
      <w:r>
        <w:t xml:space="preserve"> the </w:t>
      </w:r>
      <w:r w:rsidRPr="00BF2721">
        <w:t>headwaters of various streams (</w:t>
      </w:r>
      <w:r w:rsidRPr="003E5889">
        <w:t>Morgan 1988</w:t>
      </w:r>
      <w:r>
        <w:t>;</w:t>
      </w:r>
      <w:r w:rsidRPr="003E5889">
        <w:t xml:space="preserve"> Coughran </w:t>
      </w:r>
      <w:r>
        <w:t>&amp;</w:t>
      </w:r>
      <w:r w:rsidRPr="003E5889">
        <w:t xml:space="preserve"> Furse 2010).</w:t>
      </w:r>
      <w:r>
        <w:t xml:space="preserve"> The species range is drained </w:t>
      </w:r>
      <w:r w:rsidRPr="00AB1B00">
        <w:t xml:space="preserve">by the Mitchell, Walsh and Tate </w:t>
      </w:r>
      <w:r>
        <w:t>r</w:t>
      </w:r>
      <w:r w:rsidRPr="00AB1B00">
        <w:t xml:space="preserve">ivers (to the </w:t>
      </w:r>
      <w:r>
        <w:t>w</w:t>
      </w:r>
      <w:r w:rsidRPr="00AB1B00">
        <w:t>est) and</w:t>
      </w:r>
      <w:r w:rsidRPr="00665AAF">
        <w:t xml:space="preserve"> the</w:t>
      </w:r>
      <w:r>
        <w:t xml:space="preserve"> Barron, Mulgrave,</w:t>
      </w:r>
      <w:r w:rsidRPr="00665AAF">
        <w:t xml:space="preserve"> Russel</w:t>
      </w:r>
      <w:r>
        <w:t>l and</w:t>
      </w:r>
      <w:r w:rsidRPr="00665AAF">
        <w:t xml:space="preserve"> </w:t>
      </w:r>
      <w:r>
        <w:t>North Johnson r</w:t>
      </w:r>
      <w:r w:rsidRPr="00665AAF">
        <w:t xml:space="preserve">ivers to the </w:t>
      </w:r>
      <w:r>
        <w:t>e</w:t>
      </w:r>
      <w:r w:rsidRPr="00665AAF">
        <w:t>ast</w:t>
      </w:r>
      <w:r>
        <w:t xml:space="preserve"> (Ponniah &amp; Hughes 2004;</w:t>
      </w:r>
      <w:r w:rsidRPr="00514578">
        <w:t xml:space="preserve"> </w:t>
      </w:r>
      <w:r>
        <w:t>Shull et al. 2005)</w:t>
      </w:r>
      <w:r w:rsidRPr="00665AAF">
        <w:t>.</w:t>
      </w:r>
    </w:p>
    <w:p w14:paraId="0CEA3B6E" w14:textId="63E80F18" w:rsidR="00DA2CBE" w:rsidRDefault="002A0845" w:rsidP="00DA2CBE">
      <w:r>
        <w:t>A</w:t>
      </w:r>
      <w:r w:rsidR="00557ED0">
        <w:t xml:space="preserve">dditional areas of suitable habitat do exist in North Queensland, however they are </w:t>
      </w:r>
      <w:r w:rsidR="00557ED0" w:rsidRPr="00FE219F">
        <w:t xml:space="preserve">not adjacent this species habitat, and are already occupied by one of the other species of </w:t>
      </w:r>
      <w:r w:rsidR="00557ED0" w:rsidRPr="00FE219F">
        <w:rPr>
          <w:i/>
          <w:iCs/>
        </w:rPr>
        <w:t>Euastacus</w:t>
      </w:r>
      <w:r w:rsidR="00557ED0" w:rsidRPr="00FE219F">
        <w:t xml:space="preserve"> known to occur in North Queensland</w:t>
      </w:r>
      <w:r w:rsidRPr="00FE219F">
        <w:rPr>
          <w:i/>
          <w:iCs/>
        </w:rPr>
        <w:t xml:space="preserve"> </w:t>
      </w:r>
      <w:r w:rsidRPr="00FE219F">
        <w:t>(Furse et al. 2012)</w:t>
      </w:r>
      <w:r w:rsidR="00557ED0" w:rsidRPr="00FE219F">
        <w:t xml:space="preserve">. </w:t>
      </w:r>
      <w:r w:rsidR="00DA2CBE" w:rsidRPr="00FE219F">
        <w:t>This species is not considered to be abundant within its restricted range (</w:t>
      </w:r>
      <w:r w:rsidR="00DA2CBE" w:rsidRPr="0061044D">
        <w:t xml:space="preserve">Morgan 1988; J. Coughran 2008 unpub; </w:t>
      </w:r>
      <w:r w:rsidR="00DA2CBE" w:rsidRPr="00FE219F">
        <w:t>Coughran &amp; Furse 2010) and should be considered a rare species</w:t>
      </w:r>
      <w:r w:rsidR="00695795" w:rsidRPr="00FE219F">
        <w:t xml:space="preserve"> and a short range endemic (Harvey 2002)</w:t>
      </w:r>
      <w:r w:rsidR="00DA2CBE" w:rsidRPr="00FE219F">
        <w:t xml:space="preserve">. </w:t>
      </w:r>
      <w:r w:rsidR="00557ED0" w:rsidRPr="00FE219F">
        <w:t>All indications are that this species is not found outside of its currently known distribution.</w:t>
      </w:r>
      <w:r w:rsidR="00DA2CBE" w:rsidRPr="00FE219F">
        <w:t xml:space="preserve"> </w:t>
      </w:r>
    </w:p>
    <w:p w14:paraId="1C4E3A75" w14:textId="04B0B1BB" w:rsidR="0086717F" w:rsidRDefault="0086717F" w:rsidP="0086717F">
      <w:r>
        <w:t>The population is afforded a degree of protection as it is contained within the boundary of various national parks and other protected areas</w:t>
      </w:r>
      <w:r w:rsidRPr="005E2BF5">
        <w:t xml:space="preserve">, </w:t>
      </w:r>
      <w:r>
        <w:t>none are</w:t>
      </w:r>
      <w:r w:rsidRPr="005E2BF5">
        <w:t xml:space="preserve"> actively managed for conservation of </w:t>
      </w:r>
      <w:r w:rsidR="00306451" w:rsidRPr="00306451">
        <w:t xml:space="preserve">Balan spiny crayfish </w:t>
      </w:r>
      <w:r w:rsidRPr="005E2BF5">
        <w:t>(Coughran &amp; Furse 2010).</w:t>
      </w:r>
    </w:p>
    <w:p w14:paraId="1EB714E2" w14:textId="77777777" w:rsidR="00557ED0" w:rsidRDefault="00557ED0" w:rsidP="00557ED0">
      <w:r w:rsidRPr="00C10160">
        <w:t>This species occupies an area of exceptionally high rainfall, including the wettest place in Australia (Bellenden Ker).</w:t>
      </w:r>
      <w:r>
        <w:t xml:space="preserve"> M</w:t>
      </w:r>
      <w:r w:rsidRPr="00E571E9">
        <w:t>edian annual rainfall at the Bartle View Alert</w:t>
      </w:r>
      <w:r>
        <w:t xml:space="preserve"> Weather</w:t>
      </w:r>
      <w:r w:rsidRPr="00E571E9">
        <w:t xml:space="preserve"> </w:t>
      </w:r>
      <w:r>
        <w:t>Station</w:t>
      </w:r>
      <w:r w:rsidRPr="00E571E9">
        <w:t xml:space="preserve"> </w:t>
      </w:r>
      <w:r>
        <w:t>(</w:t>
      </w:r>
      <w:r w:rsidRPr="00C73659">
        <w:t xml:space="preserve">Southern Wooroonooran NP) is 3175 mm </w:t>
      </w:r>
      <w:r w:rsidRPr="00C73659">
        <w:rPr>
          <w:i/>
        </w:rPr>
        <w:t>per annum</w:t>
      </w:r>
      <w:r w:rsidRPr="00C10160">
        <w:t xml:space="preserve">, and at Bellenden Ker median rainfall routinely exceeds 7600 mm </w:t>
      </w:r>
      <w:r w:rsidRPr="00C10160">
        <w:rPr>
          <w:i/>
          <w:iCs/>
        </w:rPr>
        <w:t>per annum</w:t>
      </w:r>
      <w:r w:rsidRPr="00C10160">
        <w:t xml:space="preserve"> (BOM 2022)</w:t>
      </w:r>
      <w:r>
        <w:t>.</w:t>
      </w:r>
      <w:r w:rsidRPr="00C10160">
        <w:t xml:space="preserve"> </w:t>
      </w:r>
    </w:p>
    <w:p w14:paraId="1C749C85" w14:textId="76DFF299" w:rsidR="00557ED0" w:rsidRPr="000124CC" w:rsidRDefault="00557ED0" w:rsidP="00557ED0">
      <w:r w:rsidRPr="00F93A4F">
        <w:t>Mean maximum annual temperature at the Walkamin Research Station</w:t>
      </w:r>
      <w:r>
        <w:t xml:space="preserve">, </w:t>
      </w:r>
      <w:r w:rsidRPr="00F93A4F">
        <w:rPr>
          <w:rFonts w:ascii="Symbol" w:eastAsia="Symbol" w:hAnsi="Symbol" w:cs="Symbol"/>
        </w:rPr>
        <w:t>~</w:t>
      </w:r>
      <w:r w:rsidRPr="00F93A4F">
        <w:t>2</w:t>
      </w:r>
      <w:r>
        <w:t>2</w:t>
      </w:r>
      <w:r w:rsidRPr="00F93A4F">
        <w:t xml:space="preserve"> km</w:t>
      </w:r>
      <w:r>
        <w:t xml:space="preserve"> Southwest of the Type Locality,</w:t>
      </w:r>
      <w:r w:rsidRPr="00F93A4F">
        <w:t xml:space="preserve"> is 27.5°C (BOM 2022).</w:t>
      </w:r>
    </w:p>
    <w:p w14:paraId="40A550CA" w14:textId="3C5B3092" w:rsidR="00557ED0" w:rsidRPr="00B51281" w:rsidRDefault="00557ED0" w:rsidP="00557ED0">
      <w:pPr>
        <w:pStyle w:val="Caption"/>
      </w:pPr>
      <w:r>
        <w:t xml:space="preserve">Map </w:t>
      </w:r>
      <w:r w:rsidRPr="0CBFAD64">
        <w:rPr>
          <w:noProof/>
        </w:rPr>
        <w:fldChar w:fldCharType="begin"/>
      </w:r>
      <w:r w:rsidRPr="0CBFAD64">
        <w:rPr>
          <w:noProof/>
        </w:rPr>
        <w:instrText xml:space="preserve"> SEQ Map \* ARABIC </w:instrText>
      </w:r>
      <w:r w:rsidRPr="0CBFAD64">
        <w:rPr>
          <w:noProof/>
        </w:rPr>
        <w:fldChar w:fldCharType="separate"/>
      </w:r>
      <w:r w:rsidRPr="0CBFAD64">
        <w:rPr>
          <w:noProof/>
        </w:rPr>
        <w:t>1</w:t>
      </w:r>
      <w:r w:rsidRPr="0CBFAD64">
        <w:rPr>
          <w:noProof/>
        </w:rPr>
        <w:fldChar w:fldCharType="end"/>
      </w:r>
      <w:bookmarkEnd w:id="5"/>
      <w:r>
        <w:t xml:space="preserve"> </w:t>
      </w:r>
      <w:bookmarkEnd w:id="2"/>
      <w:bookmarkEnd w:id="3"/>
      <w:r>
        <w:t xml:space="preserve">Modelled distribution of </w:t>
      </w:r>
      <w:r w:rsidR="00306451" w:rsidRPr="00306451">
        <w:t xml:space="preserve">Balan spiny crayfish </w:t>
      </w:r>
    </w:p>
    <w:p w14:paraId="2119313F" w14:textId="700D23B1" w:rsidR="00557ED0" w:rsidRDefault="00042A0D" w:rsidP="00557ED0">
      <w:r>
        <w:rPr>
          <w:noProof/>
        </w:rPr>
        <w:drawing>
          <wp:inline distT="0" distB="0" distL="0" distR="0" wp14:anchorId="164343CD" wp14:editId="0E4AC51B">
            <wp:extent cx="5940425" cy="4193540"/>
            <wp:effectExtent l="0" t="0" r="3175" b="0"/>
            <wp:docPr id="645035903" name="Picture 1" descr="A map of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035903" name="Picture 1" descr="A map of the world&#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0425" cy="4193540"/>
                    </a:xfrm>
                    <a:prstGeom prst="rect">
                      <a:avLst/>
                    </a:prstGeom>
                  </pic:spPr>
                </pic:pic>
              </a:graphicData>
            </a:graphic>
          </wp:inline>
        </w:drawing>
      </w:r>
    </w:p>
    <w:p w14:paraId="49F28135" w14:textId="77777777" w:rsidR="00042A0D" w:rsidRPr="00D15D2A" w:rsidRDefault="00042A0D" w:rsidP="00042A0D">
      <w:pPr>
        <w:pStyle w:val="FigureTableNoteSource"/>
      </w:pPr>
      <w:bookmarkStart w:id="6" w:name="_Hlk184138809"/>
      <w:r w:rsidRPr="00D15D2A">
        <w:t xml:space="preserve">Source: Base map Geoscience Australia; species distribution data </w:t>
      </w:r>
      <w:hyperlink r:id="rId17" w:history="1">
        <w:r w:rsidRPr="00D15D2A">
          <w:rPr>
            <w:rStyle w:val="Hyperlink"/>
          </w:rPr>
          <w:t>Species of National Environmental Significance</w:t>
        </w:r>
      </w:hyperlink>
      <w:r w:rsidRPr="00D15D2A">
        <w:t xml:space="preserve"> database.</w:t>
      </w:r>
    </w:p>
    <w:p w14:paraId="646BE0AC" w14:textId="5FDD1D62" w:rsidR="00557ED0" w:rsidRPr="006C3B82" w:rsidRDefault="00042A0D" w:rsidP="00D15D2A">
      <w:pPr>
        <w:pStyle w:val="FigureTableNoteSource"/>
        <w:rPr>
          <w:sz w:val="20"/>
          <w:szCs w:val="20"/>
        </w:rPr>
      </w:pPr>
      <w:r w:rsidRPr="00D15D2A">
        <w:t xml:space="preserve">Caveat: The information presented in this map has been provided by a range of groups and agencies. While every effort has been made to ensure accuracy and completeness, no guarantee is given, nor responsibility taken by the Commonwealth for errors or omissions, and the Commonwealth does not accept responsibility in respect of any information or advice given in relation to, or as a consequence of, anything contained herein. Due to limited survey effort and information available, </w:t>
      </w:r>
      <w:r w:rsidRPr="00D15D2A">
        <w:rPr>
          <w:i/>
          <w:iCs/>
        </w:rPr>
        <w:t>Euastacus balanensis</w:t>
      </w:r>
      <w:r w:rsidRPr="00D15D2A">
        <w:t>, and its habitat, may occur in areas where it has not yet been recorded, and the modelled distribution (Map1) should be considered as indicative only.</w:t>
      </w:r>
      <w:r w:rsidR="00F566BE">
        <w:br/>
      </w:r>
      <w:r w:rsidRPr="00D15D2A">
        <w:t>Species distribution mapping: The species distribution mapping categories are indicative only and aim to capture (a) the habitat or geographic feature that represents to recent observed locations of the species (known to occur) or habitat occurring in close proximity to these locations (likely to occur); and (b) the broad environmental envelope or geographic region that encompasses all areas that could provide habitat for the species (may occur). These presence categories are created using an extensive database of species observations records, national and regional-scale environmental data, environmental modelling techniques and documented scientific research.</w:t>
      </w:r>
      <w:bookmarkEnd w:id="6"/>
    </w:p>
    <w:p w14:paraId="02E15F84" w14:textId="77777777" w:rsidR="00557ED0" w:rsidRDefault="00557ED0" w:rsidP="00557ED0">
      <w:pPr>
        <w:pStyle w:val="Heading3"/>
        <w:ind w:left="964" w:hanging="964"/>
      </w:pPr>
      <w:r>
        <w:t>C</w:t>
      </w:r>
      <w:r w:rsidRPr="00C326F7">
        <w:t>ultural and community significance</w:t>
      </w:r>
    </w:p>
    <w:p w14:paraId="1B19F3A4" w14:textId="38C8ADA2" w:rsidR="00557ED0" w:rsidRDefault="00B80E9F" w:rsidP="00557ED0">
      <w:r w:rsidRPr="007F31C0">
        <w:t>The cultural, customary and spiritual significance of species and the ecological communities they form</w:t>
      </w:r>
      <w:r w:rsidDel="00B80E9F">
        <w:t xml:space="preserve"> </w:t>
      </w:r>
      <w:r w:rsidR="00557ED0">
        <w:t xml:space="preserve">are diverse and varied for the many </w:t>
      </w:r>
      <w:r w:rsidR="00CB1DED">
        <w:t xml:space="preserve">First Nations </w:t>
      </w:r>
      <w:r w:rsidR="00557ED0">
        <w:t>peoples that live in the area and care for Country. Such knowledge may be only held by Indigenous groups and individuals who are the custodians of this knowledg</w:t>
      </w:r>
      <w:r w:rsidR="00C15579">
        <w:t>e</w:t>
      </w:r>
      <w:r w:rsidR="00A33A53" w:rsidRPr="00C15579">
        <w:t xml:space="preserve"> and have the rights to decide how this knowledge is shared and used</w:t>
      </w:r>
      <w:r w:rsidR="00A33A53">
        <w:t>.</w:t>
      </w:r>
      <w:r w:rsidR="00C578CF">
        <w:t xml:space="preserve"> This section dedscribes sone examples of this significance.</w:t>
      </w:r>
    </w:p>
    <w:p w14:paraId="408B0DFD" w14:textId="005F2ECB" w:rsidR="00557ED0" w:rsidRDefault="00930E14" w:rsidP="0061044D">
      <w:r w:rsidRPr="00930E14">
        <w:t xml:space="preserve">Balan spiny crayfish </w:t>
      </w:r>
      <w:r w:rsidR="00557ED0" w:rsidRPr="006E3557">
        <w:t>occurs on lands</w:t>
      </w:r>
      <w:r w:rsidR="00557ED0" w:rsidRPr="005B0EBB">
        <w:t xml:space="preserve"> </w:t>
      </w:r>
      <w:r w:rsidR="00CB1DED">
        <w:t>of</w:t>
      </w:r>
      <w:r w:rsidR="00557ED0" w:rsidRPr="005B0EBB">
        <w:t xml:space="preserve"> the Malanbarra Yidinji, Wanyurr Majay Yidinji, Ngadjon-Jii and Mamu Peoples </w:t>
      </w:r>
      <w:r w:rsidR="00557ED0" w:rsidRPr="00F135FA">
        <w:t>(</w:t>
      </w:r>
      <w:r w:rsidR="00557ED0" w:rsidRPr="00F135FA">
        <w:rPr>
          <w:rFonts w:asciiTheme="majorHAnsi" w:eastAsia="Cambria" w:hAnsiTheme="majorHAnsi" w:cs="Arial"/>
          <w:lang w:val="en-US" w:eastAsia="en-AU"/>
        </w:rPr>
        <w:t xml:space="preserve">Queensland </w:t>
      </w:r>
      <w:r w:rsidR="00557ED0" w:rsidRPr="006A7D55">
        <w:rPr>
          <w:rFonts w:asciiTheme="majorHAnsi" w:eastAsia="Cambria" w:hAnsiTheme="majorHAnsi" w:cs="Arial"/>
          <w:lang w:val="en-US" w:eastAsia="en-AU"/>
        </w:rPr>
        <w:t>Government 2013a).</w:t>
      </w:r>
      <w:r w:rsidR="00557ED0" w:rsidRPr="00F135FA">
        <w:rPr>
          <w:rFonts w:asciiTheme="majorHAnsi" w:eastAsia="Cambria" w:hAnsiTheme="majorHAnsi" w:cs="Arial"/>
          <w:lang w:val="en-US" w:eastAsia="en-AU"/>
        </w:rPr>
        <w:t xml:space="preserve"> </w:t>
      </w:r>
      <w:r w:rsidR="0063782E" w:rsidRPr="0063782E">
        <w:rPr>
          <w:rFonts w:asciiTheme="majorHAnsi" w:eastAsia="Cambria" w:hAnsiTheme="majorHAnsi" w:cs="Arial"/>
          <w:lang w:eastAsia="en-AU"/>
        </w:rPr>
        <w:t>According to Morgan’s 1988 description</w:t>
      </w:r>
      <w:r w:rsidR="0063782E">
        <w:rPr>
          <w:rFonts w:asciiTheme="majorHAnsi" w:eastAsia="Cambria" w:hAnsiTheme="majorHAnsi" w:cs="Arial"/>
          <w:lang w:eastAsia="en-AU"/>
        </w:rPr>
        <w:t>,</w:t>
      </w:r>
      <w:r w:rsidR="0063782E" w:rsidRPr="0063782E">
        <w:rPr>
          <w:rFonts w:asciiTheme="majorHAnsi" w:eastAsia="Cambria" w:hAnsiTheme="majorHAnsi" w:cs="Arial"/>
          <w:lang w:eastAsia="en-AU"/>
        </w:rPr>
        <w:t xml:space="preserve"> </w:t>
      </w:r>
      <w:r w:rsidR="0063782E">
        <w:rPr>
          <w:rFonts w:asciiTheme="majorHAnsi" w:eastAsia="Cambria" w:hAnsiTheme="majorHAnsi" w:cs="Arial"/>
          <w:lang w:eastAsia="en-AU"/>
        </w:rPr>
        <w:t xml:space="preserve">the specific epithet </w:t>
      </w:r>
      <w:r w:rsidR="0063782E" w:rsidRPr="0061044D">
        <w:rPr>
          <w:rFonts w:asciiTheme="majorHAnsi" w:eastAsia="Cambria" w:hAnsiTheme="majorHAnsi" w:cs="Arial"/>
          <w:i/>
          <w:iCs/>
          <w:lang w:eastAsia="en-AU"/>
        </w:rPr>
        <w:t>balanensis</w:t>
      </w:r>
      <w:r w:rsidR="0063782E">
        <w:rPr>
          <w:rFonts w:asciiTheme="majorHAnsi" w:eastAsia="Cambria" w:hAnsiTheme="majorHAnsi" w:cs="Arial"/>
          <w:lang w:eastAsia="en-AU"/>
        </w:rPr>
        <w:t xml:space="preserve"> is derived from </w:t>
      </w:r>
      <w:r w:rsidR="0063782E" w:rsidRPr="0063782E">
        <w:rPr>
          <w:rFonts w:asciiTheme="majorHAnsi" w:eastAsia="Cambria" w:hAnsiTheme="majorHAnsi" w:cs="Arial"/>
          <w:lang w:eastAsia="en-AU"/>
        </w:rPr>
        <w:t>"balan"</w:t>
      </w:r>
      <w:r w:rsidR="0063782E">
        <w:rPr>
          <w:rFonts w:asciiTheme="majorHAnsi" w:eastAsia="Cambria" w:hAnsiTheme="majorHAnsi" w:cs="Arial"/>
          <w:lang w:eastAsia="en-AU"/>
        </w:rPr>
        <w:t xml:space="preserve">, </w:t>
      </w:r>
      <w:r w:rsidR="0063782E" w:rsidRPr="0063782E">
        <w:rPr>
          <w:rFonts w:asciiTheme="majorHAnsi" w:eastAsia="Cambria" w:hAnsiTheme="majorHAnsi" w:cs="Arial"/>
          <w:lang w:eastAsia="en-AU"/>
        </w:rPr>
        <w:t>mean</w:t>
      </w:r>
      <w:r w:rsidR="0063782E">
        <w:rPr>
          <w:rFonts w:asciiTheme="majorHAnsi" w:eastAsia="Cambria" w:hAnsiTheme="majorHAnsi" w:cs="Arial"/>
          <w:lang w:eastAsia="en-AU"/>
        </w:rPr>
        <w:t>ing</w:t>
      </w:r>
      <w:r w:rsidR="0063782E" w:rsidRPr="0063782E">
        <w:rPr>
          <w:rFonts w:asciiTheme="majorHAnsi" w:eastAsia="Cambria" w:hAnsiTheme="majorHAnsi" w:cs="Arial"/>
          <w:lang w:eastAsia="en-AU"/>
        </w:rPr>
        <w:t xml:space="preserve"> “freshwater” in </w:t>
      </w:r>
      <w:r w:rsidR="0063782E">
        <w:rPr>
          <w:rFonts w:asciiTheme="majorHAnsi" w:eastAsia="Cambria" w:hAnsiTheme="majorHAnsi" w:cs="Arial"/>
          <w:lang w:eastAsia="en-AU"/>
        </w:rPr>
        <w:t xml:space="preserve">the </w:t>
      </w:r>
      <w:r w:rsidR="0063782E" w:rsidRPr="0063782E">
        <w:rPr>
          <w:rFonts w:asciiTheme="majorHAnsi" w:eastAsia="Cambria" w:hAnsiTheme="majorHAnsi" w:cs="Arial"/>
          <w:lang w:eastAsia="en-AU"/>
        </w:rPr>
        <w:t>Dyirbal language</w:t>
      </w:r>
      <w:r w:rsidR="0063782E">
        <w:rPr>
          <w:rFonts w:asciiTheme="majorHAnsi" w:eastAsia="Cambria" w:hAnsiTheme="majorHAnsi" w:cs="Arial"/>
          <w:lang w:eastAsia="en-AU"/>
        </w:rPr>
        <w:t xml:space="preserve">. </w:t>
      </w:r>
      <w:r w:rsidR="00557ED0" w:rsidRPr="00DC30FA">
        <w:t xml:space="preserve"> </w:t>
      </w:r>
    </w:p>
    <w:p w14:paraId="31A47ED9" w14:textId="77777777" w:rsidR="00557ED0" w:rsidRDefault="00557ED0" w:rsidP="00557ED0">
      <w:pPr>
        <w:pStyle w:val="Heading3"/>
        <w:ind w:left="964" w:hanging="964"/>
      </w:pPr>
      <w:r>
        <w:t>Relevant biology and ecology</w:t>
      </w:r>
    </w:p>
    <w:p w14:paraId="0EA31FCE" w14:textId="71E46EF0" w:rsidR="00557ED0" w:rsidRDefault="0063782E" w:rsidP="00557ED0">
      <w:r>
        <w:t>I</w:t>
      </w:r>
      <w:r w:rsidR="00557ED0">
        <w:t xml:space="preserve">t is recognised that the </w:t>
      </w:r>
      <w:r w:rsidR="00557ED0" w:rsidRPr="2DB3A534">
        <w:rPr>
          <w:i/>
          <w:iCs/>
        </w:rPr>
        <w:t>Euastacus</w:t>
      </w:r>
      <w:r w:rsidR="00557ED0">
        <w:t xml:space="preserve"> </w:t>
      </w:r>
      <w:r w:rsidR="0086717F">
        <w:t xml:space="preserve">species </w:t>
      </w:r>
      <w:r w:rsidR="00557ED0">
        <w:t xml:space="preserve">have a suite of common biological characteristics, and many of these characteristics will apply to this species (e.g. Furse &amp; Coughran 2011a). Various studies have established that </w:t>
      </w:r>
      <w:r w:rsidR="00557ED0" w:rsidRPr="2DB3A534">
        <w:rPr>
          <w:i/>
          <w:iCs/>
        </w:rPr>
        <w:t>Euastacus</w:t>
      </w:r>
      <w:r w:rsidR="00557ED0">
        <w:t xml:space="preserve"> are slow-growing (growth increments of a few mm OCL yr</w:t>
      </w:r>
      <w:r w:rsidR="00557ED0" w:rsidRPr="2DB3A534">
        <w:rPr>
          <w:vertAlign w:val="superscript"/>
        </w:rPr>
        <w:t>−1</w:t>
      </w:r>
      <w:r w:rsidR="00557ED0">
        <w:t xml:space="preserve">), long-lived and can take many decades (35−50 years) to reach the </w:t>
      </w:r>
      <w:r w:rsidR="00811EF2">
        <w:t xml:space="preserve">adult </w:t>
      </w:r>
      <w:r w:rsidR="00557ED0">
        <w:t>sizes that are recorded</w:t>
      </w:r>
      <w:r w:rsidR="0086717F">
        <w:t xml:space="preserve"> for some species</w:t>
      </w:r>
      <w:r w:rsidR="00557ED0">
        <w:t xml:space="preserve"> (Honan &amp; Mitchell 1995a; Turvey &amp; Merrick 1997a; Morey 1998; Furse &amp; Wild 2004; Coughran 2011; Coughran 2013). </w:t>
      </w:r>
      <w:r>
        <w:t xml:space="preserve">The biology and ecology of </w:t>
      </w:r>
      <w:r w:rsidR="006F03F4" w:rsidRPr="006F03F4">
        <w:t xml:space="preserve">Balan spiny crayfish </w:t>
      </w:r>
      <w:r>
        <w:t>remain unknown</w:t>
      </w:r>
      <w:r w:rsidRPr="2DB3A534">
        <w:rPr>
          <w:noProof/>
        </w:rPr>
        <w:t>,</w:t>
      </w:r>
      <w:r>
        <w:t xml:space="preserve"> however</w:t>
      </w:r>
      <w:r w:rsidR="00DA2CBE">
        <w:t xml:space="preserve">. </w:t>
      </w:r>
      <w:r w:rsidR="00DA2CBE" w:rsidRPr="2DB3A534">
        <w:rPr>
          <w:rFonts w:asciiTheme="majorHAnsi" w:hAnsiTheme="majorHAnsi"/>
        </w:rPr>
        <w:t xml:space="preserve">Furse and Coughran (2011c) identified critical knowledge gaps (e.g. biology, ecology, distributions) for the </w:t>
      </w:r>
      <w:r w:rsidR="00DA2CBE" w:rsidRPr="2DB3A534">
        <w:rPr>
          <w:rFonts w:asciiTheme="majorHAnsi" w:hAnsiTheme="majorHAnsi"/>
          <w:i/>
          <w:iCs/>
        </w:rPr>
        <w:t>Euastacus</w:t>
      </w:r>
      <w:r w:rsidR="00DA2CBE" w:rsidRPr="2DB3A534">
        <w:rPr>
          <w:rFonts w:asciiTheme="majorHAnsi" w:hAnsiTheme="majorHAnsi"/>
        </w:rPr>
        <w:t xml:space="preserve"> in general</w:t>
      </w:r>
      <w:r w:rsidR="00DA2CBE" w:rsidRPr="2DB3A534">
        <w:rPr>
          <w:rFonts w:asciiTheme="majorHAnsi" w:hAnsiTheme="majorHAnsi"/>
          <w:i/>
          <w:iCs/>
        </w:rPr>
        <w:t>,</w:t>
      </w:r>
      <w:r w:rsidR="00DA2CBE" w:rsidRPr="2DB3A534">
        <w:rPr>
          <w:rFonts w:asciiTheme="majorHAnsi" w:hAnsiTheme="majorHAnsi"/>
        </w:rPr>
        <w:t xml:space="preserve"> and the knowledge gaps apply in particular to this poorly understood species.</w:t>
      </w:r>
    </w:p>
    <w:p w14:paraId="2307D491" w14:textId="77777777" w:rsidR="00557ED0" w:rsidRPr="004B2074" w:rsidRDefault="00557ED0" w:rsidP="005E482C">
      <w:pPr>
        <w:pStyle w:val="Heading4"/>
      </w:pPr>
      <w:r w:rsidRPr="004B2074">
        <w:t>Reproductive Ecology</w:t>
      </w:r>
    </w:p>
    <w:p w14:paraId="7E727106" w14:textId="77777777" w:rsidR="00557ED0" w:rsidRDefault="00557ED0" w:rsidP="00557ED0">
      <w:r>
        <w:t xml:space="preserve">Morgan (1988) reported collecting a berried female in the “30–40 mm OCL range” (from a burrow, in July) and suggested female maturity occurs at around 30 mm OCL (Morgan 1988). </w:t>
      </w:r>
    </w:p>
    <w:p w14:paraId="0766F5C9" w14:textId="62A2FC1C" w:rsidR="00557ED0" w:rsidRDefault="00557ED0" w:rsidP="00557ED0">
      <w:r>
        <w:t xml:space="preserve">Reproductive studies show that </w:t>
      </w:r>
      <w:r w:rsidRPr="30D87E74">
        <w:rPr>
          <w:i/>
          <w:iCs/>
        </w:rPr>
        <w:t>Euastacus</w:t>
      </w:r>
      <w:r>
        <w:t xml:space="preserve"> are typically late maturing and have slow reproductive cycles with females only reaching reproductive maturity after 5‒10 years </w:t>
      </w:r>
      <w:r w:rsidRPr="00DA0F7A">
        <w:t>(e.g.</w:t>
      </w:r>
      <w:r>
        <w:t>,</w:t>
      </w:r>
      <w:r w:rsidRPr="00DA0F7A">
        <w:t xml:space="preserve"> Honan and Mitchell 1995a</w:t>
      </w:r>
      <w:r>
        <w:t>;</w:t>
      </w:r>
      <w:r w:rsidRPr="00DA0F7A">
        <w:t xml:space="preserve"> Turvey and Merrick 1997a</w:t>
      </w:r>
      <w:r>
        <w:t>;</w:t>
      </w:r>
      <w:r w:rsidRPr="00DA0F7A">
        <w:t xml:space="preserve"> Borsboom 1998</w:t>
      </w:r>
      <w:r>
        <w:t>;</w:t>
      </w:r>
      <w:r w:rsidRPr="00DA0F7A">
        <w:t xml:space="preserve"> Furse and Wild 2004</w:t>
      </w:r>
      <w:r>
        <w:t>;</w:t>
      </w:r>
      <w:r w:rsidRPr="00DA0F7A">
        <w:t xml:space="preserve"> Coughran 2013).</w:t>
      </w:r>
      <w:r>
        <w:t xml:space="preserve"> The growth rate, population sizes and generation length of </w:t>
      </w:r>
      <w:r w:rsidR="00AA64C9" w:rsidRPr="00AA64C9">
        <w:t xml:space="preserve">Balan spiny crayfish </w:t>
      </w:r>
      <w:r w:rsidRPr="00423807">
        <w:t>are not known.</w:t>
      </w:r>
    </w:p>
    <w:p w14:paraId="13EFC437" w14:textId="28BF8570" w:rsidR="00557ED0" w:rsidRDefault="00557ED0" w:rsidP="00557ED0">
      <w:r>
        <w:t xml:space="preserve">Many species of </w:t>
      </w:r>
      <w:r w:rsidRPr="00AB0447">
        <w:rPr>
          <w:i/>
          <w:iCs/>
        </w:rPr>
        <w:t>Euastacus</w:t>
      </w:r>
      <w:r>
        <w:t xml:space="preserve"> are winter brooders, mating in late summer/autumn with females carrying eggs over winter, with brooding periods typically 6–10 months. Some species only breed biennially and pleopodal egg fecundity</w:t>
      </w:r>
      <w:r w:rsidR="00174207">
        <w:t xml:space="preserve"> (number of fertilised eggs attached to underside of a gravid female)</w:t>
      </w:r>
      <w:r>
        <w:t xml:space="preserve"> varies considerably between species, typically ranging from 20‒1500 eggs per female (Clark 1937; Barker 1992; Honan &amp; Mitchell 1995b; Turvey &amp; Merrick 1997b; Borsboom 1998; Honan 1998; Morey 1998; Furse &amp; Wild 2004; Coughran 2006; McCormack et al. 2010; Coughran 2013). </w:t>
      </w:r>
      <w:r w:rsidR="00E0419B">
        <w:t xml:space="preserve">The species is likely to be a poor disperser, with slow growth and low fecundity (Harvey 2002). </w:t>
      </w:r>
      <w:r>
        <w:t xml:space="preserve">Indications are that this species is a </w:t>
      </w:r>
      <w:r w:rsidR="00DA2CBE">
        <w:t>w</w:t>
      </w:r>
      <w:r>
        <w:t xml:space="preserve">inter brooder (Morgan 1988) </w:t>
      </w:r>
      <w:r w:rsidRPr="00F734C2">
        <w:t xml:space="preserve">and pleopodal egg fecundity is likely in the range </w:t>
      </w:r>
      <w:r>
        <w:t>20–80 eggs (e.g. Coughran 2011).</w:t>
      </w:r>
      <w:r w:rsidR="00C97BC8" w:rsidRPr="00C97BC8">
        <w:t xml:space="preserve"> </w:t>
      </w:r>
    </w:p>
    <w:p w14:paraId="70471B30" w14:textId="77777777" w:rsidR="00557ED0" w:rsidRDefault="00557ED0" w:rsidP="00557ED0">
      <w:pPr>
        <w:pStyle w:val="Heading4"/>
      </w:pPr>
      <w:r>
        <w:t>Co-occurring species</w:t>
      </w:r>
    </w:p>
    <w:p w14:paraId="294FA232" w14:textId="54B2EF6B" w:rsidR="0086717F" w:rsidRDefault="0086717F" w:rsidP="0086717F">
      <w:pPr>
        <w:rPr>
          <w:rFonts w:eastAsia="MTSYN"/>
          <w:lang w:eastAsia="ja-JP"/>
        </w:rPr>
      </w:pPr>
      <w:r w:rsidRPr="2DB3A534">
        <w:rPr>
          <w:i/>
          <w:iCs/>
        </w:rPr>
        <w:t>Cherax cairnsensis</w:t>
      </w:r>
      <w:r>
        <w:t xml:space="preserve"> (Cairns yabby) is endemic to the region and has been collected from streams in the area (Morgan 1988) and </w:t>
      </w:r>
      <w:r w:rsidRPr="2DB3A534">
        <w:rPr>
          <w:rFonts w:eastAsia="MTSYN"/>
          <w:lang w:eastAsia="ja-JP"/>
        </w:rPr>
        <w:t xml:space="preserve">may co-occur with </w:t>
      </w:r>
      <w:r w:rsidR="007450EC" w:rsidRPr="007450EC">
        <w:rPr>
          <w:rFonts w:eastAsia="MTSYN"/>
          <w:lang w:eastAsia="ja-JP"/>
        </w:rPr>
        <w:t>Balan spiny crayfish</w:t>
      </w:r>
      <w:r>
        <w:t>.</w:t>
      </w:r>
      <w:r w:rsidRPr="2DB3A534">
        <w:rPr>
          <w:rFonts w:eastAsia="MTSYN"/>
          <w:lang w:eastAsia="ja-JP"/>
        </w:rPr>
        <w:t xml:space="preserve"> </w:t>
      </w:r>
      <w:r w:rsidRPr="2DB3A534">
        <w:rPr>
          <w:sz w:val="23"/>
          <w:szCs w:val="23"/>
        </w:rPr>
        <w:t xml:space="preserve">Morgan (1988) also reported </w:t>
      </w:r>
      <w:r w:rsidRPr="2DB3A534">
        <w:rPr>
          <w:i/>
          <w:iCs/>
        </w:rPr>
        <w:t>Macrobrachium</w:t>
      </w:r>
      <w:r>
        <w:t xml:space="preserve"> and </w:t>
      </w:r>
      <w:r w:rsidRPr="2DB3A534">
        <w:rPr>
          <w:i/>
          <w:iCs/>
        </w:rPr>
        <w:t>Australatya</w:t>
      </w:r>
      <w:r>
        <w:t xml:space="preserve"> shrimp species were common at lower altitudes</w:t>
      </w:r>
      <w:r w:rsidR="00172D4D">
        <w:t xml:space="preserve"> (than Balan spiny crayfish)</w:t>
      </w:r>
      <w:r>
        <w:t xml:space="preserve">, and so these may also </w:t>
      </w:r>
      <w:r w:rsidRPr="2DB3A534">
        <w:rPr>
          <w:rFonts w:eastAsia="MTSYN"/>
          <w:lang w:eastAsia="ja-JP"/>
        </w:rPr>
        <w:t>co-occur with this species</w:t>
      </w:r>
      <w:r w:rsidR="00172D4D">
        <w:rPr>
          <w:rFonts w:eastAsia="MTSYN"/>
          <w:lang w:eastAsia="ja-JP"/>
        </w:rPr>
        <w:t xml:space="preserve"> at the upper altitudinal limits of their distribution</w:t>
      </w:r>
      <w:r w:rsidRPr="2DB3A534">
        <w:rPr>
          <w:rFonts w:eastAsia="MTSYN"/>
          <w:lang w:eastAsia="ja-JP"/>
        </w:rPr>
        <w:t>.</w:t>
      </w:r>
    </w:p>
    <w:p w14:paraId="346F530E" w14:textId="77777777" w:rsidR="00557ED0" w:rsidRPr="004B2074" w:rsidRDefault="00557ED0" w:rsidP="005E482C">
      <w:pPr>
        <w:pStyle w:val="Heading4"/>
      </w:pPr>
      <w:r w:rsidRPr="004B2074">
        <w:t>Habitat</w:t>
      </w:r>
    </w:p>
    <w:p w14:paraId="2DD1FE6D" w14:textId="57E67196" w:rsidR="00557ED0" w:rsidRPr="00172D4D" w:rsidRDefault="00BC5530" w:rsidP="005E3128">
      <w:pPr>
        <w:autoSpaceDE w:val="0"/>
        <w:autoSpaceDN w:val="0"/>
        <w:adjustRightInd w:val="0"/>
        <w:rPr>
          <w:i/>
          <w:iCs/>
        </w:rPr>
      </w:pPr>
      <w:r w:rsidRPr="00BC5530">
        <w:t>Balan spiny crayfish</w:t>
      </w:r>
      <w:r w:rsidRPr="00BC5530" w:rsidDel="00227E25">
        <w:t xml:space="preserve"> </w:t>
      </w:r>
      <w:r w:rsidR="00557ED0" w:rsidRPr="008F17FC">
        <w:t xml:space="preserve">is associated with cool habitats in rainforested areas (Morgan 1988, Coughran </w:t>
      </w:r>
      <w:r w:rsidR="0051707B">
        <w:t>&amp;</w:t>
      </w:r>
      <w:r w:rsidR="0051707B" w:rsidRPr="008F17FC">
        <w:t xml:space="preserve"> </w:t>
      </w:r>
      <w:r w:rsidR="00557ED0" w:rsidRPr="008F17FC">
        <w:t>Furse 2010</w:t>
      </w:r>
      <w:r w:rsidR="00557ED0" w:rsidRPr="008F17FC">
        <w:rPr>
          <w:noProof/>
        </w:rPr>
        <w:t xml:space="preserve">) </w:t>
      </w:r>
      <w:r w:rsidR="00557ED0" w:rsidRPr="00D30F67">
        <w:t>including gullies and small streams (</w:t>
      </w:r>
      <w:r w:rsidR="00557ED0">
        <w:t xml:space="preserve">J. </w:t>
      </w:r>
      <w:r w:rsidR="00557ED0" w:rsidRPr="00D30F67">
        <w:t xml:space="preserve">Coughran 2008 </w:t>
      </w:r>
      <w:r w:rsidR="00557ED0">
        <w:t>u</w:t>
      </w:r>
      <w:r w:rsidR="00557ED0" w:rsidRPr="00D30F67">
        <w:rPr>
          <w:iCs/>
        </w:rPr>
        <w:t>npub.</w:t>
      </w:r>
      <w:r w:rsidR="00557ED0">
        <w:rPr>
          <w:iCs/>
        </w:rPr>
        <w:t xml:space="preserve">; </w:t>
      </w:r>
      <w:r w:rsidR="00557ED0" w:rsidRPr="00D30F67">
        <w:rPr>
          <w:iCs/>
        </w:rPr>
        <w:t xml:space="preserve">Coughran </w:t>
      </w:r>
      <w:r w:rsidR="0051707B">
        <w:rPr>
          <w:iCs/>
        </w:rPr>
        <w:t>&amp;</w:t>
      </w:r>
      <w:r w:rsidR="0051707B" w:rsidRPr="00D30F67">
        <w:rPr>
          <w:iCs/>
        </w:rPr>
        <w:t xml:space="preserve"> </w:t>
      </w:r>
      <w:r w:rsidR="00557ED0" w:rsidRPr="00D30F67">
        <w:rPr>
          <w:iCs/>
        </w:rPr>
        <w:t xml:space="preserve">Furse 2010). </w:t>
      </w:r>
      <w:r w:rsidRPr="00BC5530">
        <w:t xml:space="preserve">Balan spiny crayfish </w:t>
      </w:r>
      <w:r w:rsidR="00227E25" w:rsidRPr="00FC1B88">
        <w:t xml:space="preserve">occupies </w:t>
      </w:r>
      <w:r w:rsidR="00227E25">
        <w:t xml:space="preserve">small </w:t>
      </w:r>
      <w:r w:rsidR="00227E25" w:rsidRPr="001C626E">
        <w:t>upper headwater stream</w:t>
      </w:r>
      <w:r w:rsidR="00227E25">
        <w:t>s withi</w:t>
      </w:r>
      <w:r w:rsidR="00227E25" w:rsidRPr="001C626E">
        <w:t>n</w:t>
      </w:r>
      <w:r w:rsidR="00227E25">
        <w:t xml:space="preserve"> a</w:t>
      </w:r>
      <w:r w:rsidR="00227E25" w:rsidRPr="001C626E">
        <w:t xml:space="preserve"> closed rainforest canop</w:t>
      </w:r>
      <w:r w:rsidR="00227E25">
        <w:t>y</w:t>
      </w:r>
      <w:r w:rsidR="00227E25" w:rsidRPr="001C626E">
        <w:t xml:space="preserve"> </w:t>
      </w:r>
      <w:r w:rsidR="00227E25">
        <w:t>(</w:t>
      </w:r>
      <w:r w:rsidR="00227E25" w:rsidRPr="00CB3019">
        <w:t xml:space="preserve">Morgan 1988, Coughran </w:t>
      </w:r>
      <w:r w:rsidR="00227E25">
        <w:t>&amp;</w:t>
      </w:r>
      <w:r w:rsidR="00227E25" w:rsidRPr="00CB3019">
        <w:t xml:space="preserve"> Furse 2010</w:t>
      </w:r>
      <w:r w:rsidR="00227E25">
        <w:t>)</w:t>
      </w:r>
      <w:r w:rsidR="00227E25" w:rsidRPr="001C626E">
        <w:t xml:space="preserve">. </w:t>
      </w:r>
      <w:r w:rsidR="00227E25">
        <w:t>It is not known if t</w:t>
      </w:r>
      <w:r w:rsidR="00227E25" w:rsidRPr="001C626E">
        <w:t>his species is typically associated with flowing water</w:t>
      </w:r>
      <w:r w:rsidR="00227E25">
        <w:t>, but given the regions’ extremely high rainfalls, the streams in the area likely flow year-round (Queensland Government 2013b)</w:t>
      </w:r>
      <w:r w:rsidR="0086717F">
        <w:t xml:space="preserve">. Therefore, </w:t>
      </w:r>
      <w:r w:rsidR="00227E25">
        <w:t xml:space="preserve">flowing </w:t>
      </w:r>
      <w:r w:rsidR="00227E25" w:rsidRPr="001C626E">
        <w:t xml:space="preserve">surface water </w:t>
      </w:r>
      <w:r w:rsidR="00227E25">
        <w:t>is</w:t>
      </w:r>
      <w:r w:rsidR="00227E25" w:rsidRPr="001C626E">
        <w:t xml:space="preserve"> </w:t>
      </w:r>
      <w:r w:rsidR="00227E25">
        <w:t>likely an important habitat characteristic for this species.</w:t>
      </w:r>
    </w:p>
    <w:p w14:paraId="4ED01315" w14:textId="34003924" w:rsidR="00557ED0" w:rsidRPr="008F17FC" w:rsidRDefault="00557ED0" w:rsidP="00D15D2A">
      <w:pPr>
        <w:autoSpaceDE w:val="0"/>
        <w:autoSpaceDN w:val="0"/>
        <w:adjustRightInd w:val="0"/>
      </w:pPr>
      <w:r w:rsidRPr="008F17FC">
        <w:t xml:space="preserve">Other highland rainforest-dwelling species of </w:t>
      </w:r>
      <w:r w:rsidRPr="008F17FC">
        <w:rPr>
          <w:i/>
          <w:iCs/>
        </w:rPr>
        <w:t>Euastacus</w:t>
      </w:r>
      <w:r w:rsidRPr="008F17FC">
        <w:t xml:space="preserve"> such as </w:t>
      </w:r>
      <w:r w:rsidRPr="008F17FC">
        <w:rPr>
          <w:rFonts w:asciiTheme="majorHAnsi" w:hAnsiTheme="majorHAnsi"/>
          <w:i/>
          <w:iCs/>
        </w:rPr>
        <w:t>E. sulcatus</w:t>
      </w:r>
      <w:r w:rsidR="0086717F">
        <w:rPr>
          <w:rFonts w:asciiTheme="majorHAnsi" w:hAnsiTheme="majorHAnsi"/>
          <w:i/>
          <w:iCs/>
        </w:rPr>
        <w:t xml:space="preserve"> </w:t>
      </w:r>
      <w:r w:rsidR="0086717F" w:rsidRPr="00172D4D">
        <w:rPr>
          <w:rFonts w:asciiTheme="majorHAnsi" w:hAnsiTheme="majorHAnsi"/>
        </w:rPr>
        <w:t>(mountain crayfish),</w:t>
      </w:r>
      <w:r w:rsidR="0086717F" w:rsidRPr="008F17FC">
        <w:rPr>
          <w:rFonts w:asciiTheme="majorHAnsi" w:hAnsiTheme="majorHAnsi"/>
        </w:rPr>
        <w:t xml:space="preserve"> </w:t>
      </w:r>
      <w:r w:rsidRPr="008F17FC">
        <w:t>are intolerant of high temperatures (Bone et al. 2014)</w:t>
      </w:r>
      <w:r w:rsidR="00227E25">
        <w:t xml:space="preserve"> and this is likely to be the case for this species, too</w:t>
      </w:r>
      <w:r w:rsidR="005E3128">
        <w:t>, given its restricted distribution to high altitude areas</w:t>
      </w:r>
      <w:r w:rsidRPr="008F17FC">
        <w:t>.</w:t>
      </w:r>
      <w:r w:rsidR="00227E25">
        <w:t xml:space="preserve"> </w:t>
      </w:r>
    </w:p>
    <w:p w14:paraId="1F78EAF7" w14:textId="77777777" w:rsidR="00557ED0" w:rsidRPr="004B2074" w:rsidRDefault="00557ED0" w:rsidP="005E482C">
      <w:pPr>
        <w:pStyle w:val="Heading4"/>
      </w:pPr>
      <w:r>
        <w:t>Diet</w:t>
      </w:r>
    </w:p>
    <w:p w14:paraId="7CDAD381" w14:textId="015751DB" w:rsidR="00557ED0" w:rsidRDefault="00557ED0" w:rsidP="00557ED0">
      <w:r w:rsidRPr="0014296E">
        <w:t xml:space="preserve">The diet of </w:t>
      </w:r>
      <w:r w:rsidR="00CD2211" w:rsidRPr="00CD2211">
        <w:t xml:space="preserve">Balan spiny crayfish </w:t>
      </w:r>
      <w:r w:rsidRPr="0014296E">
        <w:t>is not known, but the species is likely omnivorous</w:t>
      </w:r>
      <w:r w:rsidR="00DA2CBE">
        <w:t>, as with many species of spiny crayfish (McCormack 2012)</w:t>
      </w:r>
      <w:r w:rsidRPr="001A5743">
        <w:t>.</w:t>
      </w:r>
      <w:r>
        <w:t xml:space="preserve"> </w:t>
      </w:r>
    </w:p>
    <w:p w14:paraId="25F9EA4A" w14:textId="77777777" w:rsidR="0086717F" w:rsidRDefault="0086717F" w:rsidP="0086717F">
      <w:pPr>
        <w:pStyle w:val="Heading3"/>
        <w:ind w:left="964" w:hanging="964"/>
      </w:pPr>
      <w:r>
        <w:t>Threats</w:t>
      </w:r>
    </w:p>
    <w:p w14:paraId="2AE42FF1" w14:textId="079CEB01" w:rsidR="00557ED0" w:rsidRPr="00811EF2" w:rsidRDefault="00557ED0" w:rsidP="00557ED0">
      <w:r>
        <w:t xml:space="preserve">Established threats (habitat destruction, invasive species, human exploitation and climate change) and potential threats (disease </w:t>
      </w:r>
      <w:r w:rsidRPr="2DB3A534">
        <w:rPr>
          <w:i/>
          <w:iCs/>
        </w:rPr>
        <w:t>Aphanomyces astaci</w:t>
      </w:r>
      <w:r w:rsidR="00BE34F1" w:rsidRPr="2DB3A534">
        <w:rPr>
          <w:i/>
          <w:iCs/>
        </w:rPr>
        <w:t xml:space="preserve"> </w:t>
      </w:r>
      <w:r w:rsidR="00BE34F1">
        <w:t>[crayfish plague]</w:t>
      </w:r>
      <w:r>
        <w:t xml:space="preserve">; Panteleit et al. 2017) may put nearly all species of </w:t>
      </w:r>
      <w:r w:rsidRPr="2DB3A534">
        <w:rPr>
          <w:i/>
          <w:iCs/>
        </w:rPr>
        <w:t>Euastacus</w:t>
      </w:r>
      <w:r>
        <w:t xml:space="preserve"> at serious risk of population declines, or extinction</w:t>
      </w:r>
      <w:r w:rsidR="00DB7505">
        <w:t xml:space="preserve"> in less than a decade</w:t>
      </w:r>
      <w:r>
        <w:t xml:space="preserve"> (Wells et al. 1983; Coughran 2007; Furse &amp; Coughran 2011b; Furse 2014; Richman et al. 2015). Climate change is a key threat to</w:t>
      </w:r>
      <w:r w:rsidR="00A03015">
        <w:t xml:space="preserve"> </w:t>
      </w:r>
      <w:r w:rsidR="00A03015" w:rsidRPr="00A03015">
        <w:t>Balan spiny crayfish</w:t>
      </w:r>
      <w:r>
        <w:t xml:space="preserve">, with the species having limited capacity to relocate to higher, cooler altitudes, or move overland to other nearby suitably cool habitat </w:t>
      </w:r>
      <w:r w:rsidRPr="2DB3A534">
        <w:rPr>
          <w:rFonts w:eastAsia="Cambria" w:cs="Cambria"/>
          <w:color w:val="000000" w:themeColor="text1"/>
        </w:rPr>
        <w:t xml:space="preserve">which are already occupied by other species of </w:t>
      </w:r>
      <w:r w:rsidRPr="2DB3A534">
        <w:rPr>
          <w:rFonts w:eastAsia="Cambria" w:cs="Cambria"/>
          <w:i/>
          <w:iCs/>
          <w:color w:val="000000" w:themeColor="text1"/>
        </w:rPr>
        <w:t xml:space="preserve">Euastacus </w:t>
      </w:r>
      <w:r>
        <w:t xml:space="preserve">(Ponniah &amp; Hughes 2004; Furse et al. 2012a). </w:t>
      </w:r>
      <w:r w:rsidR="00CD2211" w:rsidRPr="00CD2211">
        <w:rPr>
          <w:rFonts w:asciiTheme="majorHAnsi" w:hAnsiTheme="majorHAnsi"/>
        </w:rPr>
        <w:t xml:space="preserve">Balan spiny crayfish </w:t>
      </w:r>
      <w:r w:rsidR="00912788" w:rsidRPr="2DB3A534">
        <w:rPr>
          <w:rFonts w:asciiTheme="majorHAnsi" w:hAnsiTheme="majorHAnsi"/>
        </w:rPr>
        <w:t xml:space="preserve">was assessed as </w:t>
      </w:r>
      <w:r w:rsidR="00172D4D">
        <w:rPr>
          <w:rFonts w:asciiTheme="majorHAnsi" w:hAnsiTheme="majorHAnsi"/>
        </w:rPr>
        <w:t>susceptible</w:t>
      </w:r>
      <w:r w:rsidR="00172D4D" w:rsidRPr="2DB3A534">
        <w:rPr>
          <w:rFonts w:asciiTheme="majorHAnsi" w:hAnsiTheme="majorHAnsi"/>
        </w:rPr>
        <w:t xml:space="preserve"> </w:t>
      </w:r>
      <w:r w:rsidR="00912788" w:rsidRPr="2DB3A534">
        <w:rPr>
          <w:rFonts w:asciiTheme="majorHAnsi" w:hAnsiTheme="majorHAnsi"/>
        </w:rPr>
        <w:t xml:space="preserve">to the climate conditions modelled for 2050 by Hossain et al. (2018). </w:t>
      </w:r>
      <w:r>
        <w:t xml:space="preserve">The highly restricted distribution of this species puts all individuals in the population at considerable risk of extirpation by a single stochastic event (e.g. natural disaster, or disease) impacting the species across its restricted range </w:t>
      </w:r>
      <w:r w:rsidRPr="2DB3A534">
        <w:rPr>
          <w:rFonts w:eastAsia="Cambria" w:cs="Cambria"/>
          <w:color w:val="000000" w:themeColor="text1"/>
        </w:rPr>
        <w:t xml:space="preserve">(Furse </w:t>
      </w:r>
      <w:r w:rsidR="00561141" w:rsidRPr="2DB3A534">
        <w:rPr>
          <w:rFonts w:eastAsia="Cambria" w:cs="Cambria"/>
          <w:color w:val="000000" w:themeColor="text1"/>
        </w:rPr>
        <w:t xml:space="preserve">&amp; </w:t>
      </w:r>
      <w:r w:rsidRPr="2DB3A534">
        <w:rPr>
          <w:rFonts w:eastAsia="Cambria" w:cs="Cambria"/>
          <w:color w:val="000000" w:themeColor="text1"/>
        </w:rPr>
        <w:t>Coughran 2011b)</w:t>
      </w:r>
      <w:r>
        <w:t>.</w:t>
      </w:r>
      <w:r w:rsidR="00811EF2">
        <w:t xml:space="preserve"> </w:t>
      </w:r>
    </w:p>
    <w:p w14:paraId="0F0FF3FD" w14:textId="610EAD30" w:rsidR="00557ED0" w:rsidRPr="00093726" w:rsidRDefault="00557ED0" w:rsidP="00557ED0">
      <w:pPr>
        <w:pStyle w:val="Caption"/>
        <w:spacing w:after="0"/>
      </w:pPr>
      <w:bookmarkStart w:id="7" w:name="_Ref40886856"/>
      <w:r w:rsidRPr="00093726">
        <w:t xml:space="preserve">Table </w:t>
      </w:r>
      <w:r w:rsidRPr="00093726">
        <w:rPr>
          <w:noProof/>
        </w:rPr>
        <w:fldChar w:fldCharType="begin"/>
      </w:r>
      <w:r w:rsidRPr="00093726">
        <w:rPr>
          <w:noProof/>
        </w:rPr>
        <w:instrText xml:space="preserve"> SEQ Table \* ARABIC </w:instrText>
      </w:r>
      <w:r w:rsidRPr="00093726">
        <w:rPr>
          <w:noProof/>
        </w:rPr>
        <w:fldChar w:fldCharType="separate"/>
      </w:r>
      <w:r w:rsidRPr="00093726">
        <w:rPr>
          <w:noProof/>
        </w:rPr>
        <w:t>1</w:t>
      </w:r>
      <w:r w:rsidRPr="00093726">
        <w:rPr>
          <w:noProof/>
        </w:rPr>
        <w:fldChar w:fldCharType="end"/>
      </w:r>
      <w:bookmarkEnd w:id="7"/>
      <w:r w:rsidRPr="00093726">
        <w:t xml:space="preserve"> Threats impacting </w:t>
      </w:r>
      <w:r w:rsidRPr="00093726">
        <w:rPr>
          <w:i/>
        </w:rPr>
        <w:t xml:space="preserve">Euastacus </w:t>
      </w:r>
      <w:r w:rsidRPr="0014296E">
        <w:rPr>
          <w:i/>
        </w:rPr>
        <w:t>balanensis</w:t>
      </w:r>
      <w:r w:rsidRPr="00093726">
        <w:t xml:space="preserve"> </w:t>
      </w:r>
    </w:p>
    <w:p w14:paraId="720FF6AA" w14:textId="77777777" w:rsidR="00557ED0" w:rsidRPr="006D7CA3" w:rsidRDefault="00557ED0" w:rsidP="00557ED0">
      <w:r w:rsidRPr="00093726">
        <w:t>Threats in Table 1 are noted in approximate order of highest to lowest impact, based on available evidence.</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1934"/>
        <w:gridCol w:w="6095"/>
      </w:tblGrid>
      <w:tr w:rsidR="00557ED0" w:rsidRPr="00A937A2" w14:paraId="57EBB256" w14:textId="77777777" w:rsidTr="2DB3A534">
        <w:trPr>
          <w:cantSplit/>
          <w:trHeight w:val="375"/>
          <w:tblHeader/>
        </w:trPr>
        <w:tc>
          <w:tcPr>
            <w:tcW w:w="1718" w:type="dxa"/>
            <w:tcBorders>
              <w:bottom w:val="single" w:sz="4" w:space="0" w:color="auto"/>
            </w:tcBorders>
          </w:tcPr>
          <w:p w14:paraId="6976DC14" w14:textId="77777777" w:rsidR="00557ED0" w:rsidRPr="00A937A2" w:rsidRDefault="00557ED0" w:rsidP="00831E16">
            <w:pPr>
              <w:pStyle w:val="TableHeading"/>
              <w:rPr>
                <w:rFonts w:ascii="Calibri" w:hAnsi="Calibri"/>
                <w:sz w:val="20"/>
                <w:szCs w:val="20"/>
              </w:rPr>
            </w:pPr>
            <w:r w:rsidRPr="00A937A2">
              <w:rPr>
                <w:rFonts w:ascii="Calibri" w:hAnsi="Calibri"/>
                <w:sz w:val="20"/>
                <w:szCs w:val="20"/>
              </w:rPr>
              <w:t xml:space="preserve">Threat </w:t>
            </w:r>
          </w:p>
        </w:tc>
        <w:tc>
          <w:tcPr>
            <w:tcW w:w="1934" w:type="dxa"/>
            <w:tcBorders>
              <w:bottom w:val="single" w:sz="4" w:space="0" w:color="auto"/>
            </w:tcBorders>
          </w:tcPr>
          <w:p w14:paraId="0FE5E314" w14:textId="77777777" w:rsidR="00557ED0" w:rsidRPr="00A937A2" w:rsidRDefault="00557ED0" w:rsidP="00831E16">
            <w:pPr>
              <w:pStyle w:val="TableHeading"/>
              <w:rPr>
                <w:rFonts w:ascii="Calibri" w:hAnsi="Calibri"/>
                <w:sz w:val="20"/>
                <w:szCs w:val="20"/>
              </w:rPr>
            </w:pPr>
            <w:r w:rsidRPr="00A937A2">
              <w:rPr>
                <w:rFonts w:ascii="Calibri" w:hAnsi="Calibri"/>
                <w:sz w:val="20"/>
                <w:szCs w:val="20"/>
              </w:rPr>
              <w:t xml:space="preserve">Status and severity </w:t>
            </w:r>
          </w:p>
        </w:tc>
        <w:tc>
          <w:tcPr>
            <w:tcW w:w="6095" w:type="dxa"/>
            <w:tcBorders>
              <w:bottom w:val="single" w:sz="4" w:space="0" w:color="auto"/>
            </w:tcBorders>
          </w:tcPr>
          <w:p w14:paraId="01453AC1" w14:textId="77777777" w:rsidR="00557ED0" w:rsidRPr="00A937A2" w:rsidRDefault="00557ED0" w:rsidP="00831E16">
            <w:pPr>
              <w:pStyle w:val="TableHeading"/>
              <w:rPr>
                <w:rFonts w:ascii="Calibri" w:hAnsi="Calibri"/>
                <w:sz w:val="20"/>
                <w:szCs w:val="20"/>
              </w:rPr>
            </w:pPr>
            <w:r w:rsidRPr="00A937A2">
              <w:rPr>
                <w:rFonts w:ascii="Calibri" w:hAnsi="Calibri"/>
                <w:sz w:val="20"/>
                <w:szCs w:val="20"/>
              </w:rPr>
              <w:t xml:space="preserve">Evidence </w:t>
            </w:r>
          </w:p>
        </w:tc>
      </w:tr>
      <w:tr w:rsidR="00557ED0" w:rsidRPr="00A937A2" w14:paraId="2168A5CE" w14:textId="77777777" w:rsidTr="2DB3A534">
        <w:tc>
          <w:tcPr>
            <w:tcW w:w="9747" w:type="dxa"/>
            <w:gridSpan w:val="3"/>
          </w:tcPr>
          <w:p w14:paraId="08257E3D" w14:textId="6EFA9595" w:rsidR="00557ED0" w:rsidRPr="00E351ED" w:rsidRDefault="00557ED0" w:rsidP="00831E16">
            <w:pPr>
              <w:rPr>
                <w:iCs/>
                <w:sz w:val="18"/>
                <w:szCs w:val="18"/>
              </w:rPr>
            </w:pPr>
            <w:r w:rsidRPr="00E351ED">
              <w:rPr>
                <w:iCs/>
                <w:sz w:val="18"/>
                <w:szCs w:val="18"/>
              </w:rPr>
              <w:t>Climate change</w:t>
            </w:r>
            <w:r>
              <w:rPr>
                <w:iCs/>
                <w:sz w:val="18"/>
                <w:szCs w:val="18"/>
              </w:rPr>
              <w:t xml:space="preserve"> and </w:t>
            </w:r>
            <w:r w:rsidR="001819A7">
              <w:rPr>
                <w:iCs/>
                <w:sz w:val="18"/>
                <w:szCs w:val="18"/>
              </w:rPr>
              <w:t>extreme weather</w:t>
            </w:r>
            <w:r>
              <w:rPr>
                <w:iCs/>
                <w:sz w:val="18"/>
                <w:szCs w:val="18"/>
              </w:rPr>
              <w:t xml:space="preserve"> impacts</w:t>
            </w:r>
          </w:p>
        </w:tc>
      </w:tr>
      <w:tr w:rsidR="00B648FE" w:rsidRPr="00A937A2" w14:paraId="4E3395AA" w14:textId="77777777" w:rsidTr="2DB3A534">
        <w:tc>
          <w:tcPr>
            <w:tcW w:w="1718" w:type="dxa"/>
          </w:tcPr>
          <w:p w14:paraId="281AED81" w14:textId="3DFA7240" w:rsidR="00B648FE" w:rsidRDefault="00B648FE" w:rsidP="00831E16">
            <w:pPr>
              <w:pStyle w:val="TableText"/>
            </w:pPr>
            <w:r w:rsidRPr="00C34CFE">
              <w:t>Increased</w:t>
            </w:r>
            <w:r w:rsidR="000F1170">
              <w:t xml:space="preserve"> </w:t>
            </w:r>
            <w:r w:rsidR="00705B57">
              <w:t>average</w:t>
            </w:r>
            <w:r w:rsidR="000F1170">
              <w:t xml:space="preserve"> </w:t>
            </w:r>
            <w:r w:rsidRPr="00C34CFE">
              <w:t>temperature</w:t>
            </w:r>
          </w:p>
        </w:tc>
        <w:tc>
          <w:tcPr>
            <w:tcW w:w="1934" w:type="dxa"/>
          </w:tcPr>
          <w:p w14:paraId="53BFDA03" w14:textId="77777777" w:rsidR="00B648FE" w:rsidRPr="00C34CFE" w:rsidRDefault="00B648FE" w:rsidP="00B648FE">
            <w:pPr>
              <w:pStyle w:val="TableText"/>
            </w:pPr>
            <w:r>
              <w:t>Timing</w:t>
            </w:r>
            <w:r w:rsidRPr="00DF3FF8">
              <w:t xml:space="preserve">: </w:t>
            </w:r>
            <w:r>
              <w:t>current/</w:t>
            </w:r>
            <w:r w:rsidRPr="00DF3FF8">
              <w:t>future</w:t>
            </w:r>
          </w:p>
          <w:p w14:paraId="021B94F6" w14:textId="77777777" w:rsidR="00B648FE" w:rsidRDefault="00B648FE" w:rsidP="00B648FE">
            <w:pPr>
              <w:pStyle w:val="TableText"/>
            </w:pPr>
            <w:r w:rsidRPr="00C34CFE">
              <w:t xml:space="preserve">Confidence: </w:t>
            </w:r>
            <w:r>
              <w:t>inferred</w:t>
            </w:r>
          </w:p>
          <w:p w14:paraId="772E5C1C" w14:textId="77777777" w:rsidR="00B648FE" w:rsidRPr="00C34CFE" w:rsidRDefault="00B648FE" w:rsidP="00B648FE">
            <w:pPr>
              <w:pStyle w:val="TableText"/>
            </w:pPr>
            <w:r>
              <w:t>Likelihood: likely</w:t>
            </w:r>
          </w:p>
          <w:p w14:paraId="48908799" w14:textId="5C0F1D0C" w:rsidR="00B648FE" w:rsidRPr="00C34CFE" w:rsidRDefault="00B648FE" w:rsidP="00B648FE">
            <w:pPr>
              <w:pStyle w:val="TableText"/>
            </w:pPr>
            <w:r w:rsidRPr="00C34CFE">
              <w:t xml:space="preserve">Consequence: </w:t>
            </w:r>
            <w:r w:rsidR="00F83369">
              <w:t>major</w:t>
            </w:r>
          </w:p>
          <w:p w14:paraId="6BAED8DD" w14:textId="77777777" w:rsidR="00B648FE" w:rsidRPr="00C34CFE" w:rsidRDefault="00B648FE" w:rsidP="00B648FE">
            <w:pPr>
              <w:pStyle w:val="TableText"/>
            </w:pPr>
            <w:r w:rsidRPr="00C34CFE">
              <w:t>Trend: increasing</w:t>
            </w:r>
          </w:p>
          <w:p w14:paraId="2C163F29" w14:textId="2DC27FC9" w:rsidR="00B648FE" w:rsidRDefault="00B648FE" w:rsidP="00B648FE">
            <w:pPr>
              <w:pStyle w:val="TableText"/>
            </w:pPr>
            <w:r w:rsidRPr="00C34CFE">
              <w:t>Extent: across the entire range</w:t>
            </w:r>
          </w:p>
        </w:tc>
        <w:tc>
          <w:tcPr>
            <w:tcW w:w="6095" w:type="dxa"/>
          </w:tcPr>
          <w:p w14:paraId="2DE2D7D7" w14:textId="4770CA09" w:rsidR="00B648FE" w:rsidRPr="00FA347D" w:rsidRDefault="00B648FE" w:rsidP="00B648FE">
            <w:pPr>
              <w:pStyle w:val="TableText"/>
              <w:rPr>
                <w:b/>
                <w:bCs/>
              </w:rPr>
            </w:pPr>
            <w:r w:rsidRPr="00E922C5">
              <w:t>Increas</w:t>
            </w:r>
            <w:r>
              <w:t>ed</w:t>
            </w:r>
            <w:r w:rsidRPr="00E922C5">
              <w:t xml:space="preserve"> </w:t>
            </w:r>
            <w:r w:rsidR="00705B57">
              <w:t>avergage</w:t>
            </w:r>
            <w:r w:rsidR="000F1170">
              <w:t xml:space="preserve"> </w:t>
            </w:r>
            <w:r w:rsidRPr="00E922C5">
              <w:t xml:space="preserve">temperature is </w:t>
            </w:r>
            <w:r w:rsidR="004D4298">
              <w:t>a</w:t>
            </w:r>
            <w:r w:rsidR="004D4298" w:rsidRPr="00E922C5">
              <w:t xml:space="preserve"> </w:t>
            </w:r>
            <w:r w:rsidRPr="00E922C5">
              <w:t xml:space="preserve">direct, on-going, and persistent long-term impact of </w:t>
            </w:r>
            <w:r w:rsidR="004D4298">
              <w:t>climate change</w:t>
            </w:r>
            <w:r w:rsidRPr="00E922C5">
              <w:t xml:space="preserve">. </w:t>
            </w:r>
            <w:r>
              <w:t xml:space="preserve">Unlike short-term heatwaves, this is a steady </w:t>
            </w:r>
            <w:r w:rsidR="00705B57">
              <w:t xml:space="preserve">long-term </w:t>
            </w:r>
            <w:r>
              <w:t>increase in temperature.</w:t>
            </w:r>
            <w:r w:rsidR="00C2690C">
              <w:t xml:space="preserve"> </w:t>
            </w:r>
            <w:r w:rsidR="002D3439" w:rsidRPr="002D3439">
              <w:t>Most of the years between 2019 and 2028 are projected to be amongst the top 10 warmest years globally with more than 99% probability</w:t>
            </w:r>
            <w:r w:rsidR="005833F6" w:rsidRPr="00FA347D">
              <w:t xml:space="preserve"> (</w:t>
            </w:r>
            <w:r w:rsidR="00DF5095" w:rsidRPr="00FA347D">
              <w:t xml:space="preserve">Arguez </w:t>
            </w:r>
            <w:r w:rsidR="00DF5095">
              <w:t>et al. 20</w:t>
            </w:r>
            <w:r w:rsidR="006C591C">
              <w:t>20).</w:t>
            </w:r>
          </w:p>
          <w:p w14:paraId="07D4ECB7" w14:textId="21054F10" w:rsidR="0086717F" w:rsidRDefault="0086717F" w:rsidP="75707D5E">
            <w:pPr>
              <w:pStyle w:val="TableText"/>
              <w:rPr>
                <w:rFonts w:asciiTheme="majorHAnsi" w:hAnsiTheme="majorHAnsi"/>
              </w:rPr>
            </w:pPr>
            <w:r>
              <w:t>Minimum, maximum and average temperatures in Far North Queensland are projected to continue to rise with an annual average warming of 0.5 to 1.4 </w:t>
            </w:r>
            <w:r w:rsidRPr="2DB3A534">
              <w:rPr>
                <w:rFonts w:asciiTheme="majorHAnsi" w:hAnsiTheme="majorHAnsi"/>
              </w:rPr>
              <w:t>˚C above the climate from 1986-2005</w:t>
            </w:r>
            <w:r>
              <w:t xml:space="preserve"> by 203</w:t>
            </w:r>
            <w:r w:rsidR="00CB1DED">
              <w:t>0</w:t>
            </w:r>
            <w:r>
              <w:t xml:space="preserve"> (</w:t>
            </w:r>
            <w:r w:rsidR="00CB1DED">
              <w:t>DES 2019</w:t>
            </w:r>
            <w:r>
              <w:t xml:space="preserve">). By 2070, mean annual temperature in the Wet Tropics bioregion of Queensland is expected to increase by </w:t>
            </w:r>
            <w:r w:rsidRPr="2DB3A534">
              <w:rPr>
                <w:rFonts w:asciiTheme="majorHAnsi" w:hAnsiTheme="majorHAnsi"/>
              </w:rPr>
              <w:t xml:space="preserve">1 </w:t>
            </w:r>
            <w:r w:rsidRPr="2DB3A534">
              <w:rPr>
                <w:rFonts w:ascii="Engravers MT" w:hAnsi="Engravers MT"/>
              </w:rPr>
              <w:t xml:space="preserve">– </w:t>
            </w:r>
            <w:r w:rsidRPr="2DB3A534">
              <w:rPr>
                <w:rFonts w:asciiTheme="majorHAnsi" w:hAnsiTheme="majorHAnsi"/>
              </w:rPr>
              <w:t xml:space="preserve">2˚C (Representative Concentration Pathway (RCP) 4.5) to 1.9 </w:t>
            </w:r>
            <w:r w:rsidRPr="2DB3A534">
              <w:rPr>
                <w:rFonts w:ascii="Engravers MT" w:hAnsi="Engravers MT"/>
              </w:rPr>
              <w:t>–</w:t>
            </w:r>
            <w:r w:rsidRPr="2DB3A534">
              <w:rPr>
                <w:rFonts w:asciiTheme="majorHAnsi" w:hAnsiTheme="majorHAnsi"/>
              </w:rPr>
              <w:t xml:space="preserve">3.1˚C (RCP 8.5) </w:t>
            </w:r>
            <w:r>
              <w:t>(</w:t>
            </w:r>
            <w:r w:rsidRPr="2DB3A534">
              <w:rPr>
                <w:rFonts w:asciiTheme="majorHAnsi" w:hAnsiTheme="majorHAnsi"/>
              </w:rPr>
              <w:t xml:space="preserve">Syktus et al. 2020). </w:t>
            </w:r>
          </w:p>
          <w:p w14:paraId="1242A4BB" w14:textId="2185DDBC" w:rsidR="00B648FE" w:rsidRPr="00E922C5" w:rsidRDefault="00661489" w:rsidP="00B648FE">
            <w:pPr>
              <w:pStyle w:val="TableText"/>
            </w:pPr>
            <w:r>
              <w:rPr>
                <w:iCs/>
              </w:rPr>
              <w:t xml:space="preserve">A 50% decline </w:t>
            </w:r>
            <w:r w:rsidR="007F138C">
              <w:rPr>
                <w:iCs/>
              </w:rPr>
              <w:t xml:space="preserve">in the distribution and </w:t>
            </w:r>
            <w:r w:rsidR="00C12072">
              <w:rPr>
                <w:iCs/>
              </w:rPr>
              <w:t>extent</w:t>
            </w:r>
            <w:r w:rsidR="007F138C">
              <w:rPr>
                <w:iCs/>
              </w:rPr>
              <w:t xml:space="preserve"> of highland rainforest </w:t>
            </w:r>
            <w:r w:rsidR="002E7A4C">
              <w:rPr>
                <w:iCs/>
              </w:rPr>
              <w:t xml:space="preserve">environments of north </w:t>
            </w:r>
            <w:r w:rsidR="00C12072">
              <w:rPr>
                <w:iCs/>
              </w:rPr>
              <w:t>Queensland</w:t>
            </w:r>
            <w:r w:rsidR="001D107F">
              <w:rPr>
                <w:iCs/>
              </w:rPr>
              <w:t xml:space="preserve"> are projected with only 1</w:t>
            </w:r>
            <w:r w:rsidR="001D107F">
              <w:t> </w:t>
            </w:r>
            <w:r w:rsidR="001D107F" w:rsidRPr="008855F1">
              <w:rPr>
                <w:rFonts w:asciiTheme="majorHAnsi" w:hAnsiTheme="majorHAnsi"/>
                <w:szCs w:val="18"/>
              </w:rPr>
              <w:t>˚C</w:t>
            </w:r>
            <w:r w:rsidR="001D107F">
              <w:rPr>
                <w:rFonts w:asciiTheme="majorHAnsi" w:hAnsiTheme="majorHAnsi"/>
                <w:szCs w:val="18"/>
              </w:rPr>
              <w:t xml:space="preserve"> rise in</w:t>
            </w:r>
            <w:r w:rsidR="00614B94">
              <w:rPr>
                <w:rFonts w:asciiTheme="majorHAnsi" w:hAnsiTheme="majorHAnsi"/>
                <w:szCs w:val="18"/>
              </w:rPr>
              <w:t xml:space="preserve"> temperatures (Hilbert et al. 2001).</w:t>
            </w:r>
            <w:r w:rsidR="002B502B">
              <w:rPr>
                <w:rFonts w:asciiTheme="majorHAnsi" w:hAnsiTheme="majorHAnsi"/>
                <w:szCs w:val="18"/>
              </w:rPr>
              <w:t xml:space="preserve"> The cooler upland sections of the Wet Tropics where </w:t>
            </w:r>
            <w:r w:rsidR="00135E5C" w:rsidRPr="00172D4D">
              <w:rPr>
                <w:iCs/>
              </w:rPr>
              <w:t>Balan spiny crayfish</w:t>
            </w:r>
            <w:r w:rsidR="00135E5C" w:rsidRPr="00135E5C">
              <w:rPr>
                <w:i/>
              </w:rPr>
              <w:t xml:space="preserve"> </w:t>
            </w:r>
            <w:r w:rsidR="002B502B">
              <w:rPr>
                <w:iCs/>
              </w:rPr>
              <w:t>occurs provide unique habitat for many heat intolerant and range restricted species (ANU 2009).</w:t>
            </w:r>
            <w:r w:rsidR="00516891">
              <w:rPr>
                <w:iCs/>
              </w:rPr>
              <w:t xml:space="preserve"> It is unlikely that the</w:t>
            </w:r>
            <w:r w:rsidR="005D00BD">
              <w:rPr>
                <w:iCs/>
              </w:rPr>
              <w:t xml:space="preserve">se species that have adapted to the cooler conditions </w:t>
            </w:r>
            <w:r w:rsidR="00514773">
              <w:rPr>
                <w:iCs/>
              </w:rPr>
              <w:t xml:space="preserve">on mountain tops and higher tablelands can survive and reproduce under warming </w:t>
            </w:r>
            <w:r w:rsidR="009D27FB">
              <w:rPr>
                <w:iCs/>
              </w:rPr>
              <w:t>conditions (</w:t>
            </w:r>
            <w:r w:rsidR="00683080">
              <w:rPr>
                <w:iCs/>
              </w:rPr>
              <w:t>Rain</w:t>
            </w:r>
            <w:r w:rsidR="00C151D1">
              <w:rPr>
                <w:iCs/>
              </w:rPr>
              <w:t>forest CRC 20</w:t>
            </w:r>
            <w:r w:rsidR="00C3308E">
              <w:rPr>
                <w:iCs/>
              </w:rPr>
              <w:t>03</w:t>
            </w:r>
            <w:r w:rsidR="000470FA">
              <w:rPr>
                <w:iCs/>
              </w:rPr>
              <w:t xml:space="preserve">; </w:t>
            </w:r>
            <w:r w:rsidR="001D59C6">
              <w:rPr>
                <w:iCs/>
              </w:rPr>
              <w:t xml:space="preserve">Pearson et al. 2015; </w:t>
            </w:r>
            <w:r w:rsidR="00B17601">
              <w:rPr>
                <w:iCs/>
              </w:rPr>
              <w:t>de la Fuente</w:t>
            </w:r>
            <w:r w:rsidR="008305D1">
              <w:rPr>
                <w:iCs/>
              </w:rPr>
              <w:t xml:space="preserve"> &amp; Williams 2022</w:t>
            </w:r>
            <w:r w:rsidR="009D27FB">
              <w:rPr>
                <w:iCs/>
              </w:rPr>
              <w:t>).</w:t>
            </w:r>
            <w:r w:rsidR="004F3C78">
              <w:rPr>
                <w:iCs/>
              </w:rPr>
              <w:t xml:space="preserve"> </w:t>
            </w:r>
            <w:r w:rsidR="00B648FE" w:rsidRPr="00192F17">
              <w:rPr>
                <w:i/>
                <w:iCs/>
              </w:rPr>
              <w:t>Euastacus</w:t>
            </w:r>
            <w:r w:rsidR="00B648FE" w:rsidRPr="00E922C5">
              <w:t xml:space="preserve"> are </w:t>
            </w:r>
            <w:r w:rsidR="006F7698">
              <w:t xml:space="preserve">known to be </w:t>
            </w:r>
            <w:r w:rsidR="00B648FE" w:rsidRPr="00E922C5">
              <w:t xml:space="preserve">sensitive to increasing temperatures, with </w:t>
            </w:r>
            <w:r w:rsidR="00135E5C" w:rsidRPr="00172D4D">
              <w:rPr>
                <w:iCs/>
              </w:rPr>
              <w:t xml:space="preserve">Balan spiny crayfish </w:t>
            </w:r>
            <w:r w:rsidR="00B648FE">
              <w:t xml:space="preserve">likely </w:t>
            </w:r>
            <w:r w:rsidR="00B648FE" w:rsidRPr="00E922C5">
              <w:t xml:space="preserve">lacking the capacity to physiologically adapt or relocate to cooler habitats as temperatures increase (Lowe et al. 2010; Bone et al. 2015, 2017). This will </w:t>
            </w:r>
            <w:r w:rsidR="00B648FE">
              <w:t>probably</w:t>
            </w:r>
            <w:r w:rsidR="00B648FE" w:rsidRPr="00E922C5">
              <w:t xml:space="preserve"> lead to altitudinal compression of habitat as there is limited scope for up-slope migration of this species and overland dispersal to other suitably cool habitats is blocked by the warm lowlands (</w:t>
            </w:r>
            <w:r w:rsidR="00B648FE">
              <w:t xml:space="preserve">Morgan 1988; </w:t>
            </w:r>
            <w:r w:rsidR="00B648FE" w:rsidRPr="00E922C5">
              <w:t>Ponniah &amp; Hughes 2004</w:t>
            </w:r>
            <w:r w:rsidR="00B648FE">
              <w:t>;</w:t>
            </w:r>
            <w:r w:rsidR="00B648FE" w:rsidRPr="00E922C5">
              <w:t xml:space="preserve"> Furse et al. 2012a; Bone et al. 2014). Additionally, nearby montane habitat</w:t>
            </w:r>
            <w:r w:rsidR="00B648FE">
              <w:t>s</w:t>
            </w:r>
            <w:r w:rsidR="00B648FE" w:rsidRPr="00E922C5">
              <w:t xml:space="preserve"> in the region, that may be suitable, </w:t>
            </w:r>
            <w:r w:rsidR="00B648FE">
              <w:t xml:space="preserve">are </w:t>
            </w:r>
            <w:r w:rsidR="00B648FE" w:rsidRPr="00E922C5">
              <w:t xml:space="preserve">already occupied by other species of </w:t>
            </w:r>
            <w:r w:rsidR="00B648FE" w:rsidRPr="00ED3116">
              <w:rPr>
                <w:i/>
                <w:iCs/>
              </w:rPr>
              <w:t>Euastacus</w:t>
            </w:r>
            <w:r w:rsidR="00B648FE" w:rsidRPr="00E922C5">
              <w:t xml:space="preserve"> (Furse et al. 2012</w:t>
            </w:r>
            <w:r w:rsidR="00B648FE">
              <w:t>a</w:t>
            </w:r>
            <w:r w:rsidR="00B648FE" w:rsidRPr="00E922C5">
              <w:t>).</w:t>
            </w:r>
          </w:p>
          <w:p w14:paraId="18A6DCD0" w14:textId="73BC47B2" w:rsidR="00B648FE" w:rsidRDefault="004F3C78" w:rsidP="00B648FE">
            <w:pPr>
              <w:pStyle w:val="TableText"/>
              <w:rPr>
                <w:rFonts w:asciiTheme="majorHAnsi" w:hAnsiTheme="majorHAnsi"/>
              </w:rPr>
            </w:pPr>
            <w:r>
              <w:t xml:space="preserve">Projected </w:t>
            </w:r>
            <w:r w:rsidR="00B648FE">
              <w:t>increases in</w:t>
            </w:r>
            <w:r w:rsidR="005202F1">
              <w:t xml:space="preserve"> mean annual</w:t>
            </w:r>
            <w:r w:rsidR="00B648FE">
              <w:t xml:space="preserve"> temperature in the region will impact this species across its restricted range (i.e. the single location) and puts the species at a very high risk of extinction. W</w:t>
            </w:r>
            <w:r w:rsidR="00B648FE" w:rsidRPr="006C1652">
              <w:t>ater temperature in the habitat of this species</w:t>
            </w:r>
            <w:r w:rsidR="00B648FE">
              <w:t xml:space="preserve"> is likely to range between</w:t>
            </w:r>
            <w:r w:rsidR="00B648FE" w:rsidRPr="006C1652">
              <w:t xml:space="preserve"> </w:t>
            </w:r>
            <w:r w:rsidR="00B648FE">
              <w:t>15</w:t>
            </w:r>
            <w:r w:rsidR="00B648FE" w:rsidRPr="006C1652">
              <w:t>–</w:t>
            </w:r>
            <w:r w:rsidR="00B648FE">
              <w:t>22</w:t>
            </w:r>
            <w:r w:rsidR="00B648FE" w:rsidRPr="006C1652">
              <w:t xml:space="preserve"> °C</w:t>
            </w:r>
            <w:r w:rsidR="00B648FE">
              <w:t xml:space="preserve"> (winter-summer)</w:t>
            </w:r>
            <w:r w:rsidR="00D04ADA">
              <w:t xml:space="preserve"> </w:t>
            </w:r>
            <w:r w:rsidR="00B648FE">
              <w:t>(J.M. Furse 2022 unpub). The thermal limit of this species remains unknown, however based on the work of Bone et al. (2014) environmental temperatures may only be a few degrees away from levels that may cause thermal stress in this species (i.e. &gt;23 °C).</w:t>
            </w:r>
            <w:r w:rsidR="00853A69">
              <w:t xml:space="preserve"> </w:t>
            </w:r>
            <w:r w:rsidR="00DF4016" w:rsidRPr="00DF4016">
              <w:rPr>
                <w:rFonts w:asciiTheme="majorHAnsi" w:hAnsiTheme="majorHAnsi"/>
              </w:rPr>
              <w:t xml:space="preserve">Balan spiny crayfish </w:t>
            </w:r>
            <w:r w:rsidR="00853A69">
              <w:rPr>
                <w:rFonts w:asciiTheme="majorHAnsi" w:hAnsiTheme="majorHAnsi"/>
              </w:rPr>
              <w:t>was assessed as</w:t>
            </w:r>
            <w:r w:rsidR="0032771B">
              <w:rPr>
                <w:rFonts w:asciiTheme="majorHAnsi" w:hAnsiTheme="majorHAnsi"/>
              </w:rPr>
              <w:t xml:space="preserve"> a crayfish species</w:t>
            </w:r>
            <w:r w:rsidR="00853A69">
              <w:rPr>
                <w:rFonts w:asciiTheme="majorHAnsi" w:hAnsiTheme="majorHAnsi"/>
              </w:rPr>
              <w:t xml:space="preserve"> </w:t>
            </w:r>
            <w:r w:rsidR="0046798B">
              <w:rPr>
                <w:rFonts w:asciiTheme="majorHAnsi" w:hAnsiTheme="majorHAnsi"/>
              </w:rPr>
              <w:t xml:space="preserve">vulnerable to the climate conditions modelled for 2050 </w:t>
            </w:r>
            <w:r w:rsidR="00BC6061">
              <w:rPr>
                <w:rFonts w:asciiTheme="majorHAnsi" w:hAnsiTheme="majorHAnsi"/>
              </w:rPr>
              <w:t xml:space="preserve">by </w:t>
            </w:r>
            <w:r w:rsidR="0046798B">
              <w:rPr>
                <w:rFonts w:asciiTheme="majorHAnsi" w:hAnsiTheme="majorHAnsi"/>
              </w:rPr>
              <w:t xml:space="preserve">Hossain et al. </w:t>
            </w:r>
            <w:r w:rsidR="00BC6061">
              <w:rPr>
                <w:rFonts w:asciiTheme="majorHAnsi" w:hAnsiTheme="majorHAnsi"/>
              </w:rPr>
              <w:t>(</w:t>
            </w:r>
            <w:r w:rsidR="0046798B">
              <w:rPr>
                <w:rFonts w:asciiTheme="majorHAnsi" w:hAnsiTheme="majorHAnsi"/>
              </w:rPr>
              <w:t>2018).</w:t>
            </w:r>
          </w:p>
          <w:p w14:paraId="21026FCA" w14:textId="77777777" w:rsidR="00CE6343" w:rsidRDefault="00CE6343" w:rsidP="00CE6343">
            <w:pPr>
              <w:pStyle w:val="TableText"/>
              <w:rPr>
                <w:rFonts w:asciiTheme="majorHAnsi" w:hAnsiTheme="majorHAnsi"/>
              </w:rPr>
            </w:pPr>
            <w:r>
              <w:rPr>
                <w:rFonts w:asciiTheme="majorHAnsi" w:hAnsiTheme="majorHAnsi"/>
              </w:rPr>
              <w:t>Increasing average temperature associated with climate change will also interact with the other threats:</w:t>
            </w:r>
          </w:p>
          <w:p w14:paraId="7587621C" w14:textId="77777777" w:rsidR="00CE6343" w:rsidRPr="00D15D2A" w:rsidRDefault="00CE6343" w:rsidP="00CE6343">
            <w:pPr>
              <w:pStyle w:val="TableText"/>
              <w:numPr>
                <w:ilvl w:val="0"/>
                <w:numId w:val="19"/>
              </w:numPr>
              <w:rPr>
                <w:rFonts w:asciiTheme="majorHAnsi" w:hAnsiTheme="majorHAnsi"/>
              </w:rPr>
            </w:pPr>
            <w:r w:rsidRPr="00D15D2A">
              <w:t>Fire regimes that cause declines in biodiversity</w:t>
            </w:r>
          </w:p>
          <w:p w14:paraId="65CBC22F" w14:textId="77777777" w:rsidR="00CE6343" w:rsidRDefault="00CE6343" w:rsidP="00CE6343">
            <w:pPr>
              <w:pStyle w:val="TableText"/>
              <w:numPr>
                <w:ilvl w:val="0"/>
                <w:numId w:val="19"/>
              </w:numPr>
              <w:rPr>
                <w:rFonts w:asciiTheme="majorHAnsi" w:hAnsiTheme="majorHAnsi"/>
              </w:rPr>
            </w:pPr>
            <w:r>
              <w:rPr>
                <w:rFonts w:asciiTheme="majorHAnsi" w:hAnsiTheme="majorHAnsi"/>
              </w:rPr>
              <w:t>Extreme weather events</w:t>
            </w:r>
          </w:p>
          <w:p w14:paraId="6C81E4CE" w14:textId="36C04A28" w:rsidR="00CE6343" w:rsidRPr="00CE6343" w:rsidRDefault="00CE6343" w:rsidP="00172D4D">
            <w:pPr>
              <w:pStyle w:val="TableText"/>
              <w:numPr>
                <w:ilvl w:val="0"/>
                <w:numId w:val="19"/>
              </w:numPr>
              <w:rPr>
                <w:rFonts w:asciiTheme="majorHAnsi" w:hAnsiTheme="majorHAnsi"/>
              </w:rPr>
            </w:pPr>
            <w:r>
              <w:rPr>
                <w:rFonts w:asciiTheme="majorHAnsi" w:hAnsiTheme="majorHAnsi"/>
              </w:rPr>
              <w:t xml:space="preserve">Alterations to hydrological regimes </w:t>
            </w:r>
          </w:p>
        </w:tc>
      </w:tr>
      <w:tr w:rsidR="00B648FE" w:rsidRPr="00A937A2" w14:paraId="0AA98AA7" w14:textId="77777777" w:rsidTr="2DB3A534">
        <w:tc>
          <w:tcPr>
            <w:tcW w:w="1718" w:type="dxa"/>
          </w:tcPr>
          <w:p w14:paraId="200B835E" w14:textId="5FC38447" w:rsidR="00B648FE" w:rsidRDefault="00410DC4" w:rsidP="00B648FE">
            <w:pPr>
              <w:pStyle w:val="TableText"/>
            </w:pPr>
            <w:r>
              <w:t xml:space="preserve">Extreme </w:t>
            </w:r>
            <w:r w:rsidR="00B648FE">
              <w:t>weather events</w:t>
            </w:r>
          </w:p>
        </w:tc>
        <w:tc>
          <w:tcPr>
            <w:tcW w:w="1934" w:type="dxa"/>
          </w:tcPr>
          <w:p w14:paraId="6A519B21" w14:textId="77777777" w:rsidR="00B648FE" w:rsidRPr="00D66555" w:rsidRDefault="00B648FE" w:rsidP="00B648FE">
            <w:pPr>
              <w:pStyle w:val="TableText"/>
            </w:pPr>
            <w:r>
              <w:t>Timing</w:t>
            </w:r>
            <w:r w:rsidRPr="00D66555">
              <w:t xml:space="preserve">: </w:t>
            </w:r>
            <w:r>
              <w:t>current/</w:t>
            </w:r>
            <w:r w:rsidRPr="00DF3FF8">
              <w:t>future</w:t>
            </w:r>
          </w:p>
          <w:p w14:paraId="57B93EB8" w14:textId="4F4D0820" w:rsidR="00B648FE" w:rsidRDefault="308E1F10" w:rsidP="00B648FE">
            <w:pPr>
              <w:pStyle w:val="TableText"/>
            </w:pPr>
            <w:r>
              <w:t xml:space="preserve">Confidence: </w:t>
            </w:r>
            <w:r w:rsidR="004F3C78">
              <w:t>inferred</w:t>
            </w:r>
          </w:p>
          <w:p w14:paraId="78A7EABD" w14:textId="77777777" w:rsidR="00B648FE" w:rsidRPr="00D66555" w:rsidRDefault="00B648FE" w:rsidP="00B648FE">
            <w:pPr>
              <w:pStyle w:val="TableText"/>
            </w:pPr>
            <w:r>
              <w:t>Likelihood: likely</w:t>
            </w:r>
          </w:p>
          <w:p w14:paraId="5CE542F4" w14:textId="77777777" w:rsidR="00B648FE" w:rsidRPr="00D66555" w:rsidRDefault="00B648FE" w:rsidP="00B648FE">
            <w:pPr>
              <w:pStyle w:val="TableText"/>
            </w:pPr>
            <w:r>
              <w:t>Consequence: major</w:t>
            </w:r>
          </w:p>
          <w:p w14:paraId="624672DD" w14:textId="77777777" w:rsidR="00B648FE" w:rsidRPr="00D66555" w:rsidRDefault="00B648FE" w:rsidP="00B648FE">
            <w:pPr>
              <w:pStyle w:val="TableText"/>
            </w:pPr>
            <w:r w:rsidRPr="00D66555">
              <w:t>Trend: increasing</w:t>
            </w:r>
          </w:p>
          <w:p w14:paraId="74BB609F" w14:textId="43B17B86" w:rsidR="00B648FE" w:rsidRDefault="00B648FE" w:rsidP="00B648FE">
            <w:pPr>
              <w:pStyle w:val="TableText"/>
            </w:pPr>
            <w:r w:rsidRPr="00D66555">
              <w:t>Extent: across the entire range</w:t>
            </w:r>
          </w:p>
        </w:tc>
        <w:tc>
          <w:tcPr>
            <w:tcW w:w="6095" w:type="dxa"/>
          </w:tcPr>
          <w:p w14:paraId="2574602F" w14:textId="496F5D84" w:rsidR="00B648FE" w:rsidRPr="00961644" w:rsidRDefault="00B648FE" w:rsidP="00B648FE">
            <w:pPr>
              <w:pStyle w:val="TableText"/>
              <w:rPr>
                <w:rFonts w:asciiTheme="majorHAnsi" w:hAnsiTheme="majorHAnsi"/>
              </w:rPr>
            </w:pPr>
            <w:r w:rsidRPr="0CBFAD64">
              <w:rPr>
                <w:rFonts w:asciiTheme="majorHAnsi" w:hAnsiTheme="majorHAnsi"/>
              </w:rPr>
              <w:t xml:space="preserve">Increased </w:t>
            </w:r>
            <w:r>
              <w:rPr>
                <w:rFonts w:asciiTheme="majorHAnsi" w:hAnsiTheme="majorHAnsi"/>
              </w:rPr>
              <w:t>intensity</w:t>
            </w:r>
            <w:r w:rsidRPr="0CBFAD64">
              <w:rPr>
                <w:rFonts w:asciiTheme="majorHAnsi" w:hAnsiTheme="majorHAnsi"/>
              </w:rPr>
              <w:t xml:space="preserve"> and </w:t>
            </w:r>
            <w:r w:rsidRPr="00961644">
              <w:rPr>
                <w:rFonts w:asciiTheme="majorHAnsi" w:hAnsiTheme="majorHAnsi"/>
              </w:rPr>
              <w:t xml:space="preserve">frequency of </w:t>
            </w:r>
            <w:r w:rsidR="00410DC4">
              <w:rPr>
                <w:rFonts w:asciiTheme="majorHAnsi" w:hAnsiTheme="majorHAnsi"/>
              </w:rPr>
              <w:t>extreme</w:t>
            </w:r>
            <w:r w:rsidR="00410DC4" w:rsidRPr="00961644">
              <w:rPr>
                <w:rFonts w:asciiTheme="majorHAnsi" w:hAnsiTheme="majorHAnsi"/>
              </w:rPr>
              <w:t xml:space="preserve"> </w:t>
            </w:r>
            <w:r w:rsidRPr="00961644">
              <w:rPr>
                <w:rFonts w:asciiTheme="majorHAnsi" w:hAnsiTheme="majorHAnsi"/>
              </w:rPr>
              <w:t>weather events</w:t>
            </w:r>
            <w:r>
              <w:rPr>
                <w:rFonts w:asciiTheme="majorHAnsi" w:hAnsiTheme="majorHAnsi"/>
              </w:rPr>
              <w:t xml:space="preserve"> </w:t>
            </w:r>
            <w:r w:rsidRPr="00961644">
              <w:rPr>
                <w:rFonts w:asciiTheme="majorHAnsi" w:hAnsiTheme="majorHAnsi"/>
              </w:rPr>
              <w:t>(heatwaves, storms, cyclones, droughts</w:t>
            </w:r>
            <w:r w:rsidR="000F1170">
              <w:rPr>
                <w:rFonts w:asciiTheme="majorHAnsi" w:hAnsiTheme="majorHAnsi"/>
              </w:rPr>
              <w:t xml:space="preserve"> (and fires – discussed below)</w:t>
            </w:r>
            <w:r w:rsidRPr="00961644">
              <w:rPr>
                <w:rFonts w:asciiTheme="majorHAnsi" w:hAnsiTheme="majorHAnsi"/>
              </w:rPr>
              <w:t>) are broad geographic scale threats associated with climate change. These events are not persistent, and may be relatively short-term in duration (i.e. hours to weeks)</w:t>
            </w:r>
            <w:r>
              <w:rPr>
                <w:rFonts w:asciiTheme="majorHAnsi" w:hAnsiTheme="majorHAnsi"/>
              </w:rPr>
              <w:t>.</w:t>
            </w:r>
            <w:r w:rsidRPr="00961644">
              <w:rPr>
                <w:rFonts w:asciiTheme="majorHAnsi" w:hAnsiTheme="majorHAnsi"/>
              </w:rPr>
              <w:t xml:space="preserve"> </w:t>
            </w:r>
            <w:r w:rsidR="00627AFF">
              <w:rPr>
                <w:rFonts w:asciiTheme="majorHAnsi" w:hAnsiTheme="majorHAnsi"/>
              </w:rPr>
              <w:t>Extreme</w:t>
            </w:r>
            <w:r w:rsidR="00627AFF" w:rsidRPr="00961644">
              <w:rPr>
                <w:rFonts w:asciiTheme="majorHAnsi" w:hAnsiTheme="majorHAnsi"/>
              </w:rPr>
              <w:t xml:space="preserve"> </w:t>
            </w:r>
            <w:r w:rsidRPr="00961644">
              <w:rPr>
                <w:rFonts w:asciiTheme="majorHAnsi" w:hAnsiTheme="majorHAnsi"/>
              </w:rPr>
              <w:t>weather events have the capacity to seriously impact the population, leading to a decline or extirpation of the species (Coughran &amp; Furse 2010).</w:t>
            </w:r>
          </w:p>
          <w:p w14:paraId="7C9AA464" w14:textId="3168380A" w:rsidR="00B648FE" w:rsidRDefault="00B648FE" w:rsidP="00B648FE">
            <w:pPr>
              <w:pStyle w:val="TableText"/>
              <w:rPr>
                <w:rFonts w:asciiTheme="majorHAnsi" w:hAnsiTheme="majorHAnsi"/>
                <w:szCs w:val="18"/>
              </w:rPr>
            </w:pPr>
            <w:r w:rsidRPr="000B5D70">
              <w:rPr>
                <w:rFonts w:asciiTheme="majorHAnsi" w:hAnsiTheme="majorHAnsi"/>
              </w:rPr>
              <w:t xml:space="preserve">The highland habitat of </w:t>
            </w:r>
            <w:r w:rsidR="00136226" w:rsidRPr="00136226">
              <w:rPr>
                <w:rFonts w:asciiTheme="majorHAnsi" w:hAnsiTheme="majorHAnsi"/>
              </w:rPr>
              <w:t xml:space="preserve">Balan spiny crayfish </w:t>
            </w:r>
            <w:r w:rsidRPr="0014296E">
              <w:rPr>
                <w:rFonts w:asciiTheme="majorHAnsi" w:hAnsiTheme="majorHAnsi"/>
              </w:rPr>
              <w:t>is anticipated</w:t>
            </w:r>
            <w:r w:rsidRPr="000B5D70">
              <w:rPr>
                <w:rFonts w:asciiTheme="majorHAnsi" w:hAnsiTheme="majorHAnsi"/>
              </w:rPr>
              <w:t xml:space="preserve"> to be impacted by an increase in intensity and frequency of extreme heat events. </w:t>
            </w:r>
            <w:r>
              <w:rPr>
                <w:rFonts w:asciiTheme="majorHAnsi" w:hAnsiTheme="majorHAnsi"/>
                <w:szCs w:val="18"/>
              </w:rPr>
              <w:t>Climate change modelling projects increased length and duration of droughts, longer periods of consecutive wet days, and longer and more frequent heatwaves for the region where this species is found (Syktus et al. 2020). By 2060</w:t>
            </w:r>
            <w:r>
              <w:rPr>
                <w:rFonts w:ascii="Engravers MT" w:hAnsi="Engravers MT"/>
                <w:szCs w:val="18"/>
              </w:rPr>
              <w:t>–</w:t>
            </w:r>
            <w:r>
              <w:rPr>
                <w:rFonts w:asciiTheme="majorHAnsi" w:hAnsiTheme="majorHAnsi"/>
                <w:szCs w:val="18"/>
              </w:rPr>
              <w:t>79, the Wet Tropics Bioregion of North Queensland is expected to have ~1.5</w:t>
            </w:r>
            <w:r>
              <w:rPr>
                <w:rFonts w:ascii="Engravers MT" w:hAnsi="Engravers MT"/>
                <w:szCs w:val="18"/>
              </w:rPr>
              <w:t>–</w:t>
            </w:r>
            <w:r>
              <w:rPr>
                <w:rFonts w:asciiTheme="majorHAnsi" w:hAnsiTheme="majorHAnsi"/>
                <w:szCs w:val="18"/>
              </w:rPr>
              <w:t xml:space="preserve">13 additional hot days (&gt;35˚C) </w:t>
            </w:r>
            <w:r w:rsidRPr="000B5D70">
              <w:rPr>
                <w:rFonts w:asciiTheme="majorHAnsi" w:hAnsiTheme="majorHAnsi"/>
                <w:i/>
                <w:szCs w:val="18"/>
              </w:rPr>
              <w:t>per annum</w:t>
            </w:r>
            <w:r>
              <w:rPr>
                <w:rFonts w:asciiTheme="majorHAnsi" w:hAnsiTheme="majorHAnsi"/>
                <w:szCs w:val="18"/>
              </w:rPr>
              <w:t xml:space="preserve"> compared to the reference period (1986</w:t>
            </w:r>
            <w:r w:rsidR="003B23E2">
              <w:rPr>
                <w:rFonts w:asciiTheme="majorHAnsi" w:hAnsiTheme="majorHAnsi"/>
                <w:szCs w:val="18"/>
              </w:rPr>
              <w:t>–</w:t>
            </w:r>
            <w:r>
              <w:rPr>
                <w:rFonts w:asciiTheme="majorHAnsi" w:hAnsiTheme="majorHAnsi"/>
                <w:szCs w:val="18"/>
              </w:rPr>
              <w:t>2005) (Syktus et al. 2020).</w:t>
            </w:r>
            <w:r w:rsidR="00F83369">
              <w:rPr>
                <w:rFonts w:asciiTheme="majorHAnsi" w:hAnsiTheme="majorHAnsi"/>
                <w:szCs w:val="18"/>
              </w:rPr>
              <w:t xml:space="preserve"> </w:t>
            </w:r>
          </w:p>
          <w:p w14:paraId="53A18ECE" w14:textId="1E9BD1C0" w:rsidR="00B648FE" w:rsidRPr="00D66555" w:rsidRDefault="00B648FE" w:rsidP="00B648FE">
            <w:pPr>
              <w:pStyle w:val="TableText"/>
              <w:rPr>
                <w:rFonts w:asciiTheme="majorHAnsi" w:hAnsiTheme="majorHAnsi"/>
              </w:rPr>
            </w:pPr>
            <w:r w:rsidRPr="0CBFAD64">
              <w:rPr>
                <w:rFonts w:asciiTheme="majorHAnsi" w:hAnsiTheme="majorHAnsi"/>
              </w:rPr>
              <w:t xml:space="preserve">Bone et al. (2014) reported that when exposed to chronic, steadily increasing temperature, similarly-sized, small specimens of </w:t>
            </w:r>
            <w:r w:rsidRPr="007D7418">
              <w:rPr>
                <w:rFonts w:asciiTheme="majorHAnsi" w:hAnsiTheme="majorHAnsi"/>
                <w:i/>
              </w:rPr>
              <w:t>E. sulcatus</w:t>
            </w:r>
            <w:r w:rsidRPr="0CBFAD64">
              <w:rPr>
                <w:rFonts w:asciiTheme="majorHAnsi" w:hAnsiTheme="majorHAnsi"/>
              </w:rPr>
              <w:t xml:space="preserve"> became sluggish ~23°C and were </w:t>
            </w:r>
            <w:r>
              <w:t>effectively</w:t>
            </w:r>
            <w:r w:rsidRPr="0CBFAD64">
              <w:rPr>
                <w:rFonts w:asciiTheme="majorHAnsi" w:hAnsiTheme="majorHAnsi"/>
              </w:rPr>
              <w:t xml:space="preserve"> incapacitated at ~27°C (Bone et al. 2014). </w:t>
            </w:r>
            <w:r w:rsidR="004D4298" w:rsidRPr="004D4298">
              <w:rPr>
                <w:rFonts w:asciiTheme="majorHAnsi" w:hAnsiTheme="majorHAnsi"/>
              </w:rPr>
              <w:t xml:space="preserve">Acute exposure to temperatures above the upper thermal tolerance limit of this species could result in deleterious physiological impacts, and mortalities, and could lead to population reductions. </w:t>
            </w:r>
            <w:r w:rsidR="0093421F">
              <w:t xml:space="preserve">The thermal limit of this species remains unknown, however based on the work of Bone et al. (2014) environmental temperatures may only be a few degrees away from temperatures that may cause thermal stress in this species. A single heatwave event could potentially lead to water temperatures reaching the upper thermal tolerance threshold, and result in physiological impacts, or even mortalities. </w:t>
            </w:r>
            <w:r w:rsidR="004D4298" w:rsidRPr="004D4298">
              <w:rPr>
                <w:rFonts w:asciiTheme="majorHAnsi" w:hAnsiTheme="majorHAnsi"/>
              </w:rPr>
              <w:t xml:space="preserve"> </w:t>
            </w:r>
          </w:p>
          <w:p w14:paraId="77F0660D" w14:textId="5AA0D923" w:rsidR="00B648FE" w:rsidRDefault="3AF4E6C5" w:rsidP="738EC405">
            <w:pPr>
              <w:pStyle w:val="TableText"/>
              <w:rPr>
                <w:rFonts w:asciiTheme="majorHAnsi" w:hAnsiTheme="majorHAnsi"/>
              </w:rPr>
            </w:pPr>
            <w:r w:rsidRPr="2DB3A534">
              <w:rPr>
                <w:rFonts w:asciiTheme="majorHAnsi" w:hAnsiTheme="majorHAnsi"/>
              </w:rPr>
              <w:t xml:space="preserve">High rainfall events leading to flash floods can scour high-altitude streams and this can be deadly to any </w:t>
            </w:r>
            <w:r w:rsidRPr="2DB3A534">
              <w:rPr>
                <w:rFonts w:asciiTheme="majorHAnsi" w:hAnsiTheme="majorHAnsi"/>
                <w:i/>
                <w:iCs/>
              </w:rPr>
              <w:t>Euastacus</w:t>
            </w:r>
            <w:r w:rsidRPr="2DB3A534">
              <w:rPr>
                <w:rFonts w:asciiTheme="majorHAnsi" w:hAnsiTheme="majorHAnsi"/>
              </w:rPr>
              <w:t xml:space="preserve"> that seek refuge under leaves/fallen palm fronds, small rocks and logs. Mass mortality was recorded in </w:t>
            </w:r>
            <w:r w:rsidRPr="2DB3A534">
              <w:rPr>
                <w:rFonts w:asciiTheme="majorHAnsi" w:hAnsiTheme="majorHAnsi"/>
                <w:i/>
                <w:iCs/>
              </w:rPr>
              <w:t>Euastacus valentulus</w:t>
            </w:r>
            <w:r w:rsidRPr="2DB3A534">
              <w:rPr>
                <w:rFonts w:asciiTheme="majorHAnsi" w:hAnsiTheme="majorHAnsi"/>
              </w:rPr>
              <w:t xml:space="preserve"> in the Numinbah Valley (Southeast Qld), when an intense rainfall event and flash flood killed hundreds, and possibly thousands, of crayfish (Furse et al. 2012b). Many of the crayfish killed in that event (30–40 mm OCL) were comparable in size to this species.</w:t>
            </w:r>
          </w:p>
          <w:p w14:paraId="5C87EC2B" w14:textId="3923CF9C" w:rsidR="00B648FE" w:rsidRDefault="004D4298" w:rsidP="00B648FE">
            <w:pPr>
              <w:pStyle w:val="TableText"/>
              <w:rPr>
                <w:rFonts w:asciiTheme="majorHAnsi" w:hAnsiTheme="majorHAnsi"/>
              </w:rPr>
            </w:pPr>
            <w:r>
              <w:rPr>
                <w:rFonts w:asciiTheme="majorHAnsi" w:hAnsiTheme="majorHAnsi"/>
              </w:rPr>
              <w:t>A</w:t>
            </w:r>
            <w:r w:rsidR="00B648FE" w:rsidRPr="30D87E74">
              <w:rPr>
                <w:rFonts w:asciiTheme="majorHAnsi" w:hAnsiTheme="majorHAnsi"/>
              </w:rPr>
              <w:t xml:space="preserve"> single </w:t>
            </w:r>
            <w:r w:rsidR="001819A7">
              <w:rPr>
                <w:rFonts w:asciiTheme="majorHAnsi" w:hAnsiTheme="majorHAnsi"/>
              </w:rPr>
              <w:t>extreme weather</w:t>
            </w:r>
            <w:r w:rsidR="00B648FE" w:rsidRPr="30D87E74">
              <w:rPr>
                <w:rFonts w:asciiTheme="majorHAnsi" w:hAnsiTheme="majorHAnsi"/>
              </w:rPr>
              <w:t xml:space="preserve"> event may lead to other localised natural disasters (e.g., flooding,</w:t>
            </w:r>
            <w:r w:rsidR="00B648FE">
              <w:rPr>
                <w:rFonts w:asciiTheme="majorHAnsi" w:hAnsiTheme="majorHAnsi"/>
              </w:rPr>
              <w:t xml:space="preserve"> tree falls,</w:t>
            </w:r>
            <w:r w:rsidR="00B648FE" w:rsidRPr="30D87E74">
              <w:rPr>
                <w:rFonts w:asciiTheme="majorHAnsi" w:hAnsiTheme="majorHAnsi"/>
              </w:rPr>
              <w:t xml:space="preserve"> landslides, and sedimentation events) (Furse et al. 2012b)</w:t>
            </w:r>
            <w:r w:rsidR="00B648FE">
              <w:rPr>
                <w:rFonts w:asciiTheme="majorHAnsi" w:hAnsiTheme="majorHAnsi"/>
              </w:rPr>
              <w:t>.</w:t>
            </w:r>
            <w:r w:rsidR="00811EF2">
              <w:rPr>
                <w:rFonts w:asciiTheme="majorHAnsi" w:hAnsiTheme="majorHAnsi"/>
              </w:rPr>
              <w:t xml:space="preserve"> Sediment exposure can damage respiratory surfaces of gills and reduce the ability of crayfish to uptake oxygen from the water (Cramp et al. 2021). </w:t>
            </w:r>
          </w:p>
          <w:p w14:paraId="5376ABCC" w14:textId="548FC74F" w:rsidR="00B648FE" w:rsidRPr="0CBFAD64" w:rsidRDefault="00B648FE" w:rsidP="00B648FE">
            <w:pPr>
              <w:pStyle w:val="TableText"/>
              <w:rPr>
                <w:rFonts w:asciiTheme="majorHAnsi" w:hAnsiTheme="majorHAnsi"/>
              </w:rPr>
            </w:pPr>
            <w:r w:rsidRPr="00E330A3">
              <w:rPr>
                <w:rFonts w:asciiTheme="majorHAnsi" w:hAnsiTheme="majorHAnsi"/>
              </w:rPr>
              <w:t xml:space="preserve">Soils in the rainforests (including in </w:t>
            </w:r>
            <w:r w:rsidRPr="00E330A3">
              <w:t xml:space="preserve">Wooroonooran and other </w:t>
            </w:r>
            <w:r w:rsidR="00410DC4">
              <w:rPr>
                <w:rFonts w:asciiTheme="majorHAnsi" w:hAnsiTheme="majorHAnsi"/>
              </w:rPr>
              <w:t>n</w:t>
            </w:r>
            <w:r w:rsidR="00425FC4">
              <w:rPr>
                <w:rFonts w:asciiTheme="majorHAnsi" w:hAnsiTheme="majorHAnsi"/>
              </w:rPr>
              <w:t xml:space="preserve">ational </w:t>
            </w:r>
            <w:r w:rsidR="00410DC4">
              <w:rPr>
                <w:rFonts w:asciiTheme="majorHAnsi" w:hAnsiTheme="majorHAnsi"/>
              </w:rPr>
              <w:t>p</w:t>
            </w:r>
            <w:r w:rsidR="00425FC4">
              <w:rPr>
                <w:rFonts w:asciiTheme="majorHAnsi" w:hAnsiTheme="majorHAnsi"/>
              </w:rPr>
              <w:t>arks</w:t>
            </w:r>
            <w:r w:rsidRPr="00E330A3">
              <w:rPr>
                <w:rFonts w:asciiTheme="majorHAnsi" w:hAnsiTheme="majorHAnsi"/>
              </w:rPr>
              <w:t>) of North Queensland are often sandy (Queensland Government 2013a) poor,</w:t>
            </w:r>
            <w:r>
              <w:rPr>
                <w:rFonts w:asciiTheme="majorHAnsi" w:hAnsiTheme="majorHAnsi"/>
              </w:rPr>
              <w:t xml:space="preserve"> </w:t>
            </w:r>
            <w:r>
              <w:t>unstable and susceptible to landslides and erosion in the steep terrain where very high rainfalls, and tropical cyclones, are typical</w:t>
            </w:r>
            <w:r w:rsidRPr="0CBFAD64">
              <w:rPr>
                <w:rFonts w:asciiTheme="majorHAnsi" w:hAnsiTheme="majorHAnsi"/>
              </w:rPr>
              <w:t>. This</w:t>
            </w:r>
            <w:r>
              <w:rPr>
                <w:rFonts w:asciiTheme="majorHAnsi" w:hAnsiTheme="majorHAnsi"/>
              </w:rPr>
              <w:t xml:space="preserve"> may </w:t>
            </w:r>
            <w:r w:rsidRPr="0CBFAD64">
              <w:rPr>
                <w:rFonts w:asciiTheme="majorHAnsi" w:hAnsiTheme="majorHAnsi"/>
              </w:rPr>
              <w:t>lead to sediment influxes to streams and gullies in high relief montane areas occupied by</w:t>
            </w:r>
            <w:r>
              <w:rPr>
                <w:rFonts w:asciiTheme="majorHAnsi" w:hAnsiTheme="majorHAnsi"/>
              </w:rPr>
              <w:t xml:space="preserve"> this species, as is common in other regions with similar geologies and rainfall</w:t>
            </w:r>
            <w:r w:rsidRPr="0CBFAD64">
              <w:rPr>
                <w:rFonts w:asciiTheme="majorHAnsi" w:hAnsiTheme="majorHAnsi"/>
              </w:rPr>
              <w:t xml:space="preserve"> (Ravindran et al. 2019).</w:t>
            </w:r>
          </w:p>
        </w:tc>
      </w:tr>
      <w:tr w:rsidR="00B648FE" w:rsidRPr="0010597E" w14:paraId="78B8CD03" w14:textId="77777777" w:rsidTr="2DB3A534">
        <w:trPr>
          <w:trHeight w:val="330"/>
        </w:trPr>
        <w:tc>
          <w:tcPr>
            <w:tcW w:w="1718" w:type="dxa"/>
          </w:tcPr>
          <w:p w14:paraId="00DAB0DB" w14:textId="77777777" w:rsidR="00B648FE" w:rsidRPr="00C34CFE" w:rsidRDefault="00B648FE" w:rsidP="00B648FE">
            <w:pPr>
              <w:pStyle w:val="TableText"/>
            </w:pPr>
            <w:r>
              <w:t>Alterations to hydrological regimes</w:t>
            </w:r>
          </w:p>
        </w:tc>
        <w:tc>
          <w:tcPr>
            <w:tcW w:w="1934" w:type="dxa"/>
          </w:tcPr>
          <w:p w14:paraId="60BF6DB1" w14:textId="77777777" w:rsidR="00B648FE" w:rsidRDefault="00B648FE" w:rsidP="00B648FE">
            <w:pPr>
              <w:pStyle w:val="TableBullet1"/>
              <w:keepNext/>
              <w:numPr>
                <w:ilvl w:val="0"/>
                <w:numId w:val="0"/>
              </w:numPr>
            </w:pPr>
            <w:r>
              <w:t>Timing: current/future</w:t>
            </w:r>
          </w:p>
          <w:p w14:paraId="2ADFF89E" w14:textId="77777777" w:rsidR="00B648FE" w:rsidRDefault="00B648FE" w:rsidP="00B648FE">
            <w:pPr>
              <w:pStyle w:val="TableBullet1"/>
              <w:keepNext/>
              <w:numPr>
                <w:ilvl w:val="0"/>
                <w:numId w:val="0"/>
              </w:numPr>
            </w:pPr>
            <w:r>
              <w:t>Confidence: observed</w:t>
            </w:r>
          </w:p>
          <w:p w14:paraId="6D51981E" w14:textId="77777777" w:rsidR="00B648FE" w:rsidRDefault="00B648FE" w:rsidP="00B648FE">
            <w:pPr>
              <w:pStyle w:val="TableBullet1"/>
              <w:keepNext/>
              <w:numPr>
                <w:ilvl w:val="0"/>
                <w:numId w:val="0"/>
              </w:numPr>
            </w:pPr>
            <w:r>
              <w:t>Likelihood: almost certain</w:t>
            </w:r>
          </w:p>
          <w:p w14:paraId="6E45A51E" w14:textId="2B8DEBBB" w:rsidR="00B648FE" w:rsidRDefault="00B648FE" w:rsidP="00B648FE">
            <w:pPr>
              <w:pStyle w:val="TableBullet1"/>
              <w:keepNext/>
              <w:numPr>
                <w:ilvl w:val="0"/>
                <w:numId w:val="0"/>
              </w:numPr>
            </w:pPr>
            <w:r>
              <w:t xml:space="preserve">Consequence: </w:t>
            </w:r>
            <w:r w:rsidR="004D4298">
              <w:t>major</w:t>
            </w:r>
          </w:p>
          <w:p w14:paraId="00DC513C" w14:textId="77777777" w:rsidR="00B648FE" w:rsidRDefault="00B648FE" w:rsidP="00B648FE">
            <w:pPr>
              <w:pStyle w:val="TableBullet1"/>
              <w:keepNext/>
              <w:numPr>
                <w:ilvl w:val="0"/>
                <w:numId w:val="0"/>
              </w:numPr>
            </w:pPr>
            <w:r>
              <w:t xml:space="preserve">Trend: </w:t>
            </w:r>
            <w:r w:rsidRPr="00D64F04">
              <w:t>increasing</w:t>
            </w:r>
          </w:p>
          <w:p w14:paraId="1F251C7A" w14:textId="77777777" w:rsidR="00B648FE" w:rsidRDefault="00B648FE" w:rsidP="00B648FE">
            <w:pPr>
              <w:pStyle w:val="TableText"/>
            </w:pPr>
            <w:r>
              <w:t xml:space="preserve">Extent: </w:t>
            </w:r>
            <w:r w:rsidRPr="00D64F04">
              <w:t>across the entire range</w:t>
            </w:r>
          </w:p>
        </w:tc>
        <w:tc>
          <w:tcPr>
            <w:tcW w:w="6095" w:type="dxa"/>
          </w:tcPr>
          <w:p w14:paraId="6DC23834" w14:textId="2FA08B79" w:rsidR="00B648FE" w:rsidRPr="008855F1" w:rsidRDefault="00B648FE" w:rsidP="00B648FE">
            <w:pPr>
              <w:pStyle w:val="Normalsmall"/>
              <w:spacing w:line="240" w:lineRule="auto"/>
            </w:pPr>
            <w:r w:rsidRPr="008855F1">
              <w:t>Changes in moisture availability</w:t>
            </w:r>
            <w:r w:rsidR="00627AFF">
              <w:t xml:space="preserve"> and increased ephemerality of hydrological systems</w:t>
            </w:r>
            <w:r w:rsidRPr="008855F1">
              <w:t xml:space="preserve"> due to global climate change, will </w:t>
            </w:r>
            <w:r>
              <w:t xml:space="preserve">likely </w:t>
            </w:r>
            <w:r w:rsidRPr="008855F1">
              <w:t xml:space="preserve">impact the species itself, but also floral and faunal assemblages, across the species’ range. </w:t>
            </w:r>
            <w:r w:rsidRPr="008855F1">
              <w:rPr>
                <w:i/>
                <w:iCs/>
              </w:rPr>
              <w:t>Euastacus</w:t>
            </w:r>
            <w:r w:rsidRPr="008855F1">
              <w:t xml:space="preserve"> are known to be sensitive to effects of drought, but also effects of flooding (Furse et al. 2012a). Moisture deficits and excesses are threats that put this restricted range species at high risk of population declines, or extirpation.</w:t>
            </w:r>
          </w:p>
          <w:p w14:paraId="3DC45DFF" w14:textId="26654B0F" w:rsidR="006E2D05" w:rsidRDefault="007D15E0" w:rsidP="00B648FE">
            <w:pPr>
              <w:pStyle w:val="TableText"/>
              <w:rPr>
                <w:rFonts w:asciiTheme="majorHAnsi" w:hAnsiTheme="majorHAnsi"/>
                <w:szCs w:val="18"/>
              </w:rPr>
            </w:pPr>
            <w:r>
              <w:t xml:space="preserve">Changes to rainfall patterns </w:t>
            </w:r>
            <w:r w:rsidR="00805C15">
              <w:t xml:space="preserve">in the </w:t>
            </w:r>
            <w:r w:rsidR="00D85D3F">
              <w:t xml:space="preserve">tropical rainforest </w:t>
            </w:r>
            <w:r w:rsidR="00805C15">
              <w:t xml:space="preserve">region </w:t>
            </w:r>
            <w:r w:rsidR="00D85D3F">
              <w:t xml:space="preserve">of North Queensland </w:t>
            </w:r>
            <w:r>
              <w:t xml:space="preserve">are </w:t>
            </w:r>
            <w:r w:rsidR="0086717F">
              <w:t xml:space="preserve">too </w:t>
            </w:r>
            <w:r w:rsidR="00805C15">
              <w:t xml:space="preserve">complex to </w:t>
            </w:r>
            <w:r w:rsidR="000E279F">
              <w:t>project</w:t>
            </w:r>
            <w:r w:rsidR="00805C15">
              <w:t xml:space="preserve"> accurately</w:t>
            </w:r>
            <w:r w:rsidR="00AC5EFC">
              <w:t xml:space="preserve">, but </w:t>
            </w:r>
            <w:r w:rsidR="0051038A">
              <w:t>models</w:t>
            </w:r>
            <w:r w:rsidR="00AC5EFC">
              <w:t xml:space="preserve"> suggest that </w:t>
            </w:r>
            <w:r w:rsidR="00D453D5">
              <w:t xml:space="preserve">areas up to 200 km </w:t>
            </w:r>
            <w:r w:rsidR="0079574E">
              <w:t xml:space="preserve">inland from the coast could experience </w:t>
            </w:r>
            <w:r w:rsidR="00F26377">
              <w:t xml:space="preserve">changes </w:t>
            </w:r>
            <w:r w:rsidR="003D5B81">
              <w:t>in annual rainfall ranging from</w:t>
            </w:r>
            <w:r w:rsidR="00443683">
              <w:t xml:space="preserve"> -45 </w:t>
            </w:r>
            <w:r w:rsidR="00CC0CD9">
              <w:t>to</w:t>
            </w:r>
            <w:r w:rsidR="00F26377">
              <w:t xml:space="preserve"> +</w:t>
            </w:r>
            <w:r w:rsidR="00443683">
              <w:t>23</w:t>
            </w:r>
            <w:r w:rsidR="00F26377">
              <w:t xml:space="preserve"> %</w:t>
            </w:r>
            <w:r w:rsidR="00CC0CD9">
              <w:t xml:space="preserve"> compared to 1990 (</w:t>
            </w:r>
            <w:r w:rsidR="00E171C3">
              <w:t>Suppiah et al. 2007</w:t>
            </w:r>
            <w:r w:rsidR="00CC0CD9">
              <w:t>).</w:t>
            </w:r>
            <w:r w:rsidR="0051038A">
              <w:t xml:space="preserve"> </w:t>
            </w:r>
            <w:r w:rsidR="00B648FE" w:rsidRPr="008855F1">
              <w:t xml:space="preserve">Rainfall patterns in the region occupied by </w:t>
            </w:r>
            <w:r w:rsidR="0051038A" w:rsidRPr="00FA347D">
              <w:rPr>
                <w:i/>
                <w:iCs/>
              </w:rPr>
              <w:t xml:space="preserve">E. </w:t>
            </w:r>
            <w:r w:rsidR="009833E0" w:rsidRPr="00FA347D">
              <w:rPr>
                <w:i/>
                <w:iCs/>
              </w:rPr>
              <w:t>b</w:t>
            </w:r>
            <w:r w:rsidR="0051038A" w:rsidRPr="00FA347D">
              <w:rPr>
                <w:i/>
                <w:iCs/>
              </w:rPr>
              <w:t>ala</w:t>
            </w:r>
            <w:r w:rsidR="009833E0" w:rsidRPr="00FA347D">
              <w:rPr>
                <w:i/>
                <w:iCs/>
              </w:rPr>
              <w:t>nensis</w:t>
            </w:r>
            <w:r w:rsidR="00B648FE" w:rsidRPr="00FA347D">
              <w:rPr>
                <w:i/>
                <w:iCs/>
              </w:rPr>
              <w:t xml:space="preserve"> </w:t>
            </w:r>
            <w:r w:rsidR="00B648FE" w:rsidRPr="008855F1">
              <w:t xml:space="preserve">are </w:t>
            </w:r>
            <w:r w:rsidR="000E279F">
              <w:t>project</w:t>
            </w:r>
            <w:r w:rsidR="00B648FE" w:rsidRPr="008855F1">
              <w:t xml:space="preserve">ed to </w:t>
            </w:r>
            <w:r w:rsidR="00B648FE">
              <w:t>alter</w:t>
            </w:r>
            <w:r w:rsidR="00B648FE" w:rsidRPr="008855F1">
              <w:t xml:space="preserve"> as a result of climate change, with</w:t>
            </w:r>
            <w:r w:rsidR="00B648FE">
              <w:t xml:space="preserve"> both</w:t>
            </w:r>
            <w:r w:rsidR="00B648FE" w:rsidRPr="008855F1">
              <w:t xml:space="preserve"> annual </w:t>
            </w:r>
            <w:r w:rsidR="00B648FE">
              <w:t xml:space="preserve">precipitation </w:t>
            </w:r>
            <w:r w:rsidR="00B648FE" w:rsidRPr="008855F1">
              <w:t xml:space="preserve">and </w:t>
            </w:r>
            <w:r w:rsidR="00B648FE" w:rsidRPr="008855F1">
              <w:rPr>
                <w:rFonts w:asciiTheme="majorHAnsi" w:hAnsiTheme="majorHAnsi"/>
              </w:rPr>
              <w:t>mean number of consecutive wet days</w:t>
            </w:r>
            <w:r w:rsidR="00B648FE">
              <w:rPr>
                <w:rFonts w:asciiTheme="majorHAnsi" w:hAnsiTheme="majorHAnsi"/>
              </w:rPr>
              <w:t xml:space="preserve"> </w:t>
            </w:r>
            <w:r w:rsidR="00B648FE" w:rsidRPr="008855F1">
              <w:t xml:space="preserve">potentially declining </w:t>
            </w:r>
            <w:r w:rsidR="00B648FE" w:rsidRPr="008855F1">
              <w:rPr>
                <w:rFonts w:asciiTheme="majorHAnsi" w:hAnsiTheme="majorHAnsi"/>
              </w:rPr>
              <w:t>by 2060</w:t>
            </w:r>
            <w:r w:rsidR="00B648FE">
              <w:rPr>
                <w:rFonts w:ascii="Engravers MT" w:hAnsi="Engravers MT"/>
              </w:rPr>
              <w:t>–</w:t>
            </w:r>
            <w:r w:rsidR="00B648FE" w:rsidRPr="008855F1">
              <w:rPr>
                <w:rFonts w:asciiTheme="majorHAnsi" w:hAnsiTheme="majorHAnsi"/>
              </w:rPr>
              <w:t>2079 (</w:t>
            </w:r>
            <w:r w:rsidR="00B648FE" w:rsidRPr="008855F1">
              <w:rPr>
                <w:rFonts w:asciiTheme="majorHAnsi" w:hAnsiTheme="majorHAnsi"/>
                <w:szCs w:val="18"/>
              </w:rPr>
              <w:t>Syktus et al. 2020).</w:t>
            </w:r>
            <w:r w:rsidR="00695AAF">
              <w:rPr>
                <w:rFonts w:asciiTheme="majorHAnsi" w:hAnsiTheme="majorHAnsi"/>
                <w:szCs w:val="18"/>
              </w:rPr>
              <w:t xml:space="preserve"> </w:t>
            </w:r>
            <w:r w:rsidR="00344A9E">
              <w:rPr>
                <w:rFonts w:asciiTheme="majorHAnsi" w:hAnsiTheme="majorHAnsi"/>
                <w:szCs w:val="18"/>
              </w:rPr>
              <w:t>Under such drier conditions,</w:t>
            </w:r>
            <w:r w:rsidR="001F7A9A">
              <w:rPr>
                <w:rFonts w:asciiTheme="majorHAnsi" w:hAnsiTheme="majorHAnsi"/>
                <w:szCs w:val="18"/>
              </w:rPr>
              <w:t xml:space="preserve"> </w:t>
            </w:r>
            <w:r w:rsidR="006E2D05">
              <w:rPr>
                <w:rFonts w:asciiTheme="majorHAnsi" w:hAnsiTheme="majorHAnsi"/>
                <w:szCs w:val="18"/>
              </w:rPr>
              <w:t>a larger proportion of rainfall is lost to canopy storage an</w:t>
            </w:r>
            <w:r w:rsidR="000B6BB7">
              <w:rPr>
                <w:rFonts w:asciiTheme="majorHAnsi" w:hAnsiTheme="majorHAnsi"/>
                <w:szCs w:val="18"/>
              </w:rPr>
              <w:t>d</w:t>
            </w:r>
            <w:r w:rsidR="006E2D05">
              <w:rPr>
                <w:rFonts w:asciiTheme="majorHAnsi" w:hAnsiTheme="majorHAnsi"/>
                <w:szCs w:val="18"/>
              </w:rPr>
              <w:t xml:space="preserve"> evaporation with less rain reaching the </w:t>
            </w:r>
            <w:r w:rsidR="00CB0B4A">
              <w:rPr>
                <w:rFonts w:asciiTheme="majorHAnsi" w:hAnsiTheme="majorHAnsi"/>
                <w:szCs w:val="18"/>
              </w:rPr>
              <w:t>forest floor</w:t>
            </w:r>
            <w:r w:rsidR="00867995">
              <w:rPr>
                <w:rFonts w:asciiTheme="majorHAnsi" w:hAnsiTheme="majorHAnsi"/>
                <w:szCs w:val="18"/>
              </w:rPr>
              <w:t xml:space="preserve"> </w:t>
            </w:r>
            <w:r w:rsidR="007419EA">
              <w:rPr>
                <w:rFonts w:asciiTheme="majorHAnsi" w:hAnsiTheme="majorHAnsi"/>
                <w:szCs w:val="18"/>
              </w:rPr>
              <w:t xml:space="preserve">thereby reducing habitat </w:t>
            </w:r>
            <w:r w:rsidR="00050234">
              <w:rPr>
                <w:rFonts w:asciiTheme="majorHAnsi" w:hAnsiTheme="majorHAnsi"/>
                <w:szCs w:val="18"/>
              </w:rPr>
              <w:t>availability</w:t>
            </w:r>
            <w:r w:rsidR="007419EA">
              <w:rPr>
                <w:rFonts w:asciiTheme="majorHAnsi" w:hAnsiTheme="majorHAnsi"/>
                <w:szCs w:val="18"/>
              </w:rPr>
              <w:t xml:space="preserve"> for species that rely on moist conditions</w:t>
            </w:r>
            <w:r w:rsidR="00CB0B4A">
              <w:rPr>
                <w:rFonts w:asciiTheme="majorHAnsi" w:hAnsiTheme="majorHAnsi"/>
                <w:szCs w:val="18"/>
              </w:rPr>
              <w:t xml:space="preserve"> (McJannet et al. 2007)</w:t>
            </w:r>
            <w:r w:rsidR="00033318">
              <w:rPr>
                <w:rFonts w:asciiTheme="majorHAnsi" w:hAnsiTheme="majorHAnsi"/>
                <w:szCs w:val="18"/>
              </w:rPr>
              <w:t>.</w:t>
            </w:r>
          </w:p>
          <w:p w14:paraId="5FD13A5C" w14:textId="7B1F0A03" w:rsidR="00B648FE" w:rsidRPr="00E922C5" w:rsidRDefault="00B648FE" w:rsidP="00B648FE">
            <w:pPr>
              <w:pStyle w:val="TableText"/>
            </w:pPr>
            <w:r w:rsidRPr="008855F1">
              <w:t>Furthermore, the duration and frequency of droughts are</w:t>
            </w:r>
            <w:r>
              <w:t>, on average,</w:t>
            </w:r>
            <w:r w:rsidRPr="008855F1">
              <w:t xml:space="preserve"> </w:t>
            </w:r>
            <w:r w:rsidR="000E279F">
              <w:t>project</w:t>
            </w:r>
            <w:r w:rsidRPr="008855F1">
              <w:t xml:space="preserve">ed to </w:t>
            </w:r>
            <w:r>
              <w:t>increase</w:t>
            </w:r>
            <w:r w:rsidRPr="008855F1">
              <w:t xml:space="preserve"> </w:t>
            </w:r>
            <w:r w:rsidRPr="008855F1">
              <w:rPr>
                <w:rFonts w:asciiTheme="majorHAnsi" w:hAnsiTheme="majorHAnsi"/>
              </w:rPr>
              <w:t>by 2060</w:t>
            </w:r>
            <w:r>
              <w:rPr>
                <w:rFonts w:ascii="Engravers MT" w:hAnsi="Engravers MT"/>
              </w:rPr>
              <w:t>–</w:t>
            </w:r>
            <w:r w:rsidRPr="008855F1">
              <w:rPr>
                <w:rFonts w:asciiTheme="majorHAnsi" w:hAnsiTheme="majorHAnsi"/>
              </w:rPr>
              <w:t xml:space="preserve">2079 throughout </w:t>
            </w:r>
            <w:r w:rsidRPr="008855F1">
              <w:t xml:space="preserve">the region </w:t>
            </w:r>
            <w:r w:rsidRPr="008855F1">
              <w:rPr>
                <w:rFonts w:asciiTheme="majorHAnsi" w:hAnsiTheme="majorHAnsi"/>
              </w:rPr>
              <w:t>where this species is found (</w:t>
            </w:r>
            <w:r w:rsidRPr="008855F1">
              <w:rPr>
                <w:rFonts w:asciiTheme="majorHAnsi" w:hAnsiTheme="majorHAnsi"/>
                <w:szCs w:val="18"/>
              </w:rPr>
              <w:t>Syktus et al. 2020</w:t>
            </w:r>
            <w:r w:rsidRPr="008855F1">
              <w:rPr>
                <w:rFonts w:asciiTheme="majorHAnsi" w:hAnsiTheme="majorHAnsi"/>
              </w:rPr>
              <w:t>).</w:t>
            </w:r>
            <w:r>
              <w:rPr>
                <w:rFonts w:asciiTheme="majorHAnsi" w:hAnsiTheme="majorHAnsi"/>
              </w:rPr>
              <w:t xml:space="preserve"> </w:t>
            </w:r>
            <w:r w:rsidRPr="008855F1">
              <w:t>Shifting precipitation patterns coupled with projected increases in temperature may lower the local water</w:t>
            </w:r>
            <w:r w:rsidR="004D4298">
              <w:t xml:space="preserve"> </w:t>
            </w:r>
            <w:r w:rsidRPr="008855F1">
              <w:t xml:space="preserve">table and </w:t>
            </w:r>
            <w:r>
              <w:t>may introduce</w:t>
            </w:r>
            <w:r w:rsidRPr="008855F1">
              <w:t xml:space="preserve"> seasonality </w:t>
            </w:r>
            <w:r>
              <w:t xml:space="preserve">to the otherwise perennial </w:t>
            </w:r>
            <w:r w:rsidRPr="008855F1">
              <w:t xml:space="preserve">streams in which </w:t>
            </w:r>
            <w:r>
              <w:t>this species resides</w:t>
            </w:r>
            <w:r w:rsidRPr="008855F1">
              <w:t>. Changes to availability</w:t>
            </w:r>
            <w:r>
              <w:t xml:space="preserve"> of water</w:t>
            </w:r>
            <w:r w:rsidRPr="008855F1">
              <w:t xml:space="preserve"> might significantly impact this species.</w:t>
            </w:r>
          </w:p>
        </w:tc>
      </w:tr>
      <w:tr w:rsidR="00B648FE" w:rsidRPr="00A937A2" w14:paraId="31004967" w14:textId="77777777" w:rsidTr="2DB3A534">
        <w:trPr>
          <w:trHeight w:val="376"/>
        </w:trPr>
        <w:tc>
          <w:tcPr>
            <w:tcW w:w="1718" w:type="dxa"/>
          </w:tcPr>
          <w:p w14:paraId="649DD403" w14:textId="77777777" w:rsidR="00B648FE" w:rsidRPr="00E922C5" w:rsidRDefault="00B648FE" w:rsidP="00B648FE">
            <w:pPr>
              <w:pStyle w:val="TableText"/>
              <w:rPr>
                <w:rFonts w:cstheme="minorHAnsi"/>
              </w:rPr>
            </w:pPr>
            <w:r w:rsidRPr="00AF37D6">
              <w:t>Fire regimes that cause declines in biodiversity</w:t>
            </w:r>
          </w:p>
        </w:tc>
        <w:tc>
          <w:tcPr>
            <w:tcW w:w="1934" w:type="dxa"/>
          </w:tcPr>
          <w:p w14:paraId="15DB74E6" w14:textId="77777777" w:rsidR="00B648FE" w:rsidRPr="00F71FC0" w:rsidRDefault="00B648FE" w:rsidP="00B648FE">
            <w:pPr>
              <w:pStyle w:val="TableText"/>
            </w:pPr>
            <w:r>
              <w:t>Timing</w:t>
            </w:r>
            <w:r w:rsidRPr="00F71FC0">
              <w:t xml:space="preserve">: </w:t>
            </w:r>
            <w:r>
              <w:t>current/</w:t>
            </w:r>
            <w:r w:rsidRPr="00811AE7">
              <w:t>future</w:t>
            </w:r>
          </w:p>
          <w:p w14:paraId="1F204E0F" w14:textId="77777777" w:rsidR="00B648FE" w:rsidRPr="00811AE7" w:rsidRDefault="00B648FE" w:rsidP="00B648FE">
            <w:pPr>
              <w:pStyle w:val="TableText"/>
            </w:pPr>
            <w:r w:rsidRPr="00811AE7">
              <w:t xml:space="preserve">Confidence: </w:t>
            </w:r>
            <w:r>
              <w:t>observed</w:t>
            </w:r>
          </w:p>
          <w:p w14:paraId="355F5943" w14:textId="5B92104C" w:rsidR="00B648FE" w:rsidRDefault="308E1F10" w:rsidP="00B648FE">
            <w:pPr>
              <w:pStyle w:val="TableText"/>
            </w:pPr>
            <w:r>
              <w:t xml:space="preserve">Likelihood: </w:t>
            </w:r>
            <w:r w:rsidR="49BED4F9">
              <w:t>possible</w:t>
            </w:r>
          </w:p>
          <w:p w14:paraId="25F02194" w14:textId="77777777" w:rsidR="00B648FE" w:rsidRPr="00F71FC0" w:rsidRDefault="00B648FE" w:rsidP="00B648FE">
            <w:pPr>
              <w:pStyle w:val="TableText"/>
            </w:pPr>
            <w:r w:rsidRPr="00811AE7">
              <w:t xml:space="preserve">Consequence: </w:t>
            </w:r>
            <w:r>
              <w:t>major</w:t>
            </w:r>
          </w:p>
          <w:p w14:paraId="0844F420" w14:textId="77777777" w:rsidR="00B648FE" w:rsidRPr="00811AE7" w:rsidRDefault="00B648FE" w:rsidP="00B648FE">
            <w:pPr>
              <w:pStyle w:val="TableText"/>
            </w:pPr>
            <w:r w:rsidRPr="00811AE7">
              <w:t>Trend: increasing</w:t>
            </w:r>
          </w:p>
          <w:p w14:paraId="58561C6E" w14:textId="77777777" w:rsidR="00B648FE" w:rsidRPr="00E922C5" w:rsidRDefault="00B648FE" w:rsidP="00B648FE">
            <w:pPr>
              <w:pStyle w:val="TableText"/>
              <w:rPr>
                <w:rFonts w:cstheme="minorHAnsi"/>
              </w:rPr>
            </w:pPr>
            <w:r w:rsidRPr="00811AE7">
              <w:t>Extent: part or across entire range</w:t>
            </w:r>
          </w:p>
        </w:tc>
        <w:tc>
          <w:tcPr>
            <w:tcW w:w="6095" w:type="dxa"/>
          </w:tcPr>
          <w:p w14:paraId="7A8D99A0" w14:textId="280D327C" w:rsidR="00B648FE" w:rsidRDefault="09A3F17A" w:rsidP="75707D5E">
            <w:pPr>
              <w:pStyle w:val="TableText"/>
              <w:rPr>
                <w:rFonts w:asciiTheme="majorHAnsi" w:hAnsiTheme="majorHAnsi"/>
              </w:rPr>
            </w:pPr>
            <w:r w:rsidRPr="75707D5E">
              <w:rPr>
                <w:rFonts w:asciiTheme="majorHAnsi" w:hAnsiTheme="majorHAnsi"/>
              </w:rPr>
              <w:t>The frequency</w:t>
            </w:r>
            <w:r w:rsidR="002A6B13">
              <w:rPr>
                <w:rFonts w:asciiTheme="majorHAnsi" w:hAnsiTheme="majorHAnsi"/>
              </w:rPr>
              <w:t xml:space="preserve"> and </w:t>
            </w:r>
            <w:r w:rsidR="14FCD9A6" w:rsidRPr="75707D5E">
              <w:rPr>
                <w:rFonts w:asciiTheme="majorHAnsi" w:hAnsiTheme="majorHAnsi"/>
              </w:rPr>
              <w:t>severity</w:t>
            </w:r>
            <w:r w:rsidRPr="75707D5E">
              <w:rPr>
                <w:rFonts w:asciiTheme="majorHAnsi" w:hAnsiTheme="majorHAnsi"/>
              </w:rPr>
              <w:t xml:space="preserve"> of bushfires is </w:t>
            </w:r>
            <w:r w:rsidR="000E279F" w:rsidRPr="75707D5E">
              <w:rPr>
                <w:rFonts w:asciiTheme="majorHAnsi" w:hAnsiTheme="majorHAnsi"/>
              </w:rPr>
              <w:t>project</w:t>
            </w:r>
            <w:r w:rsidRPr="75707D5E">
              <w:rPr>
                <w:rFonts w:asciiTheme="majorHAnsi" w:hAnsiTheme="majorHAnsi"/>
              </w:rPr>
              <w:t>ed to increase under climate change (Di Virgilio et al. 2019</w:t>
            </w:r>
            <w:r w:rsidR="14FCD9A6" w:rsidRPr="75707D5E">
              <w:rPr>
                <w:rFonts w:asciiTheme="majorHAnsi" w:hAnsiTheme="majorHAnsi"/>
              </w:rPr>
              <w:t>, DAWE 2022</w:t>
            </w:r>
            <w:r w:rsidRPr="75707D5E">
              <w:rPr>
                <w:rFonts w:asciiTheme="majorHAnsi" w:hAnsiTheme="majorHAnsi"/>
              </w:rPr>
              <w:t>) but in Far North Queensland it is unclear how these changes will manifest.</w:t>
            </w:r>
          </w:p>
          <w:p w14:paraId="254B7E05" w14:textId="17719734" w:rsidR="00B648FE" w:rsidRDefault="308E1F10" w:rsidP="00B648FE">
            <w:pPr>
              <w:pStyle w:val="TableText"/>
              <w:rPr>
                <w:rFonts w:asciiTheme="majorHAnsi" w:hAnsiTheme="majorHAnsi"/>
              </w:rPr>
            </w:pPr>
            <w:r w:rsidRPr="2DB3A534">
              <w:rPr>
                <w:rFonts w:asciiTheme="majorHAnsi" w:hAnsiTheme="majorHAnsi"/>
              </w:rPr>
              <w:t xml:space="preserve">Impacts of bushfires are however well understood and may be immediate (habitat loss) or delayed (siltation and deoxygenation of habitat following a fire, possible change in stream water temperature </w:t>
            </w:r>
            <w:r w:rsidR="49BED4F9" w:rsidRPr="2DB3A534">
              <w:rPr>
                <w:rFonts w:asciiTheme="majorHAnsi" w:hAnsiTheme="majorHAnsi"/>
              </w:rPr>
              <w:t xml:space="preserve">and light regime </w:t>
            </w:r>
            <w:r w:rsidRPr="2DB3A534">
              <w:rPr>
                <w:rFonts w:asciiTheme="majorHAnsi" w:hAnsiTheme="majorHAnsi"/>
              </w:rPr>
              <w:t>due to canopy loss).</w:t>
            </w:r>
            <w:r w:rsidR="49BED4F9" w:rsidRPr="2DB3A534">
              <w:rPr>
                <w:rFonts w:asciiTheme="majorHAnsi" w:hAnsiTheme="majorHAnsi"/>
              </w:rPr>
              <w:t xml:space="preserve"> Crayfish from restricted distributions and cooler climates (e.g., at higher altitudes) are at an increased risk of decline as bushfires can change aquatic thermal and oxygen regimes (Cramp et al. 2021).</w:t>
            </w:r>
          </w:p>
          <w:p w14:paraId="405B3F2B" w14:textId="555AC889" w:rsidR="0086717F" w:rsidRPr="00E922C5" w:rsidRDefault="002A6B13" w:rsidP="0086717F">
            <w:pPr>
              <w:pStyle w:val="TableText"/>
              <w:rPr>
                <w:rFonts w:asciiTheme="majorHAnsi" w:hAnsiTheme="majorHAnsi"/>
              </w:rPr>
            </w:pPr>
            <w:r w:rsidRPr="65403C4F">
              <w:rPr>
                <w:rFonts w:asciiTheme="majorHAnsi" w:hAnsiTheme="majorHAnsi"/>
              </w:rPr>
              <w:t xml:space="preserve">Fires may increase the occurrence of weed species in the habitat. </w:t>
            </w:r>
            <w:r w:rsidR="0086717F" w:rsidRPr="00C2782B">
              <w:rPr>
                <w:rFonts w:asciiTheme="majorHAnsi" w:hAnsiTheme="majorHAnsi"/>
              </w:rPr>
              <w:t xml:space="preserve">Various highly invasive non-native species of vegetation are known to exist in </w:t>
            </w:r>
            <w:r w:rsidR="0086717F">
              <w:rPr>
                <w:rFonts w:asciiTheme="majorHAnsi" w:hAnsiTheme="majorHAnsi"/>
              </w:rPr>
              <w:t xml:space="preserve">the Wet Tropics Region, including in </w:t>
            </w:r>
            <w:r w:rsidR="0086717F" w:rsidRPr="000C4687">
              <w:t xml:space="preserve">Wooroonooran </w:t>
            </w:r>
            <w:r w:rsidR="0086717F">
              <w:rPr>
                <w:rFonts w:asciiTheme="majorHAnsi" w:hAnsiTheme="majorHAnsi"/>
              </w:rPr>
              <w:t xml:space="preserve">National Park </w:t>
            </w:r>
            <w:r w:rsidR="0086717F" w:rsidRPr="000C4687">
              <w:rPr>
                <w:rFonts w:asciiTheme="majorHAnsi" w:hAnsiTheme="majorHAnsi"/>
              </w:rPr>
              <w:t>(e</w:t>
            </w:r>
            <w:r w:rsidR="0086717F" w:rsidRPr="00C2782B">
              <w:rPr>
                <w:rFonts w:asciiTheme="majorHAnsi" w:hAnsiTheme="majorHAnsi"/>
              </w:rPr>
              <w:t xml:space="preserve">.g., </w:t>
            </w:r>
            <w:r w:rsidR="0086717F" w:rsidRPr="00C2782B">
              <w:rPr>
                <w:rFonts w:asciiTheme="majorHAnsi" w:hAnsiTheme="majorHAnsi"/>
                <w:i/>
                <w:iCs/>
              </w:rPr>
              <w:t>Lantana camara</w:t>
            </w:r>
            <w:r w:rsidR="0086717F" w:rsidRPr="00C2782B">
              <w:rPr>
                <w:rFonts w:asciiTheme="majorHAnsi" w:hAnsiTheme="majorHAnsi"/>
              </w:rPr>
              <w:t>)</w:t>
            </w:r>
            <w:r w:rsidR="0086717F">
              <w:rPr>
                <w:rFonts w:asciiTheme="majorHAnsi" w:hAnsiTheme="majorHAnsi"/>
              </w:rPr>
              <w:t xml:space="preserve"> (Queensland Government 2013a)</w:t>
            </w:r>
            <w:r w:rsidR="0086717F" w:rsidRPr="00C2782B">
              <w:rPr>
                <w:rFonts w:asciiTheme="majorHAnsi" w:hAnsiTheme="majorHAnsi"/>
              </w:rPr>
              <w:t xml:space="preserve">. </w:t>
            </w:r>
            <w:r w:rsidR="0086717F">
              <w:rPr>
                <w:rFonts w:asciiTheme="majorHAnsi" w:hAnsiTheme="majorHAnsi"/>
              </w:rPr>
              <w:t>T</w:t>
            </w:r>
            <w:r w:rsidR="0086717F" w:rsidRPr="00C2782B">
              <w:rPr>
                <w:rFonts w:asciiTheme="majorHAnsi" w:hAnsiTheme="majorHAnsi"/>
              </w:rPr>
              <w:t>his may increase the chance and severity of bushfires</w:t>
            </w:r>
            <w:r w:rsidR="0086717F">
              <w:rPr>
                <w:rFonts w:asciiTheme="majorHAnsi" w:hAnsiTheme="majorHAnsi"/>
              </w:rPr>
              <w:t xml:space="preserve"> (</w:t>
            </w:r>
            <w:r w:rsidR="0086717F" w:rsidRPr="00C2782B">
              <w:rPr>
                <w:rFonts w:asciiTheme="majorHAnsi" w:hAnsiTheme="majorHAnsi"/>
              </w:rPr>
              <w:t>Hines et al. 2020)</w:t>
            </w:r>
            <w:r w:rsidR="0086717F">
              <w:rPr>
                <w:rFonts w:asciiTheme="majorHAnsi" w:hAnsiTheme="majorHAnsi"/>
              </w:rPr>
              <w:t>.</w:t>
            </w:r>
          </w:p>
          <w:p w14:paraId="791B8D15" w14:textId="77777777" w:rsidR="00B648FE" w:rsidRPr="00E922C5" w:rsidRDefault="00B648FE" w:rsidP="00B648FE">
            <w:pPr>
              <w:pStyle w:val="TableText"/>
              <w:rPr>
                <w:rFonts w:asciiTheme="majorHAnsi" w:hAnsiTheme="majorHAnsi"/>
                <w:szCs w:val="18"/>
              </w:rPr>
            </w:pPr>
            <w:r w:rsidRPr="00E922C5">
              <w:rPr>
                <w:rFonts w:asciiTheme="majorHAnsi" w:hAnsiTheme="majorHAnsi"/>
                <w:szCs w:val="18"/>
              </w:rPr>
              <w:t xml:space="preserve">A single bushfire has the capacity to impact the entire population of this </w:t>
            </w:r>
            <w:r>
              <w:rPr>
                <w:rFonts w:asciiTheme="majorHAnsi" w:hAnsiTheme="majorHAnsi"/>
                <w:szCs w:val="18"/>
              </w:rPr>
              <w:t>short range endemic</w:t>
            </w:r>
            <w:r w:rsidRPr="00E922C5">
              <w:rPr>
                <w:rFonts w:asciiTheme="majorHAnsi" w:hAnsiTheme="majorHAnsi"/>
                <w:szCs w:val="18"/>
              </w:rPr>
              <w:t xml:space="preserve"> species, potentially leading to a population decline across the species</w:t>
            </w:r>
            <w:r>
              <w:rPr>
                <w:rFonts w:asciiTheme="majorHAnsi" w:hAnsiTheme="majorHAnsi"/>
                <w:szCs w:val="18"/>
              </w:rPr>
              <w:t>’</w:t>
            </w:r>
            <w:r w:rsidRPr="00E922C5">
              <w:rPr>
                <w:rFonts w:asciiTheme="majorHAnsi" w:hAnsiTheme="majorHAnsi"/>
                <w:szCs w:val="18"/>
              </w:rPr>
              <w:t xml:space="preserve"> range, or extirpation of the species.</w:t>
            </w:r>
          </w:p>
        </w:tc>
      </w:tr>
      <w:tr w:rsidR="00B648FE" w:rsidRPr="00A937A2" w14:paraId="4C65D641" w14:textId="77777777" w:rsidTr="2DB3A534">
        <w:tc>
          <w:tcPr>
            <w:tcW w:w="9747" w:type="dxa"/>
            <w:gridSpan w:val="3"/>
          </w:tcPr>
          <w:p w14:paraId="730CC81C" w14:textId="77777777" w:rsidR="00B648FE" w:rsidRPr="00F13438" w:rsidDel="00563542" w:rsidRDefault="00B648FE" w:rsidP="00B648FE">
            <w:pPr>
              <w:pStyle w:val="TableText"/>
            </w:pPr>
            <w:r w:rsidRPr="00F13438">
              <w:t>Illegal collection</w:t>
            </w:r>
          </w:p>
        </w:tc>
      </w:tr>
      <w:tr w:rsidR="00B648FE" w:rsidRPr="00A937A2" w14:paraId="1CD1ED21" w14:textId="77777777" w:rsidTr="2DB3A534">
        <w:tc>
          <w:tcPr>
            <w:tcW w:w="1718" w:type="dxa"/>
          </w:tcPr>
          <w:p w14:paraId="79D94DA8" w14:textId="77777777" w:rsidR="00B648FE" w:rsidRPr="00E922C5" w:rsidRDefault="00B648FE" w:rsidP="00B648FE">
            <w:pPr>
              <w:pStyle w:val="TableText"/>
            </w:pPr>
            <w:r w:rsidRPr="00E922C5">
              <w:rPr>
                <w:lang w:val="en-US"/>
              </w:rPr>
              <w:t xml:space="preserve">Illegal </w:t>
            </w:r>
            <w:r>
              <w:rPr>
                <w:lang w:val="en-US"/>
              </w:rPr>
              <w:t>take</w:t>
            </w:r>
          </w:p>
          <w:p w14:paraId="20852244" w14:textId="77777777" w:rsidR="00B648FE" w:rsidRPr="00E922C5" w:rsidDel="00563542" w:rsidRDefault="00B648FE" w:rsidP="00B648FE">
            <w:pPr>
              <w:pStyle w:val="TableText"/>
            </w:pPr>
          </w:p>
        </w:tc>
        <w:tc>
          <w:tcPr>
            <w:tcW w:w="1934" w:type="dxa"/>
          </w:tcPr>
          <w:p w14:paraId="2E804479" w14:textId="77777777" w:rsidR="00B648FE" w:rsidRPr="00E922C5" w:rsidRDefault="00B648FE" w:rsidP="00B648FE">
            <w:pPr>
              <w:pStyle w:val="TableText"/>
            </w:pPr>
            <w:r>
              <w:t>Timing</w:t>
            </w:r>
            <w:r w:rsidRPr="00E922C5">
              <w:t xml:space="preserve">: current </w:t>
            </w:r>
          </w:p>
          <w:p w14:paraId="09CFB186" w14:textId="77777777" w:rsidR="00B648FE" w:rsidRDefault="00B648FE" w:rsidP="00B648FE">
            <w:pPr>
              <w:pStyle w:val="TableText"/>
            </w:pPr>
            <w:r w:rsidRPr="00E922C5">
              <w:t xml:space="preserve">Confidence: </w:t>
            </w:r>
            <w:r>
              <w:t>inferred</w:t>
            </w:r>
          </w:p>
          <w:p w14:paraId="7FDA13CE" w14:textId="39E930A0" w:rsidR="00B648FE" w:rsidRDefault="00B648FE" w:rsidP="00B648FE">
            <w:pPr>
              <w:pStyle w:val="TableText"/>
            </w:pPr>
            <w:r>
              <w:t xml:space="preserve">Likelihood: </w:t>
            </w:r>
            <w:r w:rsidR="004D4298">
              <w:t>possible</w:t>
            </w:r>
          </w:p>
          <w:p w14:paraId="6C36B387" w14:textId="77777777" w:rsidR="00B648FE" w:rsidRPr="00E922C5" w:rsidRDefault="00B648FE" w:rsidP="00B648FE">
            <w:pPr>
              <w:pStyle w:val="TableText"/>
            </w:pPr>
            <w:r w:rsidRPr="00E922C5">
              <w:t xml:space="preserve">Consequence: </w:t>
            </w:r>
            <w:r>
              <w:t>major</w:t>
            </w:r>
          </w:p>
          <w:p w14:paraId="09923F40" w14:textId="77777777" w:rsidR="00B648FE" w:rsidRPr="00E922C5" w:rsidRDefault="00B648FE" w:rsidP="00B648FE">
            <w:pPr>
              <w:pStyle w:val="TableText"/>
            </w:pPr>
            <w:r>
              <w:t>Trend: static</w:t>
            </w:r>
          </w:p>
          <w:p w14:paraId="4A9141CE" w14:textId="77777777" w:rsidR="00B648FE" w:rsidRPr="00E922C5" w:rsidDel="00563542" w:rsidRDefault="00B648FE" w:rsidP="00B648FE">
            <w:pPr>
              <w:pStyle w:val="TableText"/>
            </w:pPr>
            <w:r w:rsidRPr="00E922C5">
              <w:t>Extent: across the entire range</w:t>
            </w:r>
          </w:p>
        </w:tc>
        <w:tc>
          <w:tcPr>
            <w:tcW w:w="6095" w:type="dxa"/>
          </w:tcPr>
          <w:p w14:paraId="41966795" w14:textId="77777777" w:rsidR="00B648FE" w:rsidRPr="00E922C5" w:rsidRDefault="00B648FE" w:rsidP="00B648FE">
            <w:pPr>
              <w:pStyle w:val="TableText"/>
              <w:rPr>
                <w:color w:val="000000"/>
                <w:lang w:val="en-US"/>
              </w:rPr>
            </w:pPr>
            <w:r w:rsidRPr="00E922C5">
              <w:rPr>
                <w:color w:val="000000"/>
                <w:lang w:val="en-US"/>
              </w:rPr>
              <w:t xml:space="preserve">Illegal collectors specifically target rare species of </w:t>
            </w:r>
            <w:r w:rsidRPr="004C74E4">
              <w:rPr>
                <w:i/>
                <w:iCs/>
                <w:color w:val="000000"/>
                <w:lang w:val="en-US"/>
              </w:rPr>
              <w:t>Euastacus</w:t>
            </w:r>
            <w:r w:rsidRPr="00E922C5">
              <w:rPr>
                <w:color w:val="000000"/>
                <w:lang w:val="en-US"/>
              </w:rPr>
              <w:t xml:space="preserve"> for personal collections and </w:t>
            </w:r>
            <w:r w:rsidRPr="00123589">
              <w:rPr>
                <w:color w:val="000000"/>
                <w:lang w:val="en-US"/>
              </w:rPr>
              <w:t xml:space="preserve">the aquarium trade (Coughran 2007; Coughran </w:t>
            </w:r>
            <w:r>
              <w:rPr>
                <w:color w:val="000000"/>
                <w:lang w:val="en-US"/>
              </w:rPr>
              <w:t>&amp;</w:t>
            </w:r>
            <w:r w:rsidRPr="00123589">
              <w:rPr>
                <w:color w:val="000000"/>
                <w:lang w:val="en-US"/>
              </w:rPr>
              <w:t xml:space="preserve"> Furse 2012; </w:t>
            </w:r>
            <w:r>
              <w:rPr>
                <w:color w:val="000000"/>
                <w:lang w:val="en-US"/>
              </w:rPr>
              <w:t xml:space="preserve">J.M. </w:t>
            </w:r>
            <w:r w:rsidRPr="008579AA">
              <w:rPr>
                <w:color w:val="000000"/>
                <w:lang w:val="en-US"/>
              </w:rPr>
              <w:t>Furse 2021</w:t>
            </w:r>
            <w:r>
              <w:rPr>
                <w:color w:val="000000"/>
                <w:lang w:val="en-US"/>
              </w:rPr>
              <w:t xml:space="preserve"> </w:t>
            </w:r>
            <w:r w:rsidRPr="000F0B84">
              <w:rPr>
                <w:color w:val="000000" w:themeColor="text1"/>
                <w:lang w:val="en-US"/>
              </w:rPr>
              <w:t>unpu</w:t>
            </w:r>
            <w:r>
              <w:rPr>
                <w:color w:val="000000" w:themeColor="text1"/>
                <w:lang w:val="en-US"/>
              </w:rPr>
              <w:t>b</w:t>
            </w:r>
            <w:r w:rsidRPr="00123589">
              <w:rPr>
                <w:color w:val="000000"/>
                <w:lang w:val="en-US"/>
              </w:rPr>
              <w:t>). Their targets include species in national parks (see Coughran &amp; Furse</w:t>
            </w:r>
            <w:r w:rsidRPr="00E922C5">
              <w:rPr>
                <w:color w:val="000000"/>
                <w:lang w:val="en-US"/>
              </w:rPr>
              <w:t xml:space="preserve"> 2012) and extremely remote areas (</w:t>
            </w:r>
            <w:r>
              <w:rPr>
                <w:color w:val="000000"/>
                <w:lang w:val="en-US"/>
              </w:rPr>
              <w:t xml:space="preserve">J.M. </w:t>
            </w:r>
            <w:r w:rsidRPr="008579AA">
              <w:rPr>
                <w:color w:val="000000"/>
                <w:lang w:val="en-US"/>
              </w:rPr>
              <w:t>Furse 2021</w:t>
            </w:r>
            <w:r>
              <w:rPr>
                <w:color w:val="000000"/>
                <w:lang w:val="en-US"/>
              </w:rPr>
              <w:t xml:space="preserve"> </w:t>
            </w:r>
            <w:r w:rsidRPr="000F0B84">
              <w:rPr>
                <w:color w:val="000000" w:themeColor="text1"/>
                <w:lang w:val="en-US"/>
              </w:rPr>
              <w:t>unpub</w:t>
            </w:r>
            <w:r w:rsidRPr="00E922C5">
              <w:rPr>
                <w:color w:val="000000"/>
                <w:lang w:val="en-US"/>
              </w:rPr>
              <w:t xml:space="preserve">). </w:t>
            </w:r>
          </w:p>
          <w:p w14:paraId="4210A09C" w14:textId="77777777" w:rsidR="00B648FE" w:rsidRPr="00E922C5" w:rsidRDefault="00B648FE" w:rsidP="00B648FE">
            <w:pPr>
              <w:pStyle w:val="TableText"/>
              <w:rPr>
                <w:color w:val="000000"/>
                <w:lang w:val="en-US"/>
              </w:rPr>
            </w:pPr>
            <w:r w:rsidRPr="00E922C5">
              <w:rPr>
                <w:color w:val="000000"/>
                <w:lang w:val="en-US"/>
              </w:rPr>
              <w:t xml:space="preserve">A series of these activities are known to have occurred and continue throughout </w:t>
            </w:r>
            <w:r>
              <w:rPr>
                <w:color w:val="000000"/>
                <w:lang w:val="en-US"/>
              </w:rPr>
              <w:t>e</w:t>
            </w:r>
            <w:r w:rsidRPr="00E922C5">
              <w:rPr>
                <w:color w:val="000000"/>
                <w:lang w:val="en-US"/>
              </w:rPr>
              <w:t xml:space="preserve">astern Australia, with illegally collected crayfish intercepted (outbound) at Australian </w:t>
            </w:r>
            <w:r>
              <w:rPr>
                <w:color w:val="000000"/>
                <w:lang w:val="en-US"/>
              </w:rPr>
              <w:t>i</w:t>
            </w:r>
            <w:r w:rsidRPr="00E922C5">
              <w:rPr>
                <w:color w:val="000000"/>
                <w:lang w:val="en-US"/>
              </w:rPr>
              <w:t xml:space="preserve">nternational </w:t>
            </w:r>
            <w:r>
              <w:rPr>
                <w:color w:val="000000"/>
                <w:lang w:val="en-US"/>
              </w:rPr>
              <w:t>a</w:t>
            </w:r>
            <w:r w:rsidRPr="00E922C5">
              <w:rPr>
                <w:color w:val="000000"/>
                <w:lang w:val="en-US"/>
              </w:rPr>
              <w:t>irports (</w:t>
            </w:r>
            <w:r>
              <w:rPr>
                <w:color w:val="000000"/>
                <w:lang w:val="en-US"/>
              </w:rPr>
              <w:t xml:space="preserve">J.M. </w:t>
            </w:r>
            <w:r w:rsidRPr="008579AA">
              <w:rPr>
                <w:color w:val="000000"/>
                <w:lang w:val="en-US"/>
              </w:rPr>
              <w:t>Furse 2021</w:t>
            </w:r>
            <w:r>
              <w:rPr>
                <w:color w:val="000000"/>
                <w:lang w:val="en-US"/>
              </w:rPr>
              <w:t xml:space="preserve"> </w:t>
            </w:r>
            <w:r w:rsidRPr="000F0B84">
              <w:rPr>
                <w:color w:val="000000" w:themeColor="text1"/>
                <w:lang w:val="en-US"/>
              </w:rPr>
              <w:t>unpub</w:t>
            </w:r>
            <w:r w:rsidRPr="00E922C5">
              <w:rPr>
                <w:color w:val="000000"/>
                <w:lang w:val="en-US"/>
              </w:rPr>
              <w:t>).</w:t>
            </w:r>
          </w:p>
          <w:p w14:paraId="12EE6694" w14:textId="12A7923A" w:rsidR="00B648FE" w:rsidRPr="00E922C5" w:rsidRDefault="00B648FE" w:rsidP="00B648FE">
            <w:pPr>
              <w:pStyle w:val="TableText"/>
              <w:rPr>
                <w:color w:val="000000"/>
                <w:lang w:val="en-US"/>
              </w:rPr>
            </w:pPr>
            <w:r w:rsidRPr="0CBFAD64">
              <w:rPr>
                <w:color w:val="000000" w:themeColor="text1"/>
                <w:lang w:val="en-US"/>
              </w:rPr>
              <w:t xml:space="preserve">Any </w:t>
            </w:r>
            <w:r w:rsidRPr="0014296E">
              <w:rPr>
                <w:color w:val="000000" w:themeColor="text1"/>
                <w:lang w:val="en-US"/>
              </w:rPr>
              <w:t xml:space="preserve">collection of rare, slow-growing and short-range endemic species, such as </w:t>
            </w:r>
            <w:r w:rsidR="00277C67" w:rsidRPr="00277C67">
              <w:rPr>
                <w:color w:val="000000" w:themeColor="text1"/>
                <w:lang w:val="en-US"/>
              </w:rPr>
              <w:t xml:space="preserve">Balan spiny crayfish </w:t>
            </w:r>
            <w:r w:rsidRPr="008B290D">
              <w:rPr>
                <w:color w:val="000000" w:themeColor="text1"/>
                <w:lang w:val="en-US"/>
              </w:rPr>
              <w:t>,</w:t>
            </w:r>
            <w:r w:rsidRPr="0CBFAD64">
              <w:rPr>
                <w:color w:val="000000" w:themeColor="text1"/>
                <w:lang w:val="en-US"/>
              </w:rPr>
              <w:t xml:space="preserve"> has the capacity to</w:t>
            </w:r>
            <w:r>
              <w:rPr>
                <w:color w:val="000000" w:themeColor="text1"/>
                <w:lang w:val="en-US"/>
              </w:rPr>
              <w:t xml:space="preserve"> quickly</w:t>
            </w:r>
            <w:r w:rsidRPr="0CBFAD64">
              <w:rPr>
                <w:color w:val="000000" w:themeColor="text1"/>
                <w:lang w:val="en-US"/>
              </w:rPr>
              <w:t xml:space="preserve"> lead to negative population-scale impacts. Specifically, removal of reproductive animals from a population, particularly females that may require &gt;5 years to reach sexual maturity, is likely to seriously impact recruitment.</w:t>
            </w:r>
          </w:p>
          <w:p w14:paraId="5EE1F070" w14:textId="77777777" w:rsidR="00B648FE" w:rsidRPr="00E922C5" w:rsidDel="00563542" w:rsidRDefault="00B648FE" w:rsidP="00B648FE">
            <w:pPr>
              <w:pStyle w:val="TableText"/>
              <w:rPr>
                <w:color w:val="000000"/>
                <w:lang w:val="en-US"/>
              </w:rPr>
            </w:pPr>
            <w:r>
              <w:rPr>
                <w:color w:val="000000"/>
                <w:lang w:val="en-US"/>
              </w:rPr>
              <w:t>Illegal c</w:t>
            </w:r>
            <w:r w:rsidRPr="00E922C5">
              <w:rPr>
                <w:color w:val="000000"/>
                <w:lang w:val="en-US"/>
              </w:rPr>
              <w:t>ollectors can also act as a vector for diseases/pathogens between catchments, waterways, and into isolated areas of habitat</w:t>
            </w:r>
            <w:r>
              <w:rPr>
                <w:color w:val="000000"/>
                <w:lang w:val="en-US"/>
              </w:rPr>
              <w:t>.</w:t>
            </w:r>
          </w:p>
        </w:tc>
      </w:tr>
      <w:tr w:rsidR="00B648FE" w:rsidRPr="00A937A2" w14:paraId="005E5B0F" w14:textId="77777777" w:rsidTr="2DB3A534">
        <w:tc>
          <w:tcPr>
            <w:tcW w:w="9747" w:type="dxa"/>
            <w:gridSpan w:val="3"/>
          </w:tcPr>
          <w:p w14:paraId="3C82C8CE" w14:textId="77777777" w:rsidR="00B648FE" w:rsidRPr="00E922C5" w:rsidRDefault="00B648FE" w:rsidP="00B648FE">
            <w:pPr>
              <w:pStyle w:val="TableText"/>
              <w:rPr>
                <w:color w:val="000000"/>
                <w:lang w:val="en-US"/>
              </w:rPr>
            </w:pPr>
            <w:r>
              <w:rPr>
                <w:rFonts w:asciiTheme="majorHAnsi" w:hAnsiTheme="majorHAnsi" w:cs="TimesNewRomanPSMT"/>
                <w:iCs/>
                <w:color w:val="000000"/>
                <w:szCs w:val="18"/>
                <w:lang w:val="en-US"/>
              </w:rPr>
              <w:t>I</w:t>
            </w:r>
            <w:r w:rsidRPr="00E922C5">
              <w:rPr>
                <w:rFonts w:asciiTheme="majorHAnsi" w:hAnsiTheme="majorHAnsi" w:cs="TimesNewRomanPSMT"/>
                <w:iCs/>
                <w:color w:val="000000"/>
                <w:szCs w:val="18"/>
                <w:lang w:val="en-US"/>
              </w:rPr>
              <w:t>nvasive species</w:t>
            </w:r>
          </w:p>
        </w:tc>
      </w:tr>
      <w:tr w:rsidR="00B648FE" w:rsidRPr="00A937A2" w14:paraId="5CFDBB22" w14:textId="77777777" w:rsidTr="2DB3A534">
        <w:tc>
          <w:tcPr>
            <w:tcW w:w="1718" w:type="dxa"/>
          </w:tcPr>
          <w:p w14:paraId="3ED80838" w14:textId="77777777" w:rsidR="00B648FE" w:rsidRPr="00E922C5" w:rsidRDefault="00B648FE" w:rsidP="00B648FE">
            <w:pPr>
              <w:pStyle w:val="TableText"/>
              <w:rPr>
                <w:lang w:val="en-US"/>
              </w:rPr>
            </w:pPr>
            <w:r>
              <w:t xml:space="preserve">Invasive fauna </w:t>
            </w:r>
          </w:p>
        </w:tc>
        <w:tc>
          <w:tcPr>
            <w:tcW w:w="1934" w:type="dxa"/>
          </w:tcPr>
          <w:p w14:paraId="00C027E9" w14:textId="77777777" w:rsidR="00B648FE" w:rsidRPr="003774A2" w:rsidRDefault="00B648FE" w:rsidP="00B648FE">
            <w:pPr>
              <w:pStyle w:val="TableText"/>
            </w:pPr>
            <w:r>
              <w:t>Timing: current/</w:t>
            </w:r>
            <w:r w:rsidRPr="003774A2">
              <w:t>future</w:t>
            </w:r>
          </w:p>
          <w:p w14:paraId="66C7D628" w14:textId="77777777" w:rsidR="00B648FE" w:rsidRDefault="00B648FE" w:rsidP="00B648FE">
            <w:pPr>
              <w:pStyle w:val="TableText"/>
            </w:pPr>
            <w:r w:rsidRPr="003774A2">
              <w:t xml:space="preserve">Confidence: </w:t>
            </w:r>
            <w:r>
              <w:t>inferred</w:t>
            </w:r>
            <w:r w:rsidRPr="003774A2">
              <w:t xml:space="preserve"> </w:t>
            </w:r>
          </w:p>
          <w:p w14:paraId="1B6FA56F" w14:textId="77777777" w:rsidR="00B648FE" w:rsidRDefault="00B648FE" w:rsidP="00B648FE">
            <w:pPr>
              <w:pStyle w:val="TableText"/>
            </w:pPr>
            <w:r>
              <w:t>Likelihood: possible</w:t>
            </w:r>
          </w:p>
          <w:p w14:paraId="252A5DA8" w14:textId="77777777" w:rsidR="00B648FE" w:rsidRPr="003774A2" w:rsidRDefault="00B648FE" w:rsidP="00B648FE">
            <w:pPr>
              <w:pStyle w:val="TableText"/>
            </w:pPr>
            <w:r w:rsidRPr="003774A2">
              <w:t xml:space="preserve">Consequence: </w:t>
            </w:r>
            <w:r>
              <w:t>moderate</w:t>
            </w:r>
          </w:p>
          <w:p w14:paraId="6557B0B3" w14:textId="77777777" w:rsidR="00B648FE" w:rsidRPr="003774A2" w:rsidRDefault="00B648FE" w:rsidP="00B648FE">
            <w:pPr>
              <w:pStyle w:val="TableText"/>
            </w:pPr>
            <w:r w:rsidRPr="003774A2">
              <w:t>Trend: static to increasing</w:t>
            </w:r>
          </w:p>
          <w:p w14:paraId="7022A57B" w14:textId="77777777" w:rsidR="00B648FE" w:rsidRDefault="00B648FE" w:rsidP="00B648FE">
            <w:pPr>
              <w:pStyle w:val="TableText"/>
            </w:pPr>
            <w:r w:rsidRPr="003774A2">
              <w:t>Extent: across the entire range</w:t>
            </w:r>
          </w:p>
        </w:tc>
        <w:tc>
          <w:tcPr>
            <w:tcW w:w="6095" w:type="dxa"/>
          </w:tcPr>
          <w:p w14:paraId="7C335372" w14:textId="08F74C98" w:rsidR="00B648FE" w:rsidRPr="00623E80" w:rsidRDefault="00B648FE" w:rsidP="00B648FE">
            <w:pPr>
              <w:pStyle w:val="TableText"/>
              <w:rPr>
                <w:szCs w:val="18"/>
              </w:rPr>
            </w:pPr>
            <w:r w:rsidRPr="00664B14">
              <w:t>Feral pigs (</w:t>
            </w:r>
            <w:r w:rsidRPr="00664B14">
              <w:rPr>
                <w:rStyle w:val="Emphasis"/>
                <w:rFonts w:asciiTheme="majorHAnsi" w:hAnsiTheme="majorHAnsi"/>
                <w:szCs w:val="18"/>
              </w:rPr>
              <w:t>Sus scrofa</w:t>
            </w:r>
            <w:r w:rsidRPr="00664B14">
              <w:t xml:space="preserve">) occur </w:t>
            </w:r>
            <w:r w:rsidR="009C3EAE">
              <w:t xml:space="preserve">in </w:t>
            </w:r>
            <w:r w:rsidRPr="000C4687">
              <w:t xml:space="preserve">Wooroonooran </w:t>
            </w:r>
            <w:r w:rsidR="00425FC4">
              <w:rPr>
                <w:rFonts w:asciiTheme="majorHAnsi" w:hAnsiTheme="majorHAnsi"/>
              </w:rPr>
              <w:t xml:space="preserve">National Park </w:t>
            </w:r>
            <w:r w:rsidRPr="000C4687">
              <w:rPr>
                <w:rFonts w:asciiTheme="majorHAnsi" w:hAnsiTheme="majorHAnsi"/>
                <w:szCs w:val="18"/>
              </w:rPr>
              <w:t xml:space="preserve">(Queensland Government </w:t>
            </w:r>
            <w:r w:rsidR="00B42A86" w:rsidRPr="000C4687">
              <w:rPr>
                <w:rFonts w:asciiTheme="majorHAnsi" w:hAnsiTheme="majorHAnsi"/>
                <w:szCs w:val="18"/>
              </w:rPr>
              <w:t>201</w:t>
            </w:r>
            <w:r w:rsidR="00B42A86">
              <w:rPr>
                <w:rFonts w:asciiTheme="majorHAnsi" w:hAnsiTheme="majorHAnsi"/>
                <w:szCs w:val="18"/>
              </w:rPr>
              <w:t>3</w:t>
            </w:r>
            <w:r w:rsidR="00675130">
              <w:rPr>
                <w:rFonts w:asciiTheme="majorHAnsi" w:hAnsiTheme="majorHAnsi"/>
                <w:szCs w:val="18"/>
              </w:rPr>
              <w:t>a</w:t>
            </w:r>
            <w:r w:rsidRPr="000C4687">
              <w:rPr>
                <w:rFonts w:asciiTheme="majorHAnsi" w:hAnsiTheme="majorHAnsi"/>
                <w:szCs w:val="18"/>
              </w:rPr>
              <w:t xml:space="preserve">), and </w:t>
            </w:r>
            <w:r w:rsidRPr="000C4687">
              <w:rPr>
                <w:szCs w:val="18"/>
              </w:rPr>
              <w:t>disturbance by pigs is common in other National Parks (</w:t>
            </w:r>
            <w:r w:rsidRPr="000C4687">
              <w:rPr>
                <w:rFonts w:asciiTheme="majorHAnsi" w:eastAsia="Cambria" w:hAnsiTheme="majorHAnsi" w:cs="Arial"/>
                <w:szCs w:val="18"/>
                <w:lang w:val="en-US" w:eastAsia="en-AU"/>
              </w:rPr>
              <w:t>Queensland Government 2013b</w:t>
            </w:r>
            <w:r w:rsidRPr="000C4687">
              <w:rPr>
                <w:szCs w:val="18"/>
              </w:rPr>
              <w:t>).</w:t>
            </w:r>
            <w:r w:rsidRPr="00623E80">
              <w:rPr>
                <w:szCs w:val="18"/>
              </w:rPr>
              <w:t xml:space="preserve"> </w:t>
            </w:r>
          </w:p>
          <w:p w14:paraId="58152EAE" w14:textId="535A6836" w:rsidR="00B648FE" w:rsidRPr="00623E80" w:rsidRDefault="00B648FE" w:rsidP="00B648FE">
            <w:pPr>
              <w:autoSpaceDE w:val="0"/>
              <w:autoSpaceDN w:val="0"/>
              <w:adjustRightInd w:val="0"/>
              <w:spacing w:before="60" w:after="60" w:line="240" w:lineRule="auto"/>
              <w:rPr>
                <w:sz w:val="18"/>
                <w:szCs w:val="18"/>
              </w:rPr>
            </w:pPr>
            <w:r w:rsidRPr="00623E80">
              <w:rPr>
                <w:sz w:val="18"/>
                <w:szCs w:val="18"/>
              </w:rPr>
              <w:t>Pigs eat crayfish (Coughran 2021) and</w:t>
            </w:r>
            <w:r w:rsidRPr="00623E80">
              <w:rPr>
                <w:rFonts w:cs="TimesNewRomanPSMT"/>
                <w:color w:val="000000"/>
                <w:sz w:val="18"/>
                <w:szCs w:val="18"/>
                <w:lang w:val="en-US"/>
              </w:rPr>
              <w:t xml:space="preserve"> are</w:t>
            </w:r>
            <w:r w:rsidRPr="00623E80">
              <w:rPr>
                <w:sz w:val="18"/>
                <w:szCs w:val="18"/>
              </w:rPr>
              <w:t xml:space="preserve"> a serious threat to crayfish in general, but species of burrowing crayfish in particular (e.g. </w:t>
            </w:r>
            <w:r w:rsidRPr="00623E80">
              <w:rPr>
                <w:i/>
                <w:sz w:val="18"/>
                <w:szCs w:val="18"/>
              </w:rPr>
              <w:t>Engaeus martigener</w:t>
            </w:r>
            <w:r w:rsidRPr="00623E80">
              <w:rPr>
                <w:sz w:val="18"/>
                <w:szCs w:val="18"/>
              </w:rPr>
              <w:t>), both through predation and their rooting and wallowing behaviour (DEH 2017).</w:t>
            </w:r>
          </w:p>
          <w:p w14:paraId="3FACA333" w14:textId="70CE3B45" w:rsidR="00B648FE" w:rsidRPr="00551516" w:rsidRDefault="00B648FE" w:rsidP="00B648FE">
            <w:pPr>
              <w:spacing w:before="60" w:after="60" w:line="240" w:lineRule="auto"/>
              <w:rPr>
                <w:color w:val="000000"/>
                <w:sz w:val="18"/>
                <w:szCs w:val="18"/>
                <w:lang w:val="en-US"/>
              </w:rPr>
            </w:pPr>
          </w:p>
        </w:tc>
      </w:tr>
      <w:tr w:rsidR="00B648FE" w:rsidRPr="00A937A2" w14:paraId="57BE41CC" w14:textId="77777777" w:rsidTr="2DB3A534">
        <w:tc>
          <w:tcPr>
            <w:tcW w:w="1718" w:type="dxa"/>
          </w:tcPr>
          <w:p w14:paraId="0D00FEDE" w14:textId="77777777" w:rsidR="00B648FE" w:rsidRPr="00E922C5" w:rsidRDefault="49E08CD3" w:rsidP="738EC405">
            <w:pPr>
              <w:pStyle w:val="TableText"/>
              <w:rPr>
                <w:lang w:val="en-US"/>
              </w:rPr>
            </w:pPr>
            <w:r w:rsidRPr="738EC405">
              <w:rPr>
                <w:lang w:val="en-US"/>
              </w:rPr>
              <w:t>Invasive weeds and weed incursion</w:t>
            </w:r>
          </w:p>
          <w:p w14:paraId="7A3E3342" w14:textId="77777777" w:rsidR="00B648FE" w:rsidRDefault="00B648FE" w:rsidP="00B648FE">
            <w:pPr>
              <w:pStyle w:val="TableText"/>
            </w:pPr>
          </w:p>
        </w:tc>
        <w:tc>
          <w:tcPr>
            <w:tcW w:w="1934" w:type="dxa"/>
          </w:tcPr>
          <w:p w14:paraId="3F41560D" w14:textId="290C7321" w:rsidR="00B648FE" w:rsidRPr="00E922C5" w:rsidRDefault="00B648FE" w:rsidP="00B648FE">
            <w:pPr>
              <w:pStyle w:val="TableText"/>
            </w:pPr>
            <w:r w:rsidRPr="00E922C5">
              <w:t>Status:</w:t>
            </w:r>
            <w:r>
              <w:t xml:space="preserve"> </w:t>
            </w:r>
            <w:r w:rsidR="00756DC3">
              <w:t>future</w:t>
            </w:r>
          </w:p>
          <w:p w14:paraId="6E428D8D" w14:textId="53CB566B" w:rsidR="002060AB" w:rsidRDefault="00B648FE" w:rsidP="002060AB">
            <w:pPr>
              <w:pStyle w:val="TableText"/>
            </w:pPr>
            <w:r w:rsidRPr="00E922C5">
              <w:t>Confidence: known</w:t>
            </w:r>
            <w:r w:rsidR="002060AB">
              <w:t>Likelihood: possible</w:t>
            </w:r>
          </w:p>
          <w:p w14:paraId="3016E4B2" w14:textId="5BDB64E4" w:rsidR="00B648FE" w:rsidRPr="00E922C5" w:rsidRDefault="00B648FE" w:rsidP="00B648FE">
            <w:pPr>
              <w:pStyle w:val="TableText"/>
            </w:pPr>
            <w:r w:rsidRPr="00E922C5">
              <w:t xml:space="preserve">Consequence: </w:t>
            </w:r>
            <w:r w:rsidRPr="003774A2">
              <w:t xml:space="preserve">moderate </w:t>
            </w:r>
          </w:p>
          <w:p w14:paraId="79505435" w14:textId="77777777" w:rsidR="00B648FE" w:rsidRPr="00E922C5" w:rsidRDefault="00B648FE" w:rsidP="00B648FE">
            <w:pPr>
              <w:pStyle w:val="TableText"/>
            </w:pPr>
            <w:r w:rsidRPr="00E922C5">
              <w:t>Trend: increasing</w:t>
            </w:r>
          </w:p>
          <w:p w14:paraId="19BB6367" w14:textId="77777777" w:rsidR="00B648FE" w:rsidRDefault="00B648FE" w:rsidP="00B648FE">
            <w:pPr>
              <w:pStyle w:val="TableText"/>
            </w:pPr>
            <w:r w:rsidRPr="00E922C5">
              <w:t>Extent: across the entire range</w:t>
            </w:r>
          </w:p>
        </w:tc>
        <w:tc>
          <w:tcPr>
            <w:tcW w:w="6095" w:type="dxa"/>
          </w:tcPr>
          <w:p w14:paraId="44E11A7E" w14:textId="0FCD6B19" w:rsidR="00B648FE" w:rsidRDefault="00B648FE" w:rsidP="00172D4D">
            <w:pPr>
              <w:pStyle w:val="TableText"/>
              <w:keepNext/>
              <w:rPr>
                <w:color w:val="000000" w:themeColor="text1"/>
                <w:lang w:val="en-US"/>
              </w:rPr>
            </w:pPr>
            <w:r w:rsidRPr="000F0B84">
              <w:rPr>
                <w:color w:val="000000" w:themeColor="text1"/>
                <w:lang w:val="en-US"/>
              </w:rPr>
              <w:t xml:space="preserve">Weed incursion (i.e. smothering waterbodies and other habitats) </w:t>
            </w:r>
            <w:r w:rsidR="00D95FE2">
              <w:rPr>
                <w:color w:val="000000" w:themeColor="text1"/>
                <w:lang w:val="en-US"/>
              </w:rPr>
              <w:t>is</w:t>
            </w:r>
            <w:r w:rsidR="00803C55">
              <w:rPr>
                <w:color w:val="000000" w:themeColor="text1"/>
                <w:lang w:val="en-US"/>
              </w:rPr>
              <w:t xml:space="preserve"> a major concern </w:t>
            </w:r>
            <w:r w:rsidR="00DA0FD8">
              <w:rPr>
                <w:color w:val="000000" w:themeColor="text1"/>
                <w:lang w:val="en-US"/>
              </w:rPr>
              <w:t xml:space="preserve">in streams of the </w:t>
            </w:r>
            <w:r w:rsidR="00D95FE2">
              <w:rPr>
                <w:color w:val="000000" w:themeColor="text1"/>
                <w:lang w:val="en-US"/>
              </w:rPr>
              <w:t xml:space="preserve">Wet Tropics </w:t>
            </w:r>
            <w:r w:rsidR="001A06C8">
              <w:rPr>
                <w:color w:val="000000" w:themeColor="text1"/>
                <w:lang w:val="en-US"/>
              </w:rPr>
              <w:t xml:space="preserve">(Pearson et al. 2015) </w:t>
            </w:r>
            <w:r w:rsidR="00D95FE2">
              <w:rPr>
                <w:color w:val="000000" w:themeColor="text1"/>
                <w:lang w:val="en-US"/>
              </w:rPr>
              <w:t xml:space="preserve">and </w:t>
            </w:r>
            <w:r w:rsidRPr="000F0B84">
              <w:rPr>
                <w:color w:val="000000" w:themeColor="text1"/>
                <w:lang w:val="en-US"/>
              </w:rPr>
              <w:t>has been identified as a potentially serious threat to other species of freshwater crayfish in Qld (J.</w:t>
            </w:r>
            <w:r>
              <w:rPr>
                <w:color w:val="000000" w:themeColor="text1"/>
                <w:lang w:val="en-US"/>
              </w:rPr>
              <w:t xml:space="preserve"> M.</w:t>
            </w:r>
            <w:r w:rsidRPr="000F0B84">
              <w:rPr>
                <w:color w:val="000000" w:themeColor="text1"/>
                <w:lang w:val="en-US"/>
              </w:rPr>
              <w:t xml:space="preserve"> Furse 2021 unpub).</w:t>
            </w:r>
          </w:p>
          <w:p w14:paraId="0AC236D5" w14:textId="4DED3541" w:rsidR="00B648FE" w:rsidRPr="000F0B84" w:rsidRDefault="00B648FE" w:rsidP="00B648FE">
            <w:pPr>
              <w:pStyle w:val="TableText"/>
            </w:pPr>
            <w:r>
              <w:rPr>
                <w:color w:val="000000" w:themeColor="text1"/>
                <w:lang w:val="en-US"/>
              </w:rPr>
              <w:t xml:space="preserve">Some 17 </w:t>
            </w:r>
            <w:r w:rsidRPr="000F0B84">
              <w:rPr>
                <w:color w:val="000000" w:themeColor="text1"/>
                <w:lang w:val="en-US"/>
              </w:rPr>
              <w:t xml:space="preserve">highly invasive non-native species of vegetation are known to exist in </w:t>
            </w:r>
            <w:r w:rsidRPr="006119AF">
              <w:rPr>
                <w:rFonts w:asciiTheme="majorHAnsi" w:hAnsiTheme="majorHAnsi"/>
                <w:szCs w:val="18"/>
              </w:rPr>
              <w:t>Wooroonooran</w:t>
            </w:r>
            <w:r>
              <w:rPr>
                <w:rFonts w:asciiTheme="majorHAnsi" w:hAnsiTheme="majorHAnsi"/>
                <w:szCs w:val="18"/>
              </w:rPr>
              <w:t xml:space="preserve"> </w:t>
            </w:r>
            <w:r w:rsidR="00425FC4">
              <w:rPr>
                <w:rFonts w:asciiTheme="majorHAnsi" w:hAnsiTheme="majorHAnsi"/>
                <w:szCs w:val="18"/>
              </w:rPr>
              <w:t xml:space="preserve">National Park </w:t>
            </w:r>
            <w:r w:rsidRPr="000F0B84">
              <w:rPr>
                <w:color w:val="000000" w:themeColor="text1"/>
                <w:lang w:val="en-US"/>
              </w:rPr>
              <w:t>(</w:t>
            </w:r>
            <w:r w:rsidRPr="00914CAE">
              <w:rPr>
                <w:color w:val="000000" w:themeColor="text1"/>
                <w:szCs w:val="18"/>
                <w:lang w:val="en-US"/>
              </w:rPr>
              <w:t xml:space="preserve">e.g., </w:t>
            </w:r>
            <w:r w:rsidRPr="00914CAE">
              <w:rPr>
                <w:rFonts w:cs="TimesNewRomanPS-ItalicMT"/>
                <w:i/>
                <w:iCs/>
                <w:color w:val="000000" w:themeColor="text1"/>
                <w:szCs w:val="18"/>
                <w:lang w:val="en-US"/>
              </w:rPr>
              <w:t>Lantana camara</w:t>
            </w:r>
            <w:r w:rsidRPr="00914CAE">
              <w:rPr>
                <w:rFonts w:cs="TimesNewRomanPS-ItalicMT"/>
                <w:iCs/>
                <w:color w:val="000000" w:themeColor="text1"/>
                <w:szCs w:val="18"/>
                <w:lang w:val="en-US"/>
              </w:rPr>
              <w:t xml:space="preserve">, </w:t>
            </w:r>
            <w:r w:rsidRPr="006119AF">
              <w:rPr>
                <w:i/>
                <w:iCs/>
                <w:szCs w:val="18"/>
              </w:rPr>
              <w:t>Miconia calvescens</w:t>
            </w:r>
            <w:r>
              <w:rPr>
                <w:i/>
                <w:iCs/>
                <w:szCs w:val="18"/>
              </w:rPr>
              <w:t xml:space="preserve"> </w:t>
            </w:r>
            <w:r>
              <w:rPr>
                <w:iCs/>
                <w:szCs w:val="18"/>
              </w:rPr>
              <w:t>[</w:t>
            </w:r>
            <w:r w:rsidRPr="006119AF">
              <w:rPr>
                <w:iCs/>
                <w:szCs w:val="18"/>
              </w:rPr>
              <w:t>V</w:t>
            </w:r>
            <w:r>
              <w:rPr>
                <w:iCs/>
                <w:szCs w:val="18"/>
              </w:rPr>
              <w:t>elvet tree, M</w:t>
            </w:r>
            <w:r w:rsidRPr="006119AF">
              <w:rPr>
                <w:iCs/>
                <w:szCs w:val="18"/>
              </w:rPr>
              <w:t xml:space="preserve">iconia, or </w:t>
            </w:r>
            <w:r>
              <w:rPr>
                <w:iCs/>
                <w:szCs w:val="18"/>
              </w:rPr>
              <w:t>B</w:t>
            </w:r>
            <w:r w:rsidRPr="006119AF">
              <w:rPr>
                <w:iCs/>
                <w:szCs w:val="18"/>
              </w:rPr>
              <w:t>ush currant</w:t>
            </w:r>
            <w:r>
              <w:rPr>
                <w:iCs/>
                <w:szCs w:val="18"/>
              </w:rPr>
              <w:t>])</w:t>
            </w:r>
            <w:r w:rsidRPr="00664B14">
              <w:t xml:space="preserve"> (</w:t>
            </w:r>
            <w:r w:rsidRPr="00664B14">
              <w:rPr>
                <w:rFonts w:asciiTheme="majorHAnsi" w:eastAsia="Cambria" w:hAnsiTheme="majorHAnsi" w:cs="Arial"/>
                <w:szCs w:val="24"/>
                <w:lang w:val="en-US" w:eastAsia="en-AU"/>
              </w:rPr>
              <w:t>Queensland Government 2013</w:t>
            </w:r>
            <w:r>
              <w:rPr>
                <w:rFonts w:asciiTheme="majorHAnsi" w:eastAsia="Cambria" w:hAnsiTheme="majorHAnsi" w:cs="Arial"/>
                <w:szCs w:val="24"/>
                <w:lang w:val="en-US" w:eastAsia="en-AU"/>
              </w:rPr>
              <w:t>a</w:t>
            </w:r>
            <w:r w:rsidRPr="00664B14">
              <w:t>)</w:t>
            </w:r>
            <w:r>
              <w:t xml:space="preserve">. </w:t>
            </w:r>
            <w:r w:rsidRPr="00914CAE">
              <w:rPr>
                <w:color w:val="000000" w:themeColor="text1"/>
                <w:lang w:val="en-US"/>
              </w:rPr>
              <w:t xml:space="preserve">In </w:t>
            </w:r>
            <w:r>
              <w:rPr>
                <w:color w:val="000000" w:themeColor="text1"/>
                <w:lang w:val="en-US"/>
              </w:rPr>
              <w:t xml:space="preserve">similar habitats in </w:t>
            </w:r>
            <w:r w:rsidRPr="00914CAE">
              <w:rPr>
                <w:color w:val="000000" w:themeColor="text1"/>
                <w:lang w:val="en-US"/>
              </w:rPr>
              <w:t>the subtropical rainforests of the Qld-NSW border, dense stands of lantana quickly establish in the exposed areas created by tree falls and landslides (Stock 2004)</w:t>
            </w:r>
            <w:r>
              <w:rPr>
                <w:color w:val="000000" w:themeColor="text1"/>
                <w:lang w:val="en-US"/>
              </w:rPr>
              <w:t xml:space="preserve"> and similar infestations are reported in nearby National Parks (e.g. </w:t>
            </w:r>
            <w:r w:rsidRPr="009A50CD">
              <w:t>Koombooloomba</w:t>
            </w:r>
            <w:r>
              <w:t xml:space="preserve"> N</w:t>
            </w:r>
            <w:r w:rsidR="00B61C4E">
              <w:t xml:space="preserve">ational </w:t>
            </w:r>
            <w:r>
              <w:t>P</w:t>
            </w:r>
            <w:r w:rsidR="00B61C4E">
              <w:t>ark</w:t>
            </w:r>
            <w:r>
              <w:t xml:space="preserve">) </w:t>
            </w:r>
            <w:r w:rsidRPr="00664B14">
              <w:t>(</w:t>
            </w:r>
            <w:r w:rsidRPr="00664B14">
              <w:rPr>
                <w:rFonts w:asciiTheme="majorHAnsi" w:eastAsia="Cambria" w:hAnsiTheme="majorHAnsi" w:cs="Arial"/>
                <w:szCs w:val="24"/>
                <w:lang w:val="en-US" w:eastAsia="en-AU"/>
              </w:rPr>
              <w:t>Queensland Government 2013</w:t>
            </w:r>
            <w:r>
              <w:rPr>
                <w:rFonts w:asciiTheme="majorHAnsi" w:eastAsia="Cambria" w:hAnsiTheme="majorHAnsi" w:cs="Arial"/>
                <w:szCs w:val="24"/>
                <w:lang w:val="en-US" w:eastAsia="en-AU"/>
              </w:rPr>
              <w:t>b</w:t>
            </w:r>
            <w:r w:rsidRPr="00664B14">
              <w:t>)</w:t>
            </w:r>
            <w:r w:rsidRPr="00914CAE">
              <w:rPr>
                <w:color w:val="000000" w:themeColor="text1"/>
                <w:lang w:val="en-US"/>
              </w:rPr>
              <w:t>.</w:t>
            </w:r>
            <w:r w:rsidRPr="000F0B84">
              <w:rPr>
                <w:color w:val="000000" w:themeColor="text1"/>
                <w:lang w:val="en-US"/>
              </w:rPr>
              <w:t xml:space="preserve"> These infestations can be very extensive, and persist until a substantial vegetative canopy reestablishes. The incursion of a single weed species has the potential to quickly smother habitat in the distribution</w:t>
            </w:r>
            <w:r>
              <w:rPr>
                <w:color w:val="000000" w:themeColor="text1"/>
                <w:lang w:val="en-US"/>
              </w:rPr>
              <w:t xml:space="preserve"> of this species</w:t>
            </w:r>
            <w:r w:rsidRPr="000F0B84">
              <w:rPr>
                <w:color w:val="000000" w:themeColor="text1"/>
                <w:lang w:val="en-US"/>
              </w:rPr>
              <w:t>.</w:t>
            </w:r>
          </w:p>
        </w:tc>
      </w:tr>
      <w:tr w:rsidR="00B648FE" w:rsidRPr="00A937A2" w14:paraId="49AC509B" w14:textId="77777777" w:rsidTr="2DB3A534">
        <w:tc>
          <w:tcPr>
            <w:tcW w:w="9747" w:type="dxa"/>
            <w:gridSpan w:val="3"/>
          </w:tcPr>
          <w:p w14:paraId="38EF26B2" w14:textId="77777777" w:rsidR="00B648FE" w:rsidRPr="00E922C5" w:rsidRDefault="00B648FE" w:rsidP="00B648FE">
            <w:pPr>
              <w:pStyle w:val="TableText"/>
              <w:rPr>
                <w:color w:val="000000"/>
                <w:lang w:val="en-US"/>
              </w:rPr>
            </w:pPr>
            <w:r>
              <w:rPr>
                <w:color w:val="000000"/>
                <w:lang w:val="en-US"/>
              </w:rPr>
              <w:t>Disease</w:t>
            </w:r>
          </w:p>
        </w:tc>
      </w:tr>
      <w:tr w:rsidR="00B42A86" w:rsidRPr="00A937A2" w14:paraId="4F66CA4D" w14:textId="77777777" w:rsidTr="2DB3A534">
        <w:tc>
          <w:tcPr>
            <w:tcW w:w="1718" w:type="dxa"/>
          </w:tcPr>
          <w:p w14:paraId="729D3142" w14:textId="2D0CD2AD" w:rsidR="00B42A86" w:rsidRPr="00E922C5" w:rsidRDefault="00B42A86" w:rsidP="00B42A86">
            <w:pPr>
              <w:pStyle w:val="TableText"/>
              <w:rPr>
                <w:lang w:val="en-US"/>
              </w:rPr>
            </w:pPr>
            <w:r>
              <w:rPr>
                <w:lang w:val="en-US"/>
              </w:rPr>
              <w:t>Crayfish plague</w:t>
            </w:r>
            <w:r w:rsidR="00EB796D">
              <w:rPr>
                <w:lang w:val="en-US"/>
              </w:rPr>
              <w:t xml:space="preserve"> </w:t>
            </w:r>
            <w:r w:rsidR="00EB796D" w:rsidRPr="00B451D8">
              <w:rPr>
                <w:rStyle w:val="normaltextrun"/>
                <w:rFonts w:cs="Segoe UI"/>
                <w:color w:val="000000"/>
              </w:rPr>
              <w:t>(</w:t>
            </w:r>
            <w:r w:rsidR="00EB796D" w:rsidRPr="00B451D8">
              <w:rPr>
                <w:rStyle w:val="normaltextrun"/>
                <w:rFonts w:cs="Segoe UI"/>
                <w:i/>
                <w:iCs/>
                <w:color w:val="000000"/>
              </w:rPr>
              <w:t>Aphanomyces astaci)</w:t>
            </w:r>
          </w:p>
        </w:tc>
        <w:tc>
          <w:tcPr>
            <w:tcW w:w="1934" w:type="dxa"/>
          </w:tcPr>
          <w:p w14:paraId="274AFEC0" w14:textId="1EECD48C" w:rsidR="00B42A86" w:rsidRPr="00A31A9B" w:rsidRDefault="00B42A86" w:rsidP="00B42A86">
            <w:pPr>
              <w:pStyle w:val="TableText"/>
            </w:pPr>
            <w:r>
              <w:t>Timing</w:t>
            </w:r>
            <w:r w:rsidRPr="00A31A9B">
              <w:t xml:space="preserve">: </w:t>
            </w:r>
            <w:r>
              <w:t>future</w:t>
            </w:r>
          </w:p>
          <w:p w14:paraId="031BD4BC" w14:textId="77777777" w:rsidR="00B42A86" w:rsidRDefault="00B42A86" w:rsidP="00B42A86">
            <w:pPr>
              <w:pStyle w:val="TableText"/>
            </w:pPr>
            <w:r w:rsidRPr="00A31A9B">
              <w:t xml:space="preserve">Confidence: </w:t>
            </w:r>
            <w:r>
              <w:t>projected</w:t>
            </w:r>
          </w:p>
          <w:p w14:paraId="5DBCE0A0" w14:textId="7ED956C8" w:rsidR="00B42A86" w:rsidRPr="00A31A9B" w:rsidRDefault="00B42A86" w:rsidP="00B42A86">
            <w:pPr>
              <w:pStyle w:val="TableText"/>
            </w:pPr>
            <w:r>
              <w:t>Likelihood: possible</w:t>
            </w:r>
          </w:p>
          <w:p w14:paraId="32023A09" w14:textId="77777777" w:rsidR="00B42A86" w:rsidRPr="00A31A9B" w:rsidRDefault="00B42A86" w:rsidP="00B42A86">
            <w:pPr>
              <w:pStyle w:val="TableText"/>
            </w:pPr>
            <w:r w:rsidRPr="00A31A9B">
              <w:t xml:space="preserve">Consequence: </w:t>
            </w:r>
            <w:r w:rsidRPr="00A31A9B">
              <w:rPr>
                <w:lang w:val="en-US"/>
              </w:rPr>
              <w:t>catastrophic</w:t>
            </w:r>
          </w:p>
          <w:p w14:paraId="1A7948EF" w14:textId="77777777" w:rsidR="00B42A86" w:rsidRPr="00A31A9B" w:rsidRDefault="00B42A86" w:rsidP="00B42A86">
            <w:pPr>
              <w:pStyle w:val="TableText"/>
            </w:pPr>
            <w:r w:rsidRPr="00A31A9B">
              <w:t xml:space="preserve">Trend: </w:t>
            </w:r>
            <w:r>
              <w:t>unknown</w:t>
            </w:r>
          </w:p>
          <w:p w14:paraId="4418A25B" w14:textId="39EFAE40" w:rsidR="00B42A86" w:rsidRPr="00E922C5" w:rsidRDefault="00B42A86" w:rsidP="00B42A86">
            <w:pPr>
              <w:pStyle w:val="TableText"/>
            </w:pPr>
            <w:r w:rsidRPr="00A31A9B">
              <w:t>Extent: across entire range</w:t>
            </w:r>
          </w:p>
        </w:tc>
        <w:tc>
          <w:tcPr>
            <w:tcW w:w="6095" w:type="dxa"/>
          </w:tcPr>
          <w:p w14:paraId="001956FA" w14:textId="0E3992CB" w:rsidR="00B42A86" w:rsidRDefault="00B42A86" w:rsidP="00B42A86">
            <w:pPr>
              <w:pStyle w:val="TableText"/>
              <w:rPr>
                <w:lang w:val="en-US"/>
              </w:rPr>
            </w:pPr>
            <w:r w:rsidRPr="30D87E74">
              <w:rPr>
                <w:i/>
                <w:iCs/>
                <w:lang w:val="en-US"/>
              </w:rPr>
              <w:t>Aphanomyces astaci</w:t>
            </w:r>
            <w:r w:rsidRPr="30D87E74">
              <w:rPr>
                <w:lang w:val="en-US"/>
              </w:rPr>
              <w:t xml:space="preserve"> (crayfish plague) is a highly contagious fungal disease that is uniformly fatal (100% mortality) to susceptible species (Panteleit et al. 2017), and it is considered one of the world’s worst invasive species (Lowe et al. 2000). Crayfish plague, introduced from North America, has devastated populations of native species of freshwater crayfish in Europe and Asia (Panteleit et al. 2017). In Scandinavia, national declines in crayfish populations were up to 80% and</w:t>
            </w:r>
            <w:r>
              <w:rPr>
                <w:lang w:val="en-US"/>
              </w:rPr>
              <w:t xml:space="preserve"> some</w:t>
            </w:r>
            <w:r w:rsidRPr="30D87E74">
              <w:rPr>
                <w:lang w:val="en-US"/>
              </w:rPr>
              <w:t xml:space="preserve"> lakes where crayfish </w:t>
            </w:r>
            <w:r>
              <w:rPr>
                <w:lang w:val="en-US"/>
              </w:rPr>
              <w:t>were eliminated</w:t>
            </w:r>
            <w:r w:rsidRPr="30D87E74">
              <w:rPr>
                <w:lang w:val="en-US"/>
              </w:rPr>
              <w:t xml:space="preserve"> became choked with aquatic plants </w:t>
            </w:r>
            <w:r>
              <w:rPr>
                <w:rFonts w:asciiTheme="majorHAnsi" w:eastAsiaTheme="majorEastAsia" w:hAnsiTheme="majorHAnsi" w:cstheme="majorBidi"/>
                <w:color w:val="000000" w:themeColor="text1"/>
                <w:szCs w:val="20"/>
                <w:lang w:val="en-US"/>
              </w:rPr>
              <w:t>(</w:t>
            </w:r>
            <w:r w:rsidRPr="00B67B4F">
              <w:rPr>
                <w:rFonts w:asciiTheme="majorHAnsi" w:hAnsiTheme="majorHAnsi"/>
              </w:rPr>
              <w:t xml:space="preserve">Abrahamsson </w:t>
            </w:r>
            <w:r>
              <w:rPr>
                <w:rFonts w:asciiTheme="majorHAnsi" w:hAnsiTheme="majorHAnsi"/>
              </w:rPr>
              <w:t>1</w:t>
            </w:r>
            <w:r w:rsidRPr="00B67B4F">
              <w:rPr>
                <w:rFonts w:asciiTheme="majorHAnsi" w:hAnsiTheme="majorHAnsi"/>
              </w:rPr>
              <w:t>966)</w:t>
            </w:r>
            <w:r w:rsidRPr="30D87E74">
              <w:rPr>
                <w:lang w:val="en-US"/>
              </w:rPr>
              <w:t>.</w:t>
            </w:r>
          </w:p>
          <w:p w14:paraId="672A6718" w14:textId="77777777" w:rsidR="00B42A86" w:rsidRPr="00511B48" w:rsidRDefault="00B42A86" w:rsidP="00B42A86">
            <w:pPr>
              <w:pStyle w:val="TableText"/>
              <w:rPr>
                <w:lang w:val="en-US"/>
              </w:rPr>
            </w:pPr>
            <w:r w:rsidRPr="30D87E74">
              <w:rPr>
                <w:lang w:val="en-US"/>
              </w:rPr>
              <w:t xml:space="preserve">Many strains of the disease prefer cooler temperatures, which is </w:t>
            </w:r>
            <w:r>
              <w:rPr>
                <w:lang w:val="en-US"/>
              </w:rPr>
              <w:t xml:space="preserve">characteristic </w:t>
            </w:r>
            <w:r w:rsidRPr="30D87E74">
              <w:rPr>
                <w:lang w:val="en-US"/>
              </w:rPr>
              <w:t xml:space="preserve">of </w:t>
            </w:r>
            <w:r>
              <w:rPr>
                <w:lang w:val="en-US"/>
              </w:rPr>
              <w:t>this species habitat</w:t>
            </w:r>
            <w:r w:rsidRPr="30D87E74">
              <w:rPr>
                <w:lang w:val="en-US"/>
              </w:rPr>
              <w:t xml:space="preserve">. Crayfish </w:t>
            </w:r>
            <w:r w:rsidRPr="00A80393">
              <w:rPr>
                <w:lang w:val="en-US"/>
              </w:rPr>
              <w:t>plague</w:t>
            </w:r>
            <w:r w:rsidRPr="00702153">
              <w:rPr>
                <w:lang w:val="en-US"/>
              </w:rPr>
              <w:t xml:space="preserve"> is not currently known</w:t>
            </w:r>
            <w:r w:rsidRPr="30D87E74">
              <w:rPr>
                <w:lang w:val="en-US"/>
              </w:rPr>
              <w:t xml:space="preserve"> in Australia, but is documented as fatal to Australian freshwater crayfish (Unestam 1975), and it is listed on Australia’s National List of Reportable Diseases of Aquatic Animals (</w:t>
            </w:r>
            <w:r w:rsidRPr="30D87E74">
              <w:rPr>
                <w:rFonts w:asciiTheme="majorHAnsi" w:hAnsiTheme="majorHAnsi"/>
              </w:rPr>
              <w:t>Animal Health Committee 2020</w:t>
            </w:r>
            <w:r w:rsidRPr="30D87E74">
              <w:rPr>
                <w:lang w:val="en-US"/>
              </w:rPr>
              <w:t>). It poses an extremely high risk to native freshwater crayfish species</w:t>
            </w:r>
            <w:r>
              <w:rPr>
                <w:lang w:val="en-US"/>
              </w:rPr>
              <w:t xml:space="preserve"> when it reaches Australia </w:t>
            </w:r>
            <w:r w:rsidRPr="30D87E74">
              <w:rPr>
                <w:lang w:val="en-US"/>
              </w:rPr>
              <w:t xml:space="preserve">(DAWE 2019). </w:t>
            </w:r>
          </w:p>
          <w:p w14:paraId="60C1FF5A" w14:textId="52B30856" w:rsidR="00B42A86" w:rsidRDefault="00B42A86" w:rsidP="00B42A86">
            <w:pPr>
              <w:pStyle w:val="TableText"/>
              <w:rPr>
                <w:lang w:val="en-US"/>
              </w:rPr>
            </w:pPr>
            <w:r>
              <w:rPr>
                <w:lang w:val="en-US"/>
              </w:rPr>
              <w:t xml:space="preserve">The vector for the movement of </w:t>
            </w:r>
            <w:r w:rsidRPr="30D87E74">
              <w:rPr>
                <w:i/>
                <w:iCs/>
                <w:lang w:val="en-US"/>
              </w:rPr>
              <w:t>A</w:t>
            </w:r>
            <w:r>
              <w:rPr>
                <w:i/>
                <w:iCs/>
                <w:lang w:val="en-US"/>
              </w:rPr>
              <w:t>.</w:t>
            </w:r>
            <w:r w:rsidRPr="30D87E74">
              <w:rPr>
                <w:i/>
                <w:iCs/>
                <w:lang w:val="en-US"/>
              </w:rPr>
              <w:t xml:space="preserve"> astaci</w:t>
            </w:r>
            <w:r>
              <w:rPr>
                <w:i/>
                <w:iCs/>
                <w:lang w:val="en-US"/>
              </w:rPr>
              <w:t xml:space="preserve"> </w:t>
            </w:r>
            <w:r>
              <w:rPr>
                <w:lang w:val="en-US"/>
              </w:rPr>
              <w:t xml:space="preserve">outside of its native range was the translocation of North American crayfish, in particular, </w:t>
            </w:r>
            <w:r w:rsidRPr="003A678B">
              <w:rPr>
                <w:i/>
                <w:lang w:val="en-US"/>
              </w:rPr>
              <w:t>Pacifastacus lenius</w:t>
            </w:r>
            <w:r>
              <w:rPr>
                <w:i/>
                <w:lang w:val="en-US"/>
              </w:rPr>
              <w:t>c</w:t>
            </w:r>
            <w:r w:rsidRPr="003A678B">
              <w:rPr>
                <w:i/>
                <w:lang w:val="en-US"/>
              </w:rPr>
              <w:t>ulus</w:t>
            </w:r>
            <w:r>
              <w:rPr>
                <w:lang w:val="en-US"/>
              </w:rPr>
              <w:t xml:space="preserve">  (signal crayfish) and </w:t>
            </w:r>
            <w:r w:rsidRPr="003A678B">
              <w:rPr>
                <w:i/>
                <w:lang w:val="en-US"/>
              </w:rPr>
              <w:t>Procambar</w:t>
            </w:r>
            <w:r>
              <w:rPr>
                <w:i/>
                <w:lang w:val="en-US"/>
              </w:rPr>
              <w:t>u</w:t>
            </w:r>
            <w:r w:rsidRPr="003A678B">
              <w:rPr>
                <w:i/>
                <w:lang w:val="en-US"/>
              </w:rPr>
              <w:t xml:space="preserve">s </w:t>
            </w:r>
            <w:r w:rsidRPr="00A34089">
              <w:rPr>
                <w:i/>
                <w:lang w:val="en-US"/>
              </w:rPr>
              <w:t>clarkii</w:t>
            </w:r>
            <w:r w:rsidRPr="00A34089">
              <w:rPr>
                <w:lang w:val="en-US"/>
              </w:rPr>
              <w:t xml:space="preserve"> </w:t>
            </w:r>
            <w:r>
              <w:rPr>
                <w:lang w:val="en-US"/>
              </w:rPr>
              <w:t xml:space="preserve">(Girard) </w:t>
            </w:r>
            <w:r w:rsidRPr="00A34089">
              <w:rPr>
                <w:lang w:val="en-US"/>
              </w:rPr>
              <w:t>(</w:t>
            </w:r>
            <w:r w:rsidRPr="00AB115C">
              <w:rPr>
                <w:lang w:val="en-US"/>
              </w:rPr>
              <w:t>red swamp</w:t>
            </w:r>
            <w:r>
              <w:rPr>
                <w:lang w:val="en-US"/>
              </w:rPr>
              <w:t xml:space="preserve"> crayfish). </w:t>
            </w:r>
            <w:r w:rsidRPr="00276E90">
              <w:rPr>
                <w:lang w:val="en-US"/>
              </w:rPr>
              <w:t>Infected crayfish</w:t>
            </w:r>
            <w:r>
              <w:rPr>
                <w:lang w:val="en-US"/>
              </w:rPr>
              <w:t xml:space="preserve"> </w:t>
            </w:r>
            <w:r w:rsidRPr="00276E90">
              <w:rPr>
                <w:lang w:val="en-US"/>
              </w:rPr>
              <w:t>from the Americas</w:t>
            </w:r>
            <w:r>
              <w:rPr>
                <w:lang w:val="en-US"/>
              </w:rPr>
              <w:t xml:space="preserve"> </w:t>
            </w:r>
            <w:r w:rsidRPr="00276E90">
              <w:rPr>
                <w:lang w:val="en-US"/>
              </w:rPr>
              <w:t xml:space="preserve">are </w:t>
            </w:r>
            <w:r>
              <w:rPr>
                <w:lang w:val="en-US"/>
              </w:rPr>
              <w:t>resistant</w:t>
            </w:r>
            <w:r w:rsidRPr="00276E90">
              <w:rPr>
                <w:lang w:val="en-US"/>
              </w:rPr>
              <w:t xml:space="preserve"> carriers, </w:t>
            </w:r>
            <w:r>
              <w:rPr>
                <w:lang w:val="en-US"/>
              </w:rPr>
              <w:t>and</w:t>
            </w:r>
            <w:r w:rsidRPr="00276E90">
              <w:rPr>
                <w:lang w:val="en-US"/>
              </w:rPr>
              <w:t xml:space="preserve"> are </w:t>
            </w:r>
            <w:r>
              <w:rPr>
                <w:lang w:val="en-US"/>
              </w:rPr>
              <w:t xml:space="preserve">largely </w:t>
            </w:r>
            <w:r w:rsidRPr="00276E90">
              <w:rPr>
                <w:lang w:val="en-US"/>
              </w:rPr>
              <w:t xml:space="preserve">unaffected by the </w:t>
            </w:r>
            <w:r>
              <w:rPr>
                <w:lang w:val="en-US"/>
              </w:rPr>
              <w:t>disease (DAWE 2019)</w:t>
            </w:r>
            <w:r w:rsidRPr="00276E90">
              <w:rPr>
                <w:lang w:val="en-US"/>
              </w:rPr>
              <w:t xml:space="preserve">. </w:t>
            </w:r>
            <w:r>
              <w:rPr>
                <w:lang w:val="en-US"/>
              </w:rPr>
              <w:t>Illegally imported specimens of r</w:t>
            </w:r>
            <w:r w:rsidRPr="00AB115C">
              <w:rPr>
                <w:lang w:val="en-US"/>
              </w:rPr>
              <w:t>ed swamp</w:t>
            </w:r>
            <w:r>
              <w:rPr>
                <w:lang w:val="en-US"/>
              </w:rPr>
              <w:t xml:space="preserve"> crayfish have been seized in multiple Australian states (Department of Primary Industries &amp; Regional Development 2021; </w:t>
            </w:r>
            <w:r w:rsidRPr="0067023B">
              <w:rPr>
                <w:lang w:val="en-US"/>
              </w:rPr>
              <w:t>Business Queensland</w:t>
            </w:r>
            <w:r>
              <w:rPr>
                <w:lang w:val="en-US"/>
              </w:rPr>
              <w:t xml:space="preserve"> 2021), but not known to be infected. </w:t>
            </w:r>
          </w:p>
          <w:p w14:paraId="0D6DFBEF" w14:textId="77777777" w:rsidR="00B42A86" w:rsidRPr="00E922C5" w:rsidRDefault="00B42A86" w:rsidP="00B42A86">
            <w:pPr>
              <w:pStyle w:val="TableText"/>
              <w:rPr>
                <w:color w:val="000000"/>
                <w:lang w:val="en-US"/>
              </w:rPr>
            </w:pPr>
            <w:r w:rsidRPr="30D87E74">
              <w:rPr>
                <w:lang w:val="en-US"/>
              </w:rPr>
              <w:t xml:space="preserve">A single, illegally-imported crayfish, infected with crayfish plague has the capacity, via an unlicensed/illegal collector vector (or aquarium discard), to devastate the entire Australian crayfish fauna. Increasing illegal wildlife/aquarium trade appreciably increases the </w:t>
            </w:r>
            <w:r w:rsidRPr="007363F0">
              <w:rPr>
                <w:lang w:val="en-US"/>
              </w:rPr>
              <w:t>risk</w:t>
            </w:r>
            <w:r w:rsidRPr="30D87E74">
              <w:rPr>
                <w:lang w:val="en-US"/>
              </w:rPr>
              <w:t xml:space="preserve"> of the disease’s introduction to Australia</w:t>
            </w:r>
            <w:r>
              <w:rPr>
                <w:lang w:val="en-US"/>
              </w:rPr>
              <w:t xml:space="preserve"> (Furse 2014)</w:t>
            </w:r>
            <w:r w:rsidRPr="30D87E74">
              <w:rPr>
                <w:lang w:val="en-US"/>
              </w:rPr>
              <w:t xml:space="preserve">. </w:t>
            </w:r>
          </w:p>
        </w:tc>
      </w:tr>
    </w:tbl>
    <w:p w14:paraId="356BDAF1" w14:textId="77777777" w:rsidR="00557ED0" w:rsidRPr="009A615F" w:rsidRDefault="00557ED0" w:rsidP="00557ED0">
      <w:pPr>
        <w:pStyle w:val="FigureTableNoteSource"/>
      </w:pPr>
      <w:bookmarkStart w:id="8" w:name="_Toc430782162"/>
      <w:bookmarkStart w:id="9" w:name="_Toc511376531"/>
      <w:r w:rsidRPr="009F4586">
        <w:rPr>
          <w:vertAlign w:val="superscript"/>
        </w:rPr>
        <w:t>a</w:t>
      </w:r>
      <w:r>
        <w:t>Timing</w:t>
      </w:r>
      <w:r w:rsidRPr="009A615F">
        <w:t>—identif</w:t>
      </w:r>
      <w:r>
        <w:t>ies</w:t>
      </w:r>
      <w:r w:rsidRPr="009A615F">
        <w:t xml:space="preserve"> the temporal nature of the threat</w:t>
      </w:r>
    </w:p>
    <w:p w14:paraId="05BB29C5" w14:textId="77777777" w:rsidR="00557ED0" w:rsidRPr="009A615F" w:rsidRDefault="00557ED0" w:rsidP="00557ED0">
      <w:pPr>
        <w:pStyle w:val="FigureTableNoteSource"/>
      </w:pPr>
      <w:r w:rsidRPr="009A615F">
        <w:t>Confidence—identif</w:t>
      </w:r>
      <w:r>
        <w:t>ies</w:t>
      </w:r>
      <w:r w:rsidRPr="009A615F">
        <w:t xml:space="preserve"> the </w:t>
      </w:r>
      <w:r>
        <w:t>nature of the evidence about</w:t>
      </w:r>
      <w:r w:rsidRPr="009A615F">
        <w:t xml:space="preserve"> the impact of the threat on the species</w:t>
      </w:r>
    </w:p>
    <w:p w14:paraId="783E125A" w14:textId="77777777" w:rsidR="00557ED0" w:rsidRDefault="00557ED0" w:rsidP="00557ED0">
      <w:pPr>
        <w:pStyle w:val="FigureTableNoteSource"/>
      </w:pPr>
      <w:r>
        <w:t>Likelihood</w:t>
      </w:r>
      <w:r w:rsidRPr="009A615F">
        <w:t>—identif</w:t>
      </w:r>
      <w:r>
        <w:t>ies</w:t>
      </w:r>
      <w:r w:rsidRPr="009A615F">
        <w:t xml:space="preserve"> the</w:t>
      </w:r>
      <w:r>
        <w:t xml:space="preserve"> likelihood of the threat impacting on the whole population or extent of the species</w:t>
      </w:r>
    </w:p>
    <w:p w14:paraId="0052F1D9" w14:textId="77777777" w:rsidR="00557ED0" w:rsidRPr="009A615F" w:rsidRDefault="00557ED0" w:rsidP="00557ED0">
      <w:pPr>
        <w:pStyle w:val="FigureTableNoteSource"/>
      </w:pPr>
      <w:r w:rsidRPr="009A615F">
        <w:t>Consequence—identif</w:t>
      </w:r>
      <w:r>
        <w:t>ies</w:t>
      </w:r>
      <w:r w:rsidRPr="009A615F">
        <w:t xml:space="preserve"> the severity of the threat</w:t>
      </w:r>
    </w:p>
    <w:p w14:paraId="0914BBB8" w14:textId="77777777" w:rsidR="00557ED0" w:rsidRPr="009A615F" w:rsidRDefault="00557ED0" w:rsidP="00557ED0">
      <w:pPr>
        <w:pStyle w:val="FigureTableNoteSource"/>
      </w:pPr>
      <w:r w:rsidRPr="009A615F">
        <w:t>Trend—identif</w:t>
      </w:r>
      <w:r>
        <w:t>ies</w:t>
      </w:r>
      <w:r w:rsidRPr="009A615F">
        <w:t xml:space="preserve"> the extent to which it will continue to operate on the species</w:t>
      </w:r>
    </w:p>
    <w:p w14:paraId="7B7249EC" w14:textId="77777777" w:rsidR="00557ED0" w:rsidRDefault="00557ED0" w:rsidP="00557ED0">
      <w:pPr>
        <w:pStyle w:val="FigureTableNoteSource"/>
      </w:pPr>
      <w:r w:rsidRPr="009A615F">
        <w:t>Extent—identif</w:t>
      </w:r>
      <w:r>
        <w:t>ies</w:t>
      </w:r>
      <w:r w:rsidRPr="009A615F">
        <w:t xml:space="preserve"> its spatial conte</w:t>
      </w:r>
      <w:r>
        <w:t>x</w:t>
      </w:r>
      <w:r w:rsidRPr="009A615F">
        <w:t>t in terms of the range of the species</w:t>
      </w:r>
    </w:p>
    <w:p w14:paraId="6A8AE745" w14:textId="77777777" w:rsidR="00557ED0" w:rsidRPr="008177A6" w:rsidRDefault="00557ED0" w:rsidP="00557ED0">
      <w:pPr>
        <w:pStyle w:val="FigureTableNoteSource"/>
      </w:pPr>
      <w:r w:rsidRPr="008177A6">
        <w:rPr>
          <w:vertAlign w:val="superscript"/>
        </w:rPr>
        <w:t>b</w:t>
      </w:r>
      <w:r w:rsidRPr="008177A6">
        <w:t>Fire regimes that cause declines in biodiversity include the full range of fire-related ecological processes that directly or indirectly cause persistent declines in the distribution, abundance, genetic diversity or function of a species or ecological community. ‘Fire regime’ refers to the frequency, intensity or severity, season, and types (aerial/subterranean) of successive fire events at a point in the landscape</w:t>
      </w:r>
    </w:p>
    <w:p w14:paraId="6DD73F6B" w14:textId="77777777" w:rsidR="00557ED0" w:rsidRDefault="00557ED0" w:rsidP="00557ED0">
      <w:pPr>
        <w:pStyle w:val="FigureTableNoteSource"/>
        <w:rPr>
          <w:b/>
          <w:bCs/>
        </w:rPr>
      </w:pPr>
    </w:p>
    <w:p w14:paraId="75A8E7A6" w14:textId="77777777" w:rsidR="00557ED0" w:rsidRDefault="00557ED0" w:rsidP="00557ED0">
      <w:pPr>
        <w:pStyle w:val="FigureTableNoteSource"/>
        <w:rPr>
          <w:rFonts w:cs="Calibri"/>
          <w:b/>
          <w:bCs/>
          <w:szCs w:val="18"/>
        </w:rPr>
      </w:pPr>
      <w:r>
        <w:rPr>
          <w:b/>
          <w:bCs/>
        </w:rPr>
        <w:t>Categories for likelihood are defined as follows:</w:t>
      </w:r>
    </w:p>
    <w:p w14:paraId="6BCBCE34" w14:textId="77777777" w:rsidR="00557ED0" w:rsidRDefault="00557ED0" w:rsidP="00557ED0">
      <w:pPr>
        <w:pStyle w:val="FigureTableNoteSource"/>
      </w:pPr>
      <w:r>
        <w:t>Almost certain – expected to occur every year</w:t>
      </w:r>
    </w:p>
    <w:p w14:paraId="04B28752" w14:textId="77777777" w:rsidR="00557ED0" w:rsidRDefault="00557ED0" w:rsidP="00557ED0">
      <w:pPr>
        <w:pStyle w:val="FigureTableNoteSource"/>
      </w:pPr>
      <w:r>
        <w:t>Likely – expected to occur at least once every five years</w:t>
      </w:r>
    </w:p>
    <w:p w14:paraId="4FFE13F4" w14:textId="77777777" w:rsidR="00557ED0" w:rsidRDefault="00557ED0" w:rsidP="00557ED0">
      <w:pPr>
        <w:pStyle w:val="FigureTableNoteSource"/>
      </w:pPr>
      <w:r>
        <w:t>Possible – might occur at some time</w:t>
      </w:r>
    </w:p>
    <w:p w14:paraId="61505633" w14:textId="77777777" w:rsidR="00557ED0" w:rsidRDefault="00557ED0" w:rsidP="00557ED0">
      <w:pPr>
        <w:pStyle w:val="FigureTableNoteSource"/>
      </w:pPr>
      <w:r>
        <w:t>Unlikely –known to have occurred only a few times</w:t>
      </w:r>
    </w:p>
    <w:p w14:paraId="6207C535" w14:textId="77777777" w:rsidR="00557ED0" w:rsidRDefault="00557ED0" w:rsidP="00557ED0">
      <w:pPr>
        <w:pStyle w:val="FigureTableNoteSource"/>
      </w:pPr>
      <w:r>
        <w:t>Unknown – currently unknown how often the threat will occur</w:t>
      </w:r>
    </w:p>
    <w:p w14:paraId="5F25648F" w14:textId="1290A5E9" w:rsidR="00557ED0" w:rsidRDefault="00B61C4E" w:rsidP="00557ED0">
      <w:pPr>
        <w:pStyle w:val="FigureTableNoteSource"/>
        <w:rPr>
          <w:b/>
          <w:bCs/>
        </w:rPr>
      </w:pPr>
      <w:r>
        <w:rPr>
          <w:b/>
          <w:bCs/>
        </w:rPr>
        <w:br/>
      </w:r>
      <w:r w:rsidR="00557ED0">
        <w:rPr>
          <w:b/>
          <w:bCs/>
        </w:rPr>
        <w:t xml:space="preserve">Categories for consequences are defined as follows: </w:t>
      </w:r>
    </w:p>
    <w:p w14:paraId="388FA7C7" w14:textId="77777777" w:rsidR="00557ED0" w:rsidRDefault="00557ED0" w:rsidP="00557ED0">
      <w:pPr>
        <w:pStyle w:val="FigureTableNoteSource"/>
      </w:pPr>
      <w:r>
        <w:t>Not significant – no long-term effect on individuals or populations</w:t>
      </w:r>
    </w:p>
    <w:p w14:paraId="7A24515C" w14:textId="77777777" w:rsidR="00557ED0" w:rsidRDefault="00557ED0" w:rsidP="00557ED0">
      <w:pPr>
        <w:pStyle w:val="FigureTableNoteSource"/>
      </w:pPr>
      <w:r>
        <w:t>Minor – individuals are adversely affected but no effect at population level</w:t>
      </w:r>
    </w:p>
    <w:p w14:paraId="5E522EFB" w14:textId="77777777" w:rsidR="00557ED0" w:rsidRDefault="00557ED0" w:rsidP="00557ED0">
      <w:pPr>
        <w:pStyle w:val="FigureTableNoteSource"/>
      </w:pPr>
      <w:r>
        <w:t>Moderate – population recovery stable or declining</w:t>
      </w:r>
    </w:p>
    <w:p w14:paraId="11E13711" w14:textId="77777777" w:rsidR="00557ED0" w:rsidRDefault="00557ED0" w:rsidP="00557ED0">
      <w:pPr>
        <w:pStyle w:val="FigureTableNoteSource"/>
        <w:spacing w:before="0"/>
      </w:pPr>
      <w:r>
        <w:t>Major – population decline is ongoing</w:t>
      </w:r>
    </w:p>
    <w:p w14:paraId="080A3F87" w14:textId="77777777" w:rsidR="00557ED0" w:rsidRPr="006E3429" w:rsidRDefault="00557ED0" w:rsidP="00557ED0">
      <w:pPr>
        <w:pStyle w:val="FigureTableNoteSource"/>
        <w:spacing w:before="0"/>
      </w:pPr>
      <w:r>
        <w:t>Catastrophic – population trajectory close to extinction</w:t>
      </w:r>
    </w:p>
    <w:p w14:paraId="0C33C1F0" w14:textId="77777777" w:rsidR="00557ED0" w:rsidRDefault="00557ED0" w:rsidP="00557ED0">
      <w:r>
        <w:t>Each threat has been described in Table 1 in terms of the extent that it is operating on the species. The risk matrix (</w:t>
      </w:r>
      <w:r>
        <w:fldChar w:fldCharType="begin" w:fldLock="1"/>
      </w:r>
      <w:r>
        <w:instrText xml:space="preserve"> REF _Ref43127879 \h </w:instrText>
      </w:r>
      <w:r>
        <w:fldChar w:fldCharType="separate"/>
      </w:r>
      <w:r>
        <w:t xml:space="preserve">Table </w:t>
      </w:r>
      <w:r>
        <w:rPr>
          <w:noProof/>
        </w:rPr>
        <w:t>2</w:t>
      </w:r>
      <w:r>
        <w:fldChar w:fldCharType="end"/>
      </w:r>
      <w:r>
        <w:t>) provides a visual depiction of the level of risk being imposed by a threat and supports the prioritisation of subsequent management and conservation actions. In preparing a risk matrix, several factors have been taken into consideration, they are: the life stage they affect; the duration of the impact; the spatial extent, and the efficacy of curre</w:t>
      </w:r>
      <w:r w:rsidRPr="00B038DF">
        <w:t xml:space="preserve">nt management regimes, assuming that management will continue to be applied appropriately. The risk matrix and ranking of threats has been </w:t>
      </w:r>
      <w:r w:rsidRPr="00FF3287">
        <w:t>developed in consultation with experts and</w:t>
      </w:r>
      <w:r w:rsidRPr="00B038DF">
        <w:t xml:space="preserve"> using available literature.</w:t>
      </w:r>
    </w:p>
    <w:p w14:paraId="38A3C7E4" w14:textId="77777777" w:rsidR="00557ED0" w:rsidRDefault="00557ED0" w:rsidP="00557ED0">
      <w:pPr>
        <w:pStyle w:val="Caption"/>
        <w:keepLines/>
      </w:pPr>
      <w:r w:rsidRPr="0047055A">
        <w:t xml:space="preserve">Table </w:t>
      </w:r>
      <w:r w:rsidRPr="0047055A">
        <w:rPr>
          <w:noProof/>
        </w:rPr>
        <w:fldChar w:fldCharType="begin"/>
      </w:r>
      <w:r w:rsidRPr="0047055A">
        <w:rPr>
          <w:noProof/>
        </w:rPr>
        <w:instrText xml:space="preserve"> SEQ Table \* ARABIC </w:instrText>
      </w:r>
      <w:r w:rsidRPr="0047055A">
        <w:rPr>
          <w:noProof/>
        </w:rPr>
        <w:fldChar w:fldCharType="separate"/>
      </w:r>
      <w:r w:rsidRPr="0047055A">
        <w:rPr>
          <w:noProof/>
        </w:rPr>
        <w:t>2</w:t>
      </w:r>
      <w:r w:rsidRPr="0047055A">
        <w:rPr>
          <w:noProof/>
        </w:rPr>
        <w:fldChar w:fldCharType="end"/>
      </w:r>
      <w:r w:rsidRPr="0047055A">
        <w:t xml:space="preserve"> Risk Matrix</w:t>
      </w:r>
    </w:p>
    <w:tbl>
      <w:tblPr>
        <w:tblStyle w:val="TableGrid"/>
        <w:tblW w:w="8824" w:type="dxa"/>
        <w:tblCellMar>
          <w:top w:w="85" w:type="dxa"/>
          <w:bottom w:w="85" w:type="dxa"/>
        </w:tblCellMar>
        <w:tblLook w:val="04A0" w:firstRow="1" w:lastRow="0" w:firstColumn="1" w:lastColumn="0" w:noHBand="0" w:noVBand="1"/>
      </w:tblPr>
      <w:tblGrid>
        <w:gridCol w:w="1479"/>
        <w:gridCol w:w="1460"/>
        <w:gridCol w:w="1518"/>
        <w:gridCol w:w="1360"/>
        <w:gridCol w:w="1476"/>
        <w:gridCol w:w="1531"/>
      </w:tblGrid>
      <w:tr w:rsidR="00557ED0" w14:paraId="785FE287" w14:textId="77777777" w:rsidTr="00831E16">
        <w:trPr>
          <w:tblHeader/>
        </w:trPr>
        <w:tc>
          <w:tcPr>
            <w:tcW w:w="1479" w:type="dxa"/>
            <w:vMerge w:val="restart"/>
          </w:tcPr>
          <w:p w14:paraId="7E38360A" w14:textId="77777777" w:rsidR="00557ED0" w:rsidRDefault="00557ED0" w:rsidP="00831E16">
            <w:pPr>
              <w:pStyle w:val="TableHeading"/>
              <w:spacing w:before="0" w:after="0"/>
            </w:pPr>
            <w:r>
              <w:t>Likelihood</w:t>
            </w:r>
          </w:p>
        </w:tc>
        <w:tc>
          <w:tcPr>
            <w:tcW w:w="7345" w:type="dxa"/>
            <w:gridSpan w:val="5"/>
          </w:tcPr>
          <w:p w14:paraId="4D7E1106" w14:textId="77777777" w:rsidR="00557ED0" w:rsidRDefault="00557ED0" w:rsidP="00831E16">
            <w:pPr>
              <w:pStyle w:val="TableHeading"/>
              <w:spacing w:before="0" w:after="0"/>
            </w:pPr>
            <w:r>
              <w:t>Consequences</w:t>
            </w:r>
          </w:p>
        </w:tc>
      </w:tr>
      <w:tr w:rsidR="00557ED0" w14:paraId="27AD1E65" w14:textId="77777777" w:rsidTr="00831E16">
        <w:trPr>
          <w:tblHeader/>
        </w:trPr>
        <w:tc>
          <w:tcPr>
            <w:tcW w:w="1479" w:type="dxa"/>
            <w:vMerge/>
          </w:tcPr>
          <w:p w14:paraId="11823C99" w14:textId="77777777" w:rsidR="00557ED0" w:rsidRDefault="00557ED0" w:rsidP="00831E16">
            <w:pPr>
              <w:pStyle w:val="TableHeading"/>
              <w:spacing w:before="0" w:after="0"/>
            </w:pPr>
          </w:p>
        </w:tc>
        <w:tc>
          <w:tcPr>
            <w:tcW w:w="1460" w:type="dxa"/>
          </w:tcPr>
          <w:p w14:paraId="4C5B6E42" w14:textId="77777777" w:rsidR="00557ED0" w:rsidRDefault="00557ED0" w:rsidP="00831E16">
            <w:pPr>
              <w:pStyle w:val="TableHeading"/>
              <w:spacing w:before="0" w:after="0"/>
            </w:pPr>
            <w:r>
              <w:t>Not significant</w:t>
            </w:r>
          </w:p>
        </w:tc>
        <w:tc>
          <w:tcPr>
            <w:tcW w:w="1518" w:type="dxa"/>
          </w:tcPr>
          <w:p w14:paraId="6AA1A80D" w14:textId="77777777" w:rsidR="00557ED0" w:rsidRDefault="00557ED0" w:rsidP="00831E16">
            <w:pPr>
              <w:pStyle w:val="TableHeading"/>
              <w:spacing w:before="0" w:after="0"/>
            </w:pPr>
            <w:r>
              <w:t>Minor</w:t>
            </w:r>
          </w:p>
        </w:tc>
        <w:tc>
          <w:tcPr>
            <w:tcW w:w="1360" w:type="dxa"/>
          </w:tcPr>
          <w:p w14:paraId="56B8DEE7" w14:textId="77777777" w:rsidR="00557ED0" w:rsidRDefault="00557ED0" w:rsidP="00831E16">
            <w:pPr>
              <w:pStyle w:val="TableHeading"/>
              <w:spacing w:before="0" w:after="0"/>
            </w:pPr>
            <w:r>
              <w:t>Moderate</w:t>
            </w:r>
          </w:p>
        </w:tc>
        <w:tc>
          <w:tcPr>
            <w:tcW w:w="1476" w:type="dxa"/>
          </w:tcPr>
          <w:p w14:paraId="0D4C1824" w14:textId="77777777" w:rsidR="00557ED0" w:rsidRDefault="00557ED0" w:rsidP="00831E16">
            <w:pPr>
              <w:pStyle w:val="TableHeading"/>
              <w:spacing w:before="0" w:after="0"/>
            </w:pPr>
            <w:r>
              <w:t>Major</w:t>
            </w:r>
          </w:p>
        </w:tc>
        <w:tc>
          <w:tcPr>
            <w:tcW w:w="1531" w:type="dxa"/>
          </w:tcPr>
          <w:p w14:paraId="3B46D6D9" w14:textId="77777777" w:rsidR="00557ED0" w:rsidRDefault="00557ED0" w:rsidP="00831E16">
            <w:pPr>
              <w:pStyle w:val="TableHeading"/>
              <w:spacing w:before="0" w:after="0"/>
            </w:pPr>
            <w:r>
              <w:t>Catastrophic</w:t>
            </w:r>
          </w:p>
        </w:tc>
      </w:tr>
      <w:tr w:rsidR="00557ED0" w14:paraId="2AB174F3" w14:textId="77777777" w:rsidTr="00831E16">
        <w:trPr>
          <w:tblHeader/>
        </w:trPr>
        <w:tc>
          <w:tcPr>
            <w:tcW w:w="1479" w:type="dxa"/>
          </w:tcPr>
          <w:p w14:paraId="3773E12F" w14:textId="77777777" w:rsidR="00557ED0" w:rsidRPr="00774EAA" w:rsidRDefault="00557ED0" w:rsidP="00831E16">
            <w:pPr>
              <w:pStyle w:val="TableText"/>
              <w:keepNext/>
              <w:spacing w:before="0" w:after="0"/>
              <w:rPr>
                <w:rStyle w:val="Strong"/>
                <w:sz w:val="22"/>
              </w:rPr>
            </w:pPr>
            <w:r w:rsidRPr="00774EAA">
              <w:rPr>
                <w:rStyle w:val="Strong"/>
              </w:rPr>
              <w:t>Almost certain</w:t>
            </w:r>
          </w:p>
        </w:tc>
        <w:tc>
          <w:tcPr>
            <w:tcW w:w="1460" w:type="dxa"/>
            <w:shd w:val="clear" w:color="auto" w:fill="C2D69B" w:themeFill="accent3" w:themeFillTint="99"/>
          </w:tcPr>
          <w:p w14:paraId="73928F67" w14:textId="77777777" w:rsidR="00557ED0" w:rsidRPr="00F566BE" w:rsidRDefault="00557ED0" w:rsidP="00831E16">
            <w:pPr>
              <w:pStyle w:val="TableText"/>
              <w:keepNext/>
              <w:spacing w:before="0" w:after="0"/>
            </w:pPr>
          </w:p>
        </w:tc>
        <w:tc>
          <w:tcPr>
            <w:tcW w:w="1518" w:type="dxa"/>
            <w:shd w:val="clear" w:color="auto" w:fill="8DB3E2" w:themeFill="text2" w:themeFillTint="66"/>
          </w:tcPr>
          <w:p w14:paraId="58945F9F" w14:textId="77777777" w:rsidR="00557ED0" w:rsidRPr="00F566BE" w:rsidRDefault="00557ED0" w:rsidP="00831E16">
            <w:pPr>
              <w:pStyle w:val="TableText"/>
              <w:keepNext/>
              <w:spacing w:before="0" w:after="0"/>
            </w:pPr>
          </w:p>
        </w:tc>
        <w:tc>
          <w:tcPr>
            <w:tcW w:w="1360" w:type="dxa"/>
            <w:shd w:val="clear" w:color="auto" w:fill="D99594" w:themeFill="accent2" w:themeFillTint="99"/>
          </w:tcPr>
          <w:p w14:paraId="4F2544AE" w14:textId="77777777" w:rsidR="00557ED0" w:rsidRPr="00F566BE" w:rsidRDefault="00557ED0" w:rsidP="00831E16">
            <w:pPr>
              <w:pStyle w:val="TableText"/>
              <w:keepNext/>
              <w:spacing w:before="0" w:after="0"/>
            </w:pPr>
          </w:p>
        </w:tc>
        <w:tc>
          <w:tcPr>
            <w:tcW w:w="1476" w:type="dxa"/>
            <w:shd w:val="clear" w:color="auto" w:fill="D99594" w:themeFill="accent2" w:themeFillTint="99"/>
          </w:tcPr>
          <w:p w14:paraId="63C8B2F5" w14:textId="3BCBAB12" w:rsidR="00557ED0" w:rsidRPr="00F566BE" w:rsidRDefault="009663A8" w:rsidP="00831E16">
            <w:pPr>
              <w:pStyle w:val="TableText"/>
              <w:keepNext/>
              <w:spacing w:before="0" w:after="0"/>
            </w:pPr>
            <w:r w:rsidRPr="00D15D2A">
              <w:t>Alterations to hydrological regimes</w:t>
            </w:r>
          </w:p>
        </w:tc>
        <w:tc>
          <w:tcPr>
            <w:tcW w:w="1531" w:type="dxa"/>
            <w:shd w:val="clear" w:color="auto" w:fill="D99594" w:themeFill="accent2" w:themeFillTint="99"/>
          </w:tcPr>
          <w:p w14:paraId="2586427D" w14:textId="77777777" w:rsidR="00557ED0" w:rsidRPr="00F566BE" w:rsidRDefault="00557ED0" w:rsidP="00831E16">
            <w:pPr>
              <w:pStyle w:val="TableText"/>
              <w:keepNext/>
              <w:spacing w:before="0" w:after="0"/>
            </w:pPr>
          </w:p>
        </w:tc>
      </w:tr>
      <w:tr w:rsidR="00557ED0" w14:paraId="3AAD03E2" w14:textId="77777777" w:rsidTr="00831E16">
        <w:trPr>
          <w:tblHeader/>
        </w:trPr>
        <w:tc>
          <w:tcPr>
            <w:tcW w:w="1479" w:type="dxa"/>
          </w:tcPr>
          <w:p w14:paraId="74E06950" w14:textId="77777777" w:rsidR="00557ED0" w:rsidRPr="00774EAA" w:rsidRDefault="00557ED0" w:rsidP="00831E16">
            <w:pPr>
              <w:pStyle w:val="TableText"/>
              <w:keepNext/>
              <w:spacing w:before="0" w:after="0"/>
              <w:rPr>
                <w:rStyle w:val="Strong"/>
                <w:sz w:val="22"/>
              </w:rPr>
            </w:pPr>
            <w:r w:rsidRPr="00774EAA">
              <w:rPr>
                <w:rStyle w:val="Strong"/>
              </w:rPr>
              <w:t>Likely</w:t>
            </w:r>
          </w:p>
        </w:tc>
        <w:tc>
          <w:tcPr>
            <w:tcW w:w="1460" w:type="dxa"/>
            <w:shd w:val="clear" w:color="auto" w:fill="C2D69B" w:themeFill="accent3" w:themeFillTint="99"/>
          </w:tcPr>
          <w:p w14:paraId="60351680" w14:textId="77777777" w:rsidR="00557ED0" w:rsidRPr="00F566BE" w:rsidRDefault="00557ED0" w:rsidP="00831E16">
            <w:pPr>
              <w:pStyle w:val="TableText"/>
              <w:keepNext/>
              <w:spacing w:before="0" w:after="0"/>
            </w:pPr>
          </w:p>
        </w:tc>
        <w:tc>
          <w:tcPr>
            <w:tcW w:w="1518" w:type="dxa"/>
            <w:shd w:val="clear" w:color="auto" w:fill="8DB3E2" w:themeFill="text2" w:themeFillTint="66"/>
          </w:tcPr>
          <w:p w14:paraId="6FAD10D4" w14:textId="77777777" w:rsidR="00557ED0" w:rsidRPr="00F566BE" w:rsidRDefault="00557ED0" w:rsidP="00831E16">
            <w:pPr>
              <w:pStyle w:val="TableText"/>
              <w:keepNext/>
              <w:spacing w:before="0" w:after="0"/>
            </w:pPr>
          </w:p>
        </w:tc>
        <w:tc>
          <w:tcPr>
            <w:tcW w:w="1360" w:type="dxa"/>
            <w:shd w:val="clear" w:color="auto" w:fill="FFC000"/>
          </w:tcPr>
          <w:p w14:paraId="5D6B772C" w14:textId="385E2042" w:rsidR="00557ED0" w:rsidRPr="00D15D2A" w:rsidRDefault="00557ED0" w:rsidP="00831E16">
            <w:pPr>
              <w:pStyle w:val="TableText"/>
              <w:keepNext/>
              <w:spacing w:before="0" w:after="0"/>
              <w:rPr>
                <w:rFonts w:asciiTheme="majorHAnsi" w:hAnsiTheme="majorHAnsi"/>
              </w:rPr>
            </w:pPr>
            <w:r w:rsidRPr="00D15D2A">
              <w:rPr>
                <w:rFonts w:asciiTheme="majorHAnsi" w:hAnsiTheme="majorHAnsi"/>
              </w:rPr>
              <w:t xml:space="preserve">Invasive weeds and weed incursion </w:t>
            </w:r>
          </w:p>
          <w:p w14:paraId="7EC7AB06" w14:textId="5AF604D3" w:rsidR="00557ED0" w:rsidRPr="00F566BE" w:rsidRDefault="00557ED0" w:rsidP="00831E16">
            <w:pPr>
              <w:pStyle w:val="TableText"/>
              <w:keepNext/>
              <w:spacing w:before="0" w:after="0"/>
            </w:pPr>
          </w:p>
        </w:tc>
        <w:tc>
          <w:tcPr>
            <w:tcW w:w="1476" w:type="dxa"/>
            <w:shd w:val="clear" w:color="auto" w:fill="D99594" w:themeFill="accent2" w:themeFillTint="99"/>
          </w:tcPr>
          <w:p w14:paraId="14D5069A" w14:textId="77777777" w:rsidR="007C1049" w:rsidRPr="00D15D2A" w:rsidRDefault="007C1049" w:rsidP="007C1049">
            <w:pPr>
              <w:pStyle w:val="TableText"/>
              <w:keepNext/>
              <w:spacing w:before="0" w:after="0"/>
              <w:rPr>
                <w:lang w:val="en-US"/>
              </w:rPr>
            </w:pPr>
            <w:r w:rsidRPr="00D15D2A">
              <w:t>Increased average temperature</w:t>
            </w:r>
            <w:r w:rsidRPr="00D15D2A">
              <w:rPr>
                <w:lang w:val="en-US"/>
              </w:rPr>
              <w:t xml:space="preserve"> </w:t>
            </w:r>
          </w:p>
          <w:p w14:paraId="213992B9" w14:textId="77777777" w:rsidR="009663A8" w:rsidRPr="00D15D2A" w:rsidRDefault="009663A8" w:rsidP="007C1049">
            <w:pPr>
              <w:pStyle w:val="TableText"/>
              <w:keepNext/>
              <w:spacing w:before="0" w:after="0"/>
              <w:rPr>
                <w:lang w:val="en-US"/>
              </w:rPr>
            </w:pPr>
          </w:p>
          <w:p w14:paraId="1FD2B4BC" w14:textId="5BD02AF5" w:rsidR="009663A8" w:rsidRPr="00D15D2A" w:rsidRDefault="009663A8" w:rsidP="007C1049">
            <w:pPr>
              <w:pStyle w:val="TableText"/>
              <w:keepNext/>
              <w:spacing w:before="0" w:after="0"/>
              <w:rPr>
                <w:rFonts w:asciiTheme="majorHAnsi" w:hAnsiTheme="majorHAnsi"/>
              </w:rPr>
            </w:pPr>
            <w:r w:rsidRPr="00D15D2A">
              <w:rPr>
                <w:rFonts w:asciiTheme="majorHAnsi" w:hAnsiTheme="majorHAnsi"/>
              </w:rPr>
              <w:t>Extreme weather events</w:t>
            </w:r>
          </w:p>
          <w:p w14:paraId="1E3CAD88" w14:textId="77777777" w:rsidR="00C803C1" w:rsidRPr="00D15D2A" w:rsidRDefault="00C803C1" w:rsidP="007C1049">
            <w:pPr>
              <w:pStyle w:val="TableText"/>
              <w:keepNext/>
              <w:spacing w:before="0" w:after="0"/>
              <w:rPr>
                <w:lang w:val="en-US"/>
              </w:rPr>
            </w:pPr>
          </w:p>
          <w:p w14:paraId="4CF8EF6D" w14:textId="22BEA65D" w:rsidR="00557ED0" w:rsidRPr="00F566BE" w:rsidRDefault="00C803C1" w:rsidP="00C803C1">
            <w:pPr>
              <w:pStyle w:val="TableText"/>
              <w:keepNext/>
              <w:spacing w:before="0" w:after="0"/>
            </w:pPr>
            <w:r w:rsidRPr="00D15D2A">
              <w:rPr>
                <w:rFonts w:asciiTheme="majorHAnsi" w:hAnsiTheme="majorHAnsi"/>
              </w:rPr>
              <w:t>Illegal take</w:t>
            </w:r>
          </w:p>
        </w:tc>
        <w:tc>
          <w:tcPr>
            <w:tcW w:w="1531" w:type="dxa"/>
            <w:shd w:val="clear" w:color="auto" w:fill="D99594" w:themeFill="accent2" w:themeFillTint="99"/>
          </w:tcPr>
          <w:p w14:paraId="05061852" w14:textId="03E6B42F" w:rsidR="00557ED0" w:rsidRPr="00D15D2A" w:rsidRDefault="00557ED0" w:rsidP="00831E16">
            <w:pPr>
              <w:pStyle w:val="TableText"/>
              <w:keepNext/>
              <w:spacing w:before="0" w:after="0"/>
              <w:rPr>
                <w:lang w:val="en-US"/>
              </w:rPr>
            </w:pPr>
          </w:p>
          <w:p w14:paraId="55DFAE98" w14:textId="77777777" w:rsidR="00557ED0" w:rsidRPr="00D15D2A" w:rsidRDefault="00557ED0" w:rsidP="00831E16">
            <w:pPr>
              <w:pStyle w:val="TableText"/>
              <w:keepNext/>
              <w:spacing w:before="0" w:after="0"/>
              <w:rPr>
                <w:lang w:val="en-US"/>
              </w:rPr>
            </w:pPr>
          </w:p>
          <w:p w14:paraId="268E42FF" w14:textId="069ED592" w:rsidR="00557ED0" w:rsidRPr="00F566BE" w:rsidRDefault="00557ED0" w:rsidP="00831E16">
            <w:pPr>
              <w:pStyle w:val="TableText"/>
              <w:keepNext/>
              <w:spacing w:before="0" w:after="0"/>
            </w:pPr>
          </w:p>
        </w:tc>
      </w:tr>
      <w:tr w:rsidR="00557ED0" w14:paraId="39771CF0" w14:textId="77777777" w:rsidTr="00831E16">
        <w:trPr>
          <w:tblHeader/>
        </w:trPr>
        <w:tc>
          <w:tcPr>
            <w:tcW w:w="1479" w:type="dxa"/>
          </w:tcPr>
          <w:p w14:paraId="1A7AD2E0" w14:textId="77777777" w:rsidR="00557ED0" w:rsidRPr="00774EAA" w:rsidRDefault="00557ED0" w:rsidP="00831E16">
            <w:pPr>
              <w:pStyle w:val="TableText"/>
              <w:keepNext/>
              <w:spacing w:before="0" w:after="0"/>
              <w:rPr>
                <w:rStyle w:val="Strong"/>
                <w:sz w:val="22"/>
              </w:rPr>
            </w:pPr>
            <w:r w:rsidRPr="00774EAA">
              <w:rPr>
                <w:rStyle w:val="Strong"/>
              </w:rPr>
              <w:t>Possible</w:t>
            </w:r>
          </w:p>
        </w:tc>
        <w:tc>
          <w:tcPr>
            <w:tcW w:w="1460" w:type="dxa"/>
            <w:shd w:val="clear" w:color="auto" w:fill="C2D69B" w:themeFill="accent3" w:themeFillTint="99"/>
          </w:tcPr>
          <w:p w14:paraId="74F8AE65" w14:textId="77777777" w:rsidR="00557ED0" w:rsidRPr="00F566BE" w:rsidRDefault="00557ED0" w:rsidP="00831E16">
            <w:pPr>
              <w:pStyle w:val="TableText"/>
              <w:keepNext/>
              <w:spacing w:before="0" w:after="0"/>
            </w:pPr>
          </w:p>
        </w:tc>
        <w:tc>
          <w:tcPr>
            <w:tcW w:w="1518" w:type="dxa"/>
            <w:shd w:val="clear" w:color="auto" w:fill="8DB3E2" w:themeFill="text2" w:themeFillTint="66"/>
          </w:tcPr>
          <w:p w14:paraId="03473C6D" w14:textId="77777777" w:rsidR="00557ED0" w:rsidRPr="00D15D2A" w:rsidRDefault="00557ED0" w:rsidP="00831E16">
            <w:pPr>
              <w:pStyle w:val="TableText"/>
              <w:keepNext/>
              <w:spacing w:before="0" w:after="0"/>
            </w:pPr>
          </w:p>
        </w:tc>
        <w:tc>
          <w:tcPr>
            <w:tcW w:w="1360" w:type="dxa"/>
            <w:shd w:val="clear" w:color="auto" w:fill="FFC000"/>
          </w:tcPr>
          <w:p w14:paraId="43D08244" w14:textId="0809991C" w:rsidR="002060AB" w:rsidRPr="00D15D2A" w:rsidRDefault="002060AB" w:rsidP="00831E16">
            <w:pPr>
              <w:pStyle w:val="TableText"/>
              <w:keepNext/>
              <w:spacing w:before="0" w:after="0"/>
              <w:rPr>
                <w:rFonts w:cs="TimesNewRomanPSMT"/>
                <w:lang w:val="en-US"/>
              </w:rPr>
            </w:pPr>
          </w:p>
          <w:p w14:paraId="5EE5CC15" w14:textId="092567DF" w:rsidR="002060AB" w:rsidRPr="00F566BE" w:rsidRDefault="002060AB" w:rsidP="00831E16">
            <w:pPr>
              <w:pStyle w:val="TableText"/>
              <w:keepNext/>
              <w:spacing w:before="0" w:after="0"/>
            </w:pPr>
            <w:r w:rsidRPr="00D15D2A">
              <w:rPr>
                <w:rFonts w:asciiTheme="majorHAnsi" w:hAnsiTheme="majorHAnsi"/>
              </w:rPr>
              <w:t>Invasive weeds and weed incursion</w:t>
            </w:r>
          </w:p>
        </w:tc>
        <w:tc>
          <w:tcPr>
            <w:tcW w:w="1476" w:type="dxa"/>
            <w:shd w:val="clear" w:color="auto" w:fill="D99594" w:themeFill="accent2" w:themeFillTint="99"/>
          </w:tcPr>
          <w:p w14:paraId="740FA692" w14:textId="77777777" w:rsidR="00557ED0" w:rsidRPr="00D15D2A" w:rsidRDefault="00557ED0" w:rsidP="00831E16">
            <w:pPr>
              <w:pStyle w:val="TableText"/>
              <w:keepNext/>
              <w:spacing w:before="0" w:after="0"/>
              <w:rPr>
                <w:rFonts w:asciiTheme="majorHAnsi" w:hAnsiTheme="majorHAnsi"/>
              </w:rPr>
            </w:pPr>
            <w:r w:rsidRPr="00D15D2A">
              <w:rPr>
                <w:rFonts w:asciiTheme="majorHAnsi" w:hAnsiTheme="majorHAnsi"/>
              </w:rPr>
              <w:t>Increased intensity/ frequency of bushfire</w:t>
            </w:r>
          </w:p>
          <w:p w14:paraId="51EC3D82" w14:textId="77777777" w:rsidR="002060AB" w:rsidRPr="00D15D2A" w:rsidRDefault="002060AB" w:rsidP="00831E16">
            <w:pPr>
              <w:pStyle w:val="TableText"/>
              <w:keepNext/>
              <w:spacing w:before="0" w:after="0"/>
            </w:pPr>
          </w:p>
          <w:p w14:paraId="30D31B19" w14:textId="6AF604B2" w:rsidR="002060AB" w:rsidRPr="00F566BE" w:rsidRDefault="002060AB" w:rsidP="00831E16">
            <w:pPr>
              <w:pStyle w:val="TableText"/>
              <w:keepNext/>
              <w:spacing w:before="0" w:after="0"/>
            </w:pPr>
            <w:r w:rsidRPr="00D15D2A">
              <w:rPr>
                <w:rFonts w:asciiTheme="majorHAnsi" w:hAnsiTheme="majorHAnsi"/>
              </w:rPr>
              <w:t>Invasive fauna</w:t>
            </w:r>
          </w:p>
        </w:tc>
        <w:tc>
          <w:tcPr>
            <w:tcW w:w="1531" w:type="dxa"/>
            <w:shd w:val="clear" w:color="auto" w:fill="D99594" w:themeFill="accent2" w:themeFillTint="99"/>
          </w:tcPr>
          <w:p w14:paraId="120AB048" w14:textId="77777777" w:rsidR="00C5004F" w:rsidRPr="00D15D2A" w:rsidRDefault="00C5004F" w:rsidP="00C5004F">
            <w:pPr>
              <w:pStyle w:val="TableText"/>
              <w:keepNext/>
              <w:spacing w:before="0" w:after="0"/>
              <w:rPr>
                <w:lang w:val="en-US"/>
              </w:rPr>
            </w:pPr>
            <w:r w:rsidRPr="00D15D2A">
              <w:rPr>
                <w:lang w:val="en-US"/>
              </w:rPr>
              <w:t>Disease</w:t>
            </w:r>
          </w:p>
          <w:p w14:paraId="2DC353EB" w14:textId="3F198396" w:rsidR="00557ED0" w:rsidRPr="00D15D2A" w:rsidRDefault="00C5004F" w:rsidP="00C5004F">
            <w:pPr>
              <w:pStyle w:val="TableText"/>
              <w:keepNext/>
              <w:spacing w:before="0" w:after="0"/>
            </w:pPr>
            <w:r w:rsidRPr="00F566BE">
              <w:rPr>
                <w:i/>
                <w:lang w:val="en-US"/>
              </w:rPr>
              <w:t>A. astaci</w:t>
            </w:r>
            <w:r w:rsidRPr="00F566BE">
              <w:rPr>
                <w:lang w:val="en-US"/>
              </w:rPr>
              <w:t xml:space="preserve"> (Crayfish plague)</w:t>
            </w:r>
          </w:p>
        </w:tc>
      </w:tr>
      <w:tr w:rsidR="00557ED0" w14:paraId="61C693D3" w14:textId="77777777" w:rsidTr="00831E16">
        <w:trPr>
          <w:tblHeader/>
        </w:trPr>
        <w:tc>
          <w:tcPr>
            <w:tcW w:w="1479" w:type="dxa"/>
          </w:tcPr>
          <w:p w14:paraId="299DF05E" w14:textId="77777777" w:rsidR="00557ED0" w:rsidRPr="00774EAA" w:rsidRDefault="00557ED0" w:rsidP="00831E16">
            <w:pPr>
              <w:pStyle w:val="TableText"/>
              <w:keepNext/>
              <w:spacing w:before="0" w:after="0"/>
              <w:rPr>
                <w:rStyle w:val="Strong"/>
                <w:sz w:val="22"/>
              </w:rPr>
            </w:pPr>
            <w:r w:rsidRPr="00774EAA">
              <w:rPr>
                <w:rStyle w:val="Strong"/>
              </w:rPr>
              <w:t>Unlikely</w:t>
            </w:r>
          </w:p>
        </w:tc>
        <w:tc>
          <w:tcPr>
            <w:tcW w:w="1460" w:type="dxa"/>
            <w:shd w:val="clear" w:color="auto" w:fill="C2D69B" w:themeFill="accent3" w:themeFillTint="99"/>
          </w:tcPr>
          <w:p w14:paraId="2B1AFD13" w14:textId="77777777" w:rsidR="00557ED0" w:rsidRDefault="00557ED0" w:rsidP="00831E16">
            <w:pPr>
              <w:pStyle w:val="TableText"/>
              <w:keepNext/>
              <w:spacing w:before="0" w:after="0"/>
            </w:pPr>
          </w:p>
        </w:tc>
        <w:tc>
          <w:tcPr>
            <w:tcW w:w="1518" w:type="dxa"/>
            <w:shd w:val="clear" w:color="auto" w:fill="C2D69B" w:themeFill="accent3" w:themeFillTint="99"/>
          </w:tcPr>
          <w:p w14:paraId="456B7AD9" w14:textId="77777777" w:rsidR="00557ED0" w:rsidRDefault="00557ED0" w:rsidP="00831E16">
            <w:pPr>
              <w:pStyle w:val="TableText"/>
              <w:keepNext/>
              <w:spacing w:before="0" w:after="0"/>
            </w:pPr>
          </w:p>
        </w:tc>
        <w:tc>
          <w:tcPr>
            <w:tcW w:w="1360" w:type="dxa"/>
            <w:shd w:val="clear" w:color="auto" w:fill="8DB3E2" w:themeFill="text2" w:themeFillTint="66"/>
          </w:tcPr>
          <w:p w14:paraId="4754B278" w14:textId="77777777" w:rsidR="00557ED0" w:rsidRDefault="00557ED0" w:rsidP="00831E16">
            <w:pPr>
              <w:pStyle w:val="TableText"/>
              <w:keepNext/>
              <w:spacing w:before="0" w:after="0"/>
            </w:pPr>
          </w:p>
        </w:tc>
        <w:tc>
          <w:tcPr>
            <w:tcW w:w="1476" w:type="dxa"/>
            <w:shd w:val="clear" w:color="auto" w:fill="FFC000"/>
          </w:tcPr>
          <w:p w14:paraId="174F850E" w14:textId="77777777" w:rsidR="00557ED0" w:rsidRDefault="00557ED0" w:rsidP="00831E16">
            <w:pPr>
              <w:pStyle w:val="TableText"/>
              <w:keepNext/>
              <w:spacing w:before="0" w:after="0"/>
            </w:pPr>
          </w:p>
        </w:tc>
        <w:tc>
          <w:tcPr>
            <w:tcW w:w="1531" w:type="dxa"/>
            <w:shd w:val="clear" w:color="auto" w:fill="D99594" w:themeFill="accent2" w:themeFillTint="99"/>
          </w:tcPr>
          <w:p w14:paraId="60B02D4C" w14:textId="77777777" w:rsidR="00557ED0" w:rsidRDefault="00557ED0" w:rsidP="00831E16">
            <w:pPr>
              <w:pStyle w:val="TableText"/>
              <w:keepNext/>
              <w:spacing w:before="0" w:after="0"/>
            </w:pPr>
          </w:p>
        </w:tc>
      </w:tr>
      <w:tr w:rsidR="00557ED0" w14:paraId="09035D89" w14:textId="77777777" w:rsidTr="00831E16">
        <w:trPr>
          <w:tblHeader/>
        </w:trPr>
        <w:tc>
          <w:tcPr>
            <w:tcW w:w="1479" w:type="dxa"/>
          </w:tcPr>
          <w:p w14:paraId="1A21EFFA" w14:textId="77777777" w:rsidR="00557ED0" w:rsidRPr="00774EAA" w:rsidRDefault="00557ED0" w:rsidP="00831E16">
            <w:pPr>
              <w:pStyle w:val="TableText"/>
              <w:keepNext/>
              <w:spacing w:before="0" w:after="0"/>
              <w:rPr>
                <w:rStyle w:val="Strong"/>
                <w:sz w:val="22"/>
              </w:rPr>
            </w:pPr>
            <w:r w:rsidRPr="00774EAA">
              <w:rPr>
                <w:rStyle w:val="Strong"/>
              </w:rPr>
              <w:t>Unknown</w:t>
            </w:r>
          </w:p>
        </w:tc>
        <w:tc>
          <w:tcPr>
            <w:tcW w:w="1460" w:type="dxa"/>
            <w:shd w:val="clear" w:color="auto" w:fill="C2D69B" w:themeFill="accent3" w:themeFillTint="99"/>
          </w:tcPr>
          <w:p w14:paraId="230019FF" w14:textId="77777777" w:rsidR="00557ED0" w:rsidRDefault="00557ED0" w:rsidP="00831E16">
            <w:pPr>
              <w:pStyle w:val="TableText"/>
              <w:keepNext/>
              <w:spacing w:before="0" w:after="0"/>
            </w:pPr>
          </w:p>
        </w:tc>
        <w:tc>
          <w:tcPr>
            <w:tcW w:w="1518" w:type="dxa"/>
            <w:shd w:val="clear" w:color="auto" w:fill="C2D69B" w:themeFill="accent3" w:themeFillTint="99"/>
          </w:tcPr>
          <w:p w14:paraId="55F20CC0" w14:textId="77777777" w:rsidR="00557ED0" w:rsidRDefault="00557ED0" w:rsidP="00831E16">
            <w:pPr>
              <w:pStyle w:val="TableText"/>
              <w:keepNext/>
              <w:spacing w:before="0" w:after="0"/>
            </w:pPr>
          </w:p>
        </w:tc>
        <w:tc>
          <w:tcPr>
            <w:tcW w:w="1360" w:type="dxa"/>
            <w:shd w:val="clear" w:color="auto" w:fill="8DB3E2" w:themeFill="text2" w:themeFillTint="66"/>
          </w:tcPr>
          <w:p w14:paraId="41DFF5AB" w14:textId="77777777" w:rsidR="00557ED0" w:rsidRDefault="00557ED0" w:rsidP="00831E16">
            <w:pPr>
              <w:pStyle w:val="TableText"/>
              <w:keepNext/>
              <w:spacing w:before="0" w:after="0"/>
            </w:pPr>
          </w:p>
        </w:tc>
        <w:tc>
          <w:tcPr>
            <w:tcW w:w="1476" w:type="dxa"/>
            <w:shd w:val="clear" w:color="auto" w:fill="FFC000"/>
          </w:tcPr>
          <w:p w14:paraId="47E08BBE" w14:textId="77777777" w:rsidR="00557ED0" w:rsidRDefault="00557ED0" w:rsidP="00831E16">
            <w:pPr>
              <w:pStyle w:val="TableText"/>
              <w:keepNext/>
              <w:spacing w:before="0" w:after="0"/>
            </w:pPr>
          </w:p>
        </w:tc>
        <w:tc>
          <w:tcPr>
            <w:tcW w:w="1531" w:type="dxa"/>
            <w:shd w:val="clear" w:color="auto" w:fill="D99594" w:themeFill="accent2" w:themeFillTint="99"/>
          </w:tcPr>
          <w:p w14:paraId="0C5DE413" w14:textId="77777777" w:rsidR="00557ED0" w:rsidRDefault="00557ED0" w:rsidP="00831E16">
            <w:pPr>
              <w:pStyle w:val="TableText"/>
              <w:keepNext/>
              <w:spacing w:before="0" w:after="0"/>
            </w:pPr>
          </w:p>
        </w:tc>
      </w:tr>
    </w:tbl>
    <w:p w14:paraId="6127FFD3" w14:textId="77777777" w:rsidR="00557ED0" w:rsidRDefault="00557ED0" w:rsidP="00557ED0">
      <w:pPr>
        <w:pStyle w:val="FootnoteText"/>
        <w:keepNext/>
      </w:pPr>
      <w:r>
        <w:t xml:space="preserve">Risk Matrix legend/Risk rating: </w:t>
      </w:r>
    </w:p>
    <w:tbl>
      <w:tblPr>
        <w:tblStyle w:val="TableGrid"/>
        <w:tblW w:w="0" w:type="auto"/>
        <w:tblLook w:val="04A0" w:firstRow="1" w:lastRow="0" w:firstColumn="1" w:lastColumn="0" w:noHBand="0" w:noVBand="1"/>
      </w:tblPr>
      <w:tblGrid>
        <w:gridCol w:w="1907"/>
        <w:gridCol w:w="2395"/>
        <w:gridCol w:w="2104"/>
        <w:gridCol w:w="2445"/>
      </w:tblGrid>
      <w:tr w:rsidR="00557ED0" w14:paraId="64C6BBD9" w14:textId="77777777" w:rsidTr="00831E16">
        <w:trPr>
          <w:trHeight w:val="198"/>
        </w:trPr>
        <w:tc>
          <w:tcPr>
            <w:tcW w:w="1907" w:type="dxa"/>
            <w:shd w:val="clear" w:color="auto" w:fill="C2D69B" w:themeFill="accent3" w:themeFillTint="99"/>
          </w:tcPr>
          <w:p w14:paraId="568E1E30" w14:textId="77777777" w:rsidR="00557ED0" w:rsidRDefault="00557ED0" w:rsidP="00831E16">
            <w:pPr>
              <w:pStyle w:val="TableText"/>
              <w:keepNext/>
              <w:jc w:val="center"/>
            </w:pPr>
            <w:r>
              <w:t>Low Risk</w:t>
            </w:r>
          </w:p>
        </w:tc>
        <w:tc>
          <w:tcPr>
            <w:tcW w:w="2395" w:type="dxa"/>
            <w:shd w:val="clear" w:color="auto" w:fill="8DB3E2" w:themeFill="text2" w:themeFillTint="66"/>
          </w:tcPr>
          <w:p w14:paraId="2528FDCB" w14:textId="77777777" w:rsidR="00557ED0" w:rsidRDefault="00557ED0" w:rsidP="00831E16">
            <w:pPr>
              <w:pStyle w:val="FootnoteText"/>
              <w:keepNext/>
              <w:jc w:val="center"/>
            </w:pPr>
            <w:r>
              <w:t>Moderate Risk</w:t>
            </w:r>
          </w:p>
        </w:tc>
        <w:tc>
          <w:tcPr>
            <w:tcW w:w="2104" w:type="dxa"/>
            <w:shd w:val="clear" w:color="auto" w:fill="FFC000"/>
          </w:tcPr>
          <w:p w14:paraId="309D0CDE" w14:textId="77777777" w:rsidR="00557ED0" w:rsidRDefault="00557ED0" w:rsidP="00831E16">
            <w:pPr>
              <w:pStyle w:val="FootnoteText"/>
              <w:keepNext/>
              <w:jc w:val="center"/>
            </w:pPr>
            <w:r>
              <w:t>High Risk</w:t>
            </w:r>
          </w:p>
        </w:tc>
        <w:tc>
          <w:tcPr>
            <w:tcW w:w="2445" w:type="dxa"/>
            <w:shd w:val="clear" w:color="auto" w:fill="D99594" w:themeFill="accent2" w:themeFillTint="99"/>
          </w:tcPr>
          <w:p w14:paraId="14037C5D" w14:textId="77777777" w:rsidR="00557ED0" w:rsidRDefault="00557ED0" w:rsidP="00831E16">
            <w:pPr>
              <w:pStyle w:val="FootnoteText"/>
              <w:keepNext/>
              <w:jc w:val="center"/>
            </w:pPr>
            <w:r>
              <w:t>Very High Risk</w:t>
            </w:r>
          </w:p>
        </w:tc>
      </w:tr>
    </w:tbl>
    <w:p w14:paraId="156B1D1D" w14:textId="77777777" w:rsidR="00557ED0" w:rsidRDefault="00557ED0" w:rsidP="00557ED0">
      <w:pPr>
        <w:pStyle w:val="Heading2"/>
        <w:ind w:left="720" w:hanging="720"/>
      </w:pPr>
      <w:bookmarkStart w:id="10" w:name="_Hlk80441560"/>
      <w:r w:rsidRPr="00D839FC">
        <w:t>Conservation and recovery actions</w:t>
      </w:r>
    </w:p>
    <w:bookmarkEnd w:id="10"/>
    <w:p w14:paraId="4948A1F9" w14:textId="77777777" w:rsidR="00557ED0" w:rsidRDefault="00557ED0" w:rsidP="00557ED0">
      <w:pPr>
        <w:pStyle w:val="Heading3"/>
        <w:ind w:left="964" w:hanging="964"/>
      </w:pPr>
      <w:r>
        <w:t>Primary conservation objective</w:t>
      </w:r>
    </w:p>
    <w:p w14:paraId="027AAF64" w14:textId="448D2E72" w:rsidR="00557ED0" w:rsidRPr="00461ED6" w:rsidRDefault="00C75BAC" w:rsidP="00557ED0">
      <w:pPr>
        <w:pStyle w:val="ListBullet"/>
      </w:pPr>
      <w:r>
        <w:t xml:space="preserve">Ensure the AOO and EOO of </w:t>
      </w:r>
      <w:r w:rsidR="00E44AA8" w:rsidRPr="00E44AA8">
        <w:t>Balan spiny crayfish</w:t>
      </w:r>
      <w:r>
        <w:t xml:space="preserve"> are stable or increasing, and major threats are effectively managed, and resilience to climate change impacts is maximised</w:t>
      </w:r>
      <w:r w:rsidR="00557ED0">
        <w:t xml:space="preserve">. </w:t>
      </w:r>
    </w:p>
    <w:p w14:paraId="37A75251" w14:textId="77777777" w:rsidR="00557ED0" w:rsidRDefault="00557ED0" w:rsidP="00557ED0">
      <w:pPr>
        <w:pStyle w:val="Heading3"/>
        <w:ind w:left="964" w:hanging="964"/>
      </w:pPr>
      <w:r>
        <w:t>Conservation and management priorities</w:t>
      </w:r>
    </w:p>
    <w:p w14:paraId="0D1BCCFD" w14:textId="77777777" w:rsidR="00557ED0" w:rsidRPr="00F21094" w:rsidRDefault="00557ED0" w:rsidP="00557ED0">
      <w:pPr>
        <w:pStyle w:val="Heading4"/>
        <w:rPr>
          <w:rFonts w:ascii="Cambria" w:hAnsi="Cambria"/>
          <w:b w:val="0"/>
          <w:sz w:val="22"/>
        </w:rPr>
      </w:pPr>
      <w:r w:rsidRPr="007722C6">
        <w:rPr>
          <w:rFonts w:ascii="Cambria" w:hAnsi="Cambria"/>
          <w:b w:val="0"/>
          <w:sz w:val="22"/>
        </w:rPr>
        <w:t xml:space="preserve">The following recommendations involving capture and removal of live specimens from the wild, and/or captive populations are made on the assumption that a suitably large population of this </w:t>
      </w:r>
      <w:r>
        <w:rPr>
          <w:rFonts w:ascii="Cambria" w:hAnsi="Cambria"/>
          <w:b w:val="0"/>
          <w:sz w:val="22"/>
        </w:rPr>
        <w:t>uncommon</w:t>
      </w:r>
      <w:r w:rsidRPr="007722C6">
        <w:rPr>
          <w:rFonts w:ascii="Cambria" w:hAnsi="Cambria"/>
          <w:b w:val="0"/>
          <w:sz w:val="22"/>
        </w:rPr>
        <w:t xml:space="preserve"> species exists in the wild.</w:t>
      </w:r>
    </w:p>
    <w:p w14:paraId="0701DCB2" w14:textId="77777777" w:rsidR="00557ED0" w:rsidRDefault="00557ED0" w:rsidP="00557ED0">
      <w:pPr>
        <w:pStyle w:val="Heading4"/>
        <w:ind w:left="964" w:hanging="964"/>
        <w:rPr>
          <w:rFonts w:asciiTheme="majorHAnsi" w:hAnsiTheme="majorHAnsi"/>
        </w:rPr>
      </w:pPr>
      <w:r>
        <w:t>Extreme</w:t>
      </w:r>
      <w:r w:rsidRPr="00961644">
        <w:t xml:space="preserve"> weather</w:t>
      </w:r>
      <w:r>
        <w:t xml:space="preserve"> events</w:t>
      </w:r>
    </w:p>
    <w:p w14:paraId="6D7C5DAC" w14:textId="77777777" w:rsidR="00557ED0" w:rsidRPr="00BC661F" w:rsidRDefault="00557ED0" w:rsidP="00557ED0">
      <w:pPr>
        <w:pStyle w:val="ListBullet"/>
        <w:rPr>
          <w:rFonts w:asciiTheme="majorHAnsi" w:hAnsiTheme="majorHAnsi" w:cstheme="minorHAnsi"/>
        </w:rPr>
      </w:pPr>
      <w:r w:rsidRPr="00BC661F">
        <w:rPr>
          <w:rFonts w:asciiTheme="majorHAnsi" w:hAnsiTheme="majorHAnsi" w:cstheme="minorHAnsi"/>
        </w:rPr>
        <w:t>Investigate feasibility and</w:t>
      </w:r>
      <w:r>
        <w:rPr>
          <w:rFonts w:asciiTheme="majorHAnsi" w:hAnsiTheme="majorHAnsi" w:cstheme="minorHAnsi"/>
        </w:rPr>
        <w:t>,</w:t>
      </w:r>
      <w:r w:rsidRPr="00BC661F">
        <w:rPr>
          <w:rFonts w:asciiTheme="majorHAnsi" w:hAnsiTheme="majorHAnsi" w:cstheme="minorHAnsi"/>
        </w:rPr>
        <w:t xml:space="preserve"> if appropriate, plan and establish facilities for </w:t>
      </w:r>
      <w:r w:rsidRPr="00AD248E">
        <w:rPr>
          <w:rFonts w:asciiTheme="majorHAnsi" w:hAnsiTheme="majorHAnsi" w:cstheme="minorHAnsi"/>
        </w:rPr>
        <w:t>potential ex</w:t>
      </w:r>
      <w:r>
        <w:rPr>
          <w:rFonts w:asciiTheme="majorHAnsi" w:hAnsiTheme="majorHAnsi" w:cstheme="minorHAnsi"/>
        </w:rPr>
        <w:t xml:space="preserve"> </w:t>
      </w:r>
      <w:r w:rsidRPr="00AD248E">
        <w:rPr>
          <w:rFonts w:asciiTheme="majorHAnsi" w:hAnsiTheme="majorHAnsi" w:cstheme="minorHAnsi"/>
        </w:rPr>
        <w:t>situ</w:t>
      </w:r>
      <w:r w:rsidRPr="00BC661F">
        <w:rPr>
          <w:rFonts w:asciiTheme="majorHAnsi" w:hAnsiTheme="majorHAnsi" w:cstheme="minorHAnsi"/>
        </w:rPr>
        <w:t xml:space="preserve"> short-term, active conservation intervention(s), including:</w:t>
      </w:r>
    </w:p>
    <w:p w14:paraId="5722747D" w14:textId="77777777" w:rsidR="00557ED0" w:rsidRPr="00BC661F" w:rsidRDefault="00557ED0">
      <w:pPr>
        <w:pStyle w:val="ListBullet2"/>
        <w:numPr>
          <w:ilvl w:val="1"/>
          <w:numId w:val="17"/>
        </w:numPr>
      </w:pPr>
      <w:r w:rsidRPr="00AD6185">
        <w:t>Establish</w:t>
      </w:r>
      <w:r>
        <w:t>ing</w:t>
      </w:r>
      <w:r w:rsidRPr="00AD6185">
        <w:t xml:space="preserve"> a</w:t>
      </w:r>
      <w:r w:rsidRPr="00BC661F">
        <w:t xml:space="preserve"> capacity to maintain a captive population of this species over </w:t>
      </w:r>
      <w:r>
        <w:t>the</w:t>
      </w:r>
      <w:r w:rsidRPr="00BC661F">
        <w:t xml:space="preserve"> short-term, in response to an extreme weather event, for subsequent re-release to </w:t>
      </w:r>
      <w:r>
        <w:t xml:space="preserve">the wild (see </w:t>
      </w:r>
      <w:r w:rsidRPr="00B82C5B">
        <w:rPr>
          <w:rFonts w:asciiTheme="majorHAnsi" w:hAnsiTheme="majorHAnsi"/>
          <w:lang w:eastAsia="ja-JP"/>
        </w:rPr>
        <w:t>Zukowski</w:t>
      </w:r>
      <w:r>
        <w:rPr>
          <w:rFonts w:asciiTheme="majorHAnsi" w:hAnsiTheme="majorHAnsi"/>
          <w:lang w:eastAsia="ja-JP"/>
        </w:rPr>
        <w:t xml:space="preserve"> et al. 2021)</w:t>
      </w:r>
      <w:r w:rsidRPr="00BC661F">
        <w:t>.</w:t>
      </w:r>
    </w:p>
    <w:p w14:paraId="5FDBB38E" w14:textId="057DAD17" w:rsidR="00557ED0" w:rsidRPr="00D146CA" w:rsidRDefault="00CB1DED">
      <w:pPr>
        <w:pStyle w:val="ListBullet2"/>
        <w:numPr>
          <w:ilvl w:val="1"/>
          <w:numId w:val="17"/>
        </w:numPr>
        <w:rPr>
          <w:b/>
          <w:bCs/>
        </w:rPr>
      </w:pPr>
      <w:r>
        <w:t>E</w:t>
      </w:r>
      <w:r w:rsidR="00557ED0">
        <w:t xml:space="preserve">stablish an environmental monitoring system in the species’ habitat, to provide alerts of dangerous environmental conditions. These could be </w:t>
      </w:r>
      <w:r w:rsidR="00557ED0" w:rsidRPr="000B7DFA">
        <w:t>in</w:t>
      </w:r>
      <w:r w:rsidR="00557ED0">
        <w:t>-</w:t>
      </w:r>
      <w:r w:rsidR="00557ED0" w:rsidRPr="000B7DFA">
        <w:t>situ</w:t>
      </w:r>
      <w:r w:rsidR="00557ED0">
        <w:t xml:space="preserve"> monitoring and/or based on model projections.</w:t>
      </w:r>
    </w:p>
    <w:p w14:paraId="0A8427C1" w14:textId="256285E1" w:rsidR="00557ED0" w:rsidRPr="000F01BE" w:rsidRDefault="00557ED0">
      <w:pPr>
        <w:pStyle w:val="ListBullet2"/>
        <w:numPr>
          <w:ilvl w:val="1"/>
          <w:numId w:val="17"/>
        </w:numPr>
      </w:pPr>
      <w:r w:rsidRPr="000F01BE">
        <w:t>Develop</w:t>
      </w:r>
      <w:r>
        <w:t>ing</w:t>
      </w:r>
      <w:r w:rsidRPr="000F01BE">
        <w:t xml:space="preserve"> or access</w:t>
      </w:r>
      <w:r>
        <w:t>ing</w:t>
      </w:r>
      <w:r w:rsidRPr="000F01BE">
        <w:t xml:space="preserve"> local weather and climate models to </w:t>
      </w:r>
      <w:r w:rsidR="000E279F">
        <w:t>project</w:t>
      </w:r>
      <w:r w:rsidRPr="000F01BE">
        <w:t xml:space="preserve"> when extreme weather events might require moving animals to </w:t>
      </w:r>
      <w:r w:rsidRPr="00DD0952">
        <w:rPr>
          <w:i/>
        </w:rPr>
        <w:t>ex situ</w:t>
      </w:r>
      <w:r w:rsidRPr="000F01BE">
        <w:t xml:space="preserve"> facilities.</w:t>
      </w:r>
    </w:p>
    <w:p w14:paraId="0AF5D070" w14:textId="77777777" w:rsidR="00557ED0" w:rsidRPr="00AC5ED8" w:rsidRDefault="00557ED0" w:rsidP="00557ED0">
      <w:pPr>
        <w:pStyle w:val="Heading4"/>
        <w:ind w:left="964" w:hanging="964"/>
      </w:pPr>
      <w:r w:rsidRPr="00AC5ED8">
        <w:t>Increased temperature</w:t>
      </w:r>
    </w:p>
    <w:p w14:paraId="22F5985E" w14:textId="7C9D3173" w:rsidR="00557ED0" w:rsidRPr="00D977F0" w:rsidRDefault="00557ED0" w:rsidP="00557ED0">
      <w:pPr>
        <w:pStyle w:val="ListBullet"/>
      </w:pPr>
      <w:r w:rsidRPr="00D977F0">
        <w:t>Determine if the species natural habitat</w:t>
      </w:r>
      <w:r>
        <w:t xml:space="preserve"> features any relatively “cool” pockets of micro-habitat and if they could act as temporary refuges</w:t>
      </w:r>
      <w:r w:rsidRPr="00D977F0">
        <w:t>.</w:t>
      </w:r>
    </w:p>
    <w:p w14:paraId="42E313C2" w14:textId="77777777" w:rsidR="00557ED0" w:rsidRPr="00AC5ED8" w:rsidRDefault="00557ED0" w:rsidP="00557ED0">
      <w:pPr>
        <w:pStyle w:val="Heading4"/>
        <w:ind w:left="964" w:hanging="964"/>
      </w:pPr>
      <w:r w:rsidRPr="00AC5ED8">
        <w:t>Fire impacts</w:t>
      </w:r>
    </w:p>
    <w:p w14:paraId="1C79C981" w14:textId="77777777" w:rsidR="00557ED0" w:rsidRDefault="00557ED0" w:rsidP="00557ED0">
      <w:pPr>
        <w:pStyle w:val="ListBullet"/>
      </w:pPr>
      <w:r>
        <w:t>Review and revise existing fire management plans, including hazard reduction and fire suppression practices, to ensure they are appropriate for the distribution and habitat requirements of this species. These could include:</w:t>
      </w:r>
    </w:p>
    <w:p w14:paraId="07340D0B" w14:textId="77777777" w:rsidR="00557ED0" w:rsidRPr="0035728E" w:rsidRDefault="00557ED0">
      <w:pPr>
        <w:pStyle w:val="ListBullet2"/>
        <w:numPr>
          <w:ilvl w:val="1"/>
          <w:numId w:val="15"/>
        </w:numPr>
      </w:pPr>
      <w:r>
        <w:t xml:space="preserve">Actively protect </w:t>
      </w:r>
      <w:r w:rsidRPr="0035728E">
        <w:t xml:space="preserve">fire sensitive rainforest areas, and </w:t>
      </w:r>
      <w:r>
        <w:t xml:space="preserve">manage </w:t>
      </w:r>
      <w:r w:rsidRPr="0035728E">
        <w:t>surrounding areas.</w:t>
      </w:r>
    </w:p>
    <w:p w14:paraId="72E514CB" w14:textId="77777777" w:rsidR="00557ED0" w:rsidRPr="0035728E" w:rsidRDefault="00557ED0">
      <w:pPr>
        <w:pStyle w:val="ListBullet2"/>
        <w:numPr>
          <w:ilvl w:val="1"/>
          <w:numId w:val="15"/>
        </w:numPr>
      </w:pPr>
      <w:r>
        <w:t xml:space="preserve">Reduce the prevalence of </w:t>
      </w:r>
      <w:r w:rsidRPr="00731104">
        <w:t>fire-prone lantana where infestations have established</w:t>
      </w:r>
      <w:r>
        <w:t>, and replant native species where possible.</w:t>
      </w:r>
    </w:p>
    <w:p w14:paraId="2A213591" w14:textId="77777777" w:rsidR="00557ED0" w:rsidRDefault="00557ED0" w:rsidP="00557ED0">
      <w:pPr>
        <w:pStyle w:val="ListBullet"/>
      </w:pPr>
      <w:r>
        <w:t>Monitor and, if necessary, manage impacts from any upstream fires on the species habitat, including riparian erosion and siltation.</w:t>
      </w:r>
    </w:p>
    <w:p w14:paraId="5710B61E" w14:textId="77777777" w:rsidR="00557ED0" w:rsidRPr="00AC5ED8" w:rsidRDefault="00557ED0" w:rsidP="00557ED0">
      <w:pPr>
        <w:pStyle w:val="Heading4"/>
        <w:ind w:left="964" w:hanging="964"/>
      </w:pPr>
      <w:r w:rsidRPr="00AC5ED8">
        <w:t xml:space="preserve">Illegal collection </w:t>
      </w:r>
    </w:p>
    <w:p w14:paraId="03EB5555" w14:textId="02AFA9D5" w:rsidR="00557ED0" w:rsidRDefault="00557ED0" w:rsidP="00557ED0">
      <w:pPr>
        <w:pStyle w:val="ListBullet"/>
      </w:pPr>
      <w:r>
        <w:rPr>
          <w:rFonts w:asciiTheme="majorHAnsi" w:hAnsiTheme="majorHAnsi"/>
          <w:szCs w:val="20"/>
        </w:rPr>
        <w:t xml:space="preserve">Restrict </w:t>
      </w:r>
      <w:r w:rsidRPr="00B4428F">
        <w:rPr>
          <w:rFonts w:asciiTheme="majorHAnsi" w:hAnsiTheme="majorHAnsi"/>
          <w:szCs w:val="20"/>
        </w:rPr>
        <w:t>publicity</w:t>
      </w:r>
      <w:r>
        <w:rPr>
          <w:rFonts w:asciiTheme="majorHAnsi" w:hAnsiTheme="majorHAnsi"/>
          <w:szCs w:val="20"/>
        </w:rPr>
        <w:t xml:space="preserve"> on the species so as </w:t>
      </w:r>
      <w:r w:rsidRPr="00B4428F">
        <w:rPr>
          <w:rFonts w:asciiTheme="majorHAnsi" w:hAnsiTheme="majorHAnsi"/>
          <w:szCs w:val="20"/>
        </w:rPr>
        <w:t xml:space="preserve">to </w:t>
      </w:r>
      <w:r>
        <w:rPr>
          <w:rFonts w:asciiTheme="majorHAnsi" w:hAnsiTheme="majorHAnsi"/>
          <w:szCs w:val="20"/>
        </w:rPr>
        <w:t xml:space="preserve">not </w:t>
      </w:r>
      <w:r w:rsidR="00CB1DED">
        <w:rPr>
          <w:rFonts w:asciiTheme="majorHAnsi" w:hAnsiTheme="majorHAnsi"/>
          <w:szCs w:val="20"/>
        </w:rPr>
        <w:t>identify areas of occurrence and mitigate</w:t>
      </w:r>
      <w:r w:rsidR="00CB1DED" w:rsidRPr="00B4428F">
        <w:rPr>
          <w:rFonts w:asciiTheme="majorHAnsi" w:hAnsiTheme="majorHAnsi"/>
          <w:szCs w:val="20"/>
        </w:rPr>
        <w:t xml:space="preserve"> </w:t>
      </w:r>
      <w:r w:rsidRPr="00B4428F">
        <w:rPr>
          <w:rFonts w:asciiTheme="majorHAnsi" w:hAnsiTheme="majorHAnsi"/>
          <w:szCs w:val="20"/>
        </w:rPr>
        <w:t>illegal collect</w:t>
      </w:r>
      <w:r>
        <w:rPr>
          <w:rFonts w:asciiTheme="majorHAnsi" w:hAnsiTheme="majorHAnsi"/>
          <w:szCs w:val="20"/>
        </w:rPr>
        <w:t>ion</w:t>
      </w:r>
      <w:r w:rsidRPr="00B4428F">
        <w:rPr>
          <w:rFonts w:asciiTheme="majorHAnsi" w:hAnsiTheme="majorHAnsi"/>
          <w:szCs w:val="20"/>
        </w:rPr>
        <w:t>.</w:t>
      </w:r>
    </w:p>
    <w:p w14:paraId="76354237" w14:textId="73E20CDA" w:rsidR="00557ED0" w:rsidRDefault="00557ED0" w:rsidP="00557ED0">
      <w:pPr>
        <w:pStyle w:val="ListBullet"/>
      </w:pPr>
      <w:r>
        <w:t>Regularly carry out surveillance of species habitat, websites, forums, collectors’ groups, etc. to detect if illegal collection is occurring and if crayfish are offered for sale, and then take action where appropriate.</w:t>
      </w:r>
    </w:p>
    <w:p w14:paraId="743A3BDA" w14:textId="77777777" w:rsidR="00557ED0" w:rsidRPr="00B4428F" w:rsidRDefault="00557ED0" w:rsidP="00557ED0">
      <w:pPr>
        <w:pStyle w:val="Heading4"/>
        <w:ind w:left="964" w:hanging="964"/>
        <w:rPr>
          <w:rFonts w:asciiTheme="majorHAnsi" w:hAnsiTheme="majorHAnsi"/>
        </w:rPr>
      </w:pPr>
      <w:r w:rsidRPr="00AC5ED8">
        <w:t>Invasive species (including threats from grazing, trampling, predation)</w:t>
      </w:r>
    </w:p>
    <w:p w14:paraId="79170E68" w14:textId="77777777" w:rsidR="00557ED0" w:rsidRDefault="00557ED0" w:rsidP="00557ED0">
      <w:pPr>
        <w:pStyle w:val="ListBullet"/>
        <w:rPr>
          <w:rFonts w:asciiTheme="majorHAnsi" w:hAnsiTheme="majorHAnsi"/>
        </w:rPr>
      </w:pPr>
      <w:r w:rsidRPr="00055EF9">
        <w:rPr>
          <w:rFonts w:asciiTheme="majorHAnsi" w:hAnsiTheme="majorHAnsi"/>
        </w:rPr>
        <w:t>Develop and implement long-term strategies to control introduced predators by implementing eradication programs where feasible</w:t>
      </w:r>
      <w:r>
        <w:rPr>
          <w:rFonts w:asciiTheme="majorHAnsi" w:hAnsiTheme="majorHAnsi"/>
        </w:rPr>
        <w:t>.</w:t>
      </w:r>
    </w:p>
    <w:p w14:paraId="0490A17F" w14:textId="77777777" w:rsidR="00557ED0" w:rsidRDefault="00557ED0" w:rsidP="00557ED0">
      <w:pPr>
        <w:pStyle w:val="ListBullet"/>
        <w:rPr>
          <w:rFonts w:asciiTheme="majorHAnsi" w:hAnsiTheme="majorHAnsi"/>
        </w:rPr>
      </w:pPr>
      <w:r w:rsidRPr="00055EF9">
        <w:rPr>
          <w:rFonts w:asciiTheme="majorHAnsi" w:hAnsiTheme="majorHAnsi"/>
        </w:rPr>
        <w:t xml:space="preserve">Monitor </w:t>
      </w:r>
      <w:r>
        <w:rPr>
          <w:rFonts w:asciiTheme="majorHAnsi" w:hAnsiTheme="majorHAnsi"/>
        </w:rPr>
        <w:t xml:space="preserve">for </w:t>
      </w:r>
      <w:r w:rsidRPr="00055EF9">
        <w:rPr>
          <w:rFonts w:asciiTheme="majorHAnsi" w:hAnsiTheme="majorHAnsi"/>
        </w:rPr>
        <w:t>and control</w:t>
      </w:r>
      <w:r>
        <w:rPr>
          <w:rFonts w:asciiTheme="majorHAnsi" w:hAnsiTheme="majorHAnsi"/>
        </w:rPr>
        <w:t xml:space="preserve"> any</w:t>
      </w:r>
      <w:r w:rsidRPr="00055EF9">
        <w:rPr>
          <w:rFonts w:asciiTheme="majorHAnsi" w:hAnsiTheme="majorHAnsi"/>
        </w:rPr>
        <w:t xml:space="preserve"> damage to riparian areas by </w:t>
      </w:r>
      <w:r>
        <w:rPr>
          <w:rFonts w:asciiTheme="majorHAnsi" w:hAnsiTheme="majorHAnsi"/>
        </w:rPr>
        <w:t>f</w:t>
      </w:r>
      <w:r w:rsidRPr="00055EF9">
        <w:rPr>
          <w:rFonts w:asciiTheme="majorHAnsi" w:hAnsiTheme="majorHAnsi"/>
        </w:rPr>
        <w:t xml:space="preserve">eral pigs. </w:t>
      </w:r>
      <w:r>
        <w:rPr>
          <w:rFonts w:asciiTheme="majorHAnsi" w:hAnsiTheme="majorHAnsi"/>
        </w:rPr>
        <w:t>If required, c</w:t>
      </w:r>
      <w:r w:rsidRPr="00055EF9">
        <w:rPr>
          <w:rFonts w:asciiTheme="majorHAnsi" w:hAnsiTheme="majorHAnsi"/>
        </w:rPr>
        <w:t xml:space="preserve">ontrol numbers and fence sites, where feasible. This may require a collaborative strategy with surrounding land holders and local government authorities to limit </w:t>
      </w:r>
      <w:r>
        <w:rPr>
          <w:rFonts w:asciiTheme="majorHAnsi" w:hAnsiTheme="majorHAnsi"/>
        </w:rPr>
        <w:t>f</w:t>
      </w:r>
      <w:r w:rsidRPr="00055EF9">
        <w:rPr>
          <w:rFonts w:asciiTheme="majorHAnsi" w:hAnsiTheme="majorHAnsi"/>
        </w:rPr>
        <w:t xml:space="preserve">eral pigs from crossing into </w:t>
      </w:r>
      <w:r>
        <w:rPr>
          <w:rFonts w:asciiTheme="majorHAnsi" w:hAnsiTheme="majorHAnsi"/>
        </w:rPr>
        <w:t>n</w:t>
      </w:r>
      <w:r w:rsidRPr="00055EF9">
        <w:rPr>
          <w:rFonts w:asciiTheme="majorHAnsi" w:hAnsiTheme="majorHAnsi"/>
        </w:rPr>
        <w:t xml:space="preserve">ational </w:t>
      </w:r>
      <w:r>
        <w:rPr>
          <w:rFonts w:asciiTheme="majorHAnsi" w:hAnsiTheme="majorHAnsi"/>
        </w:rPr>
        <w:t>p</w:t>
      </w:r>
      <w:r w:rsidRPr="00055EF9">
        <w:rPr>
          <w:rFonts w:asciiTheme="majorHAnsi" w:hAnsiTheme="majorHAnsi"/>
        </w:rPr>
        <w:t>arks.</w:t>
      </w:r>
    </w:p>
    <w:p w14:paraId="3B904666" w14:textId="0F6E9966" w:rsidR="00557ED0" w:rsidRPr="0053567D" w:rsidRDefault="14528016" w:rsidP="334D77C2">
      <w:pPr>
        <w:pStyle w:val="ListBullet"/>
        <w:rPr>
          <w:rFonts w:asciiTheme="majorHAnsi" w:hAnsiTheme="majorHAnsi"/>
        </w:rPr>
      </w:pPr>
      <w:bookmarkStart w:id="11" w:name="_Hlk176770635"/>
      <w:r w:rsidRPr="00172D4D">
        <w:rPr>
          <w:rFonts w:asciiTheme="majorHAnsi" w:hAnsiTheme="majorHAnsi"/>
        </w:rPr>
        <w:t>Undertake weed control in the local area and</w:t>
      </w:r>
      <w:r w:rsidRPr="334D77C2">
        <w:rPr>
          <w:rFonts w:asciiTheme="majorHAnsi" w:hAnsiTheme="majorHAnsi"/>
        </w:rPr>
        <w:t xml:space="preserve"> i</w:t>
      </w:r>
      <w:r w:rsidR="00557ED0" w:rsidRPr="334D77C2">
        <w:rPr>
          <w:rFonts w:asciiTheme="majorHAnsi" w:hAnsiTheme="majorHAnsi"/>
        </w:rPr>
        <w:t>dentify and remove weeds that could become a threat to the species, ensuring any possible disturbance/overspray does not adversely impact this species. Replant native species, if possible.</w:t>
      </w:r>
    </w:p>
    <w:bookmarkEnd w:id="11"/>
    <w:p w14:paraId="1079A3FB" w14:textId="77777777" w:rsidR="00557ED0" w:rsidRPr="00AC5ED8" w:rsidRDefault="00557ED0" w:rsidP="00557ED0">
      <w:pPr>
        <w:pStyle w:val="Heading4"/>
        <w:ind w:left="964" w:hanging="964"/>
      </w:pPr>
      <w:r w:rsidRPr="00AC5ED8">
        <w:t>Disease impacts</w:t>
      </w:r>
    </w:p>
    <w:p w14:paraId="25947DC5" w14:textId="3B643DF2" w:rsidR="00557ED0" w:rsidRPr="00B4428F" w:rsidRDefault="00557ED0" w:rsidP="00557ED0">
      <w:pPr>
        <w:pStyle w:val="ListBullet"/>
        <w:rPr>
          <w:rFonts w:asciiTheme="majorHAnsi" w:hAnsiTheme="majorHAnsi"/>
          <w:szCs w:val="20"/>
        </w:rPr>
      </w:pPr>
      <w:r w:rsidRPr="00B4428F">
        <w:rPr>
          <w:rFonts w:asciiTheme="majorHAnsi" w:hAnsiTheme="majorHAnsi"/>
          <w:szCs w:val="20"/>
        </w:rPr>
        <w:t xml:space="preserve">Ensure authorised </w:t>
      </w:r>
      <w:r>
        <w:rPr>
          <w:rFonts w:asciiTheme="majorHAnsi" w:hAnsiTheme="majorHAnsi"/>
          <w:szCs w:val="20"/>
        </w:rPr>
        <w:t>researchers and rangers</w:t>
      </w:r>
      <w:r w:rsidRPr="00B4428F">
        <w:rPr>
          <w:rFonts w:asciiTheme="majorHAnsi" w:hAnsiTheme="majorHAnsi"/>
          <w:szCs w:val="20"/>
        </w:rPr>
        <w:t xml:space="preserve"> are aware of required hygiene protocols.</w:t>
      </w:r>
    </w:p>
    <w:p w14:paraId="4CA9C123" w14:textId="77777777" w:rsidR="00557ED0" w:rsidRPr="00314278" w:rsidRDefault="00557ED0" w:rsidP="00557ED0">
      <w:pPr>
        <w:pStyle w:val="ListBullet"/>
      </w:pPr>
      <w:r w:rsidRPr="00B4428F">
        <w:rPr>
          <w:rFonts w:asciiTheme="majorHAnsi" w:hAnsiTheme="majorHAnsi"/>
          <w:szCs w:val="20"/>
        </w:rPr>
        <w:t>Take steps (i.e.</w:t>
      </w:r>
      <w:r>
        <w:rPr>
          <w:rFonts w:asciiTheme="majorHAnsi" w:hAnsiTheme="majorHAnsi"/>
          <w:szCs w:val="20"/>
        </w:rPr>
        <w:t>,</w:t>
      </w:r>
      <w:r w:rsidRPr="00B4428F">
        <w:rPr>
          <w:rFonts w:asciiTheme="majorHAnsi" w:hAnsiTheme="majorHAnsi"/>
          <w:szCs w:val="20"/>
        </w:rPr>
        <w:t xml:space="preserve"> limit</w:t>
      </w:r>
      <w:r>
        <w:rPr>
          <w:rFonts w:asciiTheme="majorHAnsi" w:hAnsiTheme="majorHAnsi"/>
          <w:szCs w:val="20"/>
        </w:rPr>
        <w:t xml:space="preserve"> all</w:t>
      </w:r>
      <w:r w:rsidRPr="00B4428F">
        <w:rPr>
          <w:rFonts w:asciiTheme="majorHAnsi" w:hAnsiTheme="majorHAnsi"/>
          <w:szCs w:val="20"/>
        </w:rPr>
        <w:t xml:space="preserve"> publicity) to minimise frequency of potential disease vectors entering the species habitat. </w:t>
      </w:r>
      <w:r>
        <w:rPr>
          <w:rFonts w:asciiTheme="majorHAnsi" w:hAnsiTheme="majorHAnsi"/>
          <w:szCs w:val="20"/>
        </w:rPr>
        <w:t xml:space="preserve">For example, </w:t>
      </w:r>
      <w:r w:rsidRPr="00B4428F">
        <w:rPr>
          <w:rFonts w:asciiTheme="majorHAnsi" w:hAnsiTheme="majorHAnsi"/>
          <w:szCs w:val="20"/>
        </w:rPr>
        <w:t>not facilitating illegal collectors, or members of the public, identifying and visiting the species</w:t>
      </w:r>
      <w:r>
        <w:rPr>
          <w:rFonts w:asciiTheme="majorHAnsi" w:hAnsiTheme="majorHAnsi"/>
          <w:szCs w:val="20"/>
        </w:rPr>
        <w:t>’</w:t>
      </w:r>
      <w:r w:rsidRPr="00B4428F">
        <w:rPr>
          <w:rFonts w:asciiTheme="majorHAnsi" w:hAnsiTheme="majorHAnsi"/>
          <w:szCs w:val="20"/>
        </w:rPr>
        <w:t xml:space="preserve"> habitat.</w:t>
      </w:r>
    </w:p>
    <w:p w14:paraId="25018F23" w14:textId="192BA687" w:rsidR="00557ED0" w:rsidRPr="00AC5ED8" w:rsidRDefault="00CB1DED" w:rsidP="00557ED0">
      <w:pPr>
        <w:pStyle w:val="Heading4"/>
        <w:ind w:left="964" w:hanging="964"/>
      </w:pPr>
      <w:bookmarkStart w:id="12" w:name="_Hlk184810829"/>
      <w:r>
        <w:t xml:space="preserve">Ensure that appropriate guidelines for mitigating spread of disease is communicated to relevant stakeholders (including biosecurity). </w:t>
      </w:r>
      <w:bookmarkEnd w:id="12"/>
      <w:r w:rsidR="00557ED0" w:rsidRPr="00AC5ED8">
        <w:t>Habitat loss disturbance and modifications</w:t>
      </w:r>
    </w:p>
    <w:p w14:paraId="6872F642" w14:textId="0E95B0AF" w:rsidR="00FB3DA7" w:rsidRPr="00BC2340" w:rsidRDefault="00FB3DA7" w:rsidP="00FB3DA7">
      <w:pPr>
        <w:pStyle w:val="ListBullet"/>
      </w:pPr>
      <w:r w:rsidRPr="00BC2340">
        <w:t xml:space="preserve">Ensure that the habitat quality remains high through </w:t>
      </w:r>
      <w:r>
        <w:t xml:space="preserve">management </w:t>
      </w:r>
      <w:r w:rsidRPr="00BC2340">
        <w:t>actions (e.g., weed removal, fire management, etc.)</w:t>
      </w:r>
      <w:r>
        <w:t xml:space="preserve"> </w:t>
      </w:r>
      <w:r w:rsidRPr="00BC2340">
        <w:t>where the species is found.</w:t>
      </w:r>
    </w:p>
    <w:p w14:paraId="04A128D1" w14:textId="77777777" w:rsidR="00557ED0" w:rsidRPr="00AC5ED8" w:rsidRDefault="00557ED0" w:rsidP="00557ED0">
      <w:pPr>
        <w:pStyle w:val="Heading4"/>
        <w:ind w:left="964" w:hanging="964"/>
      </w:pPr>
      <w:r w:rsidRPr="00AE73E6">
        <w:t>Breeding, propagation and other ex situ recovery action</w:t>
      </w:r>
    </w:p>
    <w:p w14:paraId="35A7835D" w14:textId="77777777" w:rsidR="00557ED0" w:rsidRPr="00FC33B3" w:rsidRDefault="00557ED0" w:rsidP="00557ED0">
      <w:pPr>
        <w:pStyle w:val="ListBullet"/>
        <w:rPr>
          <w:rFonts w:asciiTheme="majorHAnsi" w:hAnsiTheme="majorHAnsi"/>
          <w:sz w:val="24"/>
        </w:rPr>
      </w:pPr>
      <w:r>
        <w:rPr>
          <w:rFonts w:asciiTheme="majorHAnsi" w:hAnsiTheme="majorHAnsi"/>
        </w:rPr>
        <w:t>If the population size of the species permits, i</w:t>
      </w:r>
      <w:r w:rsidRPr="00B4428F">
        <w:rPr>
          <w:rFonts w:asciiTheme="majorHAnsi" w:hAnsiTheme="majorHAnsi"/>
        </w:rPr>
        <w:t xml:space="preserve">nvestigate </w:t>
      </w:r>
      <w:r>
        <w:rPr>
          <w:rFonts w:asciiTheme="majorHAnsi" w:hAnsiTheme="majorHAnsi"/>
        </w:rPr>
        <w:t>feasibility a</w:t>
      </w:r>
      <w:r w:rsidRPr="00B4428F">
        <w:rPr>
          <w:rFonts w:asciiTheme="majorHAnsi" w:hAnsiTheme="majorHAnsi"/>
        </w:rPr>
        <w:t>nd plan for potential</w:t>
      </w:r>
      <w:r>
        <w:rPr>
          <w:rFonts w:asciiTheme="majorHAnsi" w:hAnsiTheme="majorHAnsi"/>
        </w:rPr>
        <w:t xml:space="preserve"> short and long-term</w:t>
      </w:r>
      <w:r w:rsidRPr="00B4428F">
        <w:rPr>
          <w:rFonts w:asciiTheme="majorHAnsi" w:hAnsiTheme="majorHAnsi"/>
        </w:rPr>
        <w:t xml:space="preserve"> active conservation intervention(s), including</w:t>
      </w:r>
      <w:r w:rsidRPr="00FC33B3">
        <w:rPr>
          <w:i/>
        </w:rPr>
        <w:t xml:space="preserve"> </w:t>
      </w:r>
      <w:r w:rsidRPr="00B4428F">
        <w:rPr>
          <w:i/>
        </w:rPr>
        <w:t>ex-situ</w:t>
      </w:r>
      <w:r w:rsidRPr="00B4428F">
        <w:t xml:space="preserve"> initiatives such as</w:t>
      </w:r>
      <w:r>
        <w:t>:</w:t>
      </w:r>
    </w:p>
    <w:p w14:paraId="76674B6B" w14:textId="77777777" w:rsidR="00557ED0" w:rsidRPr="00610BB1" w:rsidRDefault="00557ED0">
      <w:pPr>
        <w:pStyle w:val="ListBullet2"/>
        <w:numPr>
          <w:ilvl w:val="1"/>
          <w:numId w:val="14"/>
        </w:numPr>
        <w:rPr>
          <w:sz w:val="24"/>
        </w:rPr>
      </w:pPr>
      <w:r>
        <w:t>Establishing captive husbandry methods and protocols for the species.</w:t>
      </w:r>
    </w:p>
    <w:p w14:paraId="73C53065" w14:textId="5A07696E" w:rsidR="00557ED0" w:rsidRPr="00FC33B3" w:rsidRDefault="00557ED0">
      <w:pPr>
        <w:pStyle w:val="ListBullet2"/>
        <w:numPr>
          <w:ilvl w:val="1"/>
          <w:numId w:val="14"/>
        </w:numPr>
        <w:rPr>
          <w:sz w:val="24"/>
          <w:szCs w:val="24"/>
        </w:rPr>
      </w:pPr>
      <w:r>
        <w:t xml:space="preserve">Establishing a capacity to maintain captive populations over the short-term (i.e., in response to </w:t>
      </w:r>
      <w:r w:rsidR="001819A7">
        <w:t>extreme weather</w:t>
      </w:r>
      <w:r>
        <w:t xml:space="preserve"> events) for subsequent re-release to the wild.</w:t>
      </w:r>
    </w:p>
    <w:p w14:paraId="6EDE7B83" w14:textId="77777777" w:rsidR="00557ED0" w:rsidRPr="005C7126" w:rsidRDefault="00557ED0">
      <w:pPr>
        <w:pStyle w:val="ListBullet2"/>
        <w:numPr>
          <w:ilvl w:val="1"/>
          <w:numId w:val="14"/>
        </w:numPr>
        <w:rPr>
          <w:sz w:val="24"/>
        </w:rPr>
      </w:pPr>
      <w:r>
        <w:t>E</w:t>
      </w:r>
      <w:r w:rsidRPr="00B4428F">
        <w:t>stablish</w:t>
      </w:r>
      <w:r>
        <w:t>ing</w:t>
      </w:r>
      <w:r w:rsidRPr="00B4428F">
        <w:t xml:space="preserve"> </w:t>
      </w:r>
      <w:r>
        <w:t xml:space="preserve">a </w:t>
      </w:r>
      <w:r w:rsidRPr="00B4428F">
        <w:t>captive</w:t>
      </w:r>
      <w:r>
        <w:t xml:space="preserve"> breeding</w:t>
      </w:r>
      <w:r w:rsidRPr="00B4428F">
        <w:t xml:space="preserve"> population</w:t>
      </w:r>
      <w:r>
        <w:t xml:space="preserve"> as a source of animals to augment the wild </w:t>
      </w:r>
      <w:r w:rsidRPr="008A1FDA">
        <w:t>population</w:t>
      </w:r>
      <w:r>
        <w:t>, if required.</w:t>
      </w:r>
    </w:p>
    <w:p w14:paraId="68355549" w14:textId="77777777" w:rsidR="00557ED0" w:rsidRPr="00B94D9C" w:rsidRDefault="00557ED0">
      <w:pPr>
        <w:pStyle w:val="ListBullet2"/>
        <w:numPr>
          <w:ilvl w:val="1"/>
          <w:numId w:val="14"/>
        </w:numPr>
        <w:rPr>
          <w:sz w:val="24"/>
        </w:rPr>
      </w:pPr>
      <w:r>
        <w:t>Investigate feasibility of translocations to assist conservation of the species.</w:t>
      </w:r>
    </w:p>
    <w:p w14:paraId="6115C5BB" w14:textId="77777777" w:rsidR="00557ED0" w:rsidRPr="00B4428F" w:rsidRDefault="00557ED0" w:rsidP="00557ED0">
      <w:pPr>
        <w:pStyle w:val="Heading3"/>
        <w:ind w:left="964" w:hanging="964"/>
        <w:rPr>
          <w:rFonts w:asciiTheme="majorHAnsi" w:hAnsiTheme="majorHAnsi"/>
        </w:rPr>
      </w:pPr>
      <w:r w:rsidRPr="0090791D">
        <w:t>Stakeholder engagement/community engagement</w:t>
      </w:r>
    </w:p>
    <w:p w14:paraId="1B4F8C93" w14:textId="77777777" w:rsidR="00557ED0" w:rsidRDefault="00557ED0" w:rsidP="00557ED0">
      <w:pPr>
        <w:pStyle w:val="ListBullet"/>
        <w:rPr>
          <w:rFonts w:asciiTheme="majorHAnsi" w:hAnsiTheme="majorHAnsi"/>
          <w:szCs w:val="20"/>
        </w:rPr>
      </w:pPr>
      <w:r w:rsidRPr="004A6C6C">
        <w:rPr>
          <w:rFonts w:asciiTheme="majorHAnsi" w:hAnsiTheme="majorHAnsi"/>
          <w:szCs w:val="20"/>
        </w:rPr>
        <w:t>Prepare a management</w:t>
      </w:r>
      <w:r>
        <w:rPr>
          <w:rFonts w:asciiTheme="majorHAnsi" w:hAnsiTheme="majorHAnsi"/>
          <w:szCs w:val="20"/>
        </w:rPr>
        <w:t xml:space="preserve"> and engagement</w:t>
      </w:r>
      <w:r w:rsidRPr="004A6C6C">
        <w:rPr>
          <w:rFonts w:asciiTheme="majorHAnsi" w:hAnsiTheme="majorHAnsi"/>
          <w:szCs w:val="20"/>
        </w:rPr>
        <w:t xml:space="preserve"> strategy</w:t>
      </w:r>
      <w:r>
        <w:rPr>
          <w:rFonts w:asciiTheme="majorHAnsi" w:hAnsiTheme="majorHAnsi"/>
          <w:szCs w:val="20"/>
        </w:rPr>
        <w:t xml:space="preserve"> this species and similar species of crayfish in the region </w:t>
      </w:r>
      <w:r w:rsidRPr="004A6C6C">
        <w:rPr>
          <w:rFonts w:asciiTheme="majorHAnsi" w:hAnsiTheme="majorHAnsi"/>
          <w:szCs w:val="20"/>
        </w:rPr>
        <w:t>with input from</w:t>
      </w:r>
      <w:r>
        <w:rPr>
          <w:rFonts w:asciiTheme="majorHAnsi" w:hAnsiTheme="majorHAnsi"/>
          <w:szCs w:val="20"/>
        </w:rPr>
        <w:t xml:space="preserve"> </w:t>
      </w:r>
      <w:r w:rsidRPr="00F21094">
        <w:rPr>
          <w:rFonts w:asciiTheme="majorHAnsi" w:hAnsiTheme="majorHAnsi"/>
          <w:i/>
          <w:szCs w:val="20"/>
        </w:rPr>
        <w:t>bona-fide</w:t>
      </w:r>
      <w:r w:rsidRPr="004A6C6C">
        <w:rPr>
          <w:rFonts w:asciiTheme="majorHAnsi" w:hAnsiTheme="majorHAnsi"/>
          <w:szCs w:val="20"/>
        </w:rPr>
        <w:t xml:space="preserve"> </w:t>
      </w:r>
      <w:r>
        <w:rPr>
          <w:rFonts w:asciiTheme="majorHAnsi" w:hAnsiTheme="majorHAnsi"/>
          <w:szCs w:val="20"/>
        </w:rPr>
        <w:t>crayfish</w:t>
      </w:r>
      <w:r w:rsidRPr="004A6C6C">
        <w:rPr>
          <w:rFonts w:asciiTheme="majorHAnsi" w:hAnsiTheme="majorHAnsi"/>
          <w:szCs w:val="20"/>
        </w:rPr>
        <w:t xml:space="preserve"> experts</w:t>
      </w:r>
      <w:r>
        <w:rPr>
          <w:rFonts w:asciiTheme="majorHAnsi" w:hAnsiTheme="majorHAnsi"/>
          <w:szCs w:val="20"/>
        </w:rPr>
        <w:t>, national park managers, and other identified stakeholders.</w:t>
      </w:r>
    </w:p>
    <w:p w14:paraId="55D09D9F" w14:textId="2EFBE41C" w:rsidR="00557ED0" w:rsidRDefault="00EB796D" w:rsidP="00557ED0">
      <w:pPr>
        <w:pStyle w:val="ListBullet"/>
        <w:rPr>
          <w:rFonts w:asciiTheme="majorHAnsi" w:hAnsiTheme="majorHAnsi"/>
        </w:rPr>
      </w:pPr>
      <w:r>
        <w:rPr>
          <w:rFonts w:asciiTheme="majorHAnsi" w:hAnsiTheme="majorHAnsi"/>
        </w:rPr>
        <w:t>Support</w:t>
      </w:r>
      <w:r w:rsidR="00557ED0" w:rsidRPr="1D8AB4A0">
        <w:rPr>
          <w:rFonts w:asciiTheme="majorHAnsi" w:hAnsiTheme="majorHAnsi"/>
        </w:rPr>
        <w:t xml:space="preserve"> Traditional Owners in the conservation of the species and its habitat</w:t>
      </w:r>
      <w:r w:rsidR="0041301B">
        <w:rPr>
          <w:rFonts w:asciiTheme="majorHAnsi" w:hAnsiTheme="majorHAnsi"/>
        </w:rPr>
        <w:t>.</w:t>
      </w:r>
    </w:p>
    <w:p w14:paraId="3F3BBBC5" w14:textId="77777777" w:rsidR="00557ED0" w:rsidRDefault="00557ED0" w:rsidP="334D77C2">
      <w:pPr>
        <w:pStyle w:val="ListBullet"/>
        <w:rPr>
          <w:rFonts w:asciiTheme="majorHAnsi" w:hAnsiTheme="majorHAnsi"/>
        </w:rPr>
      </w:pPr>
      <w:r w:rsidRPr="334D77C2">
        <w:rPr>
          <w:rFonts w:asciiTheme="majorHAnsi" w:hAnsiTheme="majorHAnsi"/>
        </w:rPr>
        <w:t>Limit publicity for this species due to risks from illegal-and- over collection and disease. Information should be restricted until key knowledge-gaps have been addressed, and thus full community engagement may not be beneficial to the species.</w:t>
      </w:r>
    </w:p>
    <w:p w14:paraId="07C0C21D" w14:textId="7D1DF96A" w:rsidR="00C16A50" w:rsidRPr="00C16A50" w:rsidRDefault="00A243A1" w:rsidP="00C16A50">
      <w:pPr>
        <w:pStyle w:val="ListBullet"/>
        <w:rPr>
          <w:rFonts w:asciiTheme="majorHAnsi" w:hAnsiTheme="majorHAnsi"/>
        </w:rPr>
      </w:pPr>
      <w:bookmarkStart w:id="13" w:name="_Hlk184971694"/>
      <w:r w:rsidRPr="00A243A1">
        <w:rPr>
          <w:rFonts w:asciiTheme="majorHAnsi" w:hAnsiTheme="majorHAnsi"/>
        </w:rPr>
        <w:t>Noting the requirement to limit publicity</w:t>
      </w:r>
      <w:r>
        <w:rPr>
          <w:rFonts w:asciiTheme="majorHAnsi" w:hAnsiTheme="majorHAnsi"/>
        </w:rPr>
        <w:t>, a</w:t>
      </w:r>
      <w:r w:rsidR="00C16A50" w:rsidRPr="00307670">
        <w:rPr>
          <w:rFonts w:asciiTheme="majorHAnsi" w:hAnsiTheme="majorHAnsi"/>
        </w:rPr>
        <w:t>dopt best practice for effective threat management through an adaptive management approach based on partnerships around co-design, co-implementation and social learning. Promote wide acceptance and capacity building, including explicit use of local knowledge in planning, management actions and monitoring.</w:t>
      </w:r>
    </w:p>
    <w:bookmarkEnd w:id="13"/>
    <w:p w14:paraId="719F5AB1" w14:textId="77777777" w:rsidR="00557ED0" w:rsidRPr="00AC5ED8" w:rsidRDefault="00557ED0" w:rsidP="00557ED0">
      <w:pPr>
        <w:pStyle w:val="Heading3"/>
        <w:ind w:left="964" w:hanging="964"/>
      </w:pPr>
      <w:r w:rsidRPr="00372507">
        <w:t>Survey and monitoring priorities</w:t>
      </w:r>
    </w:p>
    <w:p w14:paraId="0967283F" w14:textId="77777777" w:rsidR="00557ED0" w:rsidRPr="00F857A6" w:rsidRDefault="00557ED0">
      <w:pPr>
        <w:pStyle w:val="ListBullet"/>
        <w:numPr>
          <w:ilvl w:val="0"/>
          <w:numId w:val="13"/>
        </w:numPr>
        <w:rPr>
          <w:rFonts w:asciiTheme="majorHAnsi" w:hAnsiTheme="majorHAnsi"/>
        </w:rPr>
      </w:pPr>
      <w:r w:rsidRPr="008A1FDA">
        <w:rPr>
          <w:rFonts w:asciiTheme="majorHAnsi" w:hAnsiTheme="majorHAnsi"/>
        </w:rPr>
        <w:t>Establish, and then monitor the population size</w:t>
      </w:r>
      <w:r>
        <w:rPr>
          <w:rFonts w:asciiTheme="majorHAnsi" w:hAnsiTheme="majorHAnsi"/>
        </w:rPr>
        <w:t xml:space="preserve"> and trajectory</w:t>
      </w:r>
      <w:r w:rsidRPr="008A1FDA">
        <w:rPr>
          <w:rFonts w:asciiTheme="majorHAnsi" w:hAnsiTheme="majorHAnsi"/>
        </w:rPr>
        <w:t xml:space="preserve"> of this species through time.</w:t>
      </w:r>
    </w:p>
    <w:p w14:paraId="557FBABF" w14:textId="3BC66F2A" w:rsidR="00557ED0" w:rsidRPr="00372507" w:rsidRDefault="00557ED0">
      <w:pPr>
        <w:pStyle w:val="ListBullet"/>
        <w:numPr>
          <w:ilvl w:val="0"/>
          <w:numId w:val="13"/>
        </w:numPr>
      </w:pPr>
      <w:r w:rsidRPr="00372507">
        <w:rPr>
          <w:rFonts w:asciiTheme="majorHAnsi" w:hAnsiTheme="majorHAnsi"/>
        </w:rPr>
        <w:t xml:space="preserve">Determine the contemporary geographic distribution of </w:t>
      </w:r>
      <w:r w:rsidR="00B529EB" w:rsidRPr="00B529EB">
        <w:rPr>
          <w:rFonts w:asciiTheme="majorHAnsi" w:hAnsiTheme="majorHAnsi"/>
        </w:rPr>
        <w:t>Balan spiny crayfish</w:t>
      </w:r>
      <w:r w:rsidR="00B529EB">
        <w:rPr>
          <w:rFonts w:asciiTheme="majorHAnsi" w:hAnsiTheme="majorHAnsi"/>
        </w:rPr>
        <w:t>, including divergent lineages</w:t>
      </w:r>
      <w:r w:rsidRPr="007B034D">
        <w:rPr>
          <w:rFonts w:asciiTheme="majorHAnsi" w:hAnsiTheme="majorHAnsi"/>
        </w:rPr>
        <w:t>.</w:t>
      </w:r>
    </w:p>
    <w:p w14:paraId="202C24A1" w14:textId="77777777" w:rsidR="00557ED0" w:rsidRPr="00372507" w:rsidRDefault="00557ED0">
      <w:pPr>
        <w:pStyle w:val="ListBullet"/>
        <w:numPr>
          <w:ilvl w:val="0"/>
          <w:numId w:val="13"/>
        </w:numPr>
      </w:pPr>
      <w:r w:rsidRPr="00372507">
        <w:rPr>
          <w:rFonts w:asciiTheme="majorHAnsi" w:hAnsiTheme="majorHAnsi"/>
        </w:rPr>
        <w:t xml:space="preserve">Use </w:t>
      </w:r>
      <w:r>
        <w:t xml:space="preserve">population genetics to provide an indirect estimate </w:t>
      </w:r>
      <w:r w:rsidRPr="00372507">
        <w:rPr>
          <w:rFonts w:asciiTheme="majorHAnsi" w:hAnsiTheme="majorHAnsi"/>
        </w:rPr>
        <w:t xml:space="preserve">of </w:t>
      </w:r>
      <w:r>
        <w:t>effective population size, heterozygosity, and structure among the various subpopulations, which can also form a baseline for ongoing monitoring.</w:t>
      </w:r>
    </w:p>
    <w:p w14:paraId="5885F5E6" w14:textId="77777777" w:rsidR="00557ED0" w:rsidRPr="00AC5ED8" w:rsidRDefault="00557ED0" w:rsidP="00557ED0">
      <w:pPr>
        <w:pStyle w:val="Heading3"/>
        <w:ind w:left="964" w:hanging="964"/>
      </w:pPr>
      <w:r w:rsidRPr="00AC5ED8">
        <w:t>Information and research priorities</w:t>
      </w:r>
    </w:p>
    <w:p w14:paraId="26376859" w14:textId="77777777" w:rsidR="00557ED0" w:rsidRPr="00EF3F25" w:rsidRDefault="00557ED0" w:rsidP="00557ED0">
      <w:pPr>
        <w:pStyle w:val="ListBullet"/>
        <w:rPr>
          <w:rFonts w:asciiTheme="majorHAnsi" w:hAnsiTheme="majorHAnsi"/>
          <w:sz w:val="24"/>
        </w:rPr>
      </w:pPr>
      <w:r>
        <w:rPr>
          <w:rFonts w:asciiTheme="majorHAnsi" w:hAnsiTheme="majorHAnsi"/>
          <w:szCs w:val="20"/>
        </w:rPr>
        <w:t xml:space="preserve">Address the previously identified critical knowledge gaps on </w:t>
      </w:r>
      <w:r w:rsidRPr="00EF3F25">
        <w:rPr>
          <w:rFonts w:asciiTheme="majorHAnsi" w:hAnsiTheme="majorHAnsi"/>
          <w:szCs w:val="20"/>
        </w:rPr>
        <w:t>the</w:t>
      </w:r>
      <w:r>
        <w:rPr>
          <w:rFonts w:asciiTheme="majorHAnsi" w:hAnsiTheme="majorHAnsi"/>
          <w:szCs w:val="20"/>
        </w:rPr>
        <w:t xml:space="preserve"> population size,</w:t>
      </w:r>
      <w:r w:rsidRPr="00EF3F25">
        <w:rPr>
          <w:rFonts w:asciiTheme="majorHAnsi" w:hAnsiTheme="majorHAnsi"/>
          <w:szCs w:val="20"/>
        </w:rPr>
        <w:t xml:space="preserve"> biology, ecology and life history of </w:t>
      </w:r>
      <w:r>
        <w:rPr>
          <w:rFonts w:asciiTheme="majorHAnsi" w:hAnsiTheme="majorHAnsi"/>
          <w:szCs w:val="20"/>
        </w:rPr>
        <w:t xml:space="preserve">this species </w:t>
      </w:r>
      <w:r>
        <w:t>(see ‘</w:t>
      </w:r>
      <w:r w:rsidRPr="00EB4313">
        <w:rPr>
          <w:rFonts w:asciiTheme="majorHAnsi" w:hAnsiTheme="majorHAnsi"/>
          <w:szCs w:val="20"/>
        </w:rPr>
        <w:t>Relevant biology and ecology</w:t>
      </w:r>
      <w:r>
        <w:rPr>
          <w:rFonts w:asciiTheme="majorHAnsi" w:hAnsiTheme="majorHAnsi"/>
          <w:szCs w:val="20"/>
        </w:rPr>
        <w:t>’ above).</w:t>
      </w:r>
    </w:p>
    <w:p w14:paraId="36AAF879" w14:textId="3C69AB08" w:rsidR="00557ED0" w:rsidRPr="00EF3F25" w:rsidRDefault="00557ED0" w:rsidP="00557ED0">
      <w:pPr>
        <w:pStyle w:val="ListBullet"/>
        <w:rPr>
          <w:rFonts w:asciiTheme="majorHAnsi" w:hAnsiTheme="majorHAnsi"/>
          <w:sz w:val="24"/>
        </w:rPr>
      </w:pPr>
      <w:r w:rsidRPr="00EF3F25">
        <w:rPr>
          <w:rFonts w:asciiTheme="majorHAnsi" w:hAnsiTheme="majorHAnsi"/>
          <w:szCs w:val="20"/>
        </w:rPr>
        <w:t>Investigate the species’ habitat requirements</w:t>
      </w:r>
      <w:r>
        <w:rPr>
          <w:rFonts w:asciiTheme="majorHAnsi" w:hAnsiTheme="majorHAnsi"/>
          <w:szCs w:val="20"/>
        </w:rPr>
        <w:t xml:space="preserve"> </w:t>
      </w:r>
      <w:bookmarkStart w:id="14" w:name="_Hlk184810919"/>
      <w:r>
        <w:rPr>
          <w:rFonts w:asciiTheme="majorHAnsi" w:hAnsiTheme="majorHAnsi"/>
          <w:szCs w:val="20"/>
        </w:rPr>
        <w:t>(including any moisture</w:t>
      </w:r>
      <w:r w:rsidR="00CB1DED" w:rsidRPr="00CB1DED">
        <w:rPr>
          <w:rFonts w:asciiTheme="majorHAnsi" w:hAnsiTheme="majorHAnsi"/>
          <w:szCs w:val="20"/>
        </w:rPr>
        <w:t xml:space="preserve"> </w:t>
      </w:r>
      <w:r w:rsidR="00CB1DED" w:rsidRPr="008620D3">
        <w:rPr>
          <w:rFonts w:asciiTheme="majorHAnsi" w:hAnsiTheme="majorHAnsi"/>
          <w:szCs w:val="20"/>
        </w:rPr>
        <w:t>environmental temperature, dissolved oxygen and shelter/refuge requirements</w:t>
      </w:r>
      <w:r>
        <w:rPr>
          <w:rFonts w:asciiTheme="majorHAnsi" w:hAnsiTheme="majorHAnsi"/>
          <w:szCs w:val="20"/>
        </w:rPr>
        <w:t xml:space="preserve"> requirements)</w:t>
      </w:r>
      <w:r w:rsidRPr="00EF3F25">
        <w:rPr>
          <w:rFonts w:asciiTheme="majorHAnsi" w:hAnsiTheme="majorHAnsi"/>
          <w:szCs w:val="20"/>
        </w:rPr>
        <w:t>.</w:t>
      </w:r>
      <w:bookmarkEnd w:id="14"/>
    </w:p>
    <w:p w14:paraId="580B0123" w14:textId="77777777" w:rsidR="00557ED0" w:rsidRDefault="00557ED0" w:rsidP="00557ED0">
      <w:pPr>
        <w:pStyle w:val="ListBullet"/>
      </w:pPr>
      <w:r>
        <w:t>Investigate the potential influence of climate change on the long-term survival prospects of the species, due to altered temperatures, rainfall patterns/moisture availability, bushfires, environmental stressors and diseases. This includes:</w:t>
      </w:r>
    </w:p>
    <w:p w14:paraId="39378AFC" w14:textId="69A70A2A" w:rsidR="00557ED0" w:rsidRDefault="00557ED0" w:rsidP="00EB796D">
      <w:pPr>
        <w:pStyle w:val="ListBullet2"/>
      </w:pPr>
      <w:r>
        <w:t xml:space="preserve">If the population size permits, assess the thermal tolerance of </w:t>
      </w:r>
      <w:r w:rsidR="00EB796D">
        <w:t>Balan spiny crayfish</w:t>
      </w:r>
      <w:r>
        <w:t>(using non-lethal methods) to ascertain its physiological limits, sensitivity and vulnerability.</w:t>
      </w:r>
      <w:r w:rsidR="00A2205C" w:rsidRPr="00A2205C">
        <w:t xml:space="preserve"> </w:t>
      </w:r>
      <w:r w:rsidR="00A2205C" w:rsidRPr="007F0FAC">
        <w:t>Thermal tolerances are likely to be similar between closely related species occupying similar environments</w:t>
      </w:r>
      <w:r w:rsidR="00A2205C">
        <w:t xml:space="preserve"> (Cramp et al. 2021). So use of a more common </w:t>
      </w:r>
      <w:r w:rsidR="00A2205C" w:rsidRPr="00FB7BE8">
        <w:rPr>
          <w:i/>
          <w:iCs/>
        </w:rPr>
        <w:t>Euastacus</w:t>
      </w:r>
      <w:r w:rsidR="00A2205C">
        <w:t xml:space="preserve"> species which is physiologically and ecologically similar could be used to inform likely impacts to this threatened species.</w:t>
      </w:r>
    </w:p>
    <w:p w14:paraId="4B443E36" w14:textId="20FF98F3" w:rsidR="00EB796D" w:rsidRPr="006112BF" w:rsidRDefault="00EB796D" w:rsidP="00D15D2A">
      <w:pPr>
        <w:pStyle w:val="ListBullet2"/>
        <w:numPr>
          <w:ilvl w:val="1"/>
          <w:numId w:val="20"/>
        </w:numPr>
      </w:pPr>
      <w:r>
        <w:t>Establish the species’ moisture requirements and how these may be affected via changes in precipitation and increased temperature.</w:t>
      </w:r>
    </w:p>
    <w:p w14:paraId="22DBB546" w14:textId="77777777" w:rsidR="00557ED0" w:rsidRPr="006112BF" w:rsidRDefault="00557ED0">
      <w:pPr>
        <w:pStyle w:val="ListBullet2"/>
        <w:numPr>
          <w:ilvl w:val="1"/>
          <w:numId w:val="16"/>
        </w:numPr>
      </w:pPr>
      <w:r w:rsidRPr="006112BF">
        <w:t>Establish the impacts of climate change on the species’ habitat (vegetation</w:t>
      </w:r>
      <w:r>
        <w:t xml:space="preserve"> assemblages</w:t>
      </w:r>
      <w:r w:rsidRPr="006112BF">
        <w:t>, water availability, water</w:t>
      </w:r>
      <w:r>
        <w:t xml:space="preserve"> and air</w:t>
      </w:r>
      <w:r w:rsidRPr="006112BF">
        <w:t xml:space="preserve"> temperatures).</w:t>
      </w:r>
    </w:p>
    <w:p w14:paraId="61C5FC18" w14:textId="29BB2043" w:rsidR="00557ED0" w:rsidRPr="00D15D2A" w:rsidRDefault="00CB1DED" w:rsidP="00557ED0">
      <w:pPr>
        <w:pStyle w:val="ListBullet"/>
      </w:pPr>
      <w:r>
        <w:t>Investigate</w:t>
      </w:r>
      <w:r w:rsidRPr="00172D4D">
        <w:t xml:space="preserve"> </w:t>
      </w:r>
      <w:r w:rsidR="0C60686E" w:rsidRPr="00172D4D">
        <w:t xml:space="preserve">the threats and impacts of invasive species and diseases on </w:t>
      </w:r>
      <w:r>
        <w:t>Balan spiny crayfish</w:t>
      </w:r>
      <w:r w:rsidR="00557ED0" w:rsidRPr="334D77C2">
        <w:rPr>
          <w:rFonts w:asciiTheme="majorHAnsi" w:hAnsiTheme="majorHAnsi"/>
        </w:rPr>
        <w:t>.</w:t>
      </w:r>
    </w:p>
    <w:p w14:paraId="4E45C0C9" w14:textId="77777777" w:rsidR="007E46CE" w:rsidRDefault="007E46CE" w:rsidP="00D15D2A">
      <w:pPr>
        <w:pStyle w:val="ListBullet"/>
        <w:numPr>
          <w:ilvl w:val="0"/>
          <w:numId w:val="0"/>
        </w:numPr>
        <w:ind w:left="425" w:hanging="425"/>
      </w:pPr>
    </w:p>
    <w:p w14:paraId="4CB72547" w14:textId="77777777" w:rsidR="00557ED0" w:rsidRDefault="00557ED0" w:rsidP="00557ED0">
      <w:pPr>
        <w:pStyle w:val="Heading2"/>
        <w:ind w:left="720" w:hanging="720"/>
      </w:pPr>
      <w:r>
        <w:t>Links to relevant implementation documents</w:t>
      </w:r>
    </w:p>
    <w:p w14:paraId="291E03C3" w14:textId="77777777" w:rsidR="00557ED0" w:rsidRPr="00D03D89" w:rsidRDefault="00557ED0" w:rsidP="00557ED0">
      <w:pPr>
        <w:pStyle w:val="CAreference"/>
        <w:spacing w:after="120" w:line="276" w:lineRule="auto"/>
        <w:rPr>
          <w:rFonts w:asciiTheme="majorHAnsi" w:hAnsiTheme="majorHAnsi"/>
        </w:rPr>
      </w:pPr>
      <w:r>
        <w:rPr>
          <w:rFonts w:asciiTheme="majorHAnsi" w:hAnsiTheme="majorHAnsi"/>
        </w:rPr>
        <w:t>DAWE (</w:t>
      </w:r>
      <w:r w:rsidRPr="00D03D89">
        <w:rPr>
          <w:rFonts w:asciiTheme="majorHAnsi" w:hAnsiTheme="majorHAnsi"/>
        </w:rPr>
        <w:t>Department of Agriculture Water and the Environment</w:t>
      </w:r>
      <w:r>
        <w:rPr>
          <w:rFonts w:asciiTheme="majorHAnsi" w:hAnsiTheme="majorHAnsi"/>
        </w:rPr>
        <w:t>)</w:t>
      </w:r>
      <w:r w:rsidRPr="00D03D89">
        <w:rPr>
          <w:rFonts w:asciiTheme="majorHAnsi" w:hAnsiTheme="majorHAnsi"/>
        </w:rPr>
        <w:t xml:space="preserve"> (2019) Australian aquatic veterinary emergency plan (AQUAVETPLAN) for crayfish plague (version 2.0). Commonwealth of Australia, Canberra, ACT, Australia. Viewed 22 June 2021. Available at: https://www.agriculture.gov.au/sites/default/files/documents/aquavetplan-crayfish-plague.pdf</w:t>
      </w:r>
    </w:p>
    <w:p w14:paraId="7F832A0D" w14:textId="77777777" w:rsidR="00557ED0" w:rsidRPr="00D03D89" w:rsidRDefault="00557ED0" w:rsidP="00557ED0">
      <w:pPr>
        <w:pStyle w:val="CAreference"/>
        <w:spacing w:after="120" w:line="276" w:lineRule="auto"/>
        <w:rPr>
          <w:rFonts w:asciiTheme="majorHAnsi" w:hAnsiTheme="majorHAnsi"/>
        </w:rPr>
      </w:pPr>
      <w:r>
        <w:rPr>
          <w:rFonts w:asciiTheme="majorHAnsi" w:hAnsiTheme="majorHAnsi"/>
        </w:rPr>
        <w:t>DEH (</w:t>
      </w:r>
      <w:r w:rsidRPr="00D03D89">
        <w:rPr>
          <w:rFonts w:asciiTheme="majorHAnsi" w:hAnsiTheme="majorHAnsi"/>
        </w:rPr>
        <w:t>Department of Environment and Heritage</w:t>
      </w:r>
      <w:r>
        <w:rPr>
          <w:rFonts w:asciiTheme="majorHAnsi" w:hAnsiTheme="majorHAnsi"/>
        </w:rPr>
        <w:t>)</w:t>
      </w:r>
      <w:r w:rsidRPr="00D03D89">
        <w:rPr>
          <w:rFonts w:asciiTheme="majorHAnsi" w:hAnsiTheme="majorHAnsi"/>
        </w:rPr>
        <w:t xml:space="preserve"> (2017) Threat abatement plan for predation, habitat degradation, competition and disease transmission by feral pigs. Department of Environment and Heritage, Commonwealth of Australia. Canberra, Australia. Viewed 22 June 2021. Available at: </w:t>
      </w:r>
      <w:r w:rsidRPr="00FD7993">
        <w:rPr>
          <w:rFonts w:asciiTheme="majorHAnsi" w:hAnsiTheme="majorHAnsi"/>
        </w:rPr>
        <w:t>https://www.environment.gov.au/system/files/resources/b022ba00-ceb9-4d0b-9b9a-54f9700e7ec9/files/tap-feral-pigs-2017.pdf</w:t>
      </w:r>
    </w:p>
    <w:p w14:paraId="65F1293C" w14:textId="77777777" w:rsidR="00557ED0" w:rsidRDefault="00557ED0" w:rsidP="00557ED0">
      <w:pPr>
        <w:pStyle w:val="Heading2"/>
        <w:spacing w:before="120"/>
        <w:ind w:left="709" w:hanging="709"/>
      </w:pPr>
      <w:r w:rsidRPr="006A7D55">
        <w:t>Con</w:t>
      </w:r>
      <w:r w:rsidRPr="006A7D55">
        <w:rPr>
          <w:bCs w:val="0"/>
        </w:rPr>
        <w:t>se</w:t>
      </w:r>
      <w:r w:rsidRPr="006A7D55">
        <w:t>rva</w:t>
      </w:r>
      <w:r w:rsidRPr="006A7D55">
        <w:rPr>
          <w:bCs w:val="0"/>
        </w:rPr>
        <w:t>t</w:t>
      </w:r>
      <w:r w:rsidRPr="006A7D55">
        <w:t>io</w:t>
      </w:r>
      <w:r w:rsidRPr="006A7D55">
        <w:rPr>
          <w:bCs w:val="0"/>
        </w:rPr>
        <w:t>n</w:t>
      </w:r>
      <w:r w:rsidRPr="006A7D55">
        <w:t xml:space="preserve"> Advi</w:t>
      </w:r>
      <w:r w:rsidRPr="006A7D55">
        <w:rPr>
          <w:bCs w:val="0"/>
        </w:rPr>
        <w:t>c</w:t>
      </w:r>
      <w:r w:rsidRPr="006A7D55">
        <w:t xml:space="preserve">e and </w:t>
      </w:r>
      <w:bookmarkEnd w:id="8"/>
      <w:bookmarkEnd w:id="9"/>
      <w:r w:rsidRPr="006A7D55">
        <w:t>Listing</w:t>
      </w:r>
      <w:r>
        <w:t xml:space="preserve"> Assessment references</w:t>
      </w:r>
    </w:p>
    <w:p w14:paraId="6FC7CE04" w14:textId="77777777" w:rsidR="00557ED0" w:rsidRDefault="00557ED0" w:rsidP="00557ED0">
      <w:pPr>
        <w:pStyle w:val="CAreference"/>
        <w:spacing w:after="120" w:line="276" w:lineRule="auto"/>
        <w:rPr>
          <w:rFonts w:asciiTheme="majorHAnsi" w:hAnsiTheme="majorHAnsi"/>
        </w:rPr>
      </w:pPr>
      <w:r w:rsidRPr="00B67B4F">
        <w:rPr>
          <w:rFonts w:asciiTheme="majorHAnsi" w:hAnsiTheme="majorHAnsi"/>
        </w:rPr>
        <w:t xml:space="preserve">Abrahamsson SAA (1966) Dynamics of an isolated population of the crayfish </w:t>
      </w:r>
      <w:r w:rsidRPr="00BC7402">
        <w:rPr>
          <w:rFonts w:asciiTheme="majorHAnsi" w:hAnsiTheme="majorHAnsi"/>
          <w:i/>
          <w:iCs/>
        </w:rPr>
        <w:t>Astacus</w:t>
      </w:r>
      <w:r w:rsidRPr="00B67B4F">
        <w:rPr>
          <w:rFonts w:asciiTheme="majorHAnsi" w:hAnsiTheme="majorHAnsi"/>
        </w:rPr>
        <w:t xml:space="preserve"> Linne. </w:t>
      </w:r>
      <w:r w:rsidRPr="00BC7402">
        <w:rPr>
          <w:rFonts w:asciiTheme="majorHAnsi" w:hAnsiTheme="majorHAnsi"/>
          <w:i/>
          <w:iCs/>
        </w:rPr>
        <w:t>Oikos</w:t>
      </w:r>
      <w:r w:rsidRPr="00B67B4F">
        <w:rPr>
          <w:rFonts w:asciiTheme="majorHAnsi" w:hAnsiTheme="majorHAnsi"/>
        </w:rPr>
        <w:t xml:space="preserve"> 17</w:t>
      </w:r>
      <w:r>
        <w:rPr>
          <w:rFonts w:asciiTheme="majorHAnsi" w:hAnsiTheme="majorHAnsi"/>
        </w:rPr>
        <w:t>,</w:t>
      </w:r>
      <w:r w:rsidRPr="00B67B4F">
        <w:rPr>
          <w:rFonts w:asciiTheme="majorHAnsi" w:hAnsiTheme="majorHAnsi"/>
        </w:rPr>
        <w:t xml:space="preserve"> 96-107.</w:t>
      </w:r>
    </w:p>
    <w:p w14:paraId="6BA07687" w14:textId="034F1880" w:rsidR="00B82E54" w:rsidRDefault="00B82E54" w:rsidP="00557ED0">
      <w:pPr>
        <w:pStyle w:val="CAreference"/>
        <w:spacing w:after="120" w:line="276" w:lineRule="auto"/>
        <w:rPr>
          <w:rFonts w:asciiTheme="majorHAnsi" w:hAnsiTheme="majorHAnsi"/>
        </w:rPr>
      </w:pPr>
      <w:r w:rsidRPr="00B82E54">
        <w:rPr>
          <w:rFonts w:asciiTheme="majorHAnsi" w:hAnsiTheme="majorHAnsi"/>
        </w:rPr>
        <w:t>Arguez A, Hurley S, Inamdar A, Mahoney L, Sanchez-Lugo A, Yang L, Arguez A, Hurley S, Inamdar A, Mahoney L, Sanchez-Lugo A</w:t>
      </w:r>
      <w:r w:rsidR="00F81DF0">
        <w:rPr>
          <w:rFonts w:asciiTheme="majorHAnsi" w:hAnsiTheme="majorHAnsi"/>
        </w:rPr>
        <w:t xml:space="preserve"> and</w:t>
      </w:r>
      <w:r w:rsidRPr="00B82E54">
        <w:rPr>
          <w:rFonts w:asciiTheme="majorHAnsi" w:hAnsiTheme="majorHAnsi"/>
        </w:rPr>
        <w:t xml:space="preserve"> Yang L (2020) Should we expect each year in the next decade (2019-2028) to be ranked among the top 10 warmest years globally? </w:t>
      </w:r>
      <w:r w:rsidRPr="00FA347D">
        <w:rPr>
          <w:rFonts w:asciiTheme="majorHAnsi" w:hAnsiTheme="majorHAnsi"/>
          <w:i/>
          <w:iCs/>
        </w:rPr>
        <w:t>Bulletin of the American Meteorological Society</w:t>
      </w:r>
      <w:r w:rsidRPr="00B82E54">
        <w:rPr>
          <w:rFonts w:asciiTheme="majorHAnsi" w:hAnsiTheme="majorHAnsi"/>
        </w:rPr>
        <w:t>, BAMS-D-19-0215.1.</w:t>
      </w:r>
    </w:p>
    <w:p w14:paraId="5F376CE2" w14:textId="454CBF28" w:rsidR="00557ED0" w:rsidRDefault="00557ED0" w:rsidP="00557ED0">
      <w:pPr>
        <w:pStyle w:val="CAreference"/>
        <w:spacing w:after="120" w:line="276" w:lineRule="auto"/>
        <w:rPr>
          <w:rFonts w:asciiTheme="majorHAnsi" w:hAnsiTheme="majorHAnsi"/>
        </w:rPr>
      </w:pPr>
      <w:r w:rsidRPr="00B93C80">
        <w:rPr>
          <w:rFonts w:asciiTheme="majorHAnsi" w:hAnsiTheme="majorHAnsi"/>
        </w:rPr>
        <w:t xml:space="preserve">Austin C, Whiterod NS, McCormack R, Raadik TA, Ahyong ST, Lintermans M, Furse JM and Grandjean F (2022) Molecular taxonomy of Australia’s endemic freshwater crayfish genus </w:t>
      </w:r>
      <w:r w:rsidRPr="001E6171">
        <w:rPr>
          <w:rFonts w:asciiTheme="majorHAnsi" w:hAnsiTheme="majorHAnsi"/>
          <w:i/>
          <w:iCs/>
        </w:rPr>
        <w:t xml:space="preserve">Euastacus </w:t>
      </w:r>
      <w:r w:rsidRPr="00B93C80">
        <w:rPr>
          <w:rFonts w:asciiTheme="majorHAnsi" w:hAnsiTheme="majorHAnsi"/>
        </w:rPr>
        <w:t xml:space="preserve">(Parastacidae), with reference to priority 2019-20 bushfire-impacted species - 2022 update. 64 pages. </w:t>
      </w:r>
      <w:r>
        <w:rPr>
          <w:rFonts w:asciiTheme="majorHAnsi" w:hAnsiTheme="majorHAnsi"/>
        </w:rPr>
        <w:t>D</w:t>
      </w:r>
      <w:r w:rsidRPr="00B93C80">
        <w:rPr>
          <w:rFonts w:asciiTheme="majorHAnsi" w:hAnsiTheme="majorHAnsi"/>
        </w:rPr>
        <w:t>eakin University and Aquasave–Nature Glenelg Trust, Victor Harbor, South Australia.</w:t>
      </w:r>
    </w:p>
    <w:p w14:paraId="13B2A570" w14:textId="72A59B1A" w:rsidR="00521EA6" w:rsidRDefault="00EC6348" w:rsidP="00557ED0">
      <w:pPr>
        <w:pStyle w:val="CAreference"/>
        <w:spacing w:after="120" w:line="276" w:lineRule="auto"/>
        <w:rPr>
          <w:rFonts w:asciiTheme="majorHAnsi" w:hAnsiTheme="majorHAnsi"/>
        </w:rPr>
      </w:pPr>
      <w:r>
        <w:rPr>
          <w:rFonts w:asciiTheme="majorHAnsi" w:hAnsiTheme="majorHAnsi"/>
        </w:rPr>
        <w:t>ANU (</w:t>
      </w:r>
      <w:r w:rsidR="00521EA6" w:rsidRPr="00521EA6">
        <w:rPr>
          <w:rFonts w:asciiTheme="majorHAnsi" w:hAnsiTheme="majorHAnsi"/>
        </w:rPr>
        <w:t xml:space="preserve">Australian National University) (2009) </w:t>
      </w:r>
      <w:r w:rsidR="00521EA6" w:rsidRPr="00FA347D">
        <w:rPr>
          <w:rFonts w:asciiTheme="majorHAnsi" w:hAnsiTheme="majorHAnsi"/>
          <w:i/>
          <w:iCs/>
        </w:rPr>
        <w:t>Implications of climate change for Australia’s World Heritage properties: A preliminary assessment.</w:t>
      </w:r>
      <w:r w:rsidR="00521EA6" w:rsidRPr="00521EA6">
        <w:rPr>
          <w:rFonts w:asciiTheme="majorHAnsi" w:hAnsiTheme="majorHAnsi"/>
        </w:rPr>
        <w:t xml:space="preserve"> A report to the Department of Climate Change and the Department of the Environment, Water, Heritage and the Arts by the Fenner School of Environment and Society, the Australian National University.</w:t>
      </w:r>
    </w:p>
    <w:p w14:paraId="6C58F6A3"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Bachman S, Moat J, Hill A, J de la Torre &amp; Scott B (2011) Supporting Red List threat assessments with GeoCAT: geospatial conservation assessment tool. </w:t>
      </w:r>
      <w:r w:rsidRPr="00B326AD">
        <w:rPr>
          <w:rFonts w:asciiTheme="majorHAnsi" w:hAnsiTheme="majorHAnsi"/>
          <w:i/>
          <w:iCs/>
        </w:rPr>
        <w:t>Zookeys</w:t>
      </w:r>
      <w:r w:rsidRPr="00B326AD">
        <w:rPr>
          <w:rFonts w:asciiTheme="majorHAnsi" w:hAnsiTheme="majorHAnsi"/>
        </w:rPr>
        <w:t xml:space="preserve"> 150, 117-126.</w:t>
      </w:r>
    </w:p>
    <w:p w14:paraId="2BFAB192" w14:textId="77777777" w:rsidR="00557ED0" w:rsidRDefault="00557ED0" w:rsidP="00557ED0">
      <w:pPr>
        <w:pStyle w:val="CAreference"/>
        <w:spacing w:after="120" w:line="276" w:lineRule="auto"/>
        <w:rPr>
          <w:rFonts w:asciiTheme="majorHAnsi" w:hAnsiTheme="majorHAnsi"/>
        </w:rPr>
      </w:pPr>
      <w:r w:rsidRPr="00C00F5F">
        <w:rPr>
          <w:rFonts w:asciiTheme="majorHAnsi" w:hAnsiTheme="majorHAnsi"/>
        </w:rPr>
        <w:t>Bland</w:t>
      </w:r>
      <w:r>
        <w:rPr>
          <w:rFonts w:asciiTheme="majorHAnsi" w:hAnsiTheme="majorHAnsi"/>
        </w:rPr>
        <w:t xml:space="preserve"> LM (2017)</w:t>
      </w:r>
      <w:r w:rsidRPr="00C00F5F">
        <w:rPr>
          <w:rFonts w:asciiTheme="majorHAnsi" w:hAnsiTheme="majorHAnsi"/>
        </w:rPr>
        <w:t xml:space="preserve"> Global correlates of extinction risk in freshwater crayﬁsh. </w:t>
      </w:r>
      <w:r w:rsidRPr="00C00F5F">
        <w:rPr>
          <w:rFonts w:asciiTheme="majorHAnsi" w:hAnsiTheme="majorHAnsi"/>
          <w:i/>
        </w:rPr>
        <w:t>Animal Conservation</w:t>
      </w:r>
      <w:r>
        <w:rPr>
          <w:rFonts w:asciiTheme="majorHAnsi" w:hAnsiTheme="majorHAnsi"/>
        </w:rPr>
        <w:t xml:space="preserve"> </w:t>
      </w:r>
      <w:r w:rsidRPr="00C00F5F">
        <w:rPr>
          <w:rFonts w:asciiTheme="majorHAnsi" w:hAnsiTheme="majorHAnsi"/>
        </w:rPr>
        <w:t>20, 532–542.</w:t>
      </w:r>
    </w:p>
    <w:p w14:paraId="4B7AE64F"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Bone JWP, Renshaw GMC, Furse JM &amp; Wild CH (2015) Using biochemical markers to assess the effects of imposed temperature stress on freshwater decapod crustaceans: </w:t>
      </w:r>
      <w:r w:rsidRPr="00B326AD">
        <w:rPr>
          <w:rFonts w:asciiTheme="majorHAnsi" w:hAnsiTheme="majorHAnsi"/>
          <w:i/>
          <w:iCs/>
        </w:rPr>
        <w:t>Cherax quadricarinatus</w:t>
      </w:r>
      <w:r w:rsidRPr="00B326AD">
        <w:rPr>
          <w:rFonts w:asciiTheme="majorHAnsi" w:hAnsiTheme="majorHAnsi"/>
        </w:rPr>
        <w:t xml:space="preserve"> as a test case. </w:t>
      </w:r>
      <w:r w:rsidRPr="00B326AD">
        <w:rPr>
          <w:rFonts w:asciiTheme="majorHAnsi" w:hAnsiTheme="majorHAnsi"/>
          <w:i/>
          <w:iCs/>
        </w:rPr>
        <w:t>Journal of Comparative Physiology B: Biochemical, Systems, and Environmental Physiology</w:t>
      </w:r>
      <w:r w:rsidRPr="00B326AD">
        <w:rPr>
          <w:rFonts w:asciiTheme="majorHAnsi" w:hAnsiTheme="majorHAnsi"/>
        </w:rPr>
        <w:t xml:space="preserve"> 185(3), 291-301.</w:t>
      </w:r>
    </w:p>
    <w:p w14:paraId="44E24E59"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Bone JWP, Renshaw GMC &amp; Wild CH (2017) Physiological and biochemical responses to elevated temperature in a threatened freshwater crayfish, </w:t>
      </w:r>
      <w:r w:rsidRPr="00B326AD">
        <w:rPr>
          <w:rFonts w:asciiTheme="majorHAnsi" w:hAnsiTheme="majorHAnsi"/>
          <w:i/>
          <w:iCs/>
        </w:rPr>
        <w:t>Euastacus sulcatus</w:t>
      </w:r>
      <w:r w:rsidRPr="00B326AD">
        <w:rPr>
          <w:rFonts w:asciiTheme="majorHAnsi" w:hAnsiTheme="majorHAnsi"/>
        </w:rPr>
        <w:t xml:space="preserve"> (Decapoda: Parastacidae) </w:t>
      </w:r>
      <w:r w:rsidRPr="00B326AD">
        <w:rPr>
          <w:rFonts w:asciiTheme="majorHAnsi" w:hAnsiTheme="majorHAnsi"/>
          <w:i/>
          <w:iCs/>
        </w:rPr>
        <w:t>Marine and Freshwater Research</w:t>
      </w:r>
      <w:r w:rsidRPr="00B326AD">
        <w:rPr>
          <w:rFonts w:asciiTheme="majorHAnsi" w:hAnsiTheme="majorHAnsi"/>
        </w:rPr>
        <w:t xml:space="preserve"> 68(10), 1845-1854.</w:t>
      </w:r>
    </w:p>
    <w:p w14:paraId="38E48A85"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Bone JWP, Wild CH &amp; Furse JM (2014) Thermal limit of </w:t>
      </w:r>
      <w:r w:rsidRPr="00B326AD">
        <w:rPr>
          <w:rFonts w:asciiTheme="majorHAnsi" w:hAnsiTheme="majorHAnsi"/>
          <w:i/>
          <w:iCs/>
        </w:rPr>
        <w:t>Euastacus sulcatus</w:t>
      </w:r>
      <w:r w:rsidRPr="00B326AD">
        <w:rPr>
          <w:rFonts w:asciiTheme="majorHAnsi" w:hAnsiTheme="majorHAnsi"/>
        </w:rPr>
        <w:t xml:space="preserve"> (Decapoda: Parastacidae), a freshwater crayfish from the highlands of central eastern Australia. </w:t>
      </w:r>
      <w:r w:rsidRPr="006C16A5">
        <w:rPr>
          <w:rFonts w:asciiTheme="majorHAnsi" w:hAnsiTheme="majorHAnsi"/>
          <w:i/>
          <w:iCs/>
        </w:rPr>
        <w:t>Marine and Freshwater Research</w:t>
      </w:r>
      <w:r w:rsidRPr="00B326AD">
        <w:rPr>
          <w:rFonts w:asciiTheme="majorHAnsi" w:hAnsiTheme="majorHAnsi"/>
        </w:rPr>
        <w:t xml:space="preserve"> 65(7), 645-651. </w:t>
      </w:r>
    </w:p>
    <w:p w14:paraId="32A2D028"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Borsboom A (1998) Aspects of the biology and ecology of the Australian freshwater crayfish, </w:t>
      </w:r>
      <w:r w:rsidRPr="00B326AD">
        <w:rPr>
          <w:rFonts w:asciiTheme="majorHAnsi" w:hAnsiTheme="majorHAnsi"/>
          <w:i/>
          <w:iCs/>
        </w:rPr>
        <w:t>Euastacus urospinosus</w:t>
      </w:r>
      <w:r w:rsidRPr="00B326AD">
        <w:rPr>
          <w:rFonts w:asciiTheme="majorHAnsi" w:hAnsiTheme="majorHAnsi"/>
        </w:rPr>
        <w:t xml:space="preserve"> (Decapoda: Parastacidae)</w:t>
      </w:r>
      <w:r>
        <w:rPr>
          <w:rFonts w:asciiTheme="majorHAnsi" w:hAnsiTheme="majorHAnsi"/>
        </w:rPr>
        <w:t>.</w:t>
      </w:r>
      <w:r w:rsidRPr="00B326AD">
        <w:rPr>
          <w:rFonts w:asciiTheme="majorHAnsi" w:hAnsiTheme="majorHAnsi"/>
        </w:rPr>
        <w:t xml:space="preserve"> </w:t>
      </w:r>
      <w:r w:rsidRPr="00B326AD">
        <w:rPr>
          <w:rFonts w:asciiTheme="majorHAnsi" w:hAnsiTheme="majorHAnsi"/>
          <w:i/>
          <w:iCs/>
        </w:rPr>
        <w:t>Proceedings of The Linnean Society of New South Wales</w:t>
      </w:r>
      <w:r w:rsidRPr="00B326AD">
        <w:rPr>
          <w:rFonts w:asciiTheme="majorHAnsi" w:hAnsiTheme="majorHAnsi"/>
        </w:rPr>
        <w:t xml:space="preserve"> 119, 87-100.</w:t>
      </w:r>
    </w:p>
    <w:p w14:paraId="2B185F15" w14:textId="77777777" w:rsidR="00557ED0" w:rsidRDefault="00557ED0" w:rsidP="00557ED0">
      <w:pPr>
        <w:pStyle w:val="CAreference"/>
        <w:spacing w:after="120" w:line="276" w:lineRule="auto"/>
        <w:rPr>
          <w:rFonts w:asciiTheme="majorHAnsi" w:hAnsiTheme="majorHAnsi"/>
        </w:rPr>
      </w:pPr>
      <w:r w:rsidRPr="0079212F">
        <w:rPr>
          <w:rFonts w:asciiTheme="majorHAnsi" w:hAnsiTheme="majorHAnsi"/>
        </w:rPr>
        <w:t xml:space="preserve">Bruna E M </w:t>
      </w:r>
      <w:r>
        <w:rPr>
          <w:rFonts w:asciiTheme="majorHAnsi" w:hAnsiTheme="majorHAnsi"/>
        </w:rPr>
        <w:t>(</w:t>
      </w:r>
      <w:r w:rsidRPr="0079212F">
        <w:rPr>
          <w:rFonts w:asciiTheme="majorHAnsi" w:hAnsiTheme="majorHAnsi"/>
        </w:rPr>
        <w:t>2004</w:t>
      </w:r>
      <w:r>
        <w:rPr>
          <w:rFonts w:asciiTheme="majorHAnsi" w:hAnsiTheme="majorHAnsi"/>
        </w:rPr>
        <w:t>)</w:t>
      </w:r>
      <w:r w:rsidRPr="0079212F">
        <w:rPr>
          <w:rFonts w:asciiTheme="majorHAnsi" w:hAnsiTheme="majorHAnsi"/>
        </w:rPr>
        <w:t xml:space="preserve"> Biological impacts of deforestation and fragmentation</w:t>
      </w:r>
      <w:r>
        <w:rPr>
          <w:rFonts w:asciiTheme="majorHAnsi" w:hAnsiTheme="majorHAnsi"/>
        </w:rPr>
        <w:t xml:space="preserve">, </w:t>
      </w:r>
      <w:r w:rsidRPr="0079212F">
        <w:rPr>
          <w:rFonts w:asciiTheme="majorHAnsi" w:hAnsiTheme="majorHAnsi"/>
        </w:rPr>
        <w:t>in</w:t>
      </w:r>
      <w:r>
        <w:rPr>
          <w:rFonts w:asciiTheme="majorHAnsi" w:hAnsiTheme="majorHAnsi"/>
        </w:rPr>
        <w:t xml:space="preserve"> </w:t>
      </w:r>
      <w:r w:rsidRPr="0079212F">
        <w:rPr>
          <w:rFonts w:asciiTheme="majorHAnsi" w:hAnsiTheme="majorHAnsi"/>
        </w:rPr>
        <w:t>J Burley, J Evans</w:t>
      </w:r>
      <w:r>
        <w:rPr>
          <w:rFonts w:asciiTheme="majorHAnsi" w:hAnsiTheme="majorHAnsi"/>
        </w:rPr>
        <w:t xml:space="preserve"> &amp; </w:t>
      </w:r>
      <w:r w:rsidRPr="0079212F">
        <w:rPr>
          <w:rFonts w:asciiTheme="majorHAnsi" w:hAnsiTheme="majorHAnsi"/>
        </w:rPr>
        <w:t>J Youngquist</w:t>
      </w:r>
      <w:r>
        <w:rPr>
          <w:rFonts w:asciiTheme="majorHAnsi" w:hAnsiTheme="majorHAnsi"/>
        </w:rPr>
        <w:t xml:space="preserve"> </w:t>
      </w:r>
      <w:r w:rsidRPr="0079212F">
        <w:rPr>
          <w:rFonts w:asciiTheme="majorHAnsi" w:hAnsiTheme="majorHAnsi"/>
        </w:rPr>
        <w:t>(eds)</w:t>
      </w:r>
      <w:r>
        <w:rPr>
          <w:rFonts w:asciiTheme="majorHAnsi" w:hAnsiTheme="majorHAnsi"/>
        </w:rPr>
        <w:t>,</w:t>
      </w:r>
      <w:r w:rsidRPr="0079212F">
        <w:rPr>
          <w:rFonts w:asciiTheme="majorHAnsi" w:hAnsiTheme="majorHAnsi"/>
        </w:rPr>
        <w:t xml:space="preserve"> The Encyclopaedia of Forest Sciences</w:t>
      </w:r>
      <w:r>
        <w:rPr>
          <w:rFonts w:asciiTheme="majorHAnsi" w:hAnsiTheme="majorHAnsi"/>
        </w:rPr>
        <w:t xml:space="preserve">. </w:t>
      </w:r>
      <w:r w:rsidRPr="0079212F">
        <w:rPr>
          <w:rFonts w:asciiTheme="majorHAnsi" w:hAnsiTheme="majorHAnsi"/>
        </w:rPr>
        <w:t>Elsevier Press, London.</w:t>
      </w:r>
      <w:r>
        <w:rPr>
          <w:rFonts w:asciiTheme="majorHAnsi" w:hAnsiTheme="majorHAnsi"/>
        </w:rPr>
        <w:t xml:space="preserve"> pp. 85 – 90.</w:t>
      </w:r>
    </w:p>
    <w:p w14:paraId="61046638"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Clark E (1937) The life history of the Gippsland crayfish. </w:t>
      </w:r>
      <w:r w:rsidRPr="00B326AD">
        <w:rPr>
          <w:rFonts w:asciiTheme="majorHAnsi" w:hAnsiTheme="majorHAnsi"/>
          <w:i/>
          <w:iCs/>
        </w:rPr>
        <w:t>The Australian Museum Magazine</w:t>
      </w:r>
      <w:r w:rsidRPr="00B326AD">
        <w:rPr>
          <w:rFonts w:asciiTheme="majorHAnsi" w:hAnsiTheme="majorHAnsi"/>
        </w:rPr>
        <w:t xml:space="preserve"> 6, 186-192.</w:t>
      </w:r>
    </w:p>
    <w:p w14:paraId="00D25807"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Coughran J (2005) New crayfishes (Decapoda: Parastacidae: </w:t>
      </w:r>
      <w:r w:rsidRPr="00B326AD">
        <w:rPr>
          <w:rFonts w:asciiTheme="majorHAnsi" w:hAnsiTheme="majorHAnsi"/>
          <w:i/>
          <w:iCs/>
        </w:rPr>
        <w:t>Euastacus</w:t>
      </w:r>
      <w:r w:rsidRPr="00B326AD">
        <w:rPr>
          <w:rFonts w:asciiTheme="majorHAnsi" w:hAnsiTheme="majorHAnsi"/>
        </w:rPr>
        <w:t xml:space="preserve">) from northeastern New South Wales, Australia. </w:t>
      </w:r>
      <w:r w:rsidRPr="00B326AD">
        <w:rPr>
          <w:rFonts w:asciiTheme="majorHAnsi" w:hAnsiTheme="majorHAnsi"/>
          <w:i/>
          <w:iCs/>
        </w:rPr>
        <w:t>Records of the Australian Museum</w:t>
      </w:r>
      <w:r w:rsidRPr="00B326AD">
        <w:rPr>
          <w:rFonts w:asciiTheme="majorHAnsi" w:hAnsiTheme="majorHAnsi"/>
        </w:rPr>
        <w:t xml:space="preserve"> 57(3), 361-374.</w:t>
      </w:r>
    </w:p>
    <w:p w14:paraId="2087A451"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Coughran J (2006) </w:t>
      </w:r>
      <w:r w:rsidRPr="00B326AD">
        <w:rPr>
          <w:rFonts w:asciiTheme="majorHAnsi" w:hAnsiTheme="majorHAnsi"/>
          <w:i/>
          <w:iCs/>
        </w:rPr>
        <w:t>Field guide to the freshwater crayfishes of Northeastern New South Wales</w:t>
      </w:r>
      <w:r w:rsidRPr="00B326AD">
        <w:rPr>
          <w:rFonts w:asciiTheme="majorHAnsi" w:hAnsiTheme="majorHAnsi"/>
        </w:rPr>
        <w:t>. Natureview Publishing, Bangalow, NSW.</w:t>
      </w:r>
    </w:p>
    <w:p w14:paraId="0EB76B81"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Coughran J (2007) Distribution, habitat and conservation status of the freshwater crayfishes, </w:t>
      </w:r>
      <w:r w:rsidRPr="00B326AD">
        <w:rPr>
          <w:rFonts w:asciiTheme="majorHAnsi" w:hAnsiTheme="majorHAnsi"/>
          <w:i/>
          <w:iCs/>
        </w:rPr>
        <w:t>Euastacus dalagarbe, E. girurmulayn, E. guruhgi, E. jagabar and E. mirangudjin</w:t>
      </w:r>
      <w:r w:rsidRPr="00B326AD">
        <w:rPr>
          <w:rFonts w:asciiTheme="majorHAnsi" w:hAnsiTheme="majorHAnsi"/>
        </w:rPr>
        <w:t xml:space="preserve">. </w:t>
      </w:r>
      <w:r w:rsidRPr="00B326AD">
        <w:rPr>
          <w:rFonts w:asciiTheme="majorHAnsi" w:hAnsiTheme="majorHAnsi"/>
          <w:i/>
          <w:iCs/>
        </w:rPr>
        <w:t>Australian Zoologist</w:t>
      </w:r>
      <w:r w:rsidRPr="00B326AD">
        <w:rPr>
          <w:rFonts w:asciiTheme="majorHAnsi" w:hAnsiTheme="majorHAnsi"/>
        </w:rPr>
        <w:t xml:space="preserve"> 34(2), 222-227.</w:t>
      </w:r>
    </w:p>
    <w:p w14:paraId="2DA3FC0F"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Coughran J (2008) Distinct groups in the genus </w:t>
      </w:r>
      <w:r w:rsidRPr="00B326AD">
        <w:rPr>
          <w:rFonts w:asciiTheme="majorHAnsi" w:hAnsiTheme="majorHAnsi"/>
          <w:i/>
          <w:iCs/>
        </w:rPr>
        <w:t>Euastacus</w:t>
      </w:r>
      <w:r w:rsidRPr="00B326AD">
        <w:rPr>
          <w:rFonts w:asciiTheme="majorHAnsi" w:hAnsiTheme="majorHAnsi"/>
        </w:rPr>
        <w:t xml:space="preserve">? </w:t>
      </w:r>
      <w:r w:rsidRPr="00FF4852">
        <w:rPr>
          <w:rFonts w:asciiTheme="majorHAnsi" w:hAnsiTheme="majorHAnsi"/>
          <w:i/>
          <w:iCs/>
        </w:rPr>
        <w:t>Freshwater Crayfish</w:t>
      </w:r>
      <w:r w:rsidRPr="00B326AD">
        <w:rPr>
          <w:rFonts w:asciiTheme="majorHAnsi" w:hAnsiTheme="majorHAnsi"/>
        </w:rPr>
        <w:t xml:space="preserve"> 16, 125-132.</w:t>
      </w:r>
    </w:p>
    <w:p w14:paraId="07099286" w14:textId="77777777" w:rsidR="00557ED0" w:rsidRPr="006B7E35" w:rsidRDefault="00557ED0" w:rsidP="00557ED0">
      <w:pPr>
        <w:pStyle w:val="CAreference"/>
        <w:spacing w:after="120" w:line="276" w:lineRule="auto"/>
        <w:rPr>
          <w:rFonts w:asciiTheme="majorHAnsi" w:hAnsiTheme="majorHAnsi"/>
        </w:rPr>
      </w:pPr>
      <w:r w:rsidRPr="006B7E35">
        <w:rPr>
          <w:rFonts w:asciiTheme="majorHAnsi" w:hAnsiTheme="majorHAnsi"/>
        </w:rPr>
        <w:t xml:space="preserve">Coughran J &amp; Furse JM (2010). </w:t>
      </w:r>
      <w:r w:rsidRPr="00A13828">
        <w:rPr>
          <w:rFonts w:asciiTheme="majorHAnsi" w:hAnsiTheme="majorHAnsi"/>
          <w:i/>
        </w:rPr>
        <w:t>An assessment of genus Euastacus (49 species) versus IUCN Red List criteria. A report prepared for the global species conservation assessment of crayfishes for the IUCN Red List of Threatened Species</w:t>
      </w:r>
      <w:r w:rsidRPr="006B7E35">
        <w:rPr>
          <w:rFonts w:asciiTheme="majorHAnsi" w:hAnsiTheme="majorHAnsi"/>
        </w:rPr>
        <w:t xml:space="preserve">. The International Association of Astacology. Auburn, Alabama, USA. </w:t>
      </w:r>
      <w:r w:rsidRPr="00A13828">
        <w:rPr>
          <w:rFonts w:asciiTheme="majorHAnsi" w:hAnsiTheme="majorHAnsi"/>
        </w:rPr>
        <w:t>ISBN: 978-0-9805452-1-0.</w:t>
      </w:r>
    </w:p>
    <w:p w14:paraId="1546C9F4"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Coughran J (2011) Aspects of the biology and ecology of the Orange-Bellied Crayfish, </w:t>
      </w:r>
      <w:r w:rsidRPr="00B326AD">
        <w:rPr>
          <w:rFonts w:asciiTheme="majorHAnsi" w:hAnsiTheme="majorHAnsi"/>
          <w:i/>
          <w:iCs/>
        </w:rPr>
        <w:t>Euastacus mirangudjin</w:t>
      </w:r>
      <w:r w:rsidRPr="00B326AD">
        <w:rPr>
          <w:rFonts w:asciiTheme="majorHAnsi" w:hAnsiTheme="majorHAnsi"/>
        </w:rPr>
        <w:t xml:space="preserve"> Coughran 2002, from northeastern New South Wales. </w:t>
      </w:r>
      <w:r w:rsidRPr="00FF4852">
        <w:rPr>
          <w:rFonts w:asciiTheme="majorHAnsi" w:hAnsiTheme="majorHAnsi"/>
          <w:i/>
          <w:iCs/>
        </w:rPr>
        <w:t>Australian Zoologist</w:t>
      </w:r>
      <w:r w:rsidRPr="00B326AD">
        <w:rPr>
          <w:rFonts w:asciiTheme="majorHAnsi" w:hAnsiTheme="majorHAnsi"/>
        </w:rPr>
        <w:t xml:space="preserve"> 35(3), 750-756.</w:t>
      </w:r>
    </w:p>
    <w:p w14:paraId="57BE585D"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Coughran J (2013) Biology of the Mountain Crayfish </w:t>
      </w:r>
      <w:r w:rsidRPr="00B326AD">
        <w:rPr>
          <w:rFonts w:asciiTheme="majorHAnsi" w:hAnsiTheme="majorHAnsi"/>
          <w:i/>
          <w:iCs/>
        </w:rPr>
        <w:t>Euastacus sulcatus</w:t>
      </w:r>
      <w:r w:rsidRPr="00B326AD">
        <w:rPr>
          <w:rFonts w:asciiTheme="majorHAnsi" w:hAnsiTheme="majorHAnsi"/>
        </w:rPr>
        <w:t xml:space="preserve"> Riek, 1951 (Crustacea: Parastacidae), in New South Wales, Australia. </w:t>
      </w:r>
      <w:r w:rsidRPr="00B326AD">
        <w:rPr>
          <w:rFonts w:asciiTheme="majorHAnsi" w:hAnsiTheme="majorHAnsi"/>
          <w:i/>
          <w:iCs/>
        </w:rPr>
        <w:t>Journal of Threatened Taxa</w:t>
      </w:r>
      <w:r w:rsidRPr="00B326AD">
        <w:rPr>
          <w:rFonts w:asciiTheme="majorHAnsi" w:hAnsiTheme="majorHAnsi"/>
        </w:rPr>
        <w:t xml:space="preserve"> 5(14), 4840-4853.</w:t>
      </w:r>
    </w:p>
    <w:p w14:paraId="3C50CB41" w14:textId="77777777" w:rsidR="00557ED0" w:rsidRDefault="00557ED0" w:rsidP="00557ED0">
      <w:pPr>
        <w:pStyle w:val="CAreference"/>
        <w:spacing w:after="120" w:line="276" w:lineRule="auto"/>
        <w:rPr>
          <w:rFonts w:asciiTheme="majorHAnsi" w:hAnsiTheme="majorHAnsi"/>
        </w:rPr>
      </w:pPr>
      <w:r w:rsidRPr="00B326AD">
        <w:rPr>
          <w:rFonts w:asciiTheme="majorHAnsi" w:hAnsiTheme="majorHAnsi"/>
        </w:rPr>
        <w:t xml:space="preserve">Coughran J &amp; Furse JM (2012) Conservation of Freshwater Crayfish in Australia. </w:t>
      </w:r>
      <w:r w:rsidRPr="00B326AD">
        <w:rPr>
          <w:rFonts w:asciiTheme="majorHAnsi" w:hAnsiTheme="majorHAnsi"/>
          <w:i/>
          <w:iCs/>
        </w:rPr>
        <w:t>Crustacean Research</w:t>
      </w:r>
      <w:r w:rsidRPr="00B326AD">
        <w:rPr>
          <w:rFonts w:asciiTheme="majorHAnsi" w:hAnsiTheme="majorHAnsi"/>
        </w:rPr>
        <w:t xml:space="preserve"> Special Number 7, 25-34.</w:t>
      </w:r>
    </w:p>
    <w:p w14:paraId="6DB072A3" w14:textId="579898DC" w:rsidR="004F3C78" w:rsidRDefault="004F3C78" w:rsidP="004F3C78">
      <w:pPr>
        <w:pStyle w:val="CAreference"/>
        <w:spacing w:after="120" w:line="276" w:lineRule="auto"/>
        <w:rPr>
          <w:rFonts w:asciiTheme="majorHAnsi" w:hAnsiTheme="majorHAnsi"/>
        </w:rPr>
      </w:pPr>
      <w:r w:rsidRPr="009D05DD">
        <w:rPr>
          <w:rFonts w:asciiTheme="majorHAnsi" w:hAnsiTheme="majorHAnsi"/>
        </w:rPr>
        <w:t>Cramp R, Mulvey C, Cameron J, Wintour M, Gomez Isaza D &amp; Franklin C (2021) Impacts of postfire ash and runoff sediment on the physiological tolerances of Australian freshwater aquatic fauna. NESP Threatened Species Recovery Hub Project 8.3.7 report, Brisbane.</w:t>
      </w:r>
    </w:p>
    <w:p w14:paraId="44BF7DDE" w14:textId="6CC624B0" w:rsidR="00CB1DED" w:rsidRDefault="00031D22" w:rsidP="00CB1DED">
      <w:pPr>
        <w:pStyle w:val="CAreference"/>
        <w:spacing w:after="120" w:line="276" w:lineRule="auto"/>
        <w:rPr>
          <w:rFonts w:asciiTheme="majorHAnsi" w:hAnsiTheme="majorHAnsi"/>
        </w:rPr>
      </w:pPr>
      <w:r>
        <w:rPr>
          <w:rFonts w:asciiTheme="majorHAnsi" w:hAnsiTheme="majorHAnsi"/>
        </w:rPr>
        <w:t xml:space="preserve"> </w:t>
      </w:r>
    </w:p>
    <w:p w14:paraId="16BD1604" w14:textId="77777777" w:rsidR="00CB1DED" w:rsidRDefault="00CB1DED" w:rsidP="00CB1DED">
      <w:pPr>
        <w:pStyle w:val="CAreference"/>
        <w:spacing w:after="120" w:line="276" w:lineRule="auto"/>
        <w:rPr>
          <w:rFonts w:asciiTheme="majorHAnsi" w:hAnsiTheme="majorHAnsi"/>
        </w:rPr>
      </w:pPr>
      <w:r w:rsidRPr="00D317B9">
        <w:rPr>
          <w:rFonts w:asciiTheme="majorHAnsi" w:hAnsiTheme="majorHAnsi"/>
        </w:rPr>
        <w:t>DAWE</w:t>
      </w:r>
      <w:r>
        <w:rPr>
          <w:rFonts w:asciiTheme="majorHAnsi" w:hAnsiTheme="majorHAnsi"/>
        </w:rPr>
        <w:t xml:space="preserve"> </w:t>
      </w:r>
      <w:r w:rsidRPr="00D317B9">
        <w:rPr>
          <w:rFonts w:asciiTheme="majorHAnsi" w:hAnsiTheme="majorHAnsi"/>
        </w:rPr>
        <w:t xml:space="preserve">(Department of Agriculture, Water and Environment, Australia)  </w:t>
      </w:r>
      <w:r>
        <w:rPr>
          <w:rFonts w:asciiTheme="majorHAnsi" w:hAnsiTheme="majorHAnsi"/>
        </w:rPr>
        <w:t>(</w:t>
      </w:r>
      <w:r w:rsidRPr="00D317B9">
        <w:rPr>
          <w:rFonts w:asciiTheme="majorHAnsi" w:hAnsiTheme="majorHAnsi"/>
        </w:rPr>
        <w:t>2022</w:t>
      </w:r>
      <w:r>
        <w:rPr>
          <w:rFonts w:asciiTheme="majorHAnsi" w:hAnsiTheme="majorHAnsi"/>
        </w:rPr>
        <w:t>)</w:t>
      </w:r>
      <w:r w:rsidRPr="00D317B9">
        <w:rPr>
          <w:rFonts w:asciiTheme="majorHAnsi" w:hAnsiTheme="majorHAnsi"/>
        </w:rPr>
        <w:t xml:space="preserve"> </w:t>
      </w:r>
      <w:r w:rsidRPr="00A90CF1">
        <w:rPr>
          <w:rFonts w:asciiTheme="majorHAnsi" w:hAnsiTheme="majorHAnsi"/>
          <w:iCs/>
        </w:rPr>
        <w:t>Fire regimes that cause biodiversity decline: amendments to the list of key threatening processes</w:t>
      </w:r>
      <w:r w:rsidRPr="00D317B9">
        <w:rPr>
          <w:rFonts w:asciiTheme="majorHAnsi" w:hAnsiTheme="majorHAnsi"/>
        </w:rPr>
        <w:t>, Department of Agriculture, Water and the Environment, Canberra, February. CC BY 4.0.</w:t>
      </w:r>
    </w:p>
    <w:p w14:paraId="5221DB50" w14:textId="10E2428B" w:rsidR="00CB1DED" w:rsidRDefault="00031D22" w:rsidP="00D15D2A">
      <w:pPr>
        <w:pStyle w:val="CAreference"/>
        <w:spacing w:after="120" w:line="276" w:lineRule="auto"/>
        <w:ind w:left="0" w:firstLine="0"/>
        <w:rPr>
          <w:rFonts w:asciiTheme="majorHAnsi" w:hAnsiTheme="majorHAnsi"/>
        </w:rPr>
      </w:pPr>
      <w:r>
        <w:rPr>
          <w:rFonts w:asciiTheme="majorHAnsi" w:hAnsiTheme="majorHAnsi"/>
        </w:rPr>
        <w:t>DES (Department of Environment and Science, Queensland)</w:t>
      </w:r>
      <w:r w:rsidRPr="00DF384E" w:rsidDel="002F7DBF">
        <w:rPr>
          <w:rFonts w:asciiTheme="majorHAnsi" w:hAnsiTheme="majorHAnsi"/>
        </w:rPr>
        <w:t xml:space="preserve"> </w:t>
      </w:r>
      <w:r w:rsidRPr="00DF384E">
        <w:rPr>
          <w:rFonts w:asciiTheme="majorHAnsi" w:hAnsiTheme="majorHAnsi"/>
        </w:rPr>
        <w:t>(201</w:t>
      </w:r>
      <w:r>
        <w:rPr>
          <w:rFonts w:asciiTheme="majorHAnsi" w:hAnsiTheme="majorHAnsi"/>
        </w:rPr>
        <w:t>9</w:t>
      </w:r>
      <w:r w:rsidRPr="00307670">
        <w:rPr>
          <w:rFonts w:asciiTheme="majorHAnsi" w:hAnsiTheme="majorHAnsi"/>
        </w:rPr>
        <w:t xml:space="preserve">) </w:t>
      </w:r>
      <w:r w:rsidRPr="00473D7F">
        <w:rPr>
          <w:rFonts w:asciiTheme="majorHAnsi" w:hAnsiTheme="majorHAnsi"/>
          <w:i/>
          <w:iCs/>
        </w:rPr>
        <w:t>Climate change in the Far North Queensland region. Version 1.</w:t>
      </w:r>
      <w:r w:rsidRPr="00DF384E">
        <w:rPr>
          <w:rFonts w:asciiTheme="majorHAnsi" w:hAnsiTheme="majorHAnsi"/>
        </w:rPr>
        <w:t xml:space="preserve"> Queensland </w:t>
      </w:r>
      <w:r>
        <w:rPr>
          <w:rFonts w:asciiTheme="majorHAnsi" w:hAnsiTheme="majorHAnsi"/>
        </w:rPr>
        <w:t>Department of Environment and Science</w:t>
      </w:r>
      <w:r w:rsidRPr="00DF384E">
        <w:rPr>
          <w:rFonts w:asciiTheme="majorHAnsi" w:hAnsiTheme="majorHAnsi"/>
        </w:rPr>
        <w:t xml:space="preserve">. Accessed 27 March, 2020 at: </w:t>
      </w:r>
      <w:hyperlink r:id="rId18" w:history="1">
        <w:r w:rsidRPr="00B22DA4">
          <w:rPr>
            <w:rStyle w:val="Hyperlink"/>
            <w:rFonts w:asciiTheme="majorHAnsi" w:hAnsiTheme="majorHAnsi"/>
          </w:rPr>
          <w:t>https://www.qld.gov.au/__data/assets/pdf_file/0025/68371/far-north-qld-climate-change-impact-summary.pdf</w:t>
        </w:r>
      </w:hyperlink>
    </w:p>
    <w:p w14:paraId="4F49DBBD" w14:textId="5FF660EE" w:rsidR="00243288" w:rsidRPr="00B326AD" w:rsidRDefault="00243288" w:rsidP="00557ED0">
      <w:pPr>
        <w:pStyle w:val="CAreference"/>
        <w:spacing w:after="120" w:line="276" w:lineRule="auto"/>
        <w:rPr>
          <w:rFonts w:asciiTheme="majorHAnsi" w:hAnsiTheme="majorHAnsi"/>
        </w:rPr>
      </w:pPr>
      <w:r w:rsidRPr="00243288">
        <w:rPr>
          <w:rFonts w:asciiTheme="majorHAnsi" w:hAnsiTheme="majorHAnsi"/>
        </w:rPr>
        <w:t xml:space="preserve">De la Fuente A &amp;Williams S (2022) Climate change threatens the future of rain forest ringtail possums by 2050. </w:t>
      </w:r>
      <w:r w:rsidRPr="00FA347D">
        <w:rPr>
          <w:rFonts w:asciiTheme="majorHAnsi" w:hAnsiTheme="majorHAnsi"/>
          <w:i/>
          <w:iCs/>
        </w:rPr>
        <w:t>Diversity and Distributions</w:t>
      </w:r>
      <w:r w:rsidRPr="00243288">
        <w:rPr>
          <w:rFonts w:asciiTheme="majorHAnsi" w:hAnsiTheme="majorHAnsi"/>
        </w:rPr>
        <w:t xml:space="preserve"> 29(1)</w:t>
      </w:r>
      <w:r w:rsidR="00590213">
        <w:rPr>
          <w:rFonts w:asciiTheme="majorHAnsi" w:hAnsiTheme="majorHAnsi"/>
        </w:rPr>
        <w:t>,</w:t>
      </w:r>
      <w:r w:rsidRPr="00243288">
        <w:rPr>
          <w:rFonts w:asciiTheme="majorHAnsi" w:hAnsiTheme="majorHAnsi"/>
        </w:rPr>
        <w:t xml:space="preserve"> 173 – 183</w:t>
      </w:r>
    </w:p>
    <w:p w14:paraId="02924825"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Di Virgilio G, Evans J, Blake S, Armstrong M, Dowdy A, Sharples J &amp; McRae R (2019) Climate change increases the potential for extreme wildfires. </w:t>
      </w:r>
      <w:r w:rsidRPr="00B326AD">
        <w:rPr>
          <w:rFonts w:asciiTheme="majorHAnsi" w:hAnsiTheme="majorHAnsi"/>
          <w:i/>
          <w:iCs/>
        </w:rPr>
        <w:t>Geophysical Research Letters</w:t>
      </w:r>
      <w:r w:rsidRPr="00B326AD">
        <w:rPr>
          <w:rFonts w:asciiTheme="majorHAnsi" w:hAnsiTheme="majorHAnsi"/>
        </w:rPr>
        <w:t xml:space="preserve"> 46(14), 8517-8526. </w:t>
      </w:r>
    </w:p>
    <w:p w14:paraId="40E66A84"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Furse JM (2014) The freshwater crayfish fauna of Australia: update on conservation status and threats. </w:t>
      </w:r>
      <w:r w:rsidRPr="00B326AD">
        <w:rPr>
          <w:rFonts w:asciiTheme="majorHAnsi" w:hAnsiTheme="majorHAnsi"/>
          <w:i/>
          <w:iCs/>
        </w:rPr>
        <w:t>Crustaceana</w:t>
      </w:r>
      <w:r w:rsidRPr="00B326AD">
        <w:rPr>
          <w:rFonts w:asciiTheme="majorHAnsi" w:hAnsiTheme="majorHAnsi"/>
        </w:rPr>
        <w:t xml:space="preserve"> </w:t>
      </w:r>
      <w:r w:rsidRPr="00B326AD">
        <w:rPr>
          <w:rFonts w:asciiTheme="majorHAnsi" w:hAnsiTheme="majorHAnsi"/>
          <w:i/>
          <w:iCs/>
        </w:rPr>
        <w:t>Monographs</w:t>
      </w:r>
      <w:r w:rsidRPr="00B326AD">
        <w:rPr>
          <w:rFonts w:asciiTheme="majorHAnsi" w:hAnsiTheme="majorHAnsi"/>
        </w:rPr>
        <w:t xml:space="preserve"> 19 (Advances in freshwater decapod systematics and biology), 273-296.</w:t>
      </w:r>
    </w:p>
    <w:p w14:paraId="629110D6"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Furse JM, Bone JWP, Appleton SD, Leland JC &amp; Coughran J (2012a) Conservation of Imperilled Crayfish - </w:t>
      </w:r>
      <w:r w:rsidRPr="00B326AD">
        <w:rPr>
          <w:rFonts w:asciiTheme="majorHAnsi" w:hAnsiTheme="majorHAnsi"/>
          <w:i/>
          <w:iCs/>
        </w:rPr>
        <w:t>Euastacus bindal</w:t>
      </w:r>
      <w:r w:rsidRPr="00B326AD">
        <w:rPr>
          <w:rFonts w:asciiTheme="majorHAnsi" w:hAnsiTheme="majorHAnsi"/>
        </w:rPr>
        <w:t xml:space="preserve"> (Decapoda: Parastacidae), a Highland Crayfish from Far North Queensland, Australia. </w:t>
      </w:r>
      <w:r w:rsidRPr="00B326AD">
        <w:rPr>
          <w:rFonts w:asciiTheme="majorHAnsi" w:hAnsiTheme="majorHAnsi"/>
          <w:i/>
          <w:iCs/>
        </w:rPr>
        <w:t>Journal of Crustacean Biology</w:t>
      </w:r>
      <w:r w:rsidRPr="00B326AD">
        <w:rPr>
          <w:rFonts w:asciiTheme="majorHAnsi" w:hAnsiTheme="majorHAnsi"/>
        </w:rPr>
        <w:t xml:space="preserve"> 32(4), 677-683.</w:t>
      </w:r>
    </w:p>
    <w:p w14:paraId="723FCC23"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Furse JM &amp; Coughran J (2011a) An assessment of the distribution, biology, threatening processes and conservation status of the freshwater crayfish, genus </w:t>
      </w:r>
      <w:r w:rsidRPr="00B326AD">
        <w:rPr>
          <w:rFonts w:asciiTheme="majorHAnsi" w:hAnsiTheme="majorHAnsi"/>
          <w:i/>
          <w:iCs/>
        </w:rPr>
        <w:t>Euastacus</w:t>
      </w:r>
      <w:r w:rsidRPr="00B326AD">
        <w:rPr>
          <w:rFonts w:asciiTheme="majorHAnsi" w:hAnsiTheme="majorHAnsi"/>
        </w:rPr>
        <w:t xml:space="preserve"> (Decapoda: Parastacidae), in Continental Australia. I. Biological Background and Current Status. </w:t>
      </w:r>
      <w:r w:rsidRPr="00B326AD">
        <w:rPr>
          <w:rFonts w:asciiTheme="majorHAnsi" w:hAnsiTheme="majorHAnsi"/>
          <w:i/>
          <w:iCs/>
        </w:rPr>
        <w:t>Crustaceana</w:t>
      </w:r>
      <w:r w:rsidRPr="00B326AD">
        <w:rPr>
          <w:rFonts w:asciiTheme="majorHAnsi" w:hAnsiTheme="majorHAnsi"/>
        </w:rPr>
        <w:t xml:space="preserve"> </w:t>
      </w:r>
      <w:r w:rsidRPr="00B326AD">
        <w:rPr>
          <w:rFonts w:asciiTheme="majorHAnsi" w:hAnsiTheme="majorHAnsi"/>
          <w:i/>
          <w:iCs/>
        </w:rPr>
        <w:t>Monographs</w:t>
      </w:r>
      <w:r w:rsidRPr="00B326AD">
        <w:rPr>
          <w:rFonts w:asciiTheme="majorHAnsi" w:hAnsiTheme="majorHAnsi"/>
        </w:rPr>
        <w:t xml:space="preserve"> 15 (Special edition: New Frontiers in Crustacean Biology), 241-252.</w:t>
      </w:r>
    </w:p>
    <w:p w14:paraId="14875839"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Furse JM &amp; Coughran J (2011b) An assessment of the distribution, biology, threatening processes and conservation status of the freshwater crayfish, genus </w:t>
      </w:r>
      <w:r w:rsidRPr="00B326AD">
        <w:rPr>
          <w:rFonts w:asciiTheme="majorHAnsi" w:hAnsiTheme="majorHAnsi"/>
          <w:i/>
          <w:iCs/>
        </w:rPr>
        <w:t>Euastacus</w:t>
      </w:r>
      <w:r w:rsidRPr="00B326AD">
        <w:rPr>
          <w:rFonts w:asciiTheme="majorHAnsi" w:hAnsiTheme="majorHAnsi"/>
        </w:rPr>
        <w:t xml:space="preserve"> (Decapoda: Parastacidae), in Continental Australia. II. Threats, Conservation Assessments and Key Findings. </w:t>
      </w:r>
      <w:r w:rsidRPr="00B326AD">
        <w:rPr>
          <w:rFonts w:asciiTheme="majorHAnsi" w:hAnsiTheme="majorHAnsi"/>
          <w:i/>
          <w:iCs/>
        </w:rPr>
        <w:t xml:space="preserve">Crustaceana Monographs </w:t>
      </w:r>
      <w:r w:rsidRPr="00B326AD">
        <w:rPr>
          <w:rFonts w:asciiTheme="majorHAnsi" w:hAnsiTheme="majorHAnsi"/>
        </w:rPr>
        <w:t>15 (Special edition: New Frontiers in Crustacean Biology), 253-263.</w:t>
      </w:r>
    </w:p>
    <w:p w14:paraId="27503FC7" w14:textId="0D93AE15" w:rsidR="00557ED0" w:rsidRPr="00080E0A" w:rsidRDefault="00557ED0" w:rsidP="00557ED0">
      <w:pPr>
        <w:autoSpaceDE w:val="0"/>
        <w:autoSpaceDN w:val="0"/>
        <w:adjustRightInd w:val="0"/>
        <w:spacing w:after="0" w:line="240" w:lineRule="auto"/>
        <w:ind w:left="426" w:hanging="426"/>
        <w:rPr>
          <w:rFonts w:asciiTheme="majorHAnsi" w:eastAsia="Cambria" w:hAnsiTheme="majorHAnsi" w:cs="Arial"/>
          <w:szCs w:val="24"/>
          <w:lang w:val="en-US" w:eastAsia="en-AU"/>
        </w:rPr>
      </w:pPr>
      <w:r w:rsidRPr="00080E0A">
        <w:rPr>
          <w:rFonts w:asciiTheme="majorHAnsi" w:eastAsia="Cambria" w:hAnsiTheme="majorHAnsi" w:cs="Arial"/>
          <w:szCs w:val="24"/>
          <w:lang w:val="en-US" w:eastAsia="en-AU"/>
        </w:rPr>
        <w:t xml:space="preserve">Furse JM </w:t>
      </w:r>
      <w:r>
        <w:rPr>
          <w:rFonts w:asciiTheme="majorHAnsi" w:eastAsia="Cambria" w:hAnsiTheme="majorHAnsi" w:cs="Arial"/>
          <w:szCs w:val="24"/>
          <w:lang w:val="en-US" w:eastAsia="en-AU"/>
        </w:rPr>
        <w:t>&amp;</w:t>
      </w:r>
      <w:r w:rsidRPr="00080E0A">
        <w:rPr>
          <w:rFonts w:asciiTheme="majorHAnsi" w:eastAsia="Cambria" w:hAnsiTheme="majorHAnsi" w:cs="Arial"/>
          <w:szCs w:val="24"/>
          <w:lang w:val="en-US" w:eastAsia="en-AU"/>
        </w:rPr>
        <w:t xml:space="preserve"> Coughran J (2011</w:t>
      </w:r>
      <w:r>
        <w:rPr>
          <w:rFonts w:asciiTheme="majorHAnsi" w:eastAsia="Cambria" w:hAnsiTheme="majorHAnsi" w:cs="Arial"/>
          <w:szCs w:val="24"/>
          <w:lang w:val="en-US" w:eastAsia="en-AU"/>
        </w:rPr>
        <w:t>c</w:t>
      </w:r>
      <w:r w:rsidRPr="00080E0A">
        <w:rPr>
          <w:rFonts w:asciiTheme="majorHAnsi" w:eastAsia="Cambria" w:hAnsiTheme="majorHAnsi" w:cs="Arial"/>
          <w:szCs w:val="24"/>
          <w:lang w:val="en-US" w:eastAsia="en-AU"/>
        </w:rPr>
        <w:t xml:space="preserve">). An assessment of the distribution, biology, threatening processes and conservation status of the freshwater crayfish, genus </w:t>
      </w:r>
      <w:r w:rsidRPr="00080E0A">
        <w:rPr>
          <w:rFonts w:asciiTheme="majorHAnsi" w:eastAsia="Cambria" w:hAnsiTheme="majorHAnsi" w:cs="Arial"/>
          <w:i/>
          <w:iCs/>
          <w:szCs w:val="24"/>
          <w:lang w:val="en-US" w:eastAsia="en-AU"/>
        </w:rPr>
        <w:t>Euastacus</w:t>
      </w:r>
      <w:r w:rsidRPr="00080E0A">
        <w:rPr>
          <w:rFonts w:asciiTheme="majorHAnsi" w:eastAsia="Cambria" w:hAnsiTheme="majorHAnsi" w:cs="Arial"/>
          <w:szCs w:val="24"/>
          <w:lang w:val="en-US" w:eastAsia="en-AU"/>
        </w:rPr>
        <w:t xml:space="preserve"> (Decapoda: Parastacidae), in Continental Australia. III. Case Studies and Recommendations. </w:t>
      </w:r>
      <w:r w:rsidRPr="00080E0A">
        <w:rPr>
          <w:rFonts w:asciiTheme="majorHAnsi" w:eastAsia="Cambria" w:hAnsiTheme="majorHAnsi" w:cs="Arial"/>
          <w:i/>
          <w:iCs/>
          <w:szCs w:val="24"/>
          <w:lang w:val="en-US" w:eastAsia="en-AU"/>
        </w:rPr>
        <w:t>Crustaceana Monographs</w:t>
      </w:r>
      <w:r w:rsidRPr="00080E0A">
        <w:rPr>
          <w:rFonts w:asciiTheme="majorHAnsi" w:eastAsia="Cambria" w:hAnsiTheme="majorHAnsi" w:cs="Arial"/>
          <w:szCs w:val="24"/>
          <w:lang w:val="en-US" w:eastAsia="en-AU"/>
        </w:rPr>
        <w:t xml:space="preserve"> </w:t>
      </w:r>
      <w:r w:rsidRPr="00FA347D">
        <w:rPr>
          <w:rFonts w:asciiTheme="majorHAnsi" w:eastAsia="Cambria" w:hAnsiTheme="majorHAnsi" w:cs="Arial"/>
          <w:szCs w:val="24"/>
          <w:lang w:val="en-US" w:eastAsia="en-AU"/>
        </w:rPr>
        <w:t>15 (Special edition: New Frontiers in Crustacean Biology)</w:t>
      </w:r>
      <w:r w:rsidR="0013190E">
        <w:rPr>
          <w:rFonts w:asciiTheme="majorHAnsi" w:eastAsia="Cambria" w:hAnsiTheme="majorHAnsi" w:cs="Arial"/>
          <w:szCs w:val="24"/>
          <w:lang w:val="en-US" w:eastAsia="en-AU"/>
        </w:rPr>
        <w:t>,</w:t>
      </w:r>
      <w:r w:rsidRPr="0013190E">
        <w:rPr>
          <w:rFonts w:asciiTheme="majorHAnsi" w:eastAsia="Cambria" w:hAnsiTheme="majorHAnsi" w:cs="Arial"/>
          <w:szCs w:val="24"/>
          <w:lang w:val="en-US" w:eastAsia="en-AU"/>
        </w:rPr>
        <w:t xml:space="preserve"> </w:t>
      </w:r>
      <w:r w:rsidRPr="00080E0A">
        <w:rPr>
          <w:rFonts w:asciiTheme="majorHAnsi" w:eastAsia="Cambria" w:hAnsiTheme="majorHAnsi" w:cs="Arial"/>
          <w:szCs w:val="24"/>
          <w:lang w:val="en-US" w:eastAsia="en-AU"/>
        </w:rPr>
        <w:t>265-274.</w:t>
      </w:r>
    </w:p>
    <w:p w14:paraId="4CAB6A31"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Furse JM, Coughran J &amp; Wild CH (2012b) Report of a mass mortality of </w:t>
      </w:r>
      <w:r w:rsidRPr="00B326AD">
        <w:rPr>
          <w:rFonts w:asciiTheme="majorHAnsi" w:hAnsiTheme="majorHAnsi"/>
          <w:i/>
          <w:iCs/>
        </w:rPr>
        <w:t>Euastacus valentulus</w:t>
      </w:r>
      <w:r w:rsidRPr="00B326AD">
        <w:rPr>
          <w:rFonts w:asciiTheme="majorHAnsi" w:hAnsiTheme="majorHAnsi"/>
        </w:rPr>
        <w:t xml:space="preserve"> (Decapoda: Parastacidae) in southeast Queensland, Australia, with a discussion of the potential impacts of climate change induced severe weather events on freshwater crayfish species. </w:t>
      </w:r>
      <w:r w:rsidRPr="00B326AD">
        <w:rPr>
          <w:rFonts w:asciiTheme="majorHAnsi" w:hAnsiTheme="majorHAnsi"/>
          <w:i/>
          <w:iCs/>
        </w:rPr>
        <w:t>Crustacean Research</w:t>
      </w:r>
      <w:r w:rsidRPr="00B326AD">
        <w:rPr>
          <w:rFonts w:asciiTheme="majorHAnsi" w:hAnsiTheme="majorHAnsi"/>
        </w:rPr>
        <w:t xml:space="preserve"> Special Number 7, 15-24.</w:t>
      </w:r>
    </w:p>
    <w:p w14:paraId="6715BCC7"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Furse JM, Dawkins KL &amp; Coughran J (2013) Two new species of </w:t>
      </w:r>
      <w:r w:rsidRPr="00B326AD">
        <w:rPr>
          <w:rFonts w:asciiTheme="majorHAnsi" w:hAnsiTheme="majorHAnsi"/>
          <w:i/>
          <w:iCs/>
        </w:rPr>
        <w:t>Euastacus</w:t>
      </w:r>
      <w:r w:rsidRPr="00B326AD">
        <w:rPr>
          <w:rFonts w:asciiTheme="majorHAnsi" w:hAnsiTheme="majorHAnsi"/>
        </w:rPr>
        <w:t xml:space="preserve"> (Decapoda: Parastacidae) from the Gondwana Rainforests of Central-Eastern Australia. </w:t>
      </w:r>
      <w:r w:rsidRPr="00B326AD">
        <w:rPr>
          <w:rFonts w:asciiTheme="majorHAnsi" w:hAnsiTheme="majorHAnsi"/>
          <w:i/>
          <w:iCs/>
        </w:rPr>
        <w:t>Freshwater Crayfish</w:t>
      </w:r>
      <w:r w:rsidRPr="00B326AD">
        <w:rPr>
          <w:rFonts w:asciiTheme="majorHAnsi" w:hAnsiTheme="majorHAnsi"/>
        </w:rPr>
        <w:t xml:space="preserve"> 19(1), 103-113.</w:t>
      </w:r>
    </w:p>
    <w:p w14:paraId="325D35F3" w14:textId="15738083" w:rsidR="00F7541B" w:rsidRDefault="00557ED0" w:rsidP="00557ED0">
      <w:pPr>
        <w:pStyle w:val="CAreference"/>
        <w:spacing w:after="120" w:line="276" w:lineRule="auto"/>
        <w:rPr>
          <w:rFonts w:asciiTheme="majorHAnsi" w:hAnsiTheme="majorHAnsi"/>
        </w:rPr>
      </w:pPr>
      <w:r w:rsidRPr="00B326AD">
        <w:rPr>
          <w:rFonts w:asciiTheme="majorHAnsi" w:hAnsiTheme="majorHAnsi"/>
        </w:rPr>
        <w:t xml:space="preserve">Furse JM &amp; Wild CH (2004) Laboratory moult increment, frequency, and growth in </w:t>
      </w:r>
      <w:r w:rsidRPr="00B326AD">
        <w:rPr>
          <w:rFonts w:asciiTheme="majorHAnsi" w:hAnsiTheme="majorHAnsi"/>
          <w:i/>
          <w:iCs/>
        </w:rPr>
        <w:t>Euastacus sulcatus</w:t>
      </w:r>
      <w:r w:rsidRPr="00B326AD">
        <w:rPr>
          <w:rFonts w:asciiTheme="majorHAnsi" w:hAnsiTheme="majorHAnsi"/>
        </w:rPr>
        <w:t xml:space="preserve">. </w:t>
      </w:r>
      <w:r w:rsidRPr="00B326AD">
        <w:rPr>
          <w:rFonts w:asciiTheme="majorHAnsi" w:hAnsiTheme="majorHAnsi"/>
          <w:i/>
          <w:iCs/>
        </w:rPr>
        <w:t>Freshwater Crayfish</w:t>
      </w:r>
      <w:r w:rsidRPr="00B326AD">
        <w:rPr>
          <w:rFonts w:asciiTheme="majorHAnsi" w:hAnsiTheme="majorHAnsi"/>
        </w:rPr>
        <w:t xml:space="preserve"> 14, 205-211.</w:t>
      </w:r>
      <w:r w:rsidR="00F7541B" w:rsidRPr="00F7541B">
        <w:rPr>
          <w:rFonts w:asciiTheme="majorHAnsi" w:hAnsiTheme="majorHAnsi"/>
        </w:rPr>
        <w:t>Hilbert D, Ostendorf B</w:t>
      </w:r>
      <w:r w:rsidR="00F7541B">
        <w:rPr>
          <w:rFonts w:asciiTheme="majorHAnsi" w:hAnsiTheme="majorHAnsi"/>
        </w:rPr>
        <w:t xml:space="preserve"> and </w:t>
      </w:r>
      <w:r w:rsidR="00F7541B" w:rsidRPr="00F7541B">
        <w:rPr>
          <w:rFonts w:asciiTheme="majorHAnsi" w:hAnsiTheme="majorHAnsi"/>
        </w:rPr>
        <w:t>Hopkins M (2001) Sensitivity of tropical forests to climate change in the humid tropics of north. Queensland</w:t>
      </w:r>
      <w:r w:rsidR="0013190E">
        <w:rPr>
          <w:rFonts w:asciiTheme="majorHAnsi" w:hAnsiTheme="majorHAnsi"/>
        </w:rPr>
        <w:t>.</w:t>
      </w:r>
      <w:r w:rsidR="00F7541B" w:rsidRPr="00F7541B">
        <w:rPr>
          <w:rFonts w:asciiTheme="majorHAnsi" w:hAnsiTheme="majorHAnsi"/>
        </w:rPr>
        <w:t xml:space="preserve"> </w:t>
      </w:r>
      <w:r w:rsidR="00F7541B" w:rsidRPr="00FA347D">
        <w:rPr>
          <w:rFonts w:asciiTheme="majorHAnsi" w:hAnsiTheme="majorHAnsi"/>
          <w:i/>
          <w:iCs/>
        </w:rPr>
        <w:t>Austral Ecology</w:t>
      </w:r>
      <w:r w:rsidR="00F7541B" w:rsidRPr="00F7541B">
        <w:rPr>
          <w:rFonts w:asciiTheme="majorHAnsi" w:hAnsiTheme="majorHAnsi"/>
        </w:rPr>
        <w:t xml:space="preserve"> 26(6), 590–603.</w:t>
      </w:r>
    </w:p>
    <w:p w14:paraId="1469234E" w14:textId="5568D917" w:rsidR="00557ED0" w:rsidRPr="00B326AD" w:rsidRDefault="00557ED0" w:rsidP="00557ED0">
      <w:pPr>
        <w:pStyle w:val="CAreference"/>
        <w:spacing w:after="120" w:line="276" w:lineRule="auto"/>
        <w:rPr>
          <w:rFonts w:asciiTheme="majorHAnsi" w:hAnsiTheme="majorHAnsi"/>
        </w:rPr>
      </w:pPr>
      <w:r>
        <w:rPr>
          <w:rFonts w:asciiTheme="majorHAnsi" w:hAnsiTheme="majorHAnsi"/>
        </w:rPr>
        <w:t>Hines HB, Brook M, Wilson J, McDonald WJF &amp; Hargreaves J (2020)</w:t>
      </w:r>
      <w:r w:rsidRPr="007330B2">
        <w:rPr>
          <w:rFonts w:asciiTheme="majorHAnsi" w:hAnsiTheme="majorHAnsi"/>
        </w:rPr>
        <w:t xml:space="preserve"> The extent and severity of the Mackay Highlands 2018 wildfires and the potential impact on natural values, particularly in the mesic forests of the Eungella-Crediton area. </w:t>
      </w:r>
      <w:r w:rsidRPr="007330B2">
        <w:rPr>
          <w:rFonts w:asciiTheme="majorHAnsi" w:hAnsiTheme="majorHAnsi"/>
          <w:i/>
        </w:rPr>
        <w:t>Proceedings of the Royal Society of Queensland</w:t>
      </w:r>
      <w:r w:rsidRPr="007330B2">
        <w:rPr>
          <w:rFonts w:asciiTheme="majorHAnsi" w:hAnsiTheme="majorHAnsi"/>
        </w:rPr>
        <w:t xml:space="preserve"> 125, 139-157.</w:t>
      </w:r>
    </w:p>
    <w:p w14:paraId="207C168B"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Honan JA (1998) Egg and juvenile development of the Australian freshwater crayfish, </w:t>
      </w:r>
      <w:r w:rsidRPr="00B326AD">
        <w:rPr>
          <w:rFonts w:asciiTheme="majorHAnsi" w:hAnsiTheme="majorHAnsi"/>
          <w:i/>
          <w:iCs/>
        </w:rPr>
        <w:t xml:space="preserve">Euastacus bispinosus </w:t>
      </w:r>
      <w:r w:rsidRPr="00B326AD">
        <w:rPr>
          <w:rFonts w:asciiTheme="majorHAnsi" w:hAnsiTheme="majorHAnsi"/>
        </w:rPr>
        <w:t xml:space="preserve">Clark (Decapoda: Parastacidae). </w:t>
      </w:r>
      <w:r w:rsidRPr="00B326AD">
        <w:rPr>
          <w:rFonts w:asciiTheme="majorHAnsi" w:hAnsiTheme="majorHAnsi"/>
          <w:i/>
          <w:iCs/>
        </w:rPr>
        <w:t>Proceedings of the Linnean Society of New South Wales</w:t>
      </w:r>
      <w:r w:rsidRPr="00B326AD">
        <w:rPr>
          <w:rFonts w:asciiTheme="majorHAnsi" w:hAnsiTheme="majorHAnsi"/>
        </w:rPr>
        <w:t xml:space="preserve"> 119: 37-54.</w:t>
      </w:r>
    </w:p>
    <w:p w14:paraId="5379969B"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Honan JA &amp; Mitchell BD (1995a) Growth of the large freshwater crayfish </w:t>
      </w:r>
      <w:r w:rsidRPr="00B326AD">
        <w:rPr>
          <w:rFonts w:asciiTheme="majorHAnsi" w:hAnsiTheme="majorHAnsi"/>
          <w:i/>
          <w:iCs/>
        </w:rPr>
        <w:t>Euastacus bispinosus</w:t>
      </w:r>
      <w:r w:rsidRPr="00B326AD">
        <w:rPr>
          <w:rFonts w:asciiTheme="majorHAnsi" w:hAnsiTheme="majorHAnsi"/>
        </w:rPr>
        <w:t xml:space="preserve"> Clark (Decapoda: Parastacidae) </w:t>
      </w:r>
      <w:r w:rsidRPr="00B326AD">
        <w:rPr>
          <w:rFonts w:asciiTheme="majorHAnsi" w:hAnsiTheme="majorHAnsi"/>
          <w:i/>
          <w:iCs/>
        </w:rPr>
        <w:t>Freshwater Crayfish</w:t>
      </w:r>
      <w:r w:rsidRPr="00B326AD">
        <w:rPr>
          <w:rFonts w:asciiTheme="majorHAnsi" w:hAnsiTheme="majorHAnsi"/>
        </w:rPr>
        <w:t xml:space="preserve"> 10, 118-131.</w:t>
      </w:r>
    </w:p>
    <w:p w14:paraId="7A93966A" w14:textId="77777777" w:rsidR="00557ED0" w:rsidRDefault="00557ED0" w:rsidP="00557ED0">
      <w:pPr>
        <w:pStyle w:val="CAreference"/>
        <w:spacing w:after="120" w:line="276" w:lineRule="auto"/>
        <w:rPr>
          <w:rFonts w:asciiTheme="majorHAnsi" w:hAnsiTheme="majorHAnsi"/>
        </w:rPr>
      </w:pPr>
      <w:r w:rsidRPr="006D1CD7">
        <w:rPr>
          <w:rFonts w:asciiTheme="majorHAnsi" w:hAnsiTheme="majorHAnsi"/>
        </w:rPr>
        <w:t xml:space="preserve">Honan JA &amp; Mitchell BD (1995b) Reproduction of </w:t>
      </w:r>
      <w:r w:rsidRPr="006D1CD7">
        <w:rPr>
          <w:rFonts w:asciiTheme="majorHAnsi" w:hAnsiTheme="majorHAnsi"/>
          <w:i/>
          <w:iCs/>
        </w:rPr>
        <w:t>Euastacus bispinosus</w:t>
      </w:r>
      <w:r w:rsidRPr="006D1CD7">
        <w:rPr>
          <w:rFonts w:asciiTheme="majorHAnsi" w:hAnsiTheme="majorHAnsi"/>
        </w:rPr>
        <w:t xml:space="preserve"> Clark (Decapoda: Parastacidae), and trends in the reproductive characteristics of freshwater crayfish. </w:t>
      </w:r>
      <w:r w:rsidRPr="006D1CD7">
        <w:rPr>
          <w:rFonts w:asciiTheme="majorHAnsi" w:hAnsiTheme="majorHAnsi"/>
          <w:i/>
          <w:iCs/>
        </w:rPr>
        <w:t xml:space="preserve">Marine and Freshwater Research </w:t>
      </w:r>
      <w:r w:rsidRPr="006D1CD7">
        <w:rPr>
          <w:rFonts w:asciiTheme="majorHAnsi" w:hAnsiTheme="majorHAnsi"/>
        </w:rPr>
        <w:t>46, 485-499.</w:t>
      </w:r>
    </w:p>
    <w:p w14:paraId="0AFE661C" w14:textId="77777777" w:rsidR="00557ED0" w:rsidRDefault="00557ED0" w:rsidP="00557ED0">
      <w:pPr>
        <w:pStyle w:val="CAreference"/>
        <w:spacing w:after="120" w:line="276" w:lineRule="auto"/>
        <w:rPr>
          <w:rFonts w:asciiTheme="majorHAnsi" w:hAnsiTheme="majorHAnsi"/>
        </w:rPr>
      </w:pPr>
      <w:r w:rsidRPr="001B60C4">
        <w:rPr>
          <w:rFonts w:asciiTheme="majorHAnsi" w:hAnsiTheme="majorHAnsi"/>
        </w:rPr>
        <w:t>Horwitz P (1990). The conservation status of Australian freshwater crustacea with a provisional list of threatened species, habitats and potentially threatening processes. pp. 121. Report series number 14. Australian National Parks and Wildlife Service. Canberra.</w:t>
      </w:r>
    </w:p>
    <w:p w14:paraId="6D977867" w14:textId="2D2CA482" w:rsidR="00B53003" w:rsidRPr="001B60C4" w:rsidRDefault="00B53003" w:rsidP="00557ED0">
      <w:pPr>
        <w:pStyle w:val="CAreference"/>
        <w:spacing w:after="120" w:line="276" w:lineRule="auto"/>
        <w:rPr>
          <w:rFonts w:asciiTheme="majorHAnsi" w:hAnsiTheme="majorHAnsi"/>
        </w:rPr>
      </w:pPr>
      <w:r w:rsidRPr="00B53003">
        <w:rPr>
          <w:rFonts w:asciiTheme="majorHAnsi" w:hAnsiTheme="majorHAnsi"/>
        </w:rPr>
        <w:t>Hossain MA, Lahoz-Monfort JJ, Burgman MA, Böhm M, Kujala H</w:t>
      </w:r>
      <w:r>
        <w:rPr>
          <w:rFonts w:asciiTheme="majorHAnsi" w:hAnsiTheme="majorHAnsi"/>
        </w:rPr>
        <w:t xml:space="preserve"> and </w:t>
      </w:r>
      <w:r w:rsidRPr="00B53003">
        <w:rPr>
          <w:rFonts w:asciiTheme="majorHAnsi" w:hAnsiTheme="majorHAnsi"/>
        </w:rPr>
        <w:t xml:space="preserve">Bland LM (2018) Assessing the vulnerability of freshwater crayfish to climate change. </w:t>
      </w:r>
      <w:r w:rsidRPr="00FA347D">
        <w:rPr>
          <w:rFonts w:asciiTheme="majorHAnsi" w:hAnsiTheme="majorHAnsi"/>
          <w:i/>
          <w:iCs/>
        </w:rPr>
        <w:t>Diversity and Distributions</w:t>
      </w:r>
      <w:r w:rsidRPr="00B53003">
        <w:rPr>
          <w:rFonts w:asciiTheme="majorHAnsi" w:hAnsiTheme="majorHAnsi"/>
        </w:rPr>
        <w:t xml:space="preserve"> 24(12), 1830–1843.</w:t>
      </w:r>
    </w:p>
    <w:p w14:paraId="5C9FEE8D" w14:textId="77777777" w:rsidR="00557ED0" w:rsidRPr="006D1CD7" w:rsidRDefault="00557ED0" w:rsidP="00557ED0">
      <w:pPr>
        <w:pStyle w:val="CAreference"/>
        <w:spacing w:after="120" w:line="276" w:lineRule="auto"/>
        <w:rPr>
          <w:rFonts w:asciiTheme="majorHAnsi" w:hAnsiTheme="majorHAnsi"/>
        </w:rPr>
      </w:pPr>
      <w:r w:rsidRPr="00713873">
        <w:rPr>
          <w:rFonts w:asciiTheme="majorHAnsi" w:hAnsiTheme="majorHAnsi"/>
        </w:rPr>
        <w:t xml:space="preserve">Kearney M, Phillips B, Tracy C, Christian K, Betts G, &amp; Porter W (2008) Modelling species distributions without using species distributions: the cane toad in Australia under current and future climates. </w:t>
      </w:r>
      <w:r w:rsidRPr="005979AA">
        <w:rPr>
          <w:rFonts w:asciiTheme="majorHAnsi" w:hAnsiTheme="majorHAnsi"/>
          <w:i/>
          <w:iCs/>
        </w:rPr>
        <w:t>Ecography</w:t>
      </w:r>
      <w:r w:rsidRPr="00713873">
        <w:rPr>
          <w:rFonts w:asciiTheme="majorHAnsi" w:hAnsiTheme="majorHAnsi"/>
        </w:rPr>
        <w:t xml:space="preserve"> 31, 423–434.</w:t>
      </w:r>
    </w:p>
    <w:p w14:paraId="7E8F81C4" w14:textId="77777777" w:rsidR="00557ED0" w:rsidRPr="006D1CD7" w:rsidRDefault="00557ED0" w:rsidP="00557ED0">
      <w:pPr>
        <w:pStyle w:val="CAreference"/>
        <w:spacing w:after="120" w:line="276" w:lineRule="auto"/>
        <w:rPr>
          <w:rFonts w:asciiTheme="majorHAnsi" w:hAnsiTheme="majorHAnsi"/>
        </w:rPr>
      </w:pPr>
      <w:r w:rsidRPr="006D1CD7">
        <w:rPr>
          <w:rFonts w:asciiTheme="majorHAnsi" w:hAnsiTheme="majorHAnsi"/>
        </w:rPr>
        <w:t xml:space="preserve">Lowe K, FitzGibbon S, Seebacher F &amp; Wilson RS (2010) Physiological and behavioural responses to seasonal changes in environmental temperature in the Australian spiny crayfish </w:t>
      </w:r>
      <w:r w:rsidRPr="006D1CD7">
        <w:rPr>
          <w:rFonts w:asciiTheme="majorHAnsi" w:hAnsiTheme="majorHAnsi"/>
          <w:i/>
          <w:iCs/>
        </w:rPr>
        <w:t>Euastacus sulcatus</w:t>
      </w:r>
      <w:r w:rsidRPr="006D1CD7">
        <w:rPr>
          <w:rFonts w:asciiTheme="majorHAnsi" w:hAnsiTheme="majorHAnsi"/>
        </w:rPr>
        <w:t xml:space="preserve">. </w:t>
      </w:r>
      <w:r w:rsidRPr="006D1CD7">
        <w:rPr>
          <w:rFonts w:asciiTheme="majorHAnsi" w:hAnsiTheme="majorHAnsi"/>
          <w:i/>
          <w:iCs/>
        </w:rPr>
        <w:t>Journal of Comparative Physiology B: Biochemical, Systems, and Environmental Physiology</w:t>
      </w:r>
      <w:r w:rsidRPr="006D1CD7">
        <w:rPr>
          <w:rFonts w:asciiTheme="majorHAnsi" w:hAnsiTheme="majorHAnsi"/>
        </w:rPr>
        <w:t xml:space="preserve"> 180(5), 653-660.</w:t>
      </w:r>
    </w:p>
    <w:p w14:paraId="627247A5" w14:textId="77777777" w:rsidR="00557ED0" w:rsidRPr="006D1CD7" w:rsidRDefault="00557ED0" w:rsidP="00557ED0">
      <w:pPr>
        <w:pStyle w:val="CAreference"/>
        <w:spacing w:after="120" w:line="276" w:lineRule="auto"/>
        <w:rPr>
          <w:rFonts w:asciiTheme="majorHAnsi" w:hAnsiTheme="majorHAnsi"/>
        </w:rPr>
      </w:pPr>
      <w:r w:rsidRPr="006D1CD7">
        <w:rPr>
          <w:rFonts w:asciiTheme="majorHAnsi" w:hAnsiTheme="majorHAnsi"/>
        </w:rPr>
        <w:t xml:space="preserve">Lowe S, Browne M, Boudjelas S &amp; De-Poorter M (2000) 100 of the world’s worst invasive alien species. A selection from the global invasive species database. </w:t>
      </w:r>
      <w:r w:rsidRPr="006D1CD7">
        <w:rPr>
          <w:rFonts w:asciiTheme="majorHAnsi" w:hAnsiTheme="majorHAnsi"/>
          <w:i/>
        </w:rPr>
        <w:t>Aliens</w:t>
      </w:r>
      <w:r w:rsidRPr="006D1CD7">
        <w:rPr>
          <w:rFonts w:asciiTheme="majorHAnsi" w:hAnsiTheme="majorHAnsi"/>
          <w:b/>
        </w:rPr>
        <w:t xml:space="preserve"> </w:t>
      </w:r>
      <w:r w:rsidRPr="006D1CD7">
        <w:rPr>
          <w:rFonts w:asciiTheme="majorHAnsi" w:hAnsiTheme="majorHAnsi"/>
        </w:rPr>
        <w:t>12</w:t>
      </w:r>
      <w:r>
        <w:rPr>
          <w:rFonts w:asciiTheme="majorHAnsi" w:hAnsiTheme="majorHAnsi"/>
        </w:rPr>
        <w:t>,</w:t>
      </w:r>
      <w:r w:rsidRPr="006D1CD7">
        <w:rPr>
          <w:rFonts w:asciiTheme="majorHAnsi" w:hAnsiTheme="majorHAnsi"/>
        </w:rPr>
        <w:t xml:space="preserve"> 1-12.</w:t>
      </w:r>
    </w:p>
    <w:p w14:paraId="55336021" w14:textId="77777777" w:rsidR="00557ED0" w:rsidRDefault="00557ED0" w:rsidP="00557ED0">
      <w:pPr>
        <w:pStyle w:val="CAreference"/>
        <w:spacing w:after="120" w:line="276" w:lineRule="auto"/>
        <w:rPr>
          <w:rFonts w:asciiTheme="majorHAnsi" w:hAnsiTheme="majorHAnsi"/>
        </w:rPr>
      </w:pPr>
      <w:r w:rsidRPr="006D1CD7">
        <w:rPr>
          <w:rFonts w:asciiTheme="majorHAnsi" w:hAnsiTheme="majorHAnsi"/>
        </w:rPr>
        <w:t xml:space="preserve">McCormack RB, Coughran J, Furse JM &amp; Van-der-Werf P (2010) Conservation of Imperiled Crayfish - </w:t>
      </w:r>
      <w:r w:rsidRPr="006D1CD7">
        <w:rPr>
          <w:rFonts w:asciiTheme="majorHAnsi" w:hAnsiTheme="majorHAnsi"/>
          <w:i/>
          <w:iCs/>
        </w:rPr>
        <w:t>Euastacus jagara</w:t>
      </w:r>
      <w:r w:rsidRPr="006D1CD7">
        <w:rPr>
          <w:rFonts w:asciiTheme="majorHAnsi" w:hAnsiTheme="majorHAnsi"/>
        </w:rPr>
        <w:t xml:space="preserve"> (Decapoda: Parastacidae), a highland crayfish from the Main Range, South-Eastern Queensland, Australia. </w:t>
      </w:r>
      <w:r w:rsidRPr="006D1CD7">
        <w:rPr>
          <w:rFonts w:asciiTheme="majorHAnsi" w:hAnsiTheme="majorHAnsi"/>
          <w:i/>
          <w:iCs/>
        </w:rPr>
        <w:t>Journal of Crustacean Biology</w:t>
      </w:r>
      <w:r w:rsidRPr="006D1CD7">
        <w:rPr>
          <w:rFonts w:asciiTheme="majorHAnsi" w:hAnsiTheme="majorHAnsi"/>
        </w:rPr>
        <w:t xml:space="preserve"> 30(3), 531-535</w:t>
      </w:r>
      <w:r>
        <w:rPr>
          <w:rFonts w:asciiTheme="majorHAnsi" w:hAnsiTheme="majorHAnsi"/>
        </w:rPr>
        <w:t>.</w:t>
      </w:r>
    </w:p>
    <w:p w14:paraId="4494451F" w14:textId="66B93469" w:rsidR="00C732EB" w:rsidRPr="00C732EB" w:rsidRDefault="00C732EB" w:rsidP="00C732EB">
      <w:pPr>
        <w:pStyle w:val="CAreference"/>
        <w:rPr>
          <w:rFonts w:asciiTheme="majorHAnsi" w:hAnsiTheme="majorHAnsi"/>
        </w:rPr>
      </w:pPr>
      <w:r w:rsidRPr="00C732EB">
        <w:rPr>
          <w:rFonts w:asciiTheme="majorHAnsi" w:hAnsiTheme="majorHAnsi"/>
        </w:rPr>
        <w:t>McJannet D</w:t>
      </w:r>
      <w:r>
        <w:rPr>
          <w:rFonts w:asciiTheme="majorHAnsi" w:hAnsiTheme="majorHAnsi"/>
        </w:rPr>
        <w:t>,</w:t>
      </w:r>
      <w:r w:rsidRPr="00C732EB">
        <w:rPr>
          <w:rFonts w:asciiTheme="majorHAnsi" w:hAnsiTheme="majorHAnsi"/>
        </w:rPr>
        <w:t xml:space="preserve"> Wallace J &amp; Reddell P (2007) Precipitation interception in Australian tropical rainforests: II. Altitudinal gradients of cloud interception, stemflow, throughfall and interception. </w:t>
      </w:r>
      <w:r w:rsidR="00180E87" w:rsidRPr="00FA347D">
        <w:rPr>
          <w:rFonts w:asciiTheme="majorHAnsi" w:hAnsiTheme="majorHAnsi"/>
          <w:i/>
          <w:iCs/>
        </w:rPr>
        <w:t>Hydrological Processes</w:t>
      </w:r>
      <w:r w:rsidRPr="00C732EB">
        <w:rPr>
          <w:rFonts w:asciiTheme="majorHAnsi" w:hAnsiTheme="majorHAnsi"/>
        </w:rPr>
        <w:t xml:space="preserve"> 21, 1703–</w:t>
      </w:r>
      <w:r w:rsidR="00A47A66">
        <w:rPr>
          <w:rFonts w:asciiTheme="majorHAnsi" w:hAnsiTheme="majorHAnsi"/>
        </w:rPr>
        <w:t>17</w:t>
      </w:r>
      <w:r w:rsidRPr="00C732EB">
        <w:rPr>
          <w:rFonts w:asciiTheme="majorHAnsi" w:hAnsiTheme="majorHAnsi"/>
        </w:rPr>
        <w:t>18.</w:t>
      </w:r>
    </w:p>
    <w:p w14:paraId="2EFBAE00" w14:textId="77777777" w:rsidR="00557ED0" w:rsidRPr="00B326AD" w:rsidRDefault="00557ED0" w:rsidP="00557ED0">
      <w:pPr>
        <w:pStyle w:val="CAreference"/>
        <w:spacing w:after="120" w:line="276" w:lineRule="auto"/>
        <w:rPr>
          <w:rFonts w:asciiTheme="majorHAnsi" w:hAnsiTheme="majorHAnsi"/>
        </w:rPr>
      </w:pPr>
      <w:r w:rsidRPr="006D1CD7">
        <w:rPr>
          <w:rFonts w:asciiTheme="majorHAnsi" w:hAnsiTheme="majorHAnsi"/>
        </w:rPr>
        <w:t>Morey JL (1998) Growth</w:t>
      </w:r>
      <w:r w:rsidRPr="00B326AD">
        <w:rPr>
          <w:rFonts w:asciiTheme="majorHAnsi" w:hAnsiTheme="majorHAnsi"/>
        </w:rPr>
        <w:t xml:space="preserve">, catch rates and notes on the biology of the Gippsland Spiny Freshwater Crayfish, </w:t>
      </w:r>
      <w:r w:rsidRPr="00B326AD">
        <w:rPr>
          <w:rFonts w:asciiTheme="majorHAnsi" w:hAnsiTheme="majorHAnsi"/>
          <w:i/>
          <w:iCs/>
        </w:rPr>
        <w:t>Euastacus kershawi</w:t>
      </w:r>
      <w:r w:rsidRPr="00B326AD">
        <w:rPr>
          <w:rFonts w:asciiTheme="majorHAnsi" w:hAnsiTheme="majorHAnsi"/>
        </w:rPr>
        <w:t xml:space="preserve"> (Decapoda: Parastacidae), in West Gippsland, Victoria. </w:t>
      </w:r>
      <w:r w:rsidRPr="00B326AD">
        <w:rPr>
          <w:rFonts w:asciiTheme="majorHAnsi" w:hAnsiTheme="majorHAnsi"/>
          <w:i/>
          <w:iCs/>
        </w:rPr>
        <w:t xml:space="preserve">Proceedings of the Linnean Society of New South Wales </w:t>
      </w:r>
      <w:r w:rsidRPr="00B326AD">
        <w:rPr>
          <w:rFonts w:asciiTheme="majorHAnsi" w:hAnsiTheme="majorHAnsi"/>
        </w:rPr>
        <w:t>119, 55-69.</w:t>
      </w:r>
    </w:p>
    <w:p w14:paraId="084F11F1" w14:textId="2908E0BE" w:rsidR="00557ED0" w:rsidRPr="00E35944" w:rsidRDefault="00557ED0" w:rsidP="00557ED0">
      <w:pPr>
        <w:autoSpaceDE w:val="0"/>
        <w:autoSpaceDN w:val="0"/>
        <w:adjustRightInd w:val="0"/>
        <w:spacing w:after="0" w:line="240" w:lineRule="auto"/>
        <w:ind w:left="426" w:hanging="426"/>
        <w:rPr>
          <w:rFonts w:asciiTheme="majorHAnsi" w:eastAsia="Cambria" w:hAnsiTheme="majorHAnsi" w:cs="Arial"/>
          <w:lang w:val="en-US" w:eastAsia="en-AU"/>
        </w:rPr>
      </w:pPr>
      <w:r w:rsidRPr="00E35944">
        <w:rPr>
          <w:rFonts w:asciiTheme="majorHAnsi" w:eastAsia="Cambria" w:hAnsiTheme="majorHAnsi" w:cs="Arial"/>
          <w:lang w:val="en-US" w:eastAsia="en-AU"/>
        </w:rPr>
        <w:t xml:space="preserve">Morgan GJ (1988). Freshwater crayfish of the Genus </w:t>
      </w:r>
      <w:r w:rsidRPr="00E35944">
        <w:rPr>
          <w:rFonts w:asciiTheme="majorHAnsi" w:eastAsia="Cambria" w:hAnsiTheme="majorHAnsi" w:cs="Arial"/>
          <w:i/>
          <w:iCs/>
          <w:lang w:val="en-US" w:eastAsia="en-AU"/>
        </w:rPr>
        <w:t>Euastacus</w:t>
      </w:r>
      <w:r w:rsidRPr="00E35944">
        <w:rPr>
          <w:rFonts w:asciiTheme="majorHAnsi" w:eastAsia="Cambria" w:hAnsiTheme="majorHAnsi" w:cs="Arial"/>
          <w:lang w:val="en-US" w:eastAsia="en-AU"/>
        </w:rPr>
        <w:t xml:space="preserve"> Clark (Decapoda: Parastacidae) from Queensland. </w:t>
      </w:r>
      <w:r w:rsidRPr="00E35944">
        <w:rPr>
          <w:rFonts w:asciiTheme="majorHAnsi" w:eastAsia="Cambria" w:hAnsiTheme="majorHAnsi" w:cs="Arial"/>
          <w:i/>
          <w:iCs/>
          <w:lang w:val="en-US" w:eastAsia="en-AU"/>
        </w:rPr>
        <w:t>Memoirs of The Museum of Victoria</w:t>
      </w:r>
      <w:r w:rsidRPr="00E35944">
        <w:rPr>
          <w:rFonts w:asciiTheme="majorHAnsi" w:eastAsia="Cambria" w:hAnsiTheme="majorHAnsi" w:cs="Arial"/>
          <w:lang w:val="en-US" w:eastAsia="en-AU"/>
        </w:rPr>
        <w:t xml:space="preserve"> </w:t>
      </w:r>
      <w:r w:rsidRPr="00FA347D">
        <w:rPr>
          <w:rFonts w:asciiTheme="majorHAnsi" w:eastAsia="Cambria" w:hAnsiTheme="majorHAnsi" w:cs="Arial"/>
          <w:lang w:val="en-US" w:eastAsia="en-AU"/>
        </w:rPr>
        <w:t>49</w:t>
      </w:r>
      <w:r w:rsidRPr="00E35944">
        <w:rPr>
          <w:rFonts w:asciiTheme="majorHAnsi" w:eastAsia="Cambria" w:hAnsiTheme="majorHAnsi" w:cs="Arial"/>
          <w:lang w:val="en-US" w:eastAsia="en-AU"/>
        </w:rPr>
        <w:t>(1)</w:t>
      </w:r>
      <w:r w:rsidR="00D03741">
        <w:rPr>
          <w:rFonts w:asciiTheme="majorHAnsi" w:eastAsia="Cambria" w:hAnsiTheme="majorHAnsi" w:cs="Arial"/>
          <w:lang w:val="en-US" w:eastAsia="en-AU"/>
        </w:rPr>
        <w:t>,</w:t>
      </w:r>
      <w:r w:rsidRPr="00E35944">
        <w:rPr>
          <w:rFonts w:asciiTheme="majorHAnsi" w:eastAsia="Cambria" w:hAnsiTheme="majorHAnsi" w:cs="Arial"/>
          <w:lang w:val="en-US" w:eastAsia="en-AU"/>
        </w:rPr>
        <w:t xml:space="preserve"> 1-49.</w:t>
      </w:r>
    </w:p>
    <w:p w14:paraId="5C6FF928" w14:textId="77777777" w:rsidR="00557ED0" w:rsidRPr="00B326AD" w:rsidRDefault="00557ED0" w:rsidP="00557ED0">
      <w:pPr>
        <w:pStyle w:val="CAreference"/>
        <w:spacing w:after="120" w:line="276" w:lineRule="auto"/>
        <w:rPr>
          <w:rFonts w:asciiTheme="majorHAnsi" w:hAnsiTheme="majorHAnsi"/>
        </w:rPr>
      </w:pPr>
      <w:r w:rsidRPr="00E35944">
        <w:rPr>
          <w:rFonts w:asciiTheme="majorHAnsi" w:hAnsiTheme="majorHAnsi"/>
        </w:rPr>
        <w:t xml:space="preserve">Morgan GJ (1997) Freshwater crayfish of the genus </w:t>
      </w:r>
      <w:r w:rsidRPr="00E35944">
        <w:rPr>
          <w:rFonts w:asciiTheme="majorHAnsi" w:hAnsiTheme="majorHAnsi"/>
          <w:i/>
          <w:iCs/>
        </w:rPr>
        <w:t>Euastacus</w:t>
      </w:r>
      <w:r w:rsidRPr="00E35944">
        <w:rPr>
          <w:rFonts w:asciiTheme="majorHAnsi" w:hAnsiTheme="majorHAnsi"/>
        </w:rPr>
        <w:t xml:space="preserve"> Clark (Decapoda: Parastacidae) from New South Wales, with a key to all species of the genus. </w:t>
      </w:r>
      <w:r w:rsidRPr="00E35944">
        <w:rPr>
          <w:rFonts w:asciiTheme="majorHAnsi" w:hAnsiTheme="majorHAnsi"/>
          <w:i/>
          <w:iCs/>
        </w:rPr>
        <w:t>Records of the Australian Museum</w:t>
      </w:r>
      <w:r w:rsidRPr="00E35944">
        <w:rPr>
          <w:rFonts w:asciiTheme="majorHAnsi" w:hAnsiTheme="majorHAnsi"/>
        </w:rPr>
        <w:t xml:space="preserve"> Supplement 23, 1-110.</w:t>
      </w:r>
    </w:p>
    <w:p w14:paraId="4EB64C9F"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Panteleit J, Keller NS, Kokko H, Jussila J, Makkonen J, Theissinger K &amp; Schrimpf A (2017) Investigation of ornamental crayfish reveals new carrier species of the crayfish plague pathogen (</w:t>
      </w:r>
      <w:r w:rsidRPr="00B326AD">
        <w:rPr>
          <w:rFonts w:asciiTheme="majorHAnsi" w:hAnsiTheme="majorHAnsi"/>
          <w:i/>
          <w:iCs/>
        </w:rPr>
        <w:t>Aphanomyces astaci</w:t>
      </w:r>
      <w:r w:rsidRPr="00B326AD">
        <w:rPr>
          <w:rFonts w:asciiTheme="majorHAnsi" w:hAnsiTheme="majorHAnsi"/>
        </w:rPr>
        <w:t xml:space="preserve">). </w:t>
      </w:r>
      <w:r w:rsidRPr="00B326AD">
        <w:rPr>
          <w:rFonts w:asciiTheme="majorHAnsi" w:hAnsiTheme="majorHAnsi"/>
          <w:i/>
          <w:iCs/>
        </w:rPr>
        <w:t>Aquatic Invasions</w:t>
      </w:r>
      <w:r w:rsidRPr="00B326AD">
        <w:rPr>
          <w:rFonts w:asciiTheme="majorHAnsi" w:hAnsiTheme="majorHAnsi"/>
        </w:rPr>
        <w:t xml:space="preserve"> 12(1), 77-83.</w:t>
      </w:r>
    </w:p>
    <w:p w14:paraId="42A6487A"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Ponniah M &amp; Hughes JM (2004) The evolution of Queensland spiny mountain crayfish of the genus </w:t>
      </w:r>
      <w:r w:rsidRPr="00B326AD">
        <w:rPr>
          <w:rFonts w:asciiTheme="majorHAnsi" w:hAnsiTheme="majorHAnsi"/>
          <w:i/>
          <w:iCs/>
        </w:rPr>
        <w:t>Euastacus</w:t>
      </w:r>
      <w:r w:rsidRPr="00B326AD">
        <w:rPr>
          <w:rFonts w:asciiTheme="majorHAnsi" w:hAnsiTheme="majorHAnsi"/>
        </w:rPr>
        <w:t xml:space="preserve">. I. Testing vicariance and dispersal with intraspecific mitochondrial DNA. </w:t>
      </w:r>
      <w:r w:rsidRPr="003F291F">
        <w:rPr>
          <w:rFonts w:asciiTheme="majorHAnsi" w:hAnsiTheme="majorHAnsi"/>
          <w:i/>
          <w:iCs/>
        </w:rPr>
        <w:t>Evolution</w:t>
      </w:r>
      <w:r w:rsidRPr="00B326AD">
        <w:rPr>
          <w:rFonts w:asciiTheme="majorHAnsi" w:hAnsiTheme="majorHAnsi"/>
        </w:rPr>
        <w:t xml:space="preserve"> 58(5): 1073-1085.</w:t>
      </w:r>
    </w:p>
    <w:p w14:paraId="00374C90" w14:textId="77777777" w:rsidR="00557ED0" w:rsidRDefault="00557ED0" w:rsidP="00557ED0">
      <w:pPr>
        <w:pStyle w:val="CAreference"/>
        <w:spacing w:after="120" w:line="276" w:lineRule="auto"/>
        <w:rPr>
          <w:rFonts w:asciiTheme="majorHAnsi" w:hAnsiTheme="majorHAnsi"/>
        </w:rPr>
      </w:pPr>
      <w:r w:rsidRPr="00B326AD">
        <w:rPr>
          <w:rFonts w:asciiTheme="majorHAnsi" w:hAnsiTheme="majorHAnsi"/>
        </w:rPr>
        <w:t xml:space="preserve">Ponniah M &amp; Hughes JM (2006) The evolution of Queensland spiny mountain crayfish of the genus </w:t>
      </w:r>
      <w:r w:rsidRPr="00B326AD">
        <w:rPr>
          <w:rFonts w:asciiTheme="majorHAnsi" w:hAnsiTheme="majorHAnsi"/>
          <w:i/>
          <w:iCs/>
        </w:rPr>
        <w:t>Euastacus</w:t>
      </w:r>
      <w:r w:rsidRPr="00B326AD">
        <w:rPr>
          <w:rFonts w:asciiTheme="majorHAnsi" w:hAnsiTheme="majorHAnsi"/>
        </w:rPr>
        <w:t xml:space="preserve">. II. Investigating simultaneous vicariance with intraspecific genetic data. </w:t>
      </w:r>
      <w:r w:rsidRPr="00B326AD">
        <w:rPr>
          <w:rFonts w:asciiTheme="majorHAnsi" w:hAnsiTheme="majorHAnsi"/>
          <w:i/>
          <w:iCs/>
        </w:rPr>
        <w:t>Marine and Freshwater Research</w:t>
      </w:r>
      <w:r w:rsidRPr="00B326AD">
        <w:rPr>
          <w:rFonts w:asciiTheme="majorHAnsi" w:hAnsiTheme="majorHAnsi"/>
        </w:rPr>
        <w:t xml:space="preserve"> 57(3), 349-362.</w:t>
      </w:r>
    </w:p>
    <w:p w14:paraId="6176FE9B" w14:textId="738C122F" w:rsidR="00E746DE" w:rsidRPr="00B326AD" w:rsidRDefault="00E746DE" w:rsidP="00557ED0">
      <w:pPr>
        <w:pStyle w:val="CAreference"/>
        <w:spacing w:after="120" w:line="276" w:lineRule="auto"/>
        <w:rPr>
          <w:rFonts w:asciiTheme="majorHAnsi" w:hAnsiTheme="majorHAnsi"/>
        </w:rPr>
      </w:pPr>
      <w:r w:rsidRPr="00E746DE">
        <w:rPr>
          <w:rFonts w:asciiTheme="majorHAnsi" w:hAnsiTheme="majorHAnsi"/>
        </w:rPr>
        <w:t xml:space="preserve">Rainforest CRC, (2003) </w:t>
      </w:r>
      <w:r w:rsidRPr="00FA347D">
        <w:rPr>
          <w:rFonts w:asciiTheme="majorHAnsi" w:hAnsiTheme="majorHAnsi"/>
          <w:i/>
          <w:iCs/>
        </w:rPr>
        <w:t>Global warming in the Wet Tropics: issues in tropical forest landscapes</w:t>
      </w:r>
      <w:r w:rsidRPr="00E746DE">
        <w:rPr>
          <w:rFonts w:asciiTheme="majorHAnsi" w:hAnsiTheme="majorHAnsi"/>
        </w:rPr>
        <w:t>. Working Paper. Rainforest CRC, James Cook University, Cairns, Qld, Australia.</w:t>
      </w:r>
    </w:p>
    <w:p w14:paraId="6480D46D"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Ravindran S, Gratchev I &amp; Jeng D-S (2019) Analysis of rainfall-induced landslides in northern New South Wales, Australia. </w:t>
      </w:r>
      <w:r w:rsidRPr="00B326AD">
        <w:rPr>
          <w:rFonts w:asciiTheme="majorHAnsi" w:hAnsiTheme="majorHAnsi"/>
          <w:i/>
          <w:iCs/>
        </w:rPr>
        <w:t>Journal of Australian Geomechanics</w:t>
      </w:r>
      <w:r w:rsidRPr="00B326AD">
        <w:rPr>
          <w:rFonts w:asciiTheme="majorHAnsi" w:hAnsiTheme="majorHAnsi"/>
        </w:rPr>
        <w:t xml:space="preserve"> 54(4), 85-99.</w:t>
      </w:r>
    </w:p>
    <w:p w14:paraId="3D624892"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Richman NI, Böhm M, Adams SB, Alvarez F, Bergey EA, et al. (2015) Multiple drivers of decline in the global status of freshwater crayfish (Decapoda: Astacidea). </w:t>
      </w:r>
      <w:r w:rsidRPr="00B326AD">
        <w:rPr>
          <w:rFonts w:asciiTheme="majorHAnsi" w:hAnsiTheme="majorHAnsi"/>
          <w:i/>
          <w:iCs/>
        </w:rPr>
        <w:t>Philosophical Transactions of the Royal Society B: Biological Sciences</w:t>
      </w:r>
      <w:r w:rsidRPr="00B326AD">
        <w:rPr>
          <w:rFonts w:asciiTheme="majorHAnsi" w:hAnsiTheme="majorHAnsi"/>
        </w:rPr>
        <w:t xml:space="preserve"> 370: 20140060. </w:t>
      </w:r>
    </w:p>
    <w:p w14:paraId="14312C27" w14:textId="77777777" w:rsidR="00557ED0" w:rsidRDefault="00557ED0" w:rsidP="00557ED0">
      <w:pPr>
        <w:autoSpaceDE w:val="0"/>
        <w:autoSpaceDN w:val="0"/>
        <w:adjustRightInd w:val="0"/>
        <w:spacing w:before="120"/>
        <w:ind w:left="426" w:hanging="426"/>
        <w:rPr>
          <w:rFonts w:asciiTheme="majorHAnsi" w:eastAsia="Cambria" w:hAnsiTheme="majorHAnsi" w:cs="Arial"/>
          <w:szCs w:val="24"/>
          <w:lang w:val="en-US" w:eastAsia="en-AU"/>
        </w:rPr>
      </w:pPr>
      <w:r w:rsidRPr="00D476E3">
        <w:rPr>
          <w:rFonts w:asciiTheme="majorHAnsi" w:eastAsia="Cambria" w:hAnsiTheme="majorHAnsi" w:cs="Arial"/>
          <w:szCs w:val="24"/>
          <w:lang w:val="en-US" w:eastAsia="en-AU"/>
        </w:rPr>
        <w:t>Stock D (2004). The dynamics of Lantana camara (L.) invasion of subtropical rainforest in southeast Queensland. PhD Thesis, 318 pages, School of Environmental and Applied Sciences. Griffith University, Gold Coast campus. Gold Coast, Queensland, Australia.</w:t>
      </w:r>
    </w:p>
    <w:p w14:paraId="78A0B42E" w14:textId="42A3D4B8" w:rsidR="006A7F16" w:rsidRPr="00F151C8" w:rsidRDefault="006A7F16" w:rsidP="00557ED0">
      <w:pPr>
        <w:autoSpaceDE w:val="0"/>
        <w:autoSpaceDN w:val="0"/>
        <w:adjustRightInd w:val="0"/>
        <w:spacing w:before="120"/>
        <w:ind w:left="426" w:hanging="426"/>
        <w:rPr>
          <w:rFonts w:asciiTheme="majorHAnsi" w:eastAsia="Cambria" w:hAnsiTheme="majorHAnsi" w:cs="Arial"/>
          <w:szCs w:val="24"/>
          <w:lang w:val="en-US" w:eastAsia="en-AU"/>
        </w:rPr>
      </w:pPr>
      <w:r w:rsidRPr="006A7F16">
        <w:rPr>
          <w:rFonts w:asciiTheme="majorHAnsi" w:eastAsia="Cambria" w:hAnsiTheme="majorHAnsi" w:cs="Arial"/>
          <w:szCs w:val="24"/>
          <w:lang w:val="en-US" w:eastAsia="en-AU"/>
        </w:rPr>
        <w:t xml:space="preserve">Suppiah R, Macadam I &amp; Whetton P (2007) </w:t>
      </w:r>
      <w:r w:rsidRPr="00FA347D">
        <w:rPr>
          <w:rFonts w:asciiTheme="majorHAnsi" w:eastAsia="Cambria" w:hAnsiTheme="majorHAnsi" w:cs="Arial"/>
          <w:i/>
          <w:iCs/>
          <w:szCs w:val="24"/>
          <w:lang w:val="en-US" w:eastAsia="en-AU"/>
        </w:rPr>
        <w:t>Climate change projections for the tropical rainforest region of North Queensland</w:t>
      </w:r>
      <w:r w:rsidRPr="006A7F16">
        <w:rPr>
          <w:rFonts w:asciiTheme="majorHAnsi" w:eastAsia="Cambria" w:hAnsiTheme="majorHAnsi" w:cs="Arial"/>
          <w:szCs w:val="24"/>
          <w:lang w:val="en-US" w:eastAsia="en-AU"/>
        </w:rPr>
        <w:t>. In: Reef and Rainforest Research Centre Limited. CSIRO Marine and Atmospheric Research, Cairns</w:t>
      </w:r>
      <w:r>
        <w:rPr>
          <w:rFonts w:asciiTheme="majorHAnsi" w:eastAsia="Cambria" w:hAnsiTheme="majorHAnsi" w:cs="Arial"/>
          <w:szCs w:val="24"/>
          <w:lang w:val="en-US" w:eastAsia="en-AU"/>
        </w:rPr>
        <w:t>.</w:t>
      </w:r>
    </w:p>
    <w:p w14:paraId="3D77810D" w14:textId="77777777" w:rsidR="00557ED0" w:rsidRDefault="00557ED0" w:rsidP="00557ED0">
      <w:pPr>
        <w:spacing w:before="120" w:line="240" w:lineRule="auto"/>
        <w:ind w:left="426" w:hanging="426"/>
      </w:pPr>
      <w:r w:rsidRPr="006913C9">
        <w:t xml:space="preserve">Syktus J, Trancoso R, Ahrens D, Toombs N &amp; Wong K </w:t>
      </w:r>
      <w:r>
        <w:t>(</w:t>
      </w:r>
      <w:r w:rsidRPr="006913C9">
        <w:t>2020</w:t>
      </w:r>
      <w:r>
        <w:t xml:space="preserve">) </w:t>
      </w:r>
      <w:r w:rsidRPr="00A93C1E">
        <w:rPr>
          <w:i/>
          <w:iCs/>
        </w:rPr>
        <w:t>Queensland Future Climate Dashboard: Downscaled CMIP5 climate projections for Queensland</w:t>
      </w:r>
      <w:r w:rsidRPr="006913C9">
        <w:t>.</w:t>
      </w:r>
      <w:r>
        <w:t xml:space="preserve"> A</w:t>
      </w:r>
      <w:r w:rsidRPr="006913C9">
        <w:t>ccessed from &lt;https://www.longpaddock.qld.gov.au/qld-future-climate/&gt;.</w:t>
      </w:r>
    </w:p>
    <w:p w14:paraId="2C9EA1FF" w14:textId="77777777" w:rsidR="00557ED0" w:rsidRPr="00B326AD" w:rsidRDefault="00557ED0" w:rsidP="00557ED0">
      <w:pPr>
        <w:pStyle w:val="CAreference"/>
        <w:spacing w:after="120" w:line="276" w:lineRule="auto"/>
        <w:rPr>
          <w:rFonts w:asciiTheme="majorHAnsi" w:hAnsiTheme="majorHAnsi"/>
        </w:rPr>
      </w:pPr>
      <w:r w:rsidRPr="00B326AD">
        <w:rPr>
          <w:rFonts w:asciiTheme="majorHAnsi" w:hAnsiTheme="majorHAnsi"/>
        </w:rPr>
        <w:t xml:space="preserve">Turvey P &amp; Merrick JR (1997a) Growth with age in the freshwater crayfish, </w:t>
      </w:r>
      <w:r w:rsidRPr="00B326AD">
        <w:rPr>
          <w:rFonts w:asciiTheme="majorHAnsi" w:hAnsiTheme="majorHAnsi"/>
          <w:i/>
          <w:iCs/>
        </w:rPr>
        <w:t>Euastacus spinifer</w:t>
      </w:r>
      <w:r w:rsidRPr="00B326AD">
        <w:rPr>
          <w:rFonts w:asciiTheme="majorHAnsi" w:hAnsiTheme="majorHAnsi"/>
        </w:rPr>
        <w:t xml:space="preserve"> (Decapoda: Parastacidae), from the Sydney region, Australia. </w:t>
      </w:r>
      <w:r w:rsidRPr="00B326AD">
        <w:rPr>
          <w:rFonts w:asciiTheme="majorHAnsi" w:hAnsiTheme="majorHAnsi"/>
          <w:i/>
          <w:iCs/>
        </w:rPr>
        <w:t>Proceedings of the Linnean Society of New South Wales</w:t>
      </w:r>
      <w:r w:rsidRPr="00B326AD">
        <w:rPr>
          <w:rFonts w:asciiTheme="majorHAnsi" w:hAnsiTheme="majorHAnsi"/>
        </w:rPr>
        <w:t xml:space="preserve"> 118, 205-215.</w:t>
      </w:r>
    </w:p>
    <w:p w14:paraId="5CB9780B" w14:textId="77777777" w:rsidR="00557ED0" w:rsidRDefault="00557ED0" w:rsidP="00557ED0">
      <w:pPr>
        <w:pStyle w:val="CAreference"/>
        <w:spacing w:after="120" w:line="276" w:lineRule="auto"/>
        <w:rPr>
          <w:rFonts w:asciiTheme="majorHAnsi" w:hAnsiTheme="majorHAnsi"/>
        </w:rPr>
      </w:pPr>
      <w:r w:rsidRPr="00B326AD">
        <w:rPr>
          <w:rFonts w:asciiTheme="majorHAnsi" w:hAnsiTheme="majorHAnsi"/>
        </w:rPr>
        <w:t xml:space="preserve">Turvey P &amp; Merrick JR (1997b) Reproductive biology of the freshwater crayfish, </w:t>
      </w:r>
      <w:r w:rsidRPr="00B326AD">
        <w:rPr>
          <w:rFonts w:asciiTheme="majorHAnsi" w:hAnsiTheme="majorHAnsi"/>
          <w:i/>
          <w:iCs/>
        </w:rPr>
        <w:t>Euastacus spinifer</w:t>
      </w:r>
      <w:r w:rsidRPr="00B326AD">
        <w:rPr>
          <w:rFonts w:asciiTheme="majorHAnsi" w:hAnsiTheme="majorHAnsi"/>
        </w:rPr>
        <w:t xml:space="preserve"> (Decapoda: Parastacidae), from the Sydney region, Australia. </w:t>
      </w:r>
      <w:r w:rsidRPr="00B326AD">
        <w:rPr>
          <w:rFonts w:asciiTheme="majorHAnsi" w:hAnsiTheme="majorHAnsi"/>
          <w:i/>
          <w:iCs/>
        </w:rPr>
        <w:t xml:space="preserve">Proceedings of the Linnean Society of New South Wales </w:t>
      </w:r>
      <w:r w:rsidRPr="00B326AD">
        <w:rPr>
          <w:rFonts w:asciiTheme="majorHAnsi" w:hAnsiTheme="majorHAnsi"/>
        </w:rPr>
        <w:t>118, 131-155.</w:t>
      </w:r>
    </w:p>
    <w:p w14:paraId="523F37FB" w14:textId="77777777" w:rsidR="00557ED0" w:rsidRPr="0073518B" w:rsidRDefault="00557ED0" w:rsidP="00557ED0">
      <w:pPr>
        <w:pStyle w:val="CAreference"/>
        <w:spacing w:after="120" w:line="276" w:lineRule="auto"/>
        <w:rPr>
          <w:rFonts w:asciiTheme="majorHAnsi" w:hAnsiTheme="majorHAnsi"/>
        </w:rPr>
      </w:pPr>
      <w:r w:rsidRPr="0073518B">
        <w:rPr>
          <w:rFonts w:asciiTheme="majorHAnsi" w:hAnsiTheme="majorHAnsi"/>
        </w:rPr>
        <w:t xml:space="preserve">Unestam T (1975) Defence reactions in and susceptibility of Australian and New Guinean freshwater crayfish to European-crayfish-plague fungus. </w:t>
      </w:r>
      <w:r w:rsidRPr="001B1BA4">
        <w:rPr>
          <w:rFonts w:asciiTheme="majorHAnsi" w:hAnsiTheme="majorHAnsi"/>
          <w:i/>
          <w:iCs/>
        </w:rPr>
        <w:t>Australian Journal of Experimental Biological and Medical Science</w:t>
      </w:r>
      <w:r w:rsidRPr="0073518B">
        <w:rPr>
          <w:rFonts w:asciiTheme="majorHAnsi" w:hAnsiTheme="majorHAnsi"/>
        </w:rPr>
        <w:t xml:space="preserve"> 53</w:t>
      </w:r>
      <w:r>
        <w:rPr>
          <w:rFonts w:asciiTheme="majorHAnsi" w:hAnsiTheme="majorHAnsi"/>
        </w:rPr>
        <w:t>,</w:t>
      </w:r>
      <w:r w:rsidRPr="0073518B">
        <w:rPr>
          <w:rFonts w:asciiTheme="majorHAnsi" w:hAnsiTheme="majorHAnsi"/>
        </w:rPr>
        <w:t xml:space="preserve"> 349-359.</w:t>
      </w:r>
    </w:p>
    <w:p w14:paraId="5E5366EF" w14:textId="77777777" w:rsidR="00557ED0" w:rsidRDefault="00557ED0" w:rsidP="00557ED0">
      <w:pPr>
        <w:pStyle w:val="CAreference"/>
        <w:spacing w:after="120" w:line="276" w:lineRule="auto"/>
        <w:rPr>
          <w:rFonts w:asciiTheme="majorHAnsi" w:hAnsiTheme="majorHAnsi"/>
        </w:rPr>
      </w:pPr>
      <w:r w:rsidRPr="00B326AD">
        <w:rPr>
          <w:rFonts w:asciiTheme="majorHAnsi" w:hAnsiTheme="majorHAnsi"/>
        </w:rPr>
        <w:t xml:space="preserve">Wells SM, Pyle RM &amp; Collins NM (1983) </w:t>
      </w:r>
      <w:r w:rsidRPr="00B326AD">
        <w:rPr>
          <w:rFonts w:asciiTheme="majorHAnsi" w:hAnsiTheme="majorHAnsi"/>
          <w:i/>
          <w:iCs/>
        </w:rPr>
        <w:t>The IUCN Invertebrate Red Data Book</w:t>
      </w:r>
      <w:r w:rsidRPr="00B326AD">
        <w:rPr>
          <w:rFonts w:asciiTheme="majorHAnsi" w:hAnsiTheme="majorHAnsi"/>
        </w:rPr>
        <w:t>. 1st edition, The IUCN, Gland, Switzerland.</w:t>
      </w:r>
    </w:p>
    <w:p w14:paraId="234E3E68" w14:textId="77777777" w:rsidR="00557ED0" w:rsidRDefault="00557ED0" w:rsidP="00E7066B">
      <w:pPr>
        <w:pStyle w:val="CAreference"/>
        <w:keepNext/>
        <w:spacing w:after="120" w:line="276" w:lineRule="auto"/>
      </w:pPr>
      <w:r w:rsidRPr="00521832">
        <w:rPr>
          <w:b/>
          <w:sz w:val="24"/>
          <w:u w:val="single"/>
        </w:rPr>
        <w:t>Other sources cited in the advice</w:t>
      </w:r>
    </w:p>
    <w:p w14:paraId="0BBCF3FA" w14:textId="77777777" w:rsidR="00557ED0" w:rsidRDefault="00557ED0" w:rsidP="00557ED0">
      <w:pPr>
        <w:pStyle w:val="CAreference"/>
        <w:spacing w:after="120" w:line="276" w:lineRule="auto"/>
        <w:rPr>
          <w:rFonts w:asciiTheme="majorHAnsi" w:hAnsiTheme="majorHAnsi"/>
        </w:rPr>
      </w:pPr>
      <w:r>
        <w:rPr>
          <w:rFonts w:asciiTheme="majorHAnsi" w:hAnsiTheme="majorHAnsi"/>
        </w:rPr>
        <w:t>A</w:t>
      </w:r>
      <w:r w:rsidRPr="00FA5BC1">
        <w:rPr>
          <w:rFonts w:asciiTheme="majorHAnsi" w:hAnsiTheme="majorHAnsi"/>
        </w:rPr>
        <w:t>nimal Health Committee</w:t>
      </w:r>
      <w:r>
        <w:rPr>
          <w:rFonts w:asciiTheme="majorHAnsi" w:hAnsiTheme="majorHAnsi"/>
        </w:rPr>
        <w:t xml:space="preserve"> (</w:t>
      </w:r>
      <w:r w:rsidRPr="00FA5BC1">
        <w:rPr>
          <w:rFonts w:asciiTheme="majorHAnsi" w:hAnsiTheme="majorHAnsi"/>
        </w:rPr>
        <w:t>2020</w:t>
      </w:r>
      <w:r>
        <w:rPr>
          <w:rFonts w:asciiTheme="majorHAnsi" w:hAnsiTheme="majorHAnsi"/>
        </w:rPr>
        <w:t xml:space="preserve">) </w:t>
      </w:r>
      <w:r w:rsidRPr="00FA5BC1">
        <w:rPr>
          <w:rFonts w:asciiTheme="majorHAnsi" w:hAnsiTheme="majorHAnsi"/>
        </w:rPr>
        <w:t>Australia's National List of Reportable Diseases of Aquatic Animals</w:t>
      </w:r>
      <w:r>
        <w:rPr>
          <w:rFonts w:asciiTheme="majorHAnsi" w:hAnsiTheme="majorHAnsi"/>
        </w:rPr>
        <w:t xml:space="preserve"> (June 2020). </w:t>
      </w:r>
      <w:r w:rsidRPr="0067023B">
        <w:rPr>
          <w:rFonts w:asciiTheme="majorHAnsi" w:hAnsiTheme="majorHAnsi"/>
        </w:rPr>
        <w:t>Viewed 27 July 2021,</w:t>
      </w:r>
      <w:r>
        <w:rPr>
          <w:rFonts w:asciiTheme="majorHAnsi" w:hAnsiTheme="majorHAnsi"/>
        </w:rPr>
        <w:t xml:space="preserve"> </w:t>
      </w:r>
      <w:r w:rsidRPr="0067023B">
        <w:rPr>
          <w:rFonts w:asciiTheme="majorHAnsi" w:hAnsiTheme="majorHAnsi"/>
        </w:rPr>
        <w:t>Available at:</w:t>
      </w:r>
      <w:r>
        <w:rPr>
          <w:rFonts w:asciiTheme="majorHAnsi" w:hAnsiTheme="majorHAnsi"/>
        </w:rPr>
        <w:t xml:space="preserve"> </w:t>
      </w:r>
      <w:r w:rsidRPr="00FA5BC1">
        <w:rPr>
          <w:rFonts w:asciiTheme="majorHAnsi" w:hAnsiTheme="majorHAnsi"/>
        </w:rPr>
        <w:t>https://www.agriculture.gov.au/animal/aquatic/reporting/reportable-diseases#crustaceans</w:t>
      </w:r>
    </w:p>
    <w:p w14:paraId="6AE86947" w14:textId="77777777" w:rsidR="00557ED0" w:rsidRDefault="00557ED0" w:rsidP="00557ED0">
      <w:pPr>
        <w:pStyle w:val="CAreference"/>
        <w:spacing w:after="120" w:line="276" w:lineRule="auto"/>
        <w:rPr>
          <w:rFonts w:asciiTheme="majorHAnsi" w:hAnsiTheme="majorHAnsi"/>
        </w:rPr>
      </w:pPr>
      <w:r w:rsidRPr="0067023B">
        <w:rPr>
          <w:rFonts w:asciiTheme="majorHAnsi" w:hAnsiTheme="majorHAnsi"/>
        </w:rPr>
        <w:t xml:space="preserve">Barker J (1992) The spiny freshwater crayfish monitoring program, 1990. Fisheries management report. No 44, Inland Fisheries Management Branch, Fisheries Management Division, Department of Conservation and Environment. Victoria, Australia. </w:t>
      </w:r>
    </w:p>
    <w:p w14:paraId="711BB01E" w14:textId="77777777" w:rsidR="00557ED0" w:rsidRDefault="00557ED0" w:rsidP="00557ED0">
      <w:pPr>
        <w:pStyle w:val="CAreference"/>
        <w:spacing w:after="120" w:line="276" w:lineRule="auto"/>
        <w:rPr>
          <w:rFonts w:asciiTheme="majorHAnsi" w:hAnsiTheme="majorHAnsi"/>
        </w:rPr>
      </w:pPr>
      <w:r w:rsidRPr="002E35F7">
        <w:rPr>
          <w:rFonts w:asciiTheme="majorHAnsi" w:hAnsiTheme="majorHAnsi"/>
        </w:rPr>
        <w:t xml:space="preserve">BOM (Bureau of Meteorology) (2021) Maps of average conditions. Bureau of Meteorology, Commonwealth of Australia, Canberra, Australia. </w:t>
      </w:r>
      <w:r w:rsidRPr="002C0B94">
        <w:rPr>
          <w:rFonts w:asciiTheme="majorHAnsi" w:hAnsiTheme="majorHAnsi"/>
        </w:rPr>
        <w:t>Available online via:</w:t>
      </w:r>
      <w:r>
        <w:rPr>
          <w:rFonts w:asciiTheme="majorHAnsi" w:hAnsiTheme="majorHAnsi"/>
        </w:rPr>
        <w:t xml:space="preserve"> </w:t>
      </w:r>
      <w:hyperlink r:id="rId19" w:history="1">
        <w:r w:rsidRPr="00235682">
          <w:rPr>
            <w:rStyle w:val="Hyperlink"/>
            <w:rFonts w:asciiTheme="majorHAnsi" w:hAnsiTheme="majorHAnsi"/>
          </w:rPr>
          <w:t>http://www.bom.gov.au/climate/averages/maps.shtml</w:t>
        </w:r>
      </w:hyperlink>
    </w:p>
    <w:p w14:paraId="4E405B52" w14:textId="77777777" w:rsidR="00557ED0" w:rsidRDefault="00557ED0" w:rsidP="00557ED0">
      <w:pPr>
        <w:pStyle w:val="CAreference"/>
        <w:spacing w:after="120" w:line="276" w:lineRule="auto"/>
        <w:rPr>
          <w:rFonts w:asciiTheme="majorHAnsi" w:hAnsiTheme="majorHAnsi"/>
        </w:rPr>
      </w:pPr>
      <w:r w:rsidRPr="002E35F7">
        <w:rPr>
          <w:rFonts w:asciiTheme="majorHAnsi" w:hAnsiTheme="majorHAnsi"/>
        </w:rPr>
        <w:t>BOM (Bureau of Meteorology) (202</w:t>
      </w:r>
      <w:r>
        <w:rPr>
          <w:rFonts w:asciiTheme="majorHAnsi" w:hAnsiTheme="majorHAnsi"/>
        </w:rPr>
        <w:t>2</w:t>
      </w:r>
      <w:r w:rsidRPr="002E35F7">
        <w:rPr>
          <w:rFonts w:asciiTheme="majorHAnsi" w:hAnsiTheme="majorHAnsi"/>
        </w:rPr>
        <w:t xml:space="preserve">) </w:t>
      </w:r>
      <w:r w:rsidRPr="002C0B94">
        <w:rPr>
          <w:rFonts w:asciiTheme="majorHAnsi" w:hAnsiTheme="majorHAnsi"/>
        </w:rPr>
        <w:t>Climate Data Online</w:t>
      </w:r>
      <w:r w:rsidRPr="002E35F7">
        <w:rPr>
          <w:rFonts w:asciiTheme="majorHAnsi" w:hAnsiTheme="majorHAnsi"/>
        </w:rPr>
        <w:t xml:space="preserve">. Bureau of Meteorology, Commonwealth of Australia, Canberra, Australia. Available </w:t>
      </w:r>
      <w:r>
        <w:rPr>
          <w:rFonts w:asciiTheme="majorHAnsi" w:hAnsiTheme="majorHAnsi"/>
        </w:rPr>
        <w:t xml:space="preserve">at: </w:t>
      </w:r>
      <w:r w:rsidRPr="002C0B94">
        <w:rPr>
          <w:rFonts w:asciiTheme="majorHAnsi" w:hAnsiTheme="majorHAnsi"/>
        </w:rPr>
        <w:t xml:space="preserve">Available online via: </w:t>
      </w:r>
      <w:hyperlink r:id="rId20" w:history="1">
        <w:r w:rsidRPr="00235682">
          <w:rPr>
            <w:rStyle w:val="Hyperlink"/>
            <w:rFonts w:asciiTheme="majorHAnsi" w:hAnsiTheme="majorHAnsi"/>
          </w:rPr>
          <w:t>http://www.bom.gov.au/climate/data/index.shtml</w:t>
        </w:r>
      </w:hyperlink>
    </w:p>
    <w:p w14:paraId="15FC2C56" w14:textId="77777777" w:rsidR="00557ED0" w:rsidRPr="0067023B" w:rsidRDefault="00557ED0" w:rsidP="00557ED0">
      <w:pPr>
        <w:pStyle w:val="CAreference"/>
        <w:spacing w:after="120" w:line="276" w:lineRule="auto"/>
        <w:rPr>
          <w:rFonts w:asciiTheme="majorHAnsi" w:hAnsiTheme="majorHAnsi"/>
        </w:rPr>
      </w:pPr>
      <w:r w:rsidRPr="0067023B">
        <w:rPr>
          <w:rFonts w:asciiTheme="majorHAnsi" w:hAnsiTheme="majorHAnsi"/>
        </w:rPr>
        <w:t>Business Queensland (2021) Red swamp crayfish. Viewed 27 July 2021, Available at: https://www.business.qld.gov.au/industries/farms-fishing-forestry/agriculture/land-management/health-pests-weeds-diseases/pests/invasive-animals/prohibited/red-swamp-crayfish</w:t>
      </w:r>
    </w:p>
    <w:p w14:paraId="063DA707" w14:textId="77777777" w:rsidR="00557ED0" w:rsidRPr="006A7D55" w:rsidRDefault="00557ED0" w:rsidP="00557ED0">
      <w:pPr>
        <w:pStyle w:val="CAreference"/>
        <w:spacing w:after="120" w:line="276" w:lineRule="auto"/>
        <w:rPr>
          <w:rFonts w:asciiTheme="majorHAnsi" w:hAnsiTheme="majorHAnsi"/>
        </w:rPr>
      </w:pPr>
      <w:r w:rsidRPr="006A7D55">
        <w:rPr>
          <w:rFonts w:asciiTheme="majorHAnsi" w:hAnsiTheme="majorHAnsi"/>
        </w:rPr>
        <w:t xml:space="preserve">Coughran J (2021) Unpublished data on threats to </w:t>
      </w:r>
      <w:r w:rsidRPr="006A7D55">
        <w:rPr>
          <w:rFonts w:asciiTheme="majorHAnsi" w:hAnsiTheme="majorHAnsi"/>
          <w:i/>
          <w:iCs/>
        </w:rPr>
        <w:t>Euastacus</w:t>
      </w:r>
      <w:r w:rsidRPr="006A7D55">
        <w:rPr>
          <w:rFonts w:asciiTheme="majorHAnsi" w:hAnsiTheme="majorHAnsi"/>
        </w:rPr>
        <w:t xml:space="preserve"> species. In possession of author.</w:t>
      </w:r>
    </w:p>
    <w:p w14:paraId="063D6B79" w14:textId="77777777" w:rsidR="00557ED0" w:rsidRPr="0067023B" w:rsidRDefault="00557ED0" w:rsidP="00557ED0">
      <w:pPr>
        <w:pStyle w:val="CAreference"/>
        <w:spacing w:after="120" w:line="276" w:lineRule="auto"/>
        <w:rPr>
          <w:rFonts w:asciiTheme="majorHAnsi" w:hAnsiTheme="majorHAnsi"/>
        </w:rPr>
      </w:pPr>
      <w:r w:rsidRPr="006A7D55">
        <w:rPr>
          <w:rFonts w:asciiTheme="majorHAnsi" w:hAnsiTheme="majorHAnsi"/>
        </w:rPr>
        <w:t xml:space="preserve">Coughran J (2008) Unpublished survey data on </w:t>
      </w:r>
      <w:r w:rsidRPr="006A7D55">
        <w:rPr>
          <w:rFonts w:asciiTheme="majorHAnsi" w:hAnsiTheme="majorHAnsi"/>
          <w:i/>
          <w:iCs/>
        </w:rPr>
        <w:t>Euastacus</w:t>
      </w:r>
      <w:r w:rsidRPr="006A7D55">
        <w:rPr>
          <w:rFonts w:asciiTheme="majorHAnsi" w:hAnsiTheme="majorHAnsi"/>
        </w:rPr>
        <w:t xml:space="preserve"> </w:t>
      </w:r>
      <w:r w:rsidRPr="006A7D55">
        <w:rPr>
          <w:rFonts w:asciiTheme="majorHAnsi" w:hAnsiTheme="majorHAnsi"/>
          <w:i/>
        </w:rPr>
        <w:t>balanensis</w:t>
      </w:r>
      <w:r w:rsidRPr="006A7D55">
        <w:rPr>
          <w:rFonts w:asciiTheme="majorHAnsi" w:hAnsiTheme="majorHAnsi"/>
        </w:rPr>
        <w:t>. In possession of author.</w:t>
      </w:r>
    </w:p>
    <w:p w14:paraId="7D50AFB5" w14:textId="77777777" w:rsidR="00557ED0" w:rsidRPr="008E052C" w:rsidRDefault="00557ED0" w:rsidP="00557ED0">
      <w:pPr>
        <w:pStyle w:val="CAreference"/>
        <w:spacing w:after="120" w:line="276" w:lineRule="auto"/>
        <w:rPr>
          <w:rFonts w:asciiTheme="majorHAnsi" w:hAnsiTheme="majorHAnsi"/>
        </w:rPr>
      </w:pPr>
      <w:r w:rsidRPr="006B7E35">
        <w:rPr>
          <w:rFonts w:asciiTheme="majorHAnsi" w:hAnsiTheme="majorHAnsi"/>
        </w:rPr>
        <w:t>Department of Primary Industries &amp; Regional Development (2021) Red swamp crayfish seized (Wednesday 21</w:t>
      </w:r>
      <w:r w:rsidRPr="008E052C">
        <w:rPr>
          <w:rFonts w:asciiTheme="majorHAnsi" w:hAnsiTheme="majorHAnsi"/>
        </w:rPr>
        <w:t xml:space="preserve"> July 2021). Viewed 27 July 2021, Available at: http://www.fish.wa.gov.au/About-Us/News/Pages/red-swamp-crayfish-seized.aspx</w:t>
      </w:r>
    </w:p>
    <w:p w14:paraId="1B71C025" w14:textId="77777777" w:rsidR="00557ED0" w:rsidRDefault="00557ED0" w:rsidP="00557ED0">
      <w:pPr>
        <w:pStyle w:val="CAreference"/>
        <w:spacing w:after="120" w:line="276" w:lineRule="auto"/>
        <w:rPr>
          <w:rFonts w:asciiTheme="majorHAnsi" w:hAnsiTheme="majorHAnsi"/>
        </w:rPr>
      </w:pPr>
      <w:r w:rsidRPr="008E052C">
        <w:rPr>
          <w:rFonts w:asciiTheme="majorHAnsi" w:hAnsiTheme="majorHAnsi"/>
        </w:rPr>
        <w:t>Furse J (</w:t>
      </w:r>
      <w:r>
        <w:rPr>
          <w:rFonts w:asciiTheme="majorHAnsi" w:hAnsiTheme="majorHAnsi"/>
        </w:rPr>
        <w:t>2021</w:t>
      </w:r>
      <w:r w:rsidRPr="008E052C">
        <w:rPr>
          <w:rFonts w:asciiTheme="majorHAnsi" w:hAnsiTheme="majorHAnsi"/>
        </w:rPr>
        <w:t xml:space="preserve">) </w:t>
      </w:r>
      <w:r>
        <w:rPr>
          <w:rFonts w:asciiTheme="majorHAnsi" w:hAnsiTheme="majorHAnsi"/>
        </w:rPr>
        <w:t>Unpublished d</w:t>
      </w:r>
      <w:r w:rsidRPr="008E052C">
        <w:rPr>
          <w:rFonts w:asciiTheme="majorHAnsi" w:hAnsiTheme="majorHAnsi"/>
        </w:rPr>
        <w:t xml:space="preserve">ata on threats to </w:t>
      </w:r>
      <w:r w:rsidRPr="0035679C">
        <w:rPr>
          <w:rFonts w:asciiTheme="majorHAnsi" w:hAnsiTheme="majorHAnsi"/>
          <w:i/>
          <w:iCs/>
        </w:rPr>
        <w:t>Euastacus</w:t>
      </w:r>
      <w:r w:rsidRPr="008E052C">
        <w:rPr>
          <w:rFonts w:asciiTheme="majorHAnsi" w:hAnsiTheme="majorHAnsi"/>
        </w:rPr>
        <w:t xml:space="preserve"> species. In possession of author.</w:t>
      </w:r>
    </w:p>
    <w:p w14:paraId="716F9CDD" w14:textId="6AA0372C" w:rsidR="00557ED0" w:rsidRDefault="005F5B2A" w:rsidP="00557ED0">
      <w:pPr>
        <w:autoSpaceDE w:val="0"/>
        <w:autoSpaceDN w:val="0"/>
        <w:adjustRightInd w:val="0"/>
        <w:spacing w:before="120"/>
        <w:ind w:left="350" w:hanging="350"/>
        <w:rPr>
          <w:rFonts w:asciiTheme="majorHAnsi" w:eastAsia="Cambria" w:hAnsiTheme="majorHAnsi" w:cs="Arial"/>
          <w:lang w:val="en-US" w:eastAsia="en-AU"/>
        </w:rPr>
      </w:pPr>
      <w:r w:rsidRPr="005F5B2A">
        <w:rPr>
          <w:rFonts w:asciiTheme="majorHAnsi" w:hAnsiTheme="majorHAnsi"/>
        </w:rPr>
        <w:t xml:space="preserve">IUCN Standards and Petitions Committee (2024). 'Guidelines for Using the IUCN Red List Categories and Criteria. Version 16. Prepared by the Standards and Petitions Committee. Downloadable from https://www.iucnredlist.org/documents/RedListGuidelines.pdf. </w:t>
      </w:r>
      <w:r w:rsidR="00557ED0" w:rsidRPr="006A7D55">
        <w:rPr>
          <w:rFonts w:asciiTheme="majorHAnsi" w:hAnsiTheme="majorHAnsi"/>
        </w:rPr>
        <w:t xml:space="preserve">McCormack (2008) Unpublished survey data on </w:t>
      </w:r>
      <w:r w:rsidR="00557ED0" w:rsidRPr="006A7D55">
        <w:rPr>
          <w:rFonts w:asciiTheme="majorHAnsi" w:hAnsiTheme="majorHAnsi"/>
          <w:i/>
          <w:iCs/>
        </w:rPr>
        <w:t>Euastacus</w:t>
      </w:r>
      <w:r w:rsidR="00557ED0" w:rsidRPr="006A7D55">
        <w:rPr>
          <w:rFonts w:asciiTheme="majorHAnsi" w:hAnsiTheme="majorHAnsi"/>
        </w:rPr>
        <w:t xml:space="preserve"> </w:t>
      </w:r>
      <w:r w:rsidR="00557ED0" w:rsidRPr="006A7D55">
        <w:rPr>
          <w:rFonts w:asciiTheme="majorHAnsi" w:hAnsiTheme="majorHAnsi"/>
          <w:i/>
        </w:rPr>
        <w:t>balanensis</w:t>
      </w:r>
      <w:r w:rsidR="00557ED0" w:rsidRPr="006A7D55">
        <w:rPr>
          <w:rFonts w:asciiTheme="majorHAnsi" w:hAnsiTheme="majorHAnsi"/>
        </w:rPr>
        <w:t>. In possession of author.</w:t>
      </w:r>
    </w:p>
    <w:p w14:paraId="61E1B01C" w14:textId="77777777" w:rsidR="00557ED0" w:rsidRPr="00093726" w:rsidRDefault="00557ED0" w:rsidP="00557ED0">
      <w:pPr>
        <w:autoSpaceDE w:val="0"/>
        <w:autoSpaceDN w:val="0"/>
        <w:adjustRightInd w:val="0"/>
        <w:spacing w:before="120"/>
        <w:ind w:left="350" w:hanging="350"/>
        <w:rPr>
          <w:rFonts w:asciiTheme="majorHAnsi" w:eastAsia="Cambria" w:hAnsiTheme="majorHAnsi" w:cs="Arial"/>
          <w:lang w:val="en-US" w:eastAsia="en-AU"/>
        </w:rPr>
      </w:pPr>
      <w:r w:rsidRPr="00EC7F11">
        <w:rPr>
          <w:rFonts w:asciiTheme="majorHAnsi" w:eastAsia="Cambria" w:hAnsiTheme="majorHAnsi" w:cs="Arial"/>
          <w:lang w:val="en-US" w:eastAsia="en-AU"/>
        </w:rPr>
        <w:t>Queensland Government (2013a). Wooroonooran National Park Management Statement 2013. 12 Pages. Queensland Department of National Parks, Recreation, Sport and Racing. Brisbane, Australia.</w:t>
      </w:r>
    </w:p>
    <w:p w14:paraId="2A2E1CAE" w14:textId="77777777" w:rsidR="00557ED0" w:rsidRPr="001E6171" w:rsidRDefault="00557ED0" w:rsidP="00557ED0">
      <w:pPr>
        <w:autoSpaceDE w:val="0"/>
        <w:autoSpaceDN w:val="0"/>
        <w:adjustRightInd w:val="0"/>
        <w:spacing w:before="120"/>
        <w:ind w:left="426" w:hanging="426"/>
        <w:rPr>
          <w:rFonts w:asciiTheme="majorHAnsi" w:eastAsia="Cambria" w:hAnsiTheme="majorHAnsi" w:cs="Arial"/>
          <w:szCs w:val="24"/>
          <w:lang w:val="en-US" w:eastAsia="en-AU"/>
        </w:rPr>
        <w:sectPr w:rsidR="00557ED0" w:rsidRPr="001E6171" w:rsidSect="009713EB">
          <w:headerReference w:type="even" r:id="rId21"/>
          <w:headerReference w:type="default" r:id="rId22"/>
          <w:footerReference w:type="even" r:id="rId23"/>
          <w:footerReference w:type="default" r:id="rId24"/>
          <w:headerReference w:type="first" r:id="rId25"/>
          <w:footerReference w:type="first" r:id="rId26"/>
          <w:pgSz w:w="11906" w:h="16838"/>
          <w:pgMar w:top="1418" w:right="1133" w:bottom="1418" w:left="1418" w:header="567" w:footer="284" w:gutter="0"/>
          <w:pgNumType w:start="1"/>
          <w:cols w:space="708"/>
          <w:titlePg/>
          <w:docGrid w:linePitch="360"/>
        </w:sectPr>
      </w:pPr>
      <w:r w:rsidRPr="007B034D">
        <w:rPr>
          <w:rFonts w:asciiTheme="majorHAnsi" w:eastAsia="Cambria" w:hAnsiTheme="majorHAnsi" w:cs="Arial"/>
          <w:szCs w:val="24"/>
          <w:lang w:val="en-US" w:eastAsia="en-AU"/>
        </w:rPr>
        <w:t xml:space="preserve">Queensland </w:t>
      </w:r>
      <w:r w:rsidRPr="00EC7F11">
        <w:rPr>
          <w:rFonts w:asciiTheme="majorHAnsi" w:eastAsia="Cambria" w:hAnsiTheme="majorHAnsi" w:cs="Arial"/>
          <w:szCs w:val="24"/>
          <w:lang w:val="en-US" w:eastAsia="en-AU"/>
        </w:rPr>
        <w:t>Government (2013b).</w:t>
      </w:r>
      <w:r w:rsidRPr="007B034D">
        <w:rPr>
          <w:rFonts w:asciiTheme="majorHAnsi" w:eastAsia="Cambria" w:hAnsiTheme="majorHAnsi" w:cs="Arial"/>
          <w:szCs w:val="24"/>
          <w:lang w:val="en-US" w:eastAsia="en-AU"/>
        </w:rPr>
        <w:t xml:space="preserve"> </w:t>
      </w:r>
      <w:r w:rsidRPr="007B034D">
        <w:rPr>
          <w:rFonts w:asciiTheme="majorHAnsi" w:eastAsia="Cambria" w:hAnsiTheme="majorHAnsi" w:cs="Arial"/>
          <w:i/>
          <w:iCs/>
          <w:szCs w:val="24"/>
          <w:lang w:val="en-US" w:eastAsia="en-AU"/>
        </w:rPr>
        <w:t>Koombooloomba National Park, Forest Reserve and Conservation Park Management Statement 2013</w:t>
      </w:r>
      <w:r w:rsidRPr="007B034D">
        <w:rPr>
          <w:rFonts w:asciiTheme="majorHAnsi" w:eastAsia="Cambria" w:hAnsiTheme="majorHAnsi" w:cs="Arial"/>
          <w:szCs w:val="24"/>
          <w:lang w:val="en-US" w:eastAsia="en-AU"/>
        </w:rPr>
        <w:t>. 9 Pages. Queensland Department of National Parks, Recreation, Sport and Racing. Brisbane, Australia.</w:t>
      </w:r>
    </w:p>
    <w:p w14:paraId="460F1860" w14:textId="61BDF43B" w:rsidR="00557ED0" w:rsidRDefault="00557ED0" w:rsidP="00557ED0">
      <w:pPr>
        <w:pStyle w:val="Heading2"/>
        <w:pageBreakBefore/>
        <w:ind w:left="720" w:hanging="720"/>
      </w:pPr>
      <w:r w:rsidRPr="00D718D6">
        <w:t xml:space="preserve">Attachment A: Listing Assessment for </w:t>
      </w:r>
      <w:r w:rsidR="007537AD" w:rsidRPr="00D15D2A">
        <w:t>Balan spiny crayfish</w:t>
      </w:r>
    </w:p>
    <w:p w14:paraId="4C26FA8F" w14:textId="77777777" w:rsidR="00557ED0" w:rsidRDefault="00557ED0" w:rsidP="00557ED0">
      <w:pPr>
        <w:pStyle w:val="Heading3"/>
        <w:ind w:left="964" w:hanging="964"/>
        <w:rPr>
          <w:lang w:eastAsia="ja-JP"/>
        </w:rPr>
      </w:pPr>
      <w:r>
        <w:rPr>
          <w:lang w:eastAsia="ja-JP"/>
        </w:rPr>
        <w:t>Reason for assessment</w:t>
      </w:r>
    </w:p>
    <w:p w14:paraId="0E671811" w14:textId="77777777" w:rsidR="00557ED0" w:rsidRDefault="00557ED0" w:rsidP="00557ED0">
      <w:pPr>
        <w:rPr>
          <w:lang w:eastAsia="ja-JP"/>
        </w:rPr>
      </w:pPr>
      <w:r>
        <w:rPr>
          <w:lang w:eastAsia="ja-JP"/>
        </w:rPr>
        <w:t>This public nomination was initiated by the World Wide Fund for Nature Australia (WWF). The species was prioritised due to its IUCN conservation status.</w:t>
      </w:r>
    </w:p>
    <w:p w14:paraId="24130F08" w14:textId="77777777" w:rsidR="00557ED0" w:rsidRDefault="00557ED0" w:rsidP="00557ED0">
      <w:pPr>
        <w:pStyle w:val="Heading3"/>
        <w:ind w:left="964" w:hanging="964"/>
        <w:rPr>
          <w:lang w:eastAsia="ja-JP"/>
        </w:rPr>
      </w:pPr>
      <w:r>
        <w:rPr>
          <w:lang w:eastAsia="ja-JP"/>
        </w:rPr>
        <w:t>Assessment of eligibility for listing</w:t>
      </w:r>
    </w:p>
    <w:p w14:paraId="0A346AFE" w14:textId="77777777" w:rsidR="00557ED0" w:rsidRDefault="00557ED0" w:rsidP="00557ED0">
      <w:pPr>
        <w:spacing w:before="120"/>
        <w:rPr>
          <w:lang w:eastAsia="ja-JP"/>
        </w:rPr>
      </w:pPr>
      <w:r>
        <w:rPr>
          <w:lang w:eastAsia="ja-JP"/>
        </w:rPr>
        <w:t xml:space="preserve">This </w:t>
      </w:r>
      <w:r w:rsidRPr="008D2DCF">
        <w:rPr>
          <w:lang w:eastAsia="ja-JP"/>
        </w:rPr>
        <w:t>assessment</w:t>
      </w:r>
      <w:r>
        <w:rPr>
          <w:lang w:eastAsia="ja-JP"/>
        </w:rPr>
        <w:t xml:space="preserve"> uses the criteria set out in the </w:t>
      </w:r>
      <w:hyperlink r:id="rId27" w:history="1">
        <w:r w:rsidRPr="00C77CE3">
          <w:rPr>
            <w:rStyle w:val="Hyperlink"/>
            <w:lang w:eastAsia="ja-JP"/>
          </w:rPr>
          <w:t>EPBC Regulations</w:t>
        </w:r>
      </w:hyperlink>
      <w:r>
        <w:rPr>
          <w:lang w:eastAsia="ja-JP"/>
        </w:rPr>
        <w:t xml:space="preserve">. The thresholds used correspond with those in the </w:t>
      </w:r>
      <w:hyperlink r:id="rId28" w:history="1">
        <w:r w:rsidRPr="00C77CE3">
          <w:rPr>
            <w:rStyle w:val="Hyperlink"/>
            <w:lang w:eastAsia="ja-JP"/>
          </w:rPr>
          <w:t>IUCN Red List criteria</w:t>
        </w:r>
      </w:hyperlink>
      <w:r>
        <w:rPr>
          <w:lang w:eastAsia="ja-JP"/>
        </w:rPr>
        <w:t xml:space="preserve"> except where noted in criterion 4, sub-criterion D2. The IUCN criteria are used by Australian jurisdictions to achieve consistent Listing Assessments through the Common Assessment Method (CAM).</w:t>
      </w:r>
    </w:p>
    <w:p w14:paraId="17F957E2" w14:textId="77777777" w:rsidR="00557ED0" w:rsidRDefault="00557ED0" w:rsidP="00557ED0">
      <w:pPr>
        <w:pStyle w:val="Heading3"/>
        <w:rPr>
          <w:lang w:eastAsia="ja-JP"/>
        </w:rPr>
      </w:pPr>
      <w:r>
        <w:rPr>
          <w:lang w:eastAsia="ja-JP"/>
        </w:rPr>
        <w:t>Key assessment parameters</w:t>
      </w:r>
    </w:p>
    <w:p w14:paraId="53AD4920" w14:textId="77777777" w:rsidR="00557ED0" w:rsidRDefault="00557ED0" w:rsidP="00557ED0">
      <w:pPr>
        <w:spacing w:before="120"/>
        <w:rPr>
          <w:lang w:eastAsia="ja-JP"/>
        </w:rPr>
      </w:pPr>
      <w:r>
        <w:rPr>
          <w:lang w:eastAsia="ja-JP"/>
        </w:rPr>
        <w:t xml:space="preserve">Table 3 includes the key assessment parameters used in the </w:t>
      </w:r>
      <w:r w:rsidRPr="008D2DCF">
        <w:rPr>
          <w:lang w:eastAsia="ja-JP"/>
        </w:rPr>
        <w:t>assessment</w:t>
      </w:r>
      <w:r>
        <w:rPr>
          <w:lang w:eastAsia="ja-JP"/>
        </w:rPr>
        <w:t xml:space="preserve"> of eligibility for listing against the criteria. The definition of each of the parameters follows the </w:t>
      </w:r>
      <w:hyperlink r:id="rId29" w:history="1">
        <w:r w:rsidRPr="00F83D60">
          <w:rPr>
            <w:rStyle w:val="Hyperlink"/>
            <w:lang w:eastAsia="ja-JP"/>
          </w:rPr>
          <w:t>Guidelines for Using the IUCN Red List Categories and Criteria</w:t>
        </w:r>
      </w:hyperlink>
      <w:r>
        <w:rPr>
          <w:lang w:eastAsia="ja-JP"/>
        </w:rPr>
        <w:t>.</w:t>
      </w:r>
    </w:p>
    <w:p w14:paraId="39DB2A2A" w14:textId="77777777" w:rsidR="00557ED0" w:rsidRPr="009502E2" w:rsidRDefault="00557ED0" w:rsidP="00557ED0">
      <w:pPr>
        <w:pStyle w:val="Caption"/>
        <w:spacing w:before="120"/>
      </w:pPr>
      <w:r w:rsidRPr="009502E2">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r w:rsidRPr="009502E2">
        <w:t xml:space="preserve"> </w:t>
      </w:r>
      <w:r>
        <w:t>K</w:t>
      </w:r>
      <w:r w:rsidRPr="009502E2">
        <w:t>ey assessment parameters</w:t>
      </w:r>
    </w:p>
    <w:tbl>
      <w:tblPr>
        <w:tblStyle w:val="TableGrid"/>
        <w:tblW w:w="0" w:type="auto"/>
        <w:tblLook w:val="04A0" w:firstRow="1" w:lastRow="0" w:firstColumn="1" w:lastColumn="0" w:noHBand="0" w:noVBand="1"/>
      </w:tblPr>
      <w:tblGrid>
        <w:gridCol w:w="1741"/>
        <w:gridCol w:w="1422"/>
        <w:gridCol w:w="1409"/>
        <w:gridCol w:w="1414"/>
        <w:gridCol w:w="3074"/>
      </w:tblGrid>
      <w:tr w:rsidR="00557ED0" w:rsidRPr="00D20C80" w14:paraId="5946AE79" w14:textId="77777777" w:rsidTr="2DB3A534">
        <w:trPr>
          <w:cantSplit/>
          <w:tblHeader/>
        </w:trPr>
        <w:tc>
          <w:tcPr>
            <w:tcW w:w="1741" w:type="dxa"/>
          </w:tcPr>
          <w:p w14:paraId="27ED696C" w14:textId="77777777" w:rsidR="00557ED0" w:rsidRPr="00D20C80" w:rsidRDefault="00557ED0" w:rsidP="00831E16">
            <w:pPr>
              <w:pStyle w:val="TableHeading"/>
              <w:keepNext w:val="0"/>
            </w:pPr>
            <w:r w:rsidRPr="00D20C80">
              <w:t>Metric</w:t>
            </w:r>
          </w:p>
        </w:tc>
        <w:tc>
          <w:tcPr>
            <w:tcW w:w="1422" w:type="dxa"/>
          </w:tcPr>
          <w:p w14:paraId="59F217BE" w14:textId="77777777" w:rsidR="00557ED0" w:rsidRPr="00D20C80" w:rsidRDefault="00557ED0" w:rsidP="00831E16">
            <w:pPr>
              <w:pStyle w:val="TableHeading"/>
              <w:keepNext w:val="0"/>
            </w:pPr>
            <w:r w:rsidRPr="00D20C80">
              <w:t>Estimate</w:t>
            </w:r>
            <w:r>
              <w:t xml:space="preserve"> used in the assessment</w:t>
            </w:r>
          </w:p>
        </w:tc>
        <w:tc>
          <w:tcPr>
            <w:tcW w:w="1409" w:type="dxa"/>
          </w:tcPr>
          <w:p w14:paraId="3785C71D" w14:textId="77777777" w:rsidR="00557ED0" w:rsidRPr="00D20C80" w:rsidRDefault="00557ED0" w:rsidP="00831E16">
            <w:pPr>
              <w:pStyle w:val="TableHeading"/>
              <w:keepNext w:val="0"/>
            </w:pPr>
            <w:r>
              <w:t>Minimum plausible value</w:t>
            </w:r>
          </w:p>
        </w:tc>
        <w:tc>
          <w:tcPr>
            <w:tcW w:w="1414" w:type="dxa"/>
          </w:tcPr>
          <w:p w14:paraId="22347D60" w14:textId="77777777" w:rsidR="00557ED0" w:rsidRPr="00D20C80" w:rsidRDefault="00557ED0" w:rsidP="00831E16">
            <w:pPr>
              <w:pStyle w:val="TableHeading"/>
              <w:keepNext w:val="0"/>
            </w:pPr>
            <w:r>
              <w:t>Maximum plausible value</w:t>
            </w:r>
          </w:p>
        </w:tc>
        <w:tc>
          <w:tcPr>
            <w:tcW w:w="3074" w:type="dxa"/>
          </w:tcPr>
          <w:p w14:paraId="52BA9D8C" w14:textId="77777777" w:rsidR="00557ED0" w:rsidRPr="00D20C80" w:rsidRDefault="00557ED0" w:rsidP="00831E16">
            <w:pPr>
              <w:pStyle w:val="TableHeading"/>
              <w:keepNext w:val="0"/>
            </w:pPr>
            <w:r w:rsidRPr="00D20C80">
              <w:t>Justification</w:t>
            </w:r>
          </w:p>
          <w:p w14:paraId="5C3ADD3F" w14:textId="77777777" w:rsidR="00557ED0" w:rsidRPr="00D20C80" w:rsidRDefault="00557ED0" w:rsidP="00831E16"/>
        </w:tc>
      </w:tr>
      <w:tr w:rsidR="00557ED0" w14:paraId="482FB728" w14:textId="77777777" w:rsidTr="2DB3A534">
        <w:trPr>
          <w:cantSplit/>
        </w:trPr>
        <w:tc>
          <w:tcPr>
            <w:tcW w:w="1741" w:type="dxa"/>
          </w:tcPr>
          <w:p w14:paraId="07A04A14" w14:textId="77777777" w:rsidR="00557ED0" w:rsidRDefault="00557ED0" w:rsidP="00831E16">
            <w:pPr>
              <w:pStyle w:val="TableHeading"/>
              <w:keepNext w:val="0"/>
              <w:rPr>
                <w:rStyle w:val="Strong"/>
                <w:b/>
                <w:bCs w:val="0"/>
              </w:rPr>
            </w:pPr>
            <w:r w:rsidRPr="00D20C80">
              <w:rPr>
                <w:rStyle w:val="Strong"/>
                <w:b/>
                <w:bCs w:val="0"/>
              </w:rPr>
              <w:t>Number of mature individuals</w:t>
            </w:r>
          </w:p>
          <w:p w14:paraId="2B4686E2" w14:textId="77777777" w:rsidR="00557ED0" w:rsidRPr="00D20C80" w:rsidRDefault="00557ED0" w:rsidP="00831E16">
            <w:pPr>
              <w:pStyle w:val="TableText"/>
              <w:rPr>
                <w:rStyle w:val="Strong"/>
                <w:b w:val="0"/>
                <w:bCs w:val="0"/>
              </w:rPr>
            </w:pPr>
          </w:p>
        </w:tc>
        <w:tc>
          <w:tcPr>
            <w:tcW w:w="1422" w:type="dxa"/>
            <w:shd w:val="clear" w:color="auto" w:fill="auto"/>
          </w:tcPr>
          <w:p w14:paraId="4BB1469F" w14:textId="77777777" w:rsidR="00557ED0" w:rsidRDefault="00557ED0" w:rsidP="00831E16">
            <w:pPr>
              <w:pStyle w:val="TableText"/>
            </w:pPr>
            <w:r>
              <w:t>Unknown</w:t>
            </w:r>
          </w:p>
        </w:tc>
        <w:tc>
          <w:tcPr>
            <w:tcW w:w="1409" w:type="dxa"/>
            <w:shd w:val="clear" w:color="auto" w:fill="auto"/>
          </w:tcPr>
          <w:p w14:paraId="6AEF1647" w14:textId="77777777" w:rsidR="00557ED0" w:rsidRDefault="00557ED0" w:rsidP="00831E16">
            <w:pPr>
              <w:pStyle w:val="TableText"/>
            </w:pPr>
            <w:r>
              <w:t>Unknown</w:t>
            </w:r>
          </w:p>
        </w:tc>
        <w:tc>
          <w:tcPr>
            <w:tcW w:w="1414" w:type="dxa"/>
            <w:shd w:val="clear" w:color="auto" w:fill="auto"/>
          </w:tcPr>
          <w:p w14:paraId="71369DCC" w14:textId="77777777" w:rsidR="00557ED0" w:rsidRDefault="00557ED0" w:rsidP="00831E16">
            <w:pPr>
              <w:pStyle w:val="TableText"/>
            </w:pPr>
            <w:r>
              <w:t>Unknown</w:t>
            </w:r>
          </w:p>
        </w:tc>
        <w:tc>
          <w:tcPr>
            <w:tcW w:w="3074" w:type="dxa"/>
            <w:shd w:val="clear" w:color="auto" w:fill="auto"/>
          </w:tcPr>
          <w:p w14:paraId="57508CA0" w14:textId="77777777" w:rsidR="00557ED0" w:rsidRDefault="00557ED0" w:rsidP="00831E16">
            <w:pPr>
              <w:pStyle w:val="TableText"/>
            </w:pPr>
            <w:r w:rsidRPr="00D52160">
              <w:t>Not known for this species.</w:t>
            </w:r>
          </w:p>
        </w:tc>
      </w:tr>
      <w:tr w:rsidR="00557ED0" w14:paraId="5DC01BC6" w14:textId="77777777" w:rsidTr="2DB3A534">
        <w:trPr>
          <w:cantSplit/>
        </w:trPr>
        <w:tc>
          <w:tcPr>
            <w:tcW w:w="1741" w:type="dxa"/>
          </w:tcPr>
          <w:p w14:paraId="69925BFC" w14:textId="77777777" w:rsidR="00557ED0" w:rsidRPr="00D20C80" w:rsidRDefault="00557ED0" w:rsidP="00831E16">
            <w:pPr>
              <w:pStyle w:val="TableHeading"/>
              <w:keepNext w:val="0"/>
              <w:rPr>
                <w:rStyle w:val="Strong"/>
                <w:b/>
                <w:bCs w:val="0"/>
              </w:rPr>
            </w:pPr>
            <w:r w:rsidRPr="00D20C80">
              <w:rPr>
                <w:rStyle w:val="Strong"/>
                <w:b/>
                <w:bCs w:val="0"/>
              </w:rPr>
              <w:t>Trend</w:t>
            </w:r>
          </w:p>
        </w:tc>
        <w:tc>
          <w:tcPr>
            <w:tcW w:w="4245" w:type="dxa"/>
            <w:gridSpan w:val="3"/>
            <w:shd w:val="clear" w:color="auto" w:fill="auto"/>
          </w:tcPr>
          <w:p w14:paraId="2EDFC650" w14:textId="77777777" w:rsidR="00557ED0" w:rsidRDefault="00557ED0" w:rsidP="00831E16">
            <w:pPr>
              <w:pStyle w:val="Normalsmall"/>
            </w:pPr>
            <w:r>
              <w:t>n/a</w:t>
            </w:r>
          </w:p>
        </w:tc>
        <w:tc>
          <w:tcPr>
            <w:tcW w:w="3074" w:type="dxa"/>
            <w:shd w:val="clear" w:color="auto" w:fill="auto"/>
          </w:tcPr>
          <w:p w14:paraId="59C7B6E4" w14:textId="77777777" w:rsidR="00557ED0" w:rsidRDefault="00557ED0" w:rsidP="00831E16">
            <w:pPr>
              <w:pStyle w:val="TableText"/>
            </w:pPr>
          </w:p>
        </w:tc>
      </w:tr>
      <w:tr w:rsidR="00557ED0" w14:paraId="7B234CBB" w14:textId="77777777" w:rsidTr="2DB3A534">
        <w:trPr>
          <w:cantSplit/>
        </w:trPr>
        <w:tc>
          <w:tcPr>
            <w:tcW w:w="1741" w:type="dxa"/>
          </w:tcPr>
          <w:p w14:paraId="2DF657B1" w14:textId="77777777" w:rsidR="00557ED0" w:rsidRPr="00D20C80" w:rsidRDefault="00557ED0" w:rsidP="00831E16">
            <w:pPr>
              <w:pStyle w:val="TableHeading"/>
              <w:keepNext w:val="0"/>
              <w:rPr>
                <w:rStyle w:val="Strong"/>
                <w:b/>
                <w:bCs w:val="0"/>
              </w:rPr>
            </w:pPr>
            <w:r w:rsidRPr="00D20C80">
              <w:rPr>
                <w:rStyle w:val="Strong"/>
                <w:b/>
                <w:bCs w:val="0"/>
              </w:rPr>
              <w:t>Generation time (years)</w:t>
            </w:r>
          </w:p>
        </w:tc>
        <w:tc>
          <w:tcPr>
            <w:tcW w:w="1422" w:type="dxa"/>
            <w:shd w:val="clear" w:color="auto" w:fill="auto"/>
          </w:tcPr>
          <w:p w14:paraId="5E8EF631" w14:textId="77777777" w:rsidR="00557ED0" w:rsidRDefault="00557ED0" w:rsidP="00831E16">
            <w:pPr>
              <w:pStyle w:val="TableText"/>
            </w:pPr>
            <w:r>
              <w:t>Unknown</w:t>
            </w:r>
          </w:p>
        </w:tc>
        <w:tc>
          <w:tcPr>
            <w:tcW w:w="1409" w:type="dxa"/>
            <w:shd w:val="clear" w:color="auto" w:fill="auto"/>
          </w:tcPr>
          <w:p w14:paraId="2D87AE49" w14:textId="77777777" w:rsidR="00557ED0" w:rsidRDefault="00557ED0" w:rsidP="00831E16">
            <w:pPr>
              <w:pStyle w:val="TableText"/>
            </w:pPr>
            <w:r>
              <w:t>Unknown</w:t>
            </w:r>
          </w:p>
        </w:tc>
        <w:tc>
          <w:tcPr>
            <w:tcW w:w="1414" w:type="dxa"/>
            <w:shd w:val="clear" w:color="auto" w:fill="auto"/>
          </w:tcPr>
          <w:p w14:paraId="4936035B" w14:textId="77777777" w:rsidR="00557ED0" w:rsidRDefault="00557ED0" w:rsidP="00831E16">
            <w:pPr>
              <w:pStyle w:val="TableText"/>
            </w:pPr>
            <w:r>
              <w:t>Unknown</w:t>
            </w:r>
          </w:p>
        </w:tc>
        <w:tc>
          <w:tcPr>
            <w:tcW w:w="3074" w:type="dxa"/>
            <w:shd w:val="clear" w:color="auto" w:fill="auto"/>
          </w:tcPr>
          <w:p w14:paraId="382B95EC" w14:textId="4DAB02FE" w:rsidR="00557ED0" w:rsidRPr="00750103" w:rsidRDefault="00557ED0" w:rsidP="00831E16">
            <w:pPr>
              <w:pStyle w:val="TableText"/>
              <w:rPr>
                <w:rFonts w:asciiTheme="majorHAnsi" w:hAnsiTheme="majorHAnsi"/>
              </w:rPr>
            </w:pPr>
            <w:r>
              <w:rPr>
                <w:rFonts w:asciiTheme="majorHAnsi" w:hAnsiTheme="majorHAnsi"/>
              </w:rPr>
              <w:t>The</w:t>
            </w:r>
            <w:r w:rsidRPr="00750103">
              <w:rPr>
                <w:rFonts w:asciiTheme="majorHAnsi" w:hAnsiTheme="majorHAnsi"/>
              </w:rPr>
              <w:t xml:space="preserve"> longevity, </w:t>
            </w:r>
            <w:r>
              <w:rPr>
                <w:rFonts w:asciiTheme="majorHAnsi" w:hAnsiTheme="majorHAnsi"/>
              </w:rPr>
              <w:t xml:space="preserve">fecundity, and </w:t>
            </w:r>
            <w:r w:rsidRPr="00750103">
              <w:rPr>
                <w:rFonts w:asciiTheme="majorHAnsi" w:hAnsiTheme="majorHAnsi"/>
              </w:rPr>
              <w:t xml:space="preserve">age of sexual maturity in females is presently unknown </w:t>
            </w:r>
            <w:r w:rsidRPr="00D91C81">
              <w:rPr>
                <w:rFonts w:asciiTheme="majorHAnsi" w:hAnsiTheme="majorHAnsi"/>
              </w:rPr>
              <w:t>for</w:t>
            </w:r>
            <w:r w:rsidR="007537AD">
              <w:t xml:space="preserve"> </w:t>
            </w:r>
            <w:r w:rsidR="007537AD" w:rsidRPr="007537AD">
              <w:rPr>
                <w:rFonts w:asciiTheme="majorHAnsi" w:hAnsiTheme="majorHAnsi"/>
              </w:rPr>
              <w:t>Balan spiny crayfish</w:t>
            </w:r>
            <w:r w:rsidRPr="007B034D">
              <w:rPr>
                <w:rFonts w:asciiTheme="majorHAnsi" w:hAnsiTheme="majorHAnsi"/>
              </w:rPr>
              <w:t>.</w:t>
            </w:r>
            <w:r>
              <w:rPr>
                <w:rFonts w:asciiTheme="majorHAnsi" w:hAnsiTheme="majorHAnsi"/>
              </w:rPr>
              <w:t xml:space="preserve"> In addition, there is l</w:t>
            </w:r>
            <w:r w:rsidRPr="00586F14">
              <w:rPr>
                <w:rFonts w:asciiTheme="majorHAnsi" w:hAnsiTheme="majorHAnsi"/>
              </w:rPr>
              <w:t xml:space="preserve">ittle information available from other species of </w:t>
            </w:r>
            <w:r w:rsidRPr="00586F14">
              <w:rPr>
                <w:rFonts w:asciiTheme="majorHAnsi" w:hAnsiTheme="majorHAnsi"/>
                <w:i/>
                <w:iCs/>
              </w:rPr>
              <w:t>Euastacus</w:t>
            </w:r>
            <w:r>
              <w:rPr>
                <w:rFonts w:asciiTheme="majorHAnsi" w:hAnsiTheme="majorHAnsi"/>
              </w:rPr>
              <w:t xml:space="preserve">. Therefore, </w:t>
            </w:r>
            <w:r w:rsidRPr="00750103">
              <w:rPr>
                <w:rFonts w:asciiTheme="majorHAnsi" w:hAnsiTheme="majorHAnsi"/>
              </w:rPr>
              <w:t>generation length</w:t>
            </w:r>
            <w:r>
              <w:rPr>
                <w:rFonts w:asciiTheme="majorHAnsi" w:hAnsiTheme="majorHAnsi"/>
              </w:rPr>
              <w:t xml:space="preserve"> cannot be estimated. </w:t>
            </w:r>
          </w:p>
        </w:tc>
      </w:tr>
      <w:tr w:rsidR="00557ED0" w14:paraId="1F40FE92" w14:textId="77777777" w:rsidTr="2DB3A534">
        <w:trPr>
          <w:cantSplit/>
        </w:trPr>
        <w:tc>
          <w:tcPr>
            <w:tcW w:w="1741" w:type="dxa"/>
          </w:tcPr>
          <w:p w14:paraId="1443A583" w14:textId="77777777" w:rsidR="00557ED0" w:rsidRPr="00D20C80" w:rsidRDefault="00557ED0" w:rsidP="00831E16">
            <w:pPr>
              <w:pStyle w:val="TableHeading"/>
              <w:keepNext w:val="0"/>
              <w:rPr>
                <w:rStyle w:val="Strong"/>
                <w:b/>
                <w:bCs w:val="0"/>
              </w:rPr>
            </w:pPr>
            <w:r w:rsidRPr="00D20C80">
              <w:rPr>
                <w:rStyle w:val="Strong"/>
                <w:b/>
                <w:bCs w:val="0"/>
              </w:rPr>
              <w:t>Extent of occurrence</w:t>
            </w:r>
          </w:p>
        </w:tc>
        <w:tc>
          <w:tcPr>
            <w:tcW w:w="1422" w:type="dxa"/>
            <w:shd w:val="clear" w:color="auto" w:fill="auto"/>
          </w:tcPr>
          <w:p w14:paraId="02314492" w14:textId="77777777" w:rsidR="00557ED0" w:rsidRPr="00DA372E" w:rsidRDefault="00557ED0" w:rsidP="00831E16">
            <w:pPr>
              <w:pStyle w:val="TableText"/>
              <w:rPr>
                <w:highlight w:val="yellow"/>
              </w:rPr>
            </w:pPr>
            <w:r w:rsidRPr="001E6171">
              <w:t>461</w:t>
            </w:r>
            <w:r w:rsidRPr="001E6171">
              <w:rPr>
                <w:rFonts w:eastAsia="Times New Roman"/>
                <w:szCs w:val="18"/>
                <w:lang w:val="en-US"/>
              </w:rPr>
              <w:t>km</w:t>
            </w:r>
            <w:r w:rsidRPr="001E6171">
              <w:rPr>
                <w:rFonts w:eastAsia="Times New Roman"/>
                <w:szCs w:val="18"/>
                <w:vertAlign w:val="superscript"/>
                <w:lang w:val="en-US"/>
              </w:rPr>
              <w:t xml:space="preserve">2 </w:t>
            </w:r>
          </w:p>
        </w:tc>
        <w:tc>
          <w:tcPr>
            <w:tcW w:w="1409" w:type="dxa"/>
            <w:shd w:val="clear" w:color="auto" w:fill="auto"/>
          </w:tcPr>
          <w:p w14:paraId="37204E6F" w14:textId="77777777" w:rsidR="00557ED0" w:rsidRPr="00945B64" w:rsidRDefault="00557ED0" w:rsidP="00831E16">
            <w:pPr>
              <w:pStyle w:val="TableText"/>
              <w:rPr>
                <w:highlight w:val="yellow"/>
              </w:rPr>
            </w:pPr>
          </w:p>
        </w:tc>
        <w:tc>
          <w:tcPr>
            <w:tcW w:w="1414" w:type="dxa"/>
            <w:shd w:val="clear" w:color="auto" w:fill="auto"/>
          </w:tcPr>
          <w:p w14:paraId="6D6DD768" w14:textId="77777777" w:rsidR="00557ED0" w:rsidRPr="00945B64" w:rsidRDefault="00557ED0" w:rsidP="00831E16">
            <w:pPr>
              <w:pStyle w:val="TableText"/>
              <w:rPr>
                <w:highlight w:val="yellow"/>
              </w:rPr>
            </w:pPr>
          </w:p>
        </w:tc>
        <w:tc>
          <w:tcPr>
            <w:tcW w:w="3074" w:type="dxa"/>
            <w:shd w:val="clear" w:color="auto" w:fill="auto"/>
          </w:tcPr>
          <w:p w14:paraId="29EDB4E2" w14:textId="18329B51" w:rsidR="00557ED0" w:rsidRPr="00750103" w:rsidRDefault="00557ED0" w:rsidP="00831E16">
            <w:pPr>
              <w:pStyle w:val="TableText"/>
              <w:rPr>
                <w:rFonts w:asciiTheme="majorHAnsi" w:hAnsiTheme="majorHAnsi"/>
              </w:rPr>
            </w:pPr>
            <w:r w:rsidRPr="00B401F1">
              <w:rPr>
                <w:rFonts w:asciiTheme="majorHAnsi" w:hAnsiTheme="majorHAnsi"/>
              </w:rPr>
              <w:t xml:space="preserve">Based on published, </w:t>
            </w:r>
            <w:r>
              <w:rPr>
                <w:rFonts w:asciiTheme="majorHAnsi" w:hAnsiTheme="majorHAnsi"/>
              </w:rPr>
              <w:t xml:space="preserve">unpublished </w:t>
            </w:r>
            <w:r w:rsidRPr="00B401F1">
              <w:rPr>
                <w:rFonts w:asciiTheme="majorHAnsi" w:hAnsiTheme="majorHAnsi"/>
              </w:rPr>
              <w:t>and known survey and collection records</w:t>
            </w:r>
            <w:r>
              <w:rPr>
                <w:rFonts w:asciiTheme="majorHAnsi" w:hAnsiTheme="majorHAnsi"/>
              </w:rPr>
              <w:t xml:space="preserve"> </w:t>
            </w:r>
            <w:r w:rsidRPr="003A7E0C">
              <w:rPr>
                <w:rFonts w:asciiTheme="majorHAnsi" w:hAnsiTheme="majorHAnsi"/>
              </w:rPr>
              <w:t>(e.g. Morgan 1988</w:t>
            </w:r>
            <w:r>
              <w:rPr>
                <w:rFonts w:asciiTheme="majorHAnsi" w:hAnsiTheme="majorHAnsi"/>
              </w:rPr>
              <w:t>;</w:t>
            </w:r>
            <w:r w:rsidRPr="003A7E0C">
              <w:rPr>
                <w:rFonts w:asciiTheme="majorHAnsi" w:hAnsiTheme="majorHAnsi"/>
              </w:rPr>
              <w:t xml:space="preserve"> </w:t>
            </w:r>
            <w:r w:rsidRPr="003A7E0C">
              <w:t>Ponniah &amp; Hughes 2004</w:t>
            </w:r>
            <w:r>
              <w:t xml:space="preserve">; </w:t>
            </w:r>
            <w:r w:rsidRPr="003A7E0C">
              <w:t>Shull et al. 2005</w:t>
            </w:r>
            <w:r>
              <w:rPr>
                <w:rFonts w:asciiTheme="majorHAnsi" w:hAnsiTheme="majorHAnsi"/>
              </w:rPr>
              <w:t>;</w:t>
            </w:r>
            <w:r w:rsidRPr="003A7E0C">
              <w:rPr>
                <w:rFonts w:asciiTheme="majorHAnsi" w:hAnsiTheme="majorHAnsi"/>
              </w:rPr>
              <w:t xml:space="preserve"> </w:t>
            </w:r>
            <w:r w:rsidRPr="00BA417A">
              <w:rPr>
                <w:rFonts w:asciiTheme="majorHAnsi" w:hAnsiTheme="majorHAnsi"/>
              </w:rPr>
              <w:t xml:space="preserve">Coughran </w:t>
            </w:r>
            <w:r>
              <w:rPr>
                <w:rFonts w:asciiTheme="majorHAnsi" w:hAnsiTheme="majorHAnsi"/>
              </w:rPr>
              <w:t xml:space="preserve">2008, </w:t>
            </w:r>
            <w:r w:rsidRPr="00BA417A">
              <w:rPr>
                <w:rFonts w:asciiTheme="majorHAnsi" w:hAnsiTheme="majorHAnsi"/>
              </w:rPr>
              <w:t>unpub</w:t>
            </w:r>
            <w:r>
              <w:rPr>
                <w:rFonts w:asciiTheme="majorHAnsi" w:hAnsiTheme="majorHAnsi"/>
              </w:rPr>
              <w:t>;</w:t>
            </w:r>
            <w:r w:rsidRPr="00BA417A">
              <w:rPr>
                <w:rFonts w:asciiTheme="majorHAnsi" w:hAnsiTheme="majorHAnsi"/>
              </w:rPr>
              <w:t xml:space="preserve"> McCormack </w:t>
            </w:r>
            <w:r>
              <w:rPr>
                <w:rFonts w:asciiTheme="majorHAnsi" w:hAnsiTheme="majorHAnsi"/>
              </w:rPr>
              <w:t xml:space="preserve">2008 </w:t>
            </w:r>
            <w:r w:rsidRPr="00BA417A">
              <w:rPr>
                <w:rFonts w:asciiTheme="majorHAnsi" w:hAnsiTheme="majorHAnsi"/>
              </w:rPr>
              <w:t>unpub</w:t>
            </w:r>
            <w:r w:rsidRPr="003A7E0C">
              <w:rPr>
                <w:rFonts w:asciiTheme="majorHAnsi" w:hAnsiTheme="majorHAnsi"/>
              </w:rPr>
              <w:t>). Calculated using</w:t>
            </w:r>
            <w:r w:rsidRPr="009750EE">
              <w:rPr>
                <w:rFonts w:asciiTheme="majorHAnsi" w:hAnsiTheme="majorHAnsi"/>
              </w:rPr>
              <w:t xml:space="preserve"> GeoCAT (Bachman et al. 2011</w:t>
            </w:r>
          </w:p>
        </w:tc>
      </w:tr>
      <w:tr w:rsidR="00557ED0" w14:paraId="3F104CCE" w14:textId="77777777" w:rsidTr="2DB3A534">
        <w:trPr>
          <w:cantSplit/>
        </w:trPr>
        <w:tc>
          <w:tcPr>
            <w:tcW w:w="1741" w:type="dxa"/>
          </w:tcPr>
          <w:p w14:paraId="1B72F0EC" w14:textId="77777777" w:rsidR="00557ED0" w:rsidRPr="00D20C80" w:rsidRDefault="00557ED0" w:rsidP="00831E16">
            <w:pPr>
              <w:pStyle w:val="TableHeading"/>
              <w:keepNext w:val="0"/>
              <w:rPr>
                <w:rStyle w:val="Strong"/>
                <w:b/>
                <w:sz w:val="22"/>
              </w:rPr>
            </w:pPr>
            <w:r w:rsidRPr="00D20C80">
              <w:rPr>
                <w:rStyle w:val="Strong"/>
                <w:b/>
                <w:bCs w:val="0"/>
              </w:rPr>
              <w:t>Trend</w:t>
            </w:r>
          </w:p>
        </w:tc>
        <w:tc>
          <w:tcPr>
            <w:tcW w:w="4245" w:type="dxa"/>
            <w:gridSpan w:val="3"/>
            <w:shd w:val="clear" w:color="auto" w:fill="auto"/>
          </w:tcPr>
          <w:p w14:paraId="239144F5" w14:textId="77777777" w:rsidR="00557ED0" w:rsidRDefault="00557ED0" w:rsidP="00831E16">
            <w:pPr>
              <w:pStyle w:val="TableText"/>
            </w:pPr>
            <w:r w:rsidRPr="005069DD">
              <w:t>Stable</w:t>
            </w:r>
          </w:p>
        </w:tc>
        <w:tc>
          <w:tcPr>
            <w:tcW w:w="3074" w:type="dxa"/>
            <w:shd w:val="clear" w:color="auto" w:fill="auto"/>
          </w:tcPr>
          <w:p w14:paraId="170F3FD3" w14:textId="77777777" w:rsidR="00557ED0" w:rsidRPr="00750103" w:rsidRDefault="00557ED0" w:rsidP="00831E16">
            <w:pPr>
              <w:pStyle w:val="TableText"/>
              <w:rPr>
                <w:rFonts w:asciiTheme="majorHAnsi" w:hAnsiTheme="majorHAnsi"/>
              </w:rPr>
            </w:pPr>
            <w:r w:rsidRPr="00B401F1">
              <w:rPr>
                <w:rFonts w:asciiTheme="majorHAnsi" w:hAnsiTheme="majorHAnsi"/>
              </w:rPr>
              <w:t>The species is not known outside of the current EOO</w:t>
            </w:r>
            <w:r>
              <w:rPr>
                <w:rFonts w:asciiTheme="majorHAnsi" w:hAnsiTheme="majorHAnsi"/>
              </w:rPr>
              <w:t xml:space="preserve">. Sites in the </w:t>
            </w:r>
            <w:r w:rsidRPr="000C476D">
              <w:rPr>
                <w:rFonts w:asciiTheme="majorHAnsi" w:hAnsiTheme="majorHAnsi"/>
              </w:rPr>
              <w:t xml:space="preserve">historical </w:t>
            </w:r>
            <w:r>
              <w:rPr>
                <w:rFonts w:asciiTheme="majorHAnsi" w:hAnsiTheme="majorHAnsi"/>
              </w:rPr>
              <w:t>area</w:t>
            </w:r>
            <w:r w:rsidRPr="000C476D">
              <w:rPr>
                <w:rFonts w:asciiTheme="majorHAnsi" w:hAnsiTheme="majorHAnsi"/>
              </w:rPr>
              <w:t xml:space="preserve"> of record</w:t>
            </w:r>
            <w:r>
              <w:rPr>
                <w:rFonts w:asciiTheme="majorHAnsi" w:hAnsiTheme="majorHAnsi"/>
              </w:rPr>
              <w:t xml:space="preserve"> (Morgan 1988) </w:t>
            </w:r>
            <w:r w:rsidRPr="000C476D">
              <w:rPr>
                <w:rFonts w:asciiTheme="majorHAnsi" w:hAnsiTheme="majorHAnsi"/>
              </w:rPr>
              <w:t>remain</w:t>
            </w:r>
            <w:r>
              <w:rPr>
                <w:rFonts w:asciiTheme="majorHAnsi" w:hAnsiTheme="majorHAnsi"/>
              </w:rPr>
              <w:t>s</w:t>
            </w:r>
            <w:r w:rsidRPr="000C476D">
              <w:rPr>
                <w:rFonts w:asciiTheme="majorHAnsi" w:hAnsiTheme="majorHAnsi"/>
              </w:rPr>
              <w:t xml:space="preserve"> occupied by the species</w:t>
            </w:r>
            <w:r>
              <w:rPr>
                <w:rFonts w:asciiTheme="majorHAnsi" w:hAnsiTheme="majorHAnsi"/>
              </w:rPr>
              <w:t xml:space="preserve"> (</w:t>
            </w:r>
            <w:r w:rsidRPr="003A7E0C">
              <w:t>Ponniah &amp; Hughes 2004</w:t>
            </w:r>
            <w:r>
              <w:t>;</w:t>
            </w:r>
            <w:r w:rsidRPr="003A7E0C">
              <w:t xml:space="preserve"> Shull et al. 2005</w:t>
            </w:r>
            <w:r>
              <w:t>;</w:t>
            </w:r>
            <w:r w:rsidRPr="003A7E0C">
              <w:rPr>
                <w:rFonts w:asciiTheme="majorHAnsi" w:hAnsiTheme="majorHAnsi"/>
              </w:rPr>
              <w:t xml:space="preserve"> </w:t>
            </w:r>
            <w:r w:rsidRPr="00BA417A">
              <w:rPr>
                <w:rFonts w:asciiTheme="majorHAnsi" w:hAnsiTheme="majorHAnsi"/>
              </w:rPr>
              <w:t xml:space="preserve">Coughran </w:t>
            </w:r>
            <w:r>
              <w:rPr>
                <w:rFonts w:asciiTheme="majorHAnsi" w:hAnsiTheme="majorHAnsi"/>
              </w:rPr>
              <w:t xml:space="preserve">2008 </w:t>
            </w:r>
            <w:r w:rsidRPr="00BA417A">
              <w:rPr>
                <w:rFonts w:asciiTheme="majorHAnsi" w:hAnsiTheme="majorHAnsi"/>
              </w:rPr>
              <w:t>unpub</w:t>
            </w:r>
            <w:r>
              <w:rPr>
                <w:rFonts w:asciiTheme="majorHAnsi" w:hAnsiTheme="majorHAnsi"/>
              </w:rPr>
              <w:t>;</w:t>
            </w:r>
            <w:r w:rsidRPr="00BA417A">
              <w:rPr>
                <w:rFonts w:asciiTheme="majorHAnsi" w:hAnsiTheme="majorHAnsi"/>
              </w:rPr>
              <w:t xml:space="preserve"> McCormack </w:t>
            </w:r>
            <w:r>
              <w:rPr>
                <w:rFonts w:asciiTheme="majorHAnsi" w:hAnsiTheme="majorHAnsi"/>
              </w:rPr>
              <w:t xml:space="preserve">2008 </w:t>
            </w:r>
            <w:r w:rsidRPr="00BA417A">
              <w:rPr>
                <w:rFonts w:asciiTheme="majorHAnsi" w:hAnsiTheme="majorHAnsi"/>
              </w:rPr>
              <w:t>unpub).</w:t>
            </w:r>
            <w:r>
              <w:rPr>
                <w:rFonts w:asciiTheme="majorHAnsi" w:hAnsiTheme="majorHAnsi"/>
              </w:rPr>
              <w:t xml:space="preserve"> </w:t>
            </w:r>
          </w:p>
        </w:tc>
      </w:tr>
      <w:tr w:rsidR="00557ED0" w14:paraId="56A1897A" w14:textId="77777777" w:rsidTr="2DB3A534">
        <w:trPr>
          <w:cantSplit/>
        </w:trPr>
        <w:tc>
          <w:tcPr>
            <w:tcW w:w="1741" w:type="dxa"/>
          </w:tcPr>
          <w:p w14:paraId="6F5F5BCA" w14:textId="77777777" w:rsidR="00557ED0" w:rsidRPr="00D20C80" w:rsidRDefault="00557ED0" w:rsidP="00831E16">
            <w:pPr>
              <w:pStyle w:val="TableHeading"/>
              <w:keepNext w:val="0"/>
              <w:rPr>
                <w:rStyle w:val="Strong"/>
                <w:b/>
                <w:bCs w:val="0"/>
              </w:rPr>
            </w:pPr>
            <w:r w:rsidRPr="00D20C80">
              <w:rPr>
                <w:rStyle w:val="Strong"/>
                <w:b/>
                <w:bCs w:val="0"/>
              </w:rPr>
              <w:lastRenderedPageBreak/>
              <w:t>Area of Occupancy</w:t>
            </w:r>
          </w:p>
        </w:tc>
        <w:tc>
          <w:tcPr>
            <w:tcW w:w="1422" w:type="dxa"/>
            <w:shd w:val="clear" w:color="auto" w:fill="auto"/>
          </w:tcPr>
          <w:p w14:paraId="3851563C" w14:textId="77777777" w:rsidR="00557ED0" w:rsidRPr="003E295B" w:rsidRDefault="00557ED0" w:rsidP="00831E16">
            <w:pPr>
              <w:pStyle w:val="TableText"/>
              <w:rPr>
                <w:highlight w:val="yellow"/>
              </w:rPr>
            </w:pPr>
            <w:r w:rsidRPr="001E6171">
              <w:t xml:space="preserve">36 </w:t>
            </w:r>
            <w:r w:rsidRPr="001E6171">
              <w:rPr>
                <w:rFonts w:eastAsia="Times New Roman"/>
                <w:szCs w:val="18"/>
                <w:lang w:val="en-US"/>
              </w:rPr>
              <w:t>km</w:t>
            </w:r>
            <w:r w:rsidRPr="001E6171">
              <w:rPr>
                <w:rFonts w:eastAsia="Times New Roman"/>
                <w:szCs w:val="18"/>
                <w:vertAlign w:val="superscript"/>
                <w:lang w:val="en-US"/>
              </w:rPr>
              <w:t xml:space="preserve">2 </w:t>
            </w:r>
          </w:p>
        </w:tc>
        <w:tc>
          <w:tcPr>
            <w:tcW w:w="1409" w:type="dxa"/>
            <w:shd w:val="clear" w:color="auto" w:fill="auto"/>
          </w:tcPr>
          <w:p w14:paraId="23660D65" w14:textId="77777777" w:rsidR="00557ED0" w:rsidRPr="00C73C81" w:rsidRDefault="00557ED0" w:rsidP="00831E16">
            <w:pPr>
              <w:pStyle w:val="TableText"/>
              <w:rPr>
                <w:highlight w:val="yellow"/>
              </w:rPr>
            </w:pPr>
          </w:p>
        </w:tc>
        <w:tc>
          <w:tcPr>
            <w:tcW w:w="1414" w:type="dxa"/>
            <w:shd w:val="clear" w:color="auto" w:fill="auto"/>
          </w:tcPr>
          <w:p w14:paraId="1D1CAE1D" w14:textId="77777777" w:rsidR="00557ED0" w:rsidRPr="00C73C81" w:rsidRDefault="00557ED0" w:rsidP="00831E16">
            <w:pPr>
              <w:pStyle w:val="TableText"/>
              <w:rPr>
                <w:highlight w:val="yellow"/>
              </w:rPr>
            </w:pPr>
          </w:p>
        </w:tc>
        <w:tc>
          <w:tcPr>
            <w:tcW w:w="3074" w:type="dxa"/>
            <w:shd w:val="clear" w:color="auto" w:fill="auto"/>
          </w:tcPr>
          <w:p w14:paraId="705060E1" w14:textId="79EFE57E" w:rsidR="00557ED0" w:rsidRPr="00750103" w:rsidRDefault="00557ED0" w:rsidP="00831E16">
            <w:pPr>
              <w:pStyle w:val="TableText"/>
              <w:rPr>
                <w:rFonts w:asciiTheme="majorHAnsi" w:hAnsiTheme="majorHAnsi"/>
              </w:rPr>
            </w:pPr>
            <w:r w:rsidRPr="00B401F1">
              <w:rPr>
                <w:rFonts w:asciiTheme="majorHAnsi" w:hAnsiTheme="majorHAnsi"/>
              </w:rPr>
              <w:t xml:space="preserve">Based on published, </w:t>
            </w:r>
            <w:r>
              <w:rPr>
                <w:rFonts w:asciiTheme="majorHAnsi" w:hAnsiTheme="majorHAnsi"/>
              </w:rPr>
              <w:t xml:space="preserve">unpublished </w:t>
            </w:r>
            <w:r w:rsidRPr="00B401F1">
              <w:rPr>
                <w:rFonts w:asciiTheme="majorHAnsi" w:hAnsiTheme="majorHAnsi"/>
              </w:rPr>
              <w:t>and known survey and collection records</w:t>
            </w:r>
            <w:r>
              <w:rPr>
                <w:rFonts w:asciiTheme="majorHAnsi" w:hAnsiTheme="majorHAnsi"/>
              </w:rPr>
              <w:t xml:space="preserve"> </w:t>
            </w:r>
            <w:r w:rsidRPr="003A7E0C">
              <w:rPr>
                <w:rFonts w:asciiTheme="majorHAnsi" w:hAnsiTheme="majorHAnsi"/>
              </w:rPr>
              <w:t>(e.g. Morgan 1988</w:t>
            </w:r>
            <w:r>
              <w:rPr>
                <w:rFonts w:asciiTheme="majorHAnsi" w:hAnsiTheme="majorHAnsi"/>
              </w:rPr>
              <w:t>;</w:t>
            </w:r>
            <w:r w:rsidRPr="003A7E0C">
              <w:rPr>
                <w:rFonts w:asciiTheme="majorHAnsi" w:hAnsiTheme="majorHAnsi"/>
              </w:rPr>
              <w:t xml:space="preserve"> </w:t>
            </w:r>
            <w:r w:rsidRPr="003A7E0C">
              <w:t>Ponniah &amp; Hughes 2004</w:t>
            </w:r>
            <w:r>
              <w:t>;</w:t>
            </w:r>
            <w:r w:rsidRPr="003A7E0C">
              <w:t xml:space="preserve"> Shull et al. 2005</w:t>
            </w:r>
            <w:r>
              <w:rPr>
                <w:rFonts w:asciiTheme="majorHAnsi" w:hAnsiTheme="majorHAnsi"/>
              </w:rPr>
              <w:t>;</w:t>
            </w:r>
            <w:r w:rsidRPr="003A7E0C">
              <w:rPr>
                <w:rFonts w:asciiTheme="majorHAnsi" w:hAnsiTheme="majorHAnsi"/>
              </w:rPr>
              <w:t xml:space="preserve"> </w:t>
            </w:r>
            <w:r>
              <w:rPr>
                <w:rFonts w:asciiTheme="majorHAnsi" w:hAnsiTheme="majorHAnsi"/>
              </w:rPr>
              <w:t xml:space="preserve">J. </w:t>
            </w:r>
            <w:r w:rsidRPr="00BA417A">
              <w:rPr>
                <w:rFonts w:asciiTheme="majorHAnsi" w:hAnsiTheme="majorHAnsi"/>
              </w:rPr>
              <w:t xml:space="preserve">Coughran </w:t>
            </w:r>
            <w:r>
              <w:rPr>
                <w:rFonts w:asciiTheme="majorHAnsi" w:hAnsiTheme="majorHAnsi"/>
              </w:rPr>
              <w:t xml:space="preserve">2008 </w:t>
            </w:r>
            <w:r w:rsidRPr="00BA417A">
              <w:rPr>
                <w:rFonts w:asciiTheme="majorHAnsi" w:hAnsiTheme="majorHAnsi"/>
              </w:rPr>
              <w:t>unpub</w:t>
            </w:r>
            <w:r>
              <w:rPr>
                <w:rFonts w:asciiTheme="majorHAnsi" w:hAnsiTheme="majorHAnsi"/>
              </w:rPr>
              <w:t>;</w:t>
            </w:r>
            <w:r w:rsidRPr="00BA417A">
              <w:rPr>
                <w:rFonts w:asciiTheme="majorHAnsi" w:hAnsiTheme="majorHAnsi"/>
              </w:rPr>
              <w:t xml:space="preserve"> </w:t>
            </w:r>
            <w:r>
              <w:rPr>
                <w:rFonts w:asciiTheme="majorHAnsi" w:hAnsiTheme="majorHAnsi"/>
              </w:rPr>
              <w:t xml:space="preserve">R.M. </w:t>
            </w:r>
            <w:r w:rsidRPr="00BA417A">
              <w:rPr>
                <w:rFonts w:asciiTheme="majorHAnsi" w:hAnsiTheme="majorHAnsi"/>
              </w:rPr>
              <w:t xml:space="preserve">McCormack </w:t>
            </w:r>
            <w:r>
              <w:rPr>
                <w:rFonts w:asciiTheme="majorHAnsi" w:hAnsiTheme="majorHAnsi"/>
              </w:rPr>
              <w:t xml:space="preserve">2008 </w:t>
            </w:r>
            <w:r w:rsidRPr="00BA417A">
              <w:rPr>
                <w:rFonts w:asciiTheme="majorHAnsi" w:hAnsiTheme="majorHAnsi"/>
              </w:rPr>
              <w:t>unpub</w:t>
            </w:r>
            <w:r w:rsidRPr="003A7E0C">
              <w:rPr>
                <w:rFonts w:asciiTheme="majorHAnsi" w:hAnsiTheme="majorHAnsi"/>
              </w:rPr>
              <w:t xml:space="preserve">). </w:t>
            </w:r>
            <w:r>
              <w:rPr>
                <w:rFonts w:asciiTheme="majorHAnsi" w:hAnsiTheme="majorHAnsi"/>
              </w:rPr>
              <w:t>C</w:t>
            </w:r>
            <w:r w:rsidRPr="009750EE">
              <w:rPr>
                <w:rFonts w:asciiTheme="majorHAnsi" w:hAnsiTheme="majorHAnsi"/>
              </w:rPr>
              <w:t>alculated using GeoCAT (Bachman et al. 2011).</w:t>
            </w:r>
          </w:p>
        </w:tc>
      </w:tr>
      <w:tr w:rsidR="00557ED0" w14:paraId="16A0B0F1" w14:textId="77777777" w:rsidTr="2DB3A534">
        <w:trPr>
          <w:cantSplit/>
        </w:trPr>
        <w:tc>
          <w:tcPr>
            <w:tcW w:w="9060" w:type="dxa"/>
            <w:gridSpan w:val="5"/>
          </w:tcPr>
          <w:p w14:paraId="0E240356" w14:textId="77777777" w:rsidR="00557ED0" w:rsidRPr="00B401F1" w:rsidRDefault="00557ED0" w:rsidP="00831E16">
            <w:pPr>
              <w:pStyle w:val="TableText"/>
              <w:rPr>
                <w:rFonts w:asciiTheme="majorHAnsi" w:hAnsiTheme="majorHAnsi"/>
              </w:rPr>
            </w:pPr>
            <w:r w:rsidRPr="0087004B">
              <w:rPr>
                <w:rFonts w:asciiTheme="majorHAnsi" w:hAnsiTheme="majorHAnsi"/>
              </w:rPr>
              <w:t>AOO is a standardised spatial measure of the risk of extinction, that represents the area of suitable habitat known, inferred or projected to be currently occupied by the taxon. It is estimated using a 2 x 2 km grid to enable comparison with the criteria thresholds. The resolution (grid size) that maximizes the correlation between AOO and extinction risk is determined more by the spatial scale of threats than by the spatial scale at which AOO is estimated or shape of the taxon's distribution. It is not a fine-scale estimate of the actual area occupied. In some cases, AOO is the smallest area essential at any stage to the survival of existing populations of a taxon (e.g. breeding sites for migratory species).</w:t>
            </w:r>
          </w:p>
        </w:tc>
      </w:tr>
      <w:tr w:rsidR="00557ED0" w14:paraId="2F6B56DC" w14:textId="77777777" w:rsidTr="2DB3A534">
        <w:trPr>
          <w:cantSplit/>
        </w:trPr>
        <w:tc>
          <w:tcPr>
            <w:tcW w:w="1741" w:type="dxa"/>
          </w:tcPr>
          <w:p w14:paraId="2DB0D7F5" w14:textId="77777777" w:rsidR="00557ED0" w:rsidRPr="00D20C80" w:rsidRDefault="00557ED0" w:rsidP="00831E16">
            <w:pPr>
              <w:pStyle w:val="TableHeading"/>
              <w:keepNext w:val="0"/>
              <w:rPr>
                <w:rStyle w:val="Strong"/>
                <w:b/>
                <w:sz w:val="22"/>
              </w:rPr>
            </w:pPr>
            <w:r w:rsidRPr="00D20C80">
              <w:rPr>
                <w:rStyle w:val="Strong"/>
                <w:b/>
                <w:bCs w:val="0"/>
              </w:rPr>
              <w:t>Trend</w:t>
            </w:r>
          </w:p>
        </w:tc>
        <w:tc>
          <w:tcPr>
            <w:tcW w:w="4245" w:type="dxa"/>
            <w:gridSpan w:val="3"/>
            <w:shd w:val="clear" w:color="auto" w:fill="auto"/>
          </w:tcPr>
          <w:p w14:paraId="745993A3" w14:textId="77777777" w:rsidR="00557ED0" w:rsidRDefault="00557ED0" w:rsidP="00831E16">
            <w:pPr>
              <w:pStyle w:val="Normalsmall"/>
            </w:pPr>
            <w:r w:rsidRPr="005069DD">
              <w:t>Stable</w:t>
            </w:r>
          </w:p>
        </w:tc>
        <w:tc>
          <w:tcPr>
            <w:tcW w:w="3074" w:type="dxa"/>
            <w:shd w:val="clear" w:color="auto" w:fill="auto"/>
          </w:tcPr>
          <w:p w14:paraId="2B81D8EA" w14:textId="55DD5EE4" w:rsidR="00557ED0" w:rsidRPr="00750103" w:rsidRDefault="00557ED0" w:rsidP="00831E16">
            <w:pPr>
              <w:pStyle w:val="TableText"/>
              <w:rPr>
                <w:rFonts w:asciiTheme="majorHAnsi" w:hAnsiTheme="majorHAnsi"/>
              </w:rPr>
            </w:pPr>
            <w:r>
              <w:rPr>
                <w:rFonts w:asciiTheme="majorHAnsi" w:hAnsiTheme="majorHAnsi"/>
              </w:rPr>
              <w:t xml:space="preserve">Sites in the </w:t>
            </w:r>
            <w:r w:rsidRPr="000C476D">
              <w:rPr>
                <w:rFonts w:asciiTheme="majorHAnsi" w:hAnsiTheme="majorHAnsi"/>
              </w:rPr>
              <w:t xml:space="preserve">historical </w:t>
            </w:r>
            <w:r>
              <w:rPr>
                <w:rFonts w:asciiTheme="majorHAnsi" w:hAnsiTheme="majorHAnsi"/>
              </w:rPr>
              <w:t>area</w:t>
            </w:r>
            <w:r w:rsidRPr="000C476D">
              <w:rPr>
                <w:rFonts w:asciiTheme="majorHAnsi" w:hAnsiTheme="majorHAnsi"/>
              </w:rPr>
              <w:t xml:space="preserve"> of record</w:t>
            </w:r>
            <w:r>
              <w:rPr>
                <w:rFonts w:asciiTheme="majorHAnsi" w:hAnsiTheme="majorHAnsi"/>
              </w:rPr>
              <w:t xml:space="preserve"> (Morgan 1988) </w:t>
            </w:r>
            <w:r w:rsidRPr="000C476D">
              <w:rPr>
                <w:rFonts w:asciiTheme="majorHAnsi" w:hAnsiTheme="majorHAnsi"/>
              </w:rPr>
              <w:t>remain occupied by the species</w:t>
            </w:r>
            <w:r>
              <w:rPr>
                <w:rFonts w:asciiTheme="majorHAnsi" w:hAnsiTheme="majorHAnsi"/>
              </w:rPr>
              <w:t xml:space="preserve"> (</w:t>
            </w:r>
            <w:r w:rsidRPr="003A7E0C">
              <w:t>Ponniah &amp; Hughes 2004</w:t>
            </w:r>
            <w:r>
              <w:t>;</w:t>
            </w:r>
            <w:r w:rsidRPr="003A7E0C">
              <w:t xml:space="preserve"> Shull et al. 2005</w:t>
            </w:r>
            <w:r>
              <w:rPr>
                <w:rFonts w:asciiTheme="majorHAnsi" w:hAnsiTheme="majorHAnsi"/>
              </w:rPr>
              <w:t>;</w:t>
            </w:r>
            <w:r w:rsidRPr="003A7E0C">
              <w:rPr>
                <w:rFonts w:asciiTheme="majorHAnsi" w:hAnsiTheme="majorHAnsi"/>
              </w:rPr>
              <w:t xml:space="preserve"> </w:t>
            </w:r>
            <w:r w:rsidRPr="00BA417A">
              <w:rPr>
                <w:rFonts w:asciiTheme="majorHAnsi" w:hAnsiTheme="majorHAnsi"/>
              </w:rPr>
              <w:t>Coughran unpub. 2008</w:t>
            </w:r>
            <w:r>
              <w:rPr>
                <w:rFonts w:asciiTheme="majorHAnsi" w:hAnsiTheme="majorHAnsi"/>
              </w:rPr>
              <w:t>;</w:t>
            </w:r>
            <w:r w:rsidRPr="00BA417A">
              <w:rPr>
                <w:rFonts w:asciiTheme="majorHAnsi" w:hAnsiTheme="majorHAnsi"/>
              </w:rPr>
              <w:t xml:space="preserve"> McCormack </w:t>
            </w:r>
            <w:r>
              <w:rPr>
                <w:rFonts w:asciiTheme="majorHAnsi" w:hAnsiTheme="majorHAnsi"/>
              </w:rPr>
              <w:t xml:space="preserve">2008 </w:t>
            </w:r>
            <w:r w:rsidRPr="00BA417A">
              <w:rPr>
                <w:rFonts w:asciiTheme="majorHAnsi" w:hAnsiTheme="majorHAnsi"/>
              </w:rPr>
              <w:t>unpub).</w:t>
            </w:r>
          </w:p>
        </w:tc>
      </w:tr>
      <w:tr w:rsidR="00557ED0" w14:paraId="24F42C83" w14:textId="77777777" w:rsidTr="2DB3A534">
        <w:trPr>
          <w:cantSplit/>
        </w:trPr>
        <w:tc>
          <w:tcPr>
            <w:tcW w:w="1741" w:type="dxa"/>
          </w:tcPr>
          <w:p w14:paraId="43F00532" w14:textId="77777777" w:rsidR="00557ED0" w:rsidRDefault="00557ED0" w:rsidP="00831E16">
            <w:pPr>
              <w:pStyle w:val="TableHeading"/>
              <w:keepNext w:val="0"/>
              <w:rPr>
                <w:rStyle w:val="Strong"/>
                <w:b/>
                <w:sz w:val="22"/>
              </w:rPr>
            </w:pPr>
            <w:r w:rsidRPr="00D20C80">
              <w:rPr>
                <w:rStyle w:val="Strong"/>
                <w:b/>
                <w:bCs w:val="0"/>
              </w:rPr>
              <w:t>Number of subpopulations</w:t>
            </w:r>
          </w:p>
          <w:p w14:paraId="6A042FBF" w14:textId="77777777" w:rsidR="00557ED0" w:rsidRPr="00D20C80" w:rsidRDefault="00557ED0" w:rsidP="00831E16">
            <w:pPr>
              <w:pStyle w:val="TableText"/>
              <w:rPr>
                <w:rStyle w:val="Strong"/>
                <w:b w:val="0"/>
                <w:bCs w:val="0"/>
              </w:rPr>
            </w:pPr>
          </w:p>
        </w:tc>
        <w:tc>
          <w:tcPr>
            <w:tcW w:w="1422" w:type="dxa"/>
            <w:shd w:val="clear" w:color="auto" w:fill="auto"/>
          </w:tcPr>
          <w:p w14:paraId="3DA89165" w14:textId="77777777" w:rsidR="00557ED0" w:rsidRPr="00D30F67" w:rsidRDefault="00557ED0" w:rsidP="00831E16">
            <w:pPr>
              <w:pStyle w:val="TableText"/>
            </w:pPr>
            <w:r w:rsidRPr="00D30F67">
              <w:t>6</w:t>
            </w:r>
          </w:p>
        </w:tc>
        <w:tc>
          <w:tcPr>
            <w:tcW w:w="1409" w:type="dxa"/>
            <w:shd w:val="clear" w:color="auto" w:fill="auto"/>
          </w:tcPr>
          <w:p w14:paraId="06DEB5D3" w14:textId="77777777" w:rsidR="00557ED0" w:rsidRPr="005B775C" w:rsidRDefault="00557ED0" w:rsidP="00831E16">
            <w:pPr>
              <w:pStyle w:val="TableText"/>
              <w:rPr>
                <w:highlight w:val="yellow"/>
              </w:rPr>
            </w:pPr>
          </w:p>
        </w:tc>
        <w:tc>
          <w:tcPr>
            <w:tcW w:w="1414" w:type="dxa"/>
            <w:shd w:val="clear" w:color="auto" w:fill="auto"/>
          </w:tcPr>
          <w:p w14:paraId="28F202DF" w14:textId="77777777" w:rsidR="00557ED0" w:rsidRPr="005B775C" w:rsidRDefault="00557ED0" w:rsidP="00831E16">
            <w:pPr>
              <w:pStyle w:val="TableText"/>
              <w:rPr>
                <w:highlight w:val="yellow"/>
              </w:rPr>
            </w:pPr>
          </w:p>
        </w:tc>
        <w:tc>
          <w:tcPr>
            <w:tcW w:w="3074" w:type="dxa"/>
            <w:shd w:val="clear" w:color="auto" w:fill="auto"/>
          </w:tcPr>
          <w:p w14:paraId="6764E6B9" w14:textId="71A7186A" w:rsidR="00557ED0" w:rsidRPr="005B775C" w:rsidRDefault="00557ED0" w:rsidP="00831E16">
            <w:pPr>
              <w:pStyle w:val="TableText"/>
              <w:rPr>
                <w:highlight w:val="yellow"/>
              </w:rPr>
            </w:pPr>
            <w:r w:rsidRPr="000F6EDB">
              <w:t xml:space="preserve">All records of the species are </w:t>
            </w:r>
            <w:r>
              <w:t>from</w:t>
            </w:r>
            <w:r w:rsidRPr="000F6EDB">
              <w:t xml:space="preserve"> </w:t>
            </w:r>
            <w:r>
              <w:t xml:space="preserve">6 </w:t>
            </w:r>
            <w:r w:rsidRPr="000F6EDB">
              <w:t>distinct non</w:t>
            </w:r>
            <w:r w:rsidRPr="000F6EDB">
              <w:noBreakHyphen/>
              <w:t>connected streams/gullies, which are treated as subpopulations.</w:t>
            </w:r>
            <w:r w:rsidR="004657D3">
              <w:t xml:space="preserve"> The subpopoulations occurring across Alterton Tableland west of Cairns, The Bellenden Ker Range, Russell River, Mulgrave River, Davies Creek and Kauri Creek areas.</w:t>
            </w:r>
          </w:p>
        </w:tc>
      </w:tr>
      <w:tr w:rsidR="00557ED0" w14:paraId="428FD4F4" w14:textId="77777777" w:rsidTr="2DB3A534">
        <w:trPr>
          <w:cantSplit/>
        </w:trPr>
        <w:tc>
          <w:tcPr>
            <w:tcW w:w="1741" w:type="dxa"/>
          </w:tcPr>
          <w:p w14:paraId="465C673F" w14:textId="77777777" w:rsidR="00557ED0" w:rsidRPr="00D20C80" w:rsidRDefault="00557ED0" w:rsidP="00831E16">
            <w:pPr>
              <w:pStyle w:val="TableHeading"/>
              <w:keepNext w:val="0"/>
              <w:rPr>
                <w:rStyle w:val="Strong"/>
                <w:b/>
                <w:sz w:val="22"/>
              </w:rPr>
            </w:pPr>
            <w:r w:rsidRPr="00D20C80">
              <w:rPr>
                <w:rStyle w:val="Strong"/>
                <w:b/>
                <w:bCs w:val="0"/>
              </w:rPr>
              <w:t>Trend</w:t>
            </w:r>
          </w:p>
        </w:tc>
        <w:tc>
          <w:tcPr>
            <w:tcW w:w="4245" w:type="dxa"/>
            <w:gridSpan w:val="3"/>
            <w:shd w:val="clear" w:color="auto" w:fill="auto"/>
          </w:tcPr>
          <w:p w14:paraId="61F1A491" w14:textId="77777777" w:rsidR="00557ED0" w:rsidRDefault="00557ED0" w:rsidP="00831E16">
            <w:pPr>
              <w:pStyle w:val="TableText"/>
            </w:pPr>
            <w:r w:rsidRPr="004D4479">
              <w:t>Stable</w:t>
            </w:r>
          </w:p>
        </w:tc>
        <w:tc>
          <w:tcPr>
            <w:tcW w:w="3074" w:type="dxa"/>
            <w:shd w:val="clear" w:color="auto" w:fill="auto"/>
          </w:tcPr>
          <w:p w14:paraId="0E432FDC" w14:textId="77777777" w:rsidR="00557ED0" w:rsidRPr="001B7D1F" w:rsidRDefault="00557ED0" w:rsidP="00831E16">
            <w:pPr>
              <w:pStyle w:val="TableText"/>
            </w:pPr>
            <w:r>
              <w:t>As above.</w:t>
            </w:r>
          </w:p>
        </w:tc>
      </w:tr>
      <w:tr w:rsidR="00557ED0" w14:paraId="0687F0A1" w14:textId="77777777" w:rsidTr="2DB3A534">
        <w:trPr>
          <w:cantSplit/>
        </w:trPr>
        <w:tc>
          <w:tcPr>
            <w:tcW w:w="1741" w:type="dxa"/>
          </w:tcPr>
          <w:p w14:paraId="22E959CD" w14:textId="77777777" w:rsidR="00557ED0" w:rsidRPr="00210F7A" w:rsidRDefault="00557ED0" w:rsidP="00831E16">
            <w:pPr>
              <w:pStyle w:val="TableHeading"/>
              <w:keepNext w:val="0"/>
              <w:rPr>
                <w:rStyle w:val="Strong"/>
                <w:b/>
                <w:sz w:val="22"/>
              </w:rPr>
            </w:pPr>
            <w:r w:rsidRPr="00D20C80">
              <w:rPr>
                <w:rStyle w:val="Strong"/>
                <w:b/>
                <w:bCs w:val="0"/>
              </w:rPr>
              <w:t>Basis of assessment of subpopulation number</w:t>
            </w:r>
          </w:p>
        </w:tc>
        <w:tc>
          <w:tcPr>
            <w:tcW w:w="7319" w:type="dxa"/>
            <w:gridSpan w:val="4"/>
            <w:shd w:val="clear" w:color="auto" w:fill="auto"/>
          </w:tcPr>
          <w:p w14:paraId="6D26DA0C" w14:textId="77777777" w:rsidR="00557ED0" w:rsidRDefault="00557ED0" w:rsidP="00831E16">
            <w:pPr>
              <w:pStyle w:val="TableText"/>
            </w:pPr>
            <w:r>
              <w:t>Distance and unsuitable habitat between the subpopulations means there is little chance of regular geneflow among them.</w:t>
            </w:r>
          </w:p>
        </w:tc>
      </w:tr>
      <w:tr w:rsidR="00557ED0" w14:paraId="1858F487" w14:textId="77777777" w:rsidTr="2DB3A534">
        <w:trPr>
          <w:cantSplit/>
        </w:trPr>
        <w:tc>
          <w:tcPr>
            <w:tcW w:w="1741" w:type="dxa"/>
          </w:tcPr>
          <w:p w14:paraId="2827041E" w14:textId="77777777" w:rsidR="00557ED0" w:rsidRPr="00DD47BD" w:rsidRDefault="00557ED0" w:rsidP="00831E16">
            <w:pPr>
              <w:pStyle w:val="TableText"/>
              <w:rPr>
                <w:rStyle w:val="Strong"/>
                <w:b w:val="0"/>
                <w:bCs w:val="0"/>
              </w:rPr>
            </w:pPr>
            <w:r w:rsidRPr="00D20C80">
              <w:rPr>
                <w:rStyle w:val="Strong"/>
                <w:b w:val="0"/>
                <w:bCs w:val="0"/>
              </w:rPr>
              <w:t>No. locations</w:t>
            </w:r>
          </w:p>
        </w:tc>
        <w:tc>
          <w:tcPr>
            <w:tcW w:w="1422" w:type="dxa"/>
            <w:shd w:val="clear" w:color="auto" w:fill="auto"/>
          </w:tcPr>
          <w:p w14:paraId="7BD5AC24" w14:textId="77777777" w:rsidR="00557ED0" w:rsidRDefault="00557ED0" w:rsidP="00831E16">
            <w:pPr>
              <w:pStyle w:val="TableText"/>
            </w:pPr>
            <w:r>
              <w:t>1</w:t>
            </w:r>
          </w:p>
        </w:tc>
        <w:tc>
          <w:tcPr>
            <w:tcW w:w="1409" w:type="dxa"/>
            <w:shd w:val="clear" w:color="auto" w:fill="auto"/>
          </w:tcPr>
          <w:p w14:paraId="4F39D897" w14:textId="77777777" w:rsidR="00557ED0" w:rsidRDefault="00557ED0" w:rsidP="00831E16">
            <w:pPr>
              <w:pStyle w:val="TableText"/>
            </w:pPr>
          </w:p>
        </w:tc>
        <w:tc>
          <w:tcPr>
            <w:tcW w:w="1414" w:type="dxa"/>
            <w:shd w:val="clear" w:color="auto" w:fill="auto"/>
          </w:tcPr>
          <w:p w14:paraId="7936E7E7" w14:textId="77777777" w:rsidR="00557ED0" w:rsidRDefault="00557ED0" w:rsidP="00831E16">
            <w:pPr>
              <w:pStyle w:val="TableText"/>
            </w:pPr>
          </w:p>
        </w:tc>
        <w:tc>
          <w:tcPr>
            <w:tcW w:w="3074" w:type="dxa"/>
            <w:shd w:val="clear" w:color="auto" w:fill="auto"/>
          </w:tcPr>
          <w:p w14:paraId="4A6B7AF5" w14:textId="055B16DE" w:rsidR="00557ED0" w:rsidRDefault="00557ED0" w:rsidP="00831E16">
            <w:pPr>
              <w:pStyle w:val="TableText"/>
            </w:pPr>
            <w:r w:rsidRPr="00BA417A">
              <w:t xml:space="preserve">A series of surveys of the type locality and environs have established the species is restricted to a single threat defined location </w:t>
            </w:r>
            <w:r w:rsidRPr="00BA417A">
              <w:rPr>
                <w:rFonts w:asciiTheme="majorHAnsi" w:hAnsiTheme="majorHAnsi"/>
              </w:rPr>
              <w:t>(e.g. Morgan 1988</w:t>
            </w:r>
            <w:r>
              <w:rPr>
                <w:rFonts w:asciiTheme="majorHAnsi" w:hAnsiTheme="majorHAnsi"/>
              </w:rPr>
              <w:t>;</w:t>
            </w:r>
            <w:r w:rsidRPr="00BA417A">
              <w:rPr>
                <w:rFonts w:asciiTheme="majorHAnsi" w:hAnsiTheme="majorHAnsi"/>
              </w:rPr>
              <w:t xml:space="preserve"> </w:t>
            </w:r>
            <w:r w:rsidRPr="00BA417A">
              <w:t>Ponniah &amp; Hughes 2004</w:t>
            </w:r>
            <w:r>
              <w:t>;</w:t>
            </w:r>
            <w:r w:rsidRPr="00BA417A">
              <w:t xml:space="preserve"> Shull et al. 2005</w:t>
            </w:r>
            <w:r>
              <w:rPr>
                <w:rFonts w:asciiTheme="majorHAnsi" w:hAnsiTheme="majorHAnsi"/>
              </w:rPr>
              <w:t>;</w:t>
            </w:r>
            <w:r w:rsidRPr="00BA417A">
              <w:rPr>
                <w:rFonts w:asciiTheme="majorHAnsi" w:hAnsiTheme="majorHAnsi"/>
              </w:rPr>
              <w:t xml:space="preserve"> Coughran </w:t>
            </w:r>
            <w:r>
              <w:rPr>
                <w:rFonts w:asciiTheme="majorHAnsi" w:hAnsiTheme="majorHAnsi"/>
              </w:rPr>
              <w:t>2008;</w:t>
            </w:r>
            <w:r w:rsidRPr="00BA417A">
              <w:rPr>
                <w:rFonts w:asciiTheme="majorHAnsi" w:hAnsiTheme="majorHAnsi"/>
              </w:rPr>
              <w:t xml:space="preserve"> McCormack</w:t>
            </w:r>
            <w:r>
              <w:rPr>
                <w:rFonts w:asciiTheme="majorHAnsi" w:hAnsiTheme="majorHAnsi"/>
              </w:rPr>
              <w:t xml:space="preserve"> 2008</w:t>
            </w:r>
            <w:r w:rsidRPr="00BA417A">
              <w:rPr>
                <w:rFonts w:asciiTheme="majorHAnsi" w:hAnsiTheme="majorHAnsi"/>
              </w:rPr>
              <w:t xml:space="preserve"> unpub).</w:t>
            </w:r>
            <w:r w:rsidR="004657D3">
              <w:rPr>
                <w:rFonts w:asciiTheme="majorHAnsi" w:hAnsiTheme="majorHAnsi"/>
              </w:rPr>
              <w:t xml:space="preserve"> </w:t>
            </w:r>
          </w:p>
        </w:tc>
      </w:tr>
      <w:tr w:rsidR="00557ED0" w14:paraId="6770F41F" w14:textId="77777777" w:rsidTr="2DB3A534">
        <w:trPr>
          <w:cantSplit/>
        </w:trPr>
        <w:tc>
          <w:tcPr>
            <w:tcW w:w="1741" w:type="dxa"/>
          </w:tcPr>
          <w:p w14:paraId="27A9AB9F" w14:textId="77777777" w:rsidR="00557ED0" w:rsidRPr="00D20C80" w:rsidRDefault="00557ED0" w:rsidP="00831E16">
            <w:pPr>
              <w:pStyle w:val="TableHeading"/>
              <w:keepNext w:val="0"/>
              <w:rPr>
                <w:rStyle w:val="Strong"/>
                <w:b/>
                <w:sz w:val="22"/>
              </w:rPr>
            </w:pPr>
            <w:r w:rsidRPr="00D20C80">
              <w:rPr>
                <w:rStyle w:val="Strong"/>
                <w:b/>
                <w:bCs w:val="0"/>
              </w:rPr>
              <w:t>Trend</w:t>
            </w:r>
          </w:p>
        </w:tc>
        <w:tc>
          <w:tcPr>
            <w:tcW w:w="4245" w:type="dxa"/>
            <w:gridSpan w:val="3"/>
            <w:shd w:val="clear" w:color="auto" w:fill="auto"/>
          </w:tcPr>
          <w:p w14:paraId="3329BEAA" w14:textId="77777777" w:rsidR="00557ED0" w:rsidRDefault="00557ED0" w:rsidP="00831E16">
            <w:pPr>
              <w:pStyle w:val="TableText"/>
            </w:pPr>
            <w:r>
              <w:t>Stable</w:t>
            </w:r>
          </w:p>
        </w:tc>
        <w:tc>
          <w:tcPr>
            <w:tcW w:w="3074" w:type="dxa"/>
            <w:shd w:val="clear" w:color="auto" w:fill="auto"/>
          </w:tcPr>
          <w:p w14:paraId="638459AB" w14:textId="77777777" w:rsidR="00557ED0" w:rsidRDefault="00557ED0" w:rsidP="00831E16">
            <w:pPr>
              <w:pStyle w:val="TableText"/>
            </w:pPr>
          </w:p>
        </w:tc>
      </w:tr>
      <w:tr w:rsidR="00557ED0" w14:paraId="7DAEDB0C" w14:textId="77777777" w:rsidTr="2DB3A534">
        <w:trPr>
          <w:cantSplit/>
        </w:trPr>
        <w:tc>
          <w:tcPr>
            <w:tcW w:w="1741" w:type="dxa"/>
          </w:tcPr>
          <w:p w14:paraId="735244E4" w14:textId="77777777" w:rsidR="00557ED0" w:rsidRPr="00D20C80" w:rsidRDefault="00557ED0" w:rsidP="00831E16">
            <w:pPr>
              <w:pStyle w:val="TableHeading"/>
              <w:keepNext w:val="0"/>
              <w:rPr>
                <w:rStyle w:val="Strong"/>
                <w:b/>
                <w:sz w:val="22"/>
              </w:rPr>
            </w:pPr>
            <w:bookmarkStart w:id="15" w:name="_Hlk51878889"/>
            <w:r w:rsidRPr="00D20C80">
              <w:rPr>
                <w:rStyle w:val="Strong"/>
                <w:b/>
                <w:bCs w:val="0"/>
              </w:rPr>
              <w:t>Basis of assessment of location number</w:t>
            </w:r>
            <w:bookmarkEnd w:id="15"/>
          </w:p>
        </w:tc>
        <w:tc>
          <w:tcPr>
            <w:tcW w:w="7319" w:type="dxa"/>
            <w:gridSpan w:val="4"/>
            <w:shd w:val="clear" w:color="auto" w:fill="auto"/>
          </w:tcPr>
          <w:p w14:paraId="3629D3CB" w14:textId="5B34FB7D" w:rsidR="00557ED0" w:rsidRPr="006936DA" w:rsidRDefault="00557ED0" w:rsidP="00831E16">
            <w:pPr>
              <w:pStyle w:val="TableText"/>
              <w:rPr>
                <w:highlight w:val="yellow"/>
              </w:rPr>
            </w:pPr>
            <w:r>
              <w:t xml:space="preserve">All known sites for the species are adjacent each other within a small geographic range, with </w:t>
            </w:r>
            <w:r w:rsidR="00BE6EE9" w:rsidRPr="00BE6EE9">
              <w:t>an extreme weather event driven by climate change (e.g., severe heatwave, flood, fire) could plausibl</w:t>
            </w:r>
            <w:r w:rsidR="00BE6EE9">
              <w:t>y</w:t>
            </w:r>
            <w:r w:rsidR="00BE6EE9" w:rsidRPr="00BE6EE9">
              <w:t xml:space="preserve"> lead to loss of the entire population in a single event. </w:t>
            </w:r>
          </w:p>
        </w:tc>
      </w:tr>
      <w:tr w:rsidR="00557ED0" w14:paraId="7C0EF2CF" w14:textId="77777777" w:rsidTr="2DB3A534">
        <w:trPr>
          <w:cantSplit/>
        </w:trPr>
        <w:tc>
          <w:tcPr>
            <w:tcW w:w="1741" w:type="dxa"/>
          </w:tcPr>
          <w:p w14:paraId="3816666D" w14:textId="77777777" w:rsidR="00557ED0" w:rsidRDefault="00557ED0" w:rsidP="00831E16">
            <w:pPr>
              <w:pStyle w:val="TableHeading"/>
              <w:keepNext w:val="0"/>
              <w:rPr>
                <w:rStyle w:val="Strong"/>
                <w:b/>
                <w:bCs w:val="0"/>
              </w:rPr>
            </w:pPr>
            <w:r w:rsidRPr="00D20C80">
              <w:rPr>
                <w:rStyle w:val="Strong"/>
                <w:b/>
                <w:bCs w:val="0"/>
              </w:rPr>
              <w:t>Fragmentation</w:t>
            </w:r>
          </w:p>
          <w:p w14:paraId="4E64423B" w14:textId="77777777" w:rsidR="00557ED0" w:rsidRPr="00D20C80" w:rsidRDefault="00557ED0" w:rsidP="00831E16">
            <w:pPr>
              <w:pStyle w:val="TableText"/>
              <w:rPr>
                <w:rStyle w:val="Strong"/>
                <w:b w:val="0"/>
                <w:bCs w:val="0"/>
              </w:rPr>
            </w:pPr>
          </w:p>
        </w:tc>
        <w:tc>
          <w:tcPr>
            <w:tcW w:w="7319" w:type="dxa"/>
            <w:gridSpan w:val="4"/>
            <w:shd w:val="clear" w:color="auto" w:fill="auto"/>
          </w:tcPr>
          <w:p w14:paraId="774DBB14" w14:textId="5EF0B753" w:rsidR="00557ED0" w:rsidRPr="00062735" w:rsidRDefault="00F15459" w:rsidP="00831E16">
            <w:pPr>
              <w:pStyle w:val="TableText"/>
              <w:rPr>
                <w:highlight w:val="yellow"/>
              </w:rPr>
            </w:pPr>
            <w:r>
              <w:t>There is not sufficient data to establish if the subpopulations can be considered to be severely fragmented.</w:t>
            </w:r>
          </w:p>
        </w:tc>
      </w:tr>
      <w:tr w:rsidR="00557ED0" w14:paraId="277ACC2A" w14:textId="77777777" w:rsidTr="2DB3A534">
        <w:trPr>
          <w:cantSplit/>
        </w:trPr>
        <w:tc>
          <w:tcPr>
            <w:tcW w:w="1741" w:type="dxa"/>
          </w:tcPr>
          <w:p w14:paraId="6485FBD6" w14:textId="77777777" w:rsidR="00557ED0" w:rsidRDefault="00557ED0" w:rsidP="00831E16">
            <w:pPr>
              <w:pStyle w:val="TableHeading"/>
              <w:keepNext w:val="0"/>
              <w:rPr>
                <w:rStyle w:val="Strong"/>
                <w:b/>
                <w:sz w:val="22"/>
              </w:rPr>
            </w:pPr>
            <w:r w:rsidRPr="00D20C80">
              <w:rPr>
                <w:rStyle w:val="Strong"/>
                <w:b/>
                <w:bCs w:val="0"/>
              </w:rPr>
              <w:t>Fluctuations</w:t>
            </w:r>
          </w:p>
          <w:p w14:paraId="031B3EB3" w14:textId="77777777" w:rsidR="00557ED0" w:rsidRPr="00D20C80" w:rsidRDefault="00557ED0" w:rsidP="00831E16">
            <w:pPr>
              <w:pStyle w:val="TableText"/>
              <w:rPr>
                <w:rStyle w:val="Strong"/>
                <w:b w:val="0"/>
                <w:bCs w:val="0"/>
              </w:rPr>
            </w:pPr>
          </w:p>
        </w:tc>
        <w:tc>
          <w:tcPr>
            <w:tcW w:w="7319" w:type="dxa"/>
            <w:gridSpan w:val="4"/>
            <w:shd w:val="clear" w:color="auto" w:fill="auto"/>
          </w:tcPr>
          <w:p w14:paraId="47411977" w14:textId="77777777" w:rsidR="00557ED0" w:rsidRDefault="00557ED0" w:rsidP="00831E16">
            <w:pPr>
              <w:pStyle w:val="TableText"/>
            </w:pPr>
            <w:r w:rsidRPr="00346F9D">
              <w:t xml:space="preserve">Not known to be subject to </w:t>
            </w:r>
            <w:r>
              <w:t xml:space="preserve">any </w:t>
            </w:r>
            <w:r w:rsidRPr="00346F9D">
              <w:t>fluctuations in EOO, AOO, number of subpopulations, locations or mature individuals</w:t>
            </w:r>
            <w:bookmarkStart w:id="16" w:name="_Hlk52438645"/>
            <w:r w:rsidRPr="0055376D">
              <w:t>.</w:t>
            </w:r>
            <w:bookmarkEnd w:id="16"/>
          </w:p>
        </w:tc>
      </w:tr>
    </w:tbl>
    <w:p w14:paraId="2CF74140" w14:textId="77777777" w:rsidR="00557ED0" w:rsidRDefault="00557ED0" w:rsidP="00557ED0">
      <w:pPr>
        <w:pStyle w:val="Caption"/>
        <w:spacing w:before="240"/>
        <w:rPr>
          <w:lang w:eastAsia="ja-JP"/>
        </w:rPr>
      </w:pPr>
      <w:r>
        <w:rPr>
          <w:lang w:eastAsia="ja-JP"/>
        </w:rPr>
        <w:lastRenderedPageBreak/>
        <w:t>Criterion 1 Population size reduction</w:t>
      </w:r>
    </w:p>
    <w:tbl>
      <w:tblPr>
        <w:tblStyle w:val="TableGrid"/>
        <w:tblW w:w="9975" w:type="dxa"/>
        <w:tblInd w:w="-86" w:type="dxa"/>
        <w:tblLook w:val="04A0" w:firstRow="1" w:lastRow="0" w:firstColumn="1" w:lastColumn="0" w:noHBand="0" w:noVBand="1"/>
      </w:tblPr>
      <w:tblGrid>
        <w:gridCol w:w="3565"/>
        <w:gridCol w:w="2099"/>
        <w:gridCol w:w="513"/>
        <w:gridCol w:w="1134"/>
        <w:gridCol w:w="333"/>
        <w:gridCol w:w="2331"/>
      </w:tblGrid>
      <w:tr w:rsidR="00557ED0" w:rsidRPr="00556843" w14:paraId="1A39F249" w14:textId="77777777" w:rsidTr="00831E16">
        <w:trPr>
          <w:cantSplit/>
          <w:trHeight w:val="606"/>
        </w:trPr>
        <w:tc>
          <w:tcPr>
            <w:tcW w:w="9975" w:type="dxa"/>
            <w:gridSpan w:val="6"/>
            <w:shd w:val="clear" w:color="auto" w:fill="595959" w:themeFill="text1" w:themeFillTint="A6"/>
            <w:vAlign w:val="center"/>
          </w:tcPr>
          <w:p w14:paraId="248EED7F" w14:textId="77777777" w:rsidR="00557ED0" w:rsidRPr="008B78CE" w:rsidRDefault="00557ED0" w:rsidP="00831E16">
            <w:pPr>
              <w:pStyle w:val="TableHeading"/>
              <w:rPr>
                <w:b w:val="0"/>
                <w:bCs/>
                <w:color w:val="FFFFFF" w:themeColor="background1"/>
              </w:rPr>
            </w:pPr>
            <w:r>
              <w:rPr>
                <w:b w:val="0"/>
                <w:bCs/>
                <w:color w:val="FFFFFF" w:themeColor="background1"/>
              </w:rPr>
              <w:t>R</w:t>
            </w:r>
            <w:r w:rsidRPr="008B78CE">
              <w:rPr>
                <w:b w:val="0"/>
                <w:bCs/>
                <w:color w:val="FFFFFF" w:themeColor="background1"/>
              </w:rPr>
              <w:t>eduction in total numbers (measured over the longer of 10 years or 3 generations) based on any of A1 to A4</w:t>
            </w:r>
          </w:p>
        </w:tc>
      </w:tr>
      <w:tr w:rsidR="00557ED0" w:rsidRPr="00556843" w14:paraId="55194AF9" w14:textId="77777777" w:rsidTr="00831E16">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tcPr>
          <w:p w14:paraId="3C10A97F" w14:textId="77777777" w:rsidR="00557ED0" w:rsidRPr="00556843" w:rsidRDefault="00557ED0" w:rsidP="00831E16">
            <w:pPr>
              <w:keepNext/>
              <w:rPr>
                <w:rFonts w:ascii="Arial" w:hAnsi="Arial" w:cs="Arial"/>
                <w:sz w:val="18"/>
                <w:szCs w:val="18"/>
              </w:rPr>
            </w:pPr>
            <w:r w:rsidRPr="0050535B">
              <w:rPr>
                <w:rFonts w:ascii="Arial" w:hAnsi="Arial" w:cs="Arial"/>
                <w:color w:val="FFFFFF" w:themeColor="background1"/>
                <w:sz w:val="18"/>
                <w:szCs w:val="18"/>
              </w:rPr>
              <w:t>–</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0000"/>
          </w:tcPr>
          <w:p w14:paraId="664331D8" w14:textId="77777777" w:rsidR="00557ED0" w:rsidRPr="00936152" w:rsidRDefault="00557ED0" w:rsidP="00831E16">
            <w:pPr>
              <w:pStyle w:val="TableText"/>
              <w:keepNext/>
              <w:rPr>
                <w:rStyle w:val="Strong"/>
              </w:rPr>
            </w:pPr>
            <w:r w:rsidRPr="00936152">
              <w:rPr>
                <w:rStyle w:val="Strong"/>
              </w:rPr>
              <w:t>Critically Endangered</w:t>
            </w:r>
          </w:p>
          <w:p w14:paraId="3ADC1AF6" w14:textId="77777777" w:rsidR="00557ED0" w:rsidRPr="00936152" w:rsidRDefault="00557ED0" w:rsidP="00831E16">
            <w:pPr>
              <w:pStyle w:val="TableText"/>
              <w:keepNext/>
              <w:rPr>
                <w:rStyle w:val="Strong"/>
              </w:rPr>
            </w:pPr>
            <w:r w:rsidRPr="00936152">
              <w:rPr>
                <w:rStyle w:val="Strong"/>
              </w:rPr>
              <w:t>Very severe reduction</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290333FF" w14:textId="77777777" w:rsidR="00557ED0" w:rsidRPr="00936152" w:rsidRDefault="00557ED0" w:rsidP="00831E16">
            <w:pPr>
              <w:pStyle w:val="TableText"/>
              <w:keepNext/>
              <w:rPr>
                <w:rStyle w:val="Strong"/>
              </w:rPr>
            </w:pPr>
            <w:r w:rsidRPr="00936152">
              <w:rPr>
                <w:rStyle w:val="Strong"/>
              </w:rPr>
              <w:t>Endangered</w:t>
            </w:r>
          </w:p>
          <w:p w14:paraId="7AEE954D" w14:textId="77777777" w:rsidR="00557ED0" w:rsidRPr="00936152" w:rsidRDefault="00557ED0" w:rsidP="00831E16">
            <w:pPr>
              <w:pStyle w:val="TableText"/>
              <w:keepNext/>
              <w:rPr>
                <w:rStyle w:val="Strong"/>
              </w:rPr>
            </w:pPr>
            <w:r w:rsidRPr="00936152">
              <w:rPr>
                <w:rStyle w:val="Strong"/>
              </w:rPr>
              <w:t>Severe reduction</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2DE298BE" w14:textId="77777777" w:rsidR="00557ED0" w:rsidRPr="00936152" w:rsidRDefault="00557ED0" w:rsidP="00831E16">
            <w:pPr>
              <w:pStyle w:val="TableText"/>
              <w:keepNext/>
              <w:rPr>
                <w:rStyle w:val="Strong"/>
              </w:rPr>
            </w:pPr>
            <w:r w:rsidRPr="00936152">
              <w:rPr>
                <w:rStyle w:val="Strong"/>
              </w:rPr>
              <w:t>Vulnerable</w:t>
            </w:r>
          </w:p>
          <w:p w14:paraId="690A8EE8" w14:textId="77777777" w:rsidR="00557ED0" w:rsidRPr="00936152" w:rsidRDefault="00557ED0" w:rsidP="00831E16">
            <w:pPr>
              <w:pStyle w:val="TableText"/>
              <w:keepNext/>
              <w:rPr>
                <w:rStyle w:val="Strong"/>
              </w:rPr>
            </w:pPr>
            <w:r w:rsidRPr="00936152">
              <w:rPr>
                <w:rStyle w:val="Strong"/>
              </w:rPr>
              <w:t>Substantial reduction</w:t>
            </w:r>
          </w:p>
        </w:tc>
      </w:tr>
      <w:tr w:rsidR="00557ED0" w:rsidRPr="00556843" w14:paraId="35DFB02B" w14:textId="77777777" w:rsidTr="00831E16">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BFBFBF" w:themeFill="background1" w:themeFillShade="BF"/>
          </w:tcPr>
          <w:p w14:paraId="465E137D" w14:textId="77777777" w:rsidR="00557ED0" w:rsidRPr="00936152" w:rsidRDefault="00557ED0" w:rsidP="00831E16">
            <w:pPr>
              <w:pStyle w:val="TableText"/>
              <w:keepNext/>
              <w:rPr>
                <w:rStyle w:val="Strong"/>
              </w:rPr>
            </w:pPr>
            <w:r w:rsidRPr="00936152">
              <w:rPr>
                <w:rStyle w:val="Strong"/>
              </w:rPr>
              <w:t>A1</w:t>
            </w:r>
          </w:p>
        </w:tc>
        <w:tc>
          <w:tcPr>
            <w:tcW w:w="20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tcPr>
          <w:p w14:paraId="221E84DE" w14:textId="77777777" w:rsidR="00557ED0" w:rsidRPr="00556843" w:rsidRDefault="00557ED0" w:rsidP="00831E16">
            <w:pPr>
              <w:pStyle w:val="TableText"/>
              <w:keepNext/>
            </w:pPr>
            <w:r w:rsidRPr="00556843">
              <w:t>≥ 90%</w:t>
            </w:r>
          </w:p>
        </w:tc>
        <w:tc>
          <w:tcPr>
            <w:tcW w:w="198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tcPr>
          <w:p w14:paraId="07DC060E" w14:textId="77777777" w:rsidR="00557ED0" w:rsidRPr="00556843" w:rsidRDefault="00557ED0" w:rsidP="00831E16">
            <w:pPr>
              <w:pStyle w:val="TableText"/>
              <w:keepNext/>
            </w:pPr>
            <w:r w:rsidRPr="00556843">
              <w:t>≥ 70%</w:t>
            </w:r>
          </w:p>
        </w:tc>
        <w:tc>
          <w:tcPr>
            <w:tcW w:w="2331"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tcPr>
          <w:p w14:paraId="1EE0EC8D" w14:textId="77777777" w:rsidR="00557ED0" w:rsidRPr="00556843" w:rsidRDefault="00557ED0" w:rsidP="00831E16">
            <w:pPr>
              <w:pStyle w:val="TableText"/>
              <w:keepNext/>
            </w:pPr>
            <w:r w:rsidRPr="00556843">
              <w:t>≥ 50%</w:t>
            </w:r>
          </w:p>
        </w:tc>
      </w:tr>
      <w:tr w:rsidR="00557ED0" w:rsidRPr="00556843" w14:paraId="0008236E" w14:textId="77777777" w:rsidTr="00831E16">
        <w:tblPrEx>
          <w:tblCellMar>
            <w:top w:w="57" w:type="dxa"/>
            <w:left w:w="57" w:type="dxa"/>
            <w:bottom w:w="57" w:type="dxa"/>
            <w:right w:w="85" w:type="dxa"/>
          </w:tblCellMar>
        </w:tblPrEx>
        <w:trPr>
          <w:cantSplit/>
        </w:trPr>
        <w:tc>
          <w:tcPr>
            <w:tcW w:w="3565" w:type="dxa"/>
            <w:tcBorders>
              <w:top w:val="single" w:sz="4" w:space="0" w:color="FFFFFF" w:themeColor="background1"/>
              <w:left w:val="single" w:sz="4" w:space="0" w:color="auto"/>
              <w:bottom w:val="nil"/>
              <w:right w:val="single" w:sz="4" w:space="0" w:color="FFFFFF" w:themeColor="background1"/>
            </w:tcBorders>
            <w:shd w:val="clear" w:color="auto" w:fill="BFBFBF" w:themeFill="background1" w:themeFillShade="BF"/>
          </w:tcPr>
          <w:p w14:paraId="61763E61" w14:textId="77777777" w:rsidR="00557ED0" w:rsidRPr="00936152" w:rsidRDefault="00557ED0" w:rsidP="00831E16">
            <w:pPr>
              <w:pStyle w:val="TableText"/>
              <w:keepNext/>
              <w:rPr>
                <w:rStyle w:val="Strong"/>
              </w:rPr>
            </w:pPr>
            <w:r w:rsidRPr="00936152">
              <w:rPr>
                <w:rStyle w:val="Strong"/>
              </w:rPr>
              <w:t>A2, A3, A4</w:t>
            </w:r>
          </w:p>
        </w:tc>
        <w:tc>
          <w:tcPr>
            <w:tcW w:w="2099" w:type="dxa"/>
            <w:tcBorders>
              <w:top w:val="single" w:sz="4" w:space="0" w:color="FFFFFF" w:themeColor="background1"/>
              <w:left w:val="single" w:sz="4" w:space="0" w:color="FFFFFF" w:themeColor="background1"/>
              <w:bottom w:val="nil"/>
              <w:right w:val="single" w:sz="4" w:space="0" w:color="FFFFFF" w:themeColor="background1"/>
            </w:tcBorders>
            <w:shd w:val="clear" w:color="auto" w:fill="FF7C80"/>
          </w:tcPr>
          <w:p w14:paraId="10440A80" w14:textId="77777777" w:rsidR="00557ED0" w:rsidRPr="00556843" w:rsidRDefault="00557ED0" w:rsidP="00831E16">
            <w:pPr>
              <w:pStyle w:val="TableText"/>
              <w:keepNext/>
            </w:pPr>
            <w:r w:rsidRPr="00556843">
              <w:t>≥ 80%</w:t>
            </w:r>
          </w:p>
        </w:tc>
        <w:tc>
          <w:tcPr>
            <w:tcW w:w="1980" w:type="dxa"/>
            <w:gridSpan w:val="3"/>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1D537C43" w14:textId="77777777" w:rsidR="00557ED0" w:rsidRPr="00556843" w:rsidRDefault="00557ED0" w:rsidP="00831E16">
            <w:pPr>
              <w:pStyle w:val="TableText"/>
              <w:keepNext/>
            </w:pPr>
            <w:r w:rsidRPr="00556843">
              <w:t>≥ 50%</w:t>
            </w:r>
          </w:p>
        </w:tc>
        <w:tc>
          <w:tcPr>
            <w:tcW w:w="2331" w:type="dxa"/>
            <w:tcBorders>
              <w:top w:val="single" w:sz="4" w:space="0" w:color="FFFFFF" w:themeColor="background1"/>
              <w:left w:val="single" w:sz="4" w:space="0" w:color="FFFFFF" w:themeColor="background1"/>
              <w:bottom w:val="nil"/>
              <w:right w:val="single" w:sz="4" w:space="0" w:color="auto"/>
            </w:tcBorders>
            <w:shd w:val="clear" w:color="auto" w:fill="FFFF66"/>
          </w:tcPr>
          <w:p w14:paraId="26D2CCD1" w14:textId="77777777" w:rsidR="00557ED0" w:rsidRPr="00556843" w:rsidRDefault="00557ED0" w:rsidP="00831E16">
            <w:pPr>
              <w:pStyle w:val="TableText"/>
              <w:keepNext/>
            </w:pPr>
            <w:r w:rsidRPr="00556843">
              <w:t>≥ 30%</w:t>
            </w:r>
          </w:p>
        </w:tc>
      </w:tr>
      <w:tr w:rsidR="00557ED0" w:rsidRPr="00556843" w14:paraId="4BC19C15" w14:textId="77777777" w:rsidTr="00831E16">
        <w:tblPrEx>
          <w:tblCellMar>
            <w:top w:w="57" w:type="dxa"/>
            <w:left w:w="57" w:type="dxa"/>
            <w:bottom w:w="57" w:type="dxa"/>
            <w:right w:w="85" w:type="dxa"/>
          </w:tblCellMar>
        </w:tblPrEx>
        <w:trPr>
          <w:cantSplit/>
          <w:trHeight w:val="3706"/>
        </w:trPr>
        <w:tc>
          <w:tcPr>
            <w:tcW w:w="6177" w:type="dxa"/>
            <w:gridSpan w:val="3"/>
            <w:tcBorders>
              <w:top w:val="nil"/>
              <w:right w:val="nil"/>
            </w:tcBorders>
          </w:tcPr>
          <w:p w14:paraId="5343DA99" w14:textId="77777777" w:rsidR="00557ED0" w:rsidRPr="00556843" w:rsidRDefault="00557ED0" w:rsidP="00831E16">
            <w:pPr>
              <w:pStyle w:val="TableText"/>
              <w:keepNext/>
              <w:spacing w:after="200" w:line="276" w:lineRule="auto"/>
              <w:ind w:left="493" w:hanging="493"/>
            </w:pPr>
            <w:r w:rsidRPr="00936152">
              <w:rPr>
                <w:rStyle w:val="Strong"/>
              </w:rPr>
              <w:t>A1</w:t>
            </w:r>
            <w:r w:rsidRPr="00556843">
              <w:tab/>
              <w:t>Population reduction observed, estimated, inferred or suspected in the past and the causes of the reduction are clearly reversible AND understood AND ceased.</w:t>
            </w:r>
          </w:p>
          <w:p w14:paraId="6D25FCCB" w14:textId="77777777" w:rsidR="00557ED0" w:rsidRPr="00556843" w:rsidRDefault="00557ED0" w:rsidP="00831E16">
            <w:pPr>
              <w:pStyle w:val="TableText"/>
              <w:keepNext/>
              <w:spacing w:after="200" w:line="276" w:lineRule="auto"/>
              <w:ind w:left="493" w:hanging="493"/>
            </w:pPr>
            <w:r w:rsidRPr="00936152">
              <w:rPr>
                <w:rStyle w:val="Strong"/>
              </w:rPr>
              <w:t>A2</w:t>
            </w:r>
            <w:r w:rsidRPr="00556843">
              <w:tab/>
              <w:t>Population reduction observed, estimated, inferred or suspected in the past where the causes of the reduction may not have ceased OR may not be understood OR may not be reversible.</w:t>
            </w:r>
          </w:p>
          <w:p w14:paraId="655FDDB9" w14:textId="77777777" w:rsidR="00557ED0" w:rsidRPr="00556843" w:rsidRDefault="00557ED0" w:rsidP="00831E16">
            <w:pPr>
              <w:pStyle w:val="TableText"/>
              <w:keepNext/>
              <w:spacing w:after="200" w:line="276" w:lineRule="auto"/>
              <w:ind w:left="493" w:hanging="493"/>
            </w:pPr>
            <w:r w:rsidRPr="00936152">
              <w:rPr>
                <w:rStyle w:val="Strong"/>
              </w:rPr>
              <w:t>A3</w:t>
            </w:r>
            <w:r w:rsidRPr="00556843">
              <w:tab/>
              <w:t>Population reduction, projected or suspected to be met in the future (up to a maximum of 100 years) [(</w:t>
            </w:r>
            <w:r w:rsidRPr="00556843">
              <w:rPr>
                <w:i/>
              </w:rPr>
              <w:t>a) cannot be used for A3</w:t>
            </w:r>
            <w:r w:rsidRPr="00556843">
              <w:t>]</w:t>
            </w:r>
          </w:p>
          <w:p w14:paraId="29C9E44A" w14:textId="77777777" w:rsidR="00557ED0" w:rsidRPr="00556843" w:rsidRDefault="00557ED0" w:rsidP="00831E16">
            <w:pPr>
              <w:pStyle w:val="TableText"/>
              <w:keepNext/>
              <w:spacing w:after="200" w:line="276" w:lineRule="auto"/>
              <w:ind w:left="493" w:hanging="493"/>
            </w:pPr>
            <w:r w:rsidRPr="00936152">
              <w:rPr>
                <w:rStyle w:val="Strong"/>
              </w:rPr>
              <w:t>A4</w:t>
            </w:r>
            <w:r w:rsidRPr="00556843">
              <w:tab/>
              <w:t>An observed, estimated, inferred, projected or suspected population reduction where the time period must include both the past and the future (up to a max. of 100 years in future), and where the causes of reduction may not have ceased OR may not be understood OR may not be reversible.</w:t>
            </w:r>
          </w:p>
        </w:tc>
        <w:tc>
          <w:tcPr>
            <w:tcW w:w="1134" w:type="dxa"/>
            <w:tcBorders>
              <w:top w:val="nil"/>
              <w:left w:val="nil"/>
              <w:right w:val="nil"/>
            </w:tcBorders>
            <w:vAlign w:val="center"/>
          </w:tcPr>
          <w:p w14:paraId="4147BBCE" w14:textId="77777777" w:rsidR="00557ED0" w:rsidRPr="00556843" w:rsidRDefault="00557ED0" w:rsidP="00831E16">
            <w:pPr>
              <w:pStyle w:val="TableText"/>
              <w:spacing w:before="1800"/>
              <w:ind w:left="165"/>
            </w:pPr>
            <w:r>
              <w:rPr>
                <w:rFonts w:ascii="Arial" w:hAnsi="Arial" w:cs="Arial"/>
                <w:noProof/>
                <w:szCs w:val="18"/>
                <w:lang w:val="en-US"/>
              </w:rPr>
              <mc:AlternateContent>
                <mc:Choice Requires="wps">
                  <w:drawing>
                    <wp:anchor distT="0" distB="0" distL="114300" distR="114300" simplePos="0" relativeHeight="251659264" behindDoc="0" locked="0" layoutInCell="1" allowOverlap="1" wp14:anchorId="4D48FB00" wp14:editId="03D20000">
                      <wp:simplePos x="0" y="0"/>
                      <wp:positionH relativeFrom="column">
                        <wp:posOffset>-207010</wp:posOffset>
                      </wp:positionH>
                      <wp:positionV relativeFrom="paragraph">
                        <wp:posOffset>19050</wp:posOffset>
                      </wp:positionV>
                      <wp:extent cx="295275" cy="2447925"/>
                      <wp:effectExtent l="0" t="0" r="28575" b="2857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275" cy="2447925"/>
                              </a:xfrm>
                              <a:prstGeom prst="rightBrace">
                                <a:avLst>
                                  <a:gd name="adj1" fmla="val 33333"/>
                                  <a:gd name="adj2" fmla="val 50000"/>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C09F9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 o:spid="_x0000_s1026" type="#_x0000_t88" style="position:absolute;margin-left:-16.3pt;margin-top:1.5pt;width:23.25pt;height:19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" adj="868"/>
                  </w:pict>
                </mc:Fallback>
              </mc:AlternateContent>
            </w:r>
            <w:r>
              <w:t>B</w:t>
            </w:r>
            <w:r w:rsidRPr="00CE7C59">
              <w:t>ased on any of the following</w:t>
            </w:r>
          </w:p>
        </w:tc>
        <w:tc>
          <w:tcPr>
            <w:tcW w:w="2664" w:type="dxa"/>
            <w:gridSpan w:val="2"/>
            <w:tcBorders>
              <w:top w:val="nil"/>
              <w:left w:val="nil"/>
            </w:tcBorders>
          </w:tcPr>
          <w:p w14:paraId="77FCAE44" w14:textId="77777777" w:rsidR="00557ED0" w:rsidRPr="00556843" w:rsidRDefault="00557ED0" w:rsidP="00831E16">
            <w:pPr>
              <w:pStyle w:val="TableText"/>
              <w:ind w:left="312" w:hanging="312"/>
            </w:pPr>
            <w:r w:rsidRPr="00556843">
              <w:t>(a)</w:t>
            </w:r>
            <w:r w:rsidRPr="00556843">
              <w:tab/>
              <w:t>direct observation [</w:t>
            </w:r>
            <w:r w:rsidRPr="00266DC5">
              <w:t>except A3</w:t>
            </w:r>
            <w:r w:rsidRPr="00556843">
              <w:t>]</w:t>
            </w:r>
          </w:p>
          <w:p w14:paraId="33B65E24" w14:textId="77777777" w:rsidR="00557ED0" w:rsidRDefault="00557ED0" w:rsidP="00831E16">
            <w:pPr>
              <w:pStyle w:val="TableText"/>
              <w:ind w:left="312" w:hanging="312"/>
            </w:pPr>
            <w:r w:rsidRPr="00556843">
              <w:t>(b)</w:t>
            </w:r>
            <w:r w:rsidRPr="00556843">
              <w:tab/>
              <w:t>an index of abundance appropriate to the taxon</w:t>
            </w:r>
          </w:p>
          <w:p w14:paraId="7646533B" w14:textId="77777777" w:rsidR="00557ED0" w:rsidRPr="00556843" w:rsidRDefault="00557ED0" w:rsidP="00831E16">
            <w:pPr>
              <w:pStyle w:val="TableText"/>
              <w:ind w:left="312" w:hanging="312"/>
            </w:pPr>
            <w:r w:rsidRPr="00556843">
              <w:t>(c)</w:t>
            </w:r>
            <w:r w:rsidRPr="00556843">
              <w:tab/>
              <w:t>a decline in area of occupancy, extent of occurrence and/or quality of habitat</w:t>
            </w:r>
          </w:p>
          <w:p w14:paraId="02F3FB91" w14:textId="77777777" w:rsidR="00557ED0" w:rsidRPr="00556843" w:rsidRDefault="00557ED0" w:rsidP="00831E16">
            <w:pPr>
              <w:pStyle w:val="TableText"/>
              <w:ind w:left="312" w:hanging="312"/>
            </w:pPr>
            <w:r w:rsidRPr="00556843">
              <w:t>(d)</w:t>
            </w:r>
            <w:r w:rsidRPr="00556843">
              <w:tab/>
              <w:t>actual or potential levels of exploitation</w:t>
            </w:r>
          </w:p>
          <w:p w14:paraId="6506AA56" w14:textId="77777777" w:rsidR="00557ED0" w:rsidRPr="00556843" w:rsidRDefault="00557ED0" w:rsidP="00831E16">
            <w:pPr>
              <w:pStyle w:val="TableText"/>
              <w:ind w:left="312" w:hanging="312"/>
            </w:pPr>
            <w:r w:rsidRPr="00556843">
              <w:t>(e)</w:t>
            </w:r>
            <w:r w:rsidRPr="00556843">
              <w:tab/>
              <w:t>the effects of introduced taxa, hybridization, pathogens, pollutants, competitors or parasites</w:t>
            </w:r>
          </w:p>
        </w:tc>
      </w:tr>
    </w:tbl>
    <w:p w14:paraId="5D8D9F41" w14:textId="77777777" w:rsidR="00557ED0" w:rsidRDefault="00557ED0" w:rsidP="00557ED0">
      <w:pPr>
        <w:pStyle w:val="Heading3"/>
        <w:ind w:left="964" w:hanging="964"/>
        <w:rPr>
          <w:lang w:eastAsia="ja-JP"/>
        </w:rPr>
      </w:pPr>
      <w:r>
        <w:rPr>
          <w:lang w:eastAsia="ja-JP"/>
        </w:rPr>
        <w:t>Criterion 1 evidence</w:t>
      </w:r>
    </w:p>
    <w:p w14:paraId="1D236159" w14:textId="77777777" w:rsidR="00557ED0" w:rsidRDefault="00557ED0" w:rsidP="00557ED0">
      <w:pPr>
        <w:spacing w:before="120"/>
        <w:rPr>
          <w:bCs/>
          <w:lang w:eastAsia="ja-JP"/>
        </w:rPr>
      </w:pPr>
      <w:r w:rsidRPr="008F14F5">
        <w:rPr>
          <w:rStyle w:val="Strong"/>
        </w:rPr>
        <w:t>Insufficient data to determine eligibility</w:t>
      </w:r>
    </w:p>
    <w:p w14:paraId="715A59E9" w14:textId="7E699952" w:rsidR="00557ED0" w:rsidRDefault="00557ED0" w:rsidP="00557ED0">
      <w:pPr>
        <w:spacing w:before="120"/>
        <w:rPr>
          <w:bCs/>
          <w:lang w:eastAsia="ja-JP"/>
        </w:rPr>
      </w:pPr>
      <w:r w:rsidRPr="00BA417A">
        <w:rPr>
          <w:bCs/>
          <w:lang w:eastAsia="ja-JP"/>
        </w:rPr>
        <w:t xml:space="preserve">There is insufficient data to determine eligibility of </w:t>
      </w:r>
      <w:r w:rsidRPr="00BA417A">
        <w:rPr>
          <w:bCs/>
          <w:i/>
          <w:lang w:eastAsia="ja-JP"/>
        </w:rPr>
        <w:t>E. balanensis</w:t>
      </w:r>
      <w:r w:rsidRPr="00BA417A">
        <w:rPr>
          <w:bCs/>
          <w:lang w:eastAsia="ja-JP"/>
        </w:rPr>
        <w:t xml:space="preserve"> for listing under Criterion 1. The population has not been monitored since its original description. However, a series of collection records from published and unpublished surveys are known in the region, including adjacent </w:t>
      </w:r>
      <w:r w:rsidR="00B42A86">
        <w:rPr>
          <w:bCs/>
          <w:lang w:eastAsia="ja-JP"/>
        </w:rPr>
        <w:t xml:space="preserve">to </w:t>
      </w:r>
      <w:r w:rsidRPr="00BA417A">
        <w:rPr>
          <w:bCs/>
          <w:lang w:eastAsia="ja-JP"/>
        </w:rPr>
        <w:t xml:space="preserve">the type locality </w:t>
      </w:r>
      <w:r w:rsidRPr="00BA417A">
        <w:rPr>
          <w:rFonts w:asciiTheme="majorHAnsi" w:hAnsiTheme="majorHAnsi"/>
        </w:rPr>
        <w:t>(</w:t>
      </w:r>
      <w:r w:rsidRPr="00BA417A">
        <w:t>Ponniah &amp; Hughes 2004</w:t>
      </w:r>
      <w:r>
        <w:t>;</w:t>
      </w:r>
      <w:r w:rsidRPr="00BA417A">
        <w:t xml:space="preserve"> Shull et al. 2005</w:t>
      </w:r>
      <w:r>
        <w:rPr>
          <w:rFonts w:asciiTheme="majorHAnsi" w:hAnsiTheme="majorHAnsi"/>
        </w:rPr>
        <w:t>; J.</w:t>
      </w:r>
      <w:r w:rsidRPr="00BA417A">
        <w:rPr>
          <w:rFonts w:asciiTheme="majorHAnsi" w:hAnsiTheme="majorHAnsi"/>
        </w:rPr>
        <w:t xml:space="preserve"> Coughran </w:t>
      </w:r>
      <w:r>
        <w:rPr>
          <w:rFonts w:asciiTheme="majorHAnsi" w:hAnsiTheme="majorHAnsi"/>
        </w:rPr>
        <w:t xml:space="preserve">2008 </w:t>
      </w:r>
      <w:r w:rsidRPr="00BA417A">
        <w:rPr>
          <w:rFonts w:asciiTheme="majorHAnsi" w:hAnsiTheme="majorHAnsi"/>
        </w:rPr>
        <w:t>unpub</w:t>
      </w:r>
      <w:r>
        <w:rPr>
          <w:rFonts w:asciiTheme="majorHAnsi" w:hAnsiTheme="majorHAnsi"/>
        </w:rPr>
        <w:t xml:space="preserve">; R.M. </w:t>
      </w:r>
      <w:r w:rsidRPr="00BA417A">
        <w:rPr>
          <w:rFonts w:asciiTheme="majorHAnsi" w:hAnsiTheme="majorHAnsi"/>
        </w:rPr>
        <w:t xml:space="preserve">McCormack </w:t>
      </w:r>
      <w:r>
        <w:rPr>
          <w:rFonts w:asciiTheme="majorHAnsi" w:hAnsiTheme="majorHAnsi"/>
        </w:rPr>
        <w:t xml:space="preserve">2008 </w:t>
      </w:r>
      <w:r w:rsidRPr="00BA417A">
        <w:rPr>
          <w:rFonts w:asciiTheme="majorHAnsi" w:hAnsiTheme="majorHAnsi"/>
        </w:rPr>
        <w:t>unpub)</w:t>
      </w:r>
      <w:r w:rsidRPr="00BA417A">
        <w:rPr>
          <w:bCs/>
          <w:lang w:eastAsia="ja-JP"/>
        </w:rPr>
        <w:t>.</w:t>
      </w:r>
    </w:p>
    <w:p w14:paraId="323843E5" w14:textId="77777777" w:rsidR="00557ED0" w:rsidRDefault="00557ED0" w:rsidP="738EC405">
      <w:pPr>
        <w:spacing w:before="120"/>
        <w:rPr>
          <w:rFonts w:asciiTheme="majorHAnsi" w:hAnsiTheme="majorHAnsi" w:cs="Arial"/>
        </w:rPr>
      </w:pPr>
      <w:r w:rsidRPr="2DB3A534">
        <w:rPr>
          <w:lang w:eastAsia="ja-JP"/>
        </w:rPr>
        <w:t>It</w:t>
      </w:r>
      <w:r w:rsidRPr="2DB3A534">
        <w:rPr>
          <w:rFonts w:asciiTheme="majorHAnsi" w:hAnsiTheme="majorHAnsi" w:cs="Arial"/>
        </w:rPr>
        <w:t xml:space="preserve"> is projected that there will be a future reduction in population size of </w:t>
      </w:r>
      <w:r w:rsidRPr="2DB3A534">
        <w:rPr>
          <w:i/>
          <w:iCs/>
          <w:lang w:eastAsia="ja-JP"/>
        </w:rPr>
        <w:t>E. balanensis</w:t>
      </w:r>
      <w:r w:rsidRPr="2DB3A534">
        <w:rPr>
          <w:lang w:eastAsia="ja-JP"/>
        </w:rPr>
        <w:t xml:space="preserve"> </w:t>
      </w:r>
      <w:r w:rsidRPr="2DB3A534">
        <w:rPr>
          <w:rFonts w:asciiTheme="majorHAnsi" w:hAnsiTheme="majorHAnsi" w:cs="Arial"/>
        </w:rPr>
        <w:t xml:space="preserve">due to the impacts of climate change. This species, and other likely cool-adapted species of crayfish, do not have the capacity to adapt to the current or projected rates of warming (Bone et al. 2014) (see Threats Table 1 above). A decline in Area of Occupancy (AOO), Extent of Occupancy (EOO) and quality of habitat is anticipated due to climate change as increasing temperatures and reduced moisture availability, especially in the soil, displaces flora and fauna upslope, including the rainforest in which the species is found. </w:t>
      </w:r>
    </w:p>
    <w:p w14:paraId="33917299" w14:textId="77777777" w:rsidR="00557ED0" w:rsidRPr="00EB6494" w:rsidRDefault="00557ED0" w:rsidP="00557ED0">
      <w:pPr>
        <w:spacing w:before="120"/>
        <w:rPr>
          <w:rFonts w:asciiTheme="majorHAnsi" w:hAnsiTheme="majorHAnsi" w:cs="Arial"/>
        </w:rPr>
      </w:pPr>
      <w:r>
        <w:rPr>
          <w:rFonts w:asciiTheme="majorHAnsi" w:hAnsiTheme="majorHAnsi" w:cs="Arial"/>
        </w:rPr>
        <w:t>T</w:t>
      </w:r>
      <w:r w:rsidRPr="00B30450">
        <w:rPr>
          <w:rFonts w:asciiTheme="majorHAnsi" w:hAnsiTheme="majorHAnsi" w:cs="Arial"/>
        </w:rPr>
        <w:t>he species’ highly restricted distribution</w:t>
      </w:r>
      <w:r>
        <w:rPr>
          <w:rFonts w:asciiTheme="majorHAnsi" w:hAnsiTheme="majorHAnsi" w:cs="Arial"/>
        </w:rPr>
        <w:t>, at one location,</w:t>
      </w:r>
      <w:r w:rsidRPr="00B30450">
        <w:rPr>
          <w:rFonts w:asciiTheme="majorHAnsi" w:hAnsiTheme="majorHAnsi" w:cs="Arial"/>
        </w:rPr>
        <w:t xml:space="preserve"> leaves it</w:t>
      </w:r>
      <w:r>
        <w:rPr>
          <w:rFonts w:asciiTheme="majorHAnsi" w:hAnsiTheme="majorHAnsi" w:cs="Arial"/>
        </w:rPr>
        <w:t xml:space="preserve"> </w:t>
      </w:r>
      <w:r w:rsidRPr="00B30450">
        <w:rPr>
          <w:rFonts w:asciiTheme="majorHAnsi" w:hAnsiTheme="majorHAnsi" w:cs="Arial"/>
        </w:rPr>
        <w:t>vulnerable to extinction from event</w:t>
      </w:r>
      <w:r>
        <w:rPr>
          <w:rFonts w:asciiTheme="majorHAnsi" w:hAnsiTheme="majorHAnsi" w:cs="Arial"/>
        </w:rPr>
        <w:t xml:space="preserve">s such as </w:t>
      </w:r>
      <w:r w:rsidRPr="00DC30FA">
        <w:t>extreme flooding or disease</w:t>
      </w:r>
      <w:r>
        <w:t xml:space="preserve">, </w:t>
      </w:r>
      <w:r w:rsidRPr="00DC30FA">
        <w:t>fires</w:t>
      </w:r>
      <w:r>
        <w:t>,</w:t>
      </w:r>
      <w:r w:rsidRPr="00DC30FA">
        <w:t xml:space="preserve"> </w:t>
      </w:r>
      <w:r w:rsidRPr="00B30450">
        <w:rPr>
          <w:rFonts w:asciiTheme="majorHAnsi" w:hAnsiTheme="majorHAnsi" w:cs="Arial"/>
        </w:rPr>
        <w:t>or</w:t>
      </w:r>
      <w:r>
        <w:rPr>
          <w:rFonts w:asciiTheme="majorHAnsi" w:hAnsiTheme="majorHAnsi" w:cs="Arial"/>
        </w:rPr>
        <w:t xml:space="preserve"> other threats (see Criterion 2 below).</w:t>
      </w:r>
      <w:r w:rsidRPr="00201E38">
        <w:rPr>
          <w:bCs/>
          <w:lang w:eastAsia="ja-JP"/>
        </w:rPr>
        <w:t xml:space="preserve"> </w:t>
      </w:r>
      <w:r w:rsidRPr="0002381C">
        <w:rPr>
          <w:bCs/>
          <w:lang w:eastAsia="ja-JP"/>
        </w:rPr>
        <w:t xml:space="preserve">However, </w:t>
      </w:r>
      <w:r w:rsidRPr="0002381C">
        <w:rPr>
          <w:rFonts w:asciiTheme="majorHAnsi" w:hAnsiTheme="majorHAnsi" w:cs="Arial"/>
        </w:rPr>
        <w:t xml:space="preserve">there are no population data to support such an assessment at the present time, </w:t>
      </w:r>
      <w:r>
        <w:rPr>
          <w:rFonts w:asciiTheme="majorHAnsi" w:hAnsiTheme="majorHAnsi" w:cs="Arial"/>
        </w:rPr>
        <w:t xml:space="preserve">with </w:t>
      </w:r>
      <w:r w:rsidRPr="0002381C">
        <w:rPr>
          <w:rFonts w:asciiTheme="majorHAnsi" w:hAnsiTheme="majorHAnsi" w:cs="Arial"/>
        </w:rPr>
        <w:t xml:space="preserve">the population size of the species unknown, </w:t>
      </w:r>
      <w:r>
        <w:rPr>
          <w:rFonts w:asciiTheme="majorHAnsi" w:hAnsiTheme="majorHAnsi" w:cs="Arial"/>
        </w:rPr>
        <w:t xml:space="preserve">making it difficult to quantify </w:t>
      </w:r>
      <w:r w:rsidRPr="0002381C">
        <w:rPr>
          <w:rFonts w:asciiTheme="majorHAnsi" w:hAnsiTheme="majorHAnsi" w:cs="Arial"/>
        </w:rPr>
        <w:t xml:space="preserve">any previous </w:t>
      </w:r>
      <w:r>
        <w:rPr>
          <w:rFonts w:asciiTheme="majorHAnsi" w:hAnsiTheme="majorHAnsi" w:cs="Arial"/>
        </w:rPr>
        <w:t xml:space="preserve">or likely future </w:t>
      </w:r>
      <w:r w:rsidRPr="0002381C">
        <w:rPr>
          <w:rFonts w:asciiTheme="majorHAnsi" w:hAnsiTheme="majorHAnsi" w:cs="Arial"/>
        </w:rPr>
        <w:t>changes in the population.</w:t>
      </w:r>
      <w:r>
        <w:rPr>
          <w:rFonts w:asciiTheme="majorHAnsi" w:hAnsiTheme="majorHAnsi" w:cs="Arial"/>
        </w:rPr>
        <w:t xml:space="preserve"> </w:t>
      </w:r>
    </w:p>
    <w:p w14:paraId="6DE61937" w14:textId="483C192C" w:rsidR="00557ED0" w:rsidRDefault="00155FF5" w:rsidP="00557ED0">
      <w:pPr>
        <w:spacing w:before="120"/>
        <w:rPr>
          <w:lang w:eastAsia="ja-JP"/>
        </w:rPr>
      </w:pPr>
      <w:r>
        <w:rPr>
          <w:lang w:eastAsia="ja-JP"/>
        </w:rPr>
        <w:t>T</w:t>
      </w:r>
      <w:r w:rsidR="00557ED0">
        <w:rPr>
          <w:lang w:eastAsia="ja-JP"/>
        </w:rPr>
        <w:t xml:space="preserve">here is insufficient information to determine the eligibility of the species for listing in any category under this criterion. </w:t>
      </w:r>
    </w:p>
    <w:p w14:paraId="2F6257AE" w14:textId="77777777" w:rsidR="00557ED0" w:rsidRDefault="00557ED0" w:rsidP="00557ED0">
      <w:pPr>
        <w:pStyle w:val="Caption"/>
        <w:spacing w:before="120"/>
        <w:rPr>
          <w:lang w:eastAsia="ja-JP"/>
        </w:rPr>
      </w:pPr>
      <w:r>
        <w:rPr>
          <w:lang w:eastAsia="ja-JP"/>
        </w:rPr>
        <w:lastRenderedPageBreak/>
        <w:t xml:space="preserve">Criterion 2 </w:t>
      </w:r>
      <w:r w:rsidRPr="00B6264B">
        <w:rPr>
          <w:lang w:eastAsia="ja-JP"/>
        </w:rPr>
        <w:t>Geographic distribution as indicators for either extent of occurrence AND/OR area of occupancy</w:t>
      </w:r>
    </w:p>
    <w:tbl>
      <w:tblPr>
        <w:tblStyle w:val="TableGrid"/>
        <w:tblW w:w="0" w:type="auto"/>
        <w:tblInd w:w="-34" w:type="dxa"/>
        <w:tblCellMar>
          <w:top w:w="57" w:type="dxa"/>
          <w:bottom w:w="57" w:type="dxa"/>
        </w:tblCellMar>
        <w:tblLook w:val="04A0" w:firstRow="1" w:lastRow="0" w:firstColumn="1" w:lastColumn="0" w:noHBand="0" w:noVBand="1"/>
      </w:tblPr>
      <w:tblGrid>
        <w:gridCol w:w="3375"/>
        <w:gridCol w:w="1956"/>
        <w:gridCol w:w="1857"/>
        <w:gridCol w:w="1906"/>
      </w:tblGrid>
      <w:tr w:rsidR="00557ED0" w:rsidRPr="00556843" w14:paraId="75064115" w14:textId="77777777" w:rsidTr="00831E16">
        <w:trPr>
          <w:trHeight w:val="350"/>
        </w:trPr>
        <w:tc>
          <w:tcPr>
            <w:tcW w:w="10738" w:type="dxa"/>
            <w:gridSpan w:val="4"/>
            <w:tcBorders>
              <w:bottom w:val="nil"/>
            </w:tcBorders>
            <w:shd w:val="clear" w:color="auto" w:fill="595959" w:themeFill="text1" w:themeFillTint="A6"/>
            <w:vAlign w:val="center"/>
          </w:tcPr>
          <w:p w14:paraId="6ACA7C0F" w14:textId="77777777" w:rsidR="00557ED0" w:rsidRPr="00556843" w:rsidRDefault="00557ED0" w:rsidP="00831E16">
            <w:pPr>
              <w:keepNext/>
              <w:tabs>
                <w:tab w:val="left" w:pos="284"/>
              </w:tabs>
              <w:ind w:left="1452" w:hanging="1452"/>
              <w:rPr>
                <w:rFonts w:ascii="Arial" w:hAnsi="Arial" w:cs="Arial"/>
                <w:b/>
                <w:color w:val="FFFFFF" w:themeColor="background1"/>
              </w:rPr>
            </w:pPr>
          </w:p>
        </w:tc>
      </w:tr>
      <w:tr w:rsidR="00557ED0" w:rsidRPr="00556843" w14:paraId="02EDC8F6" w14:textId="77777777" w:rsidTr="00831E16">
        <w:tc>
          <w:tcPr>
            <w:tcW w:w="4111" w:type="dxa"/>
            <w:tcBorders>
              <w:top w:val="nil"/>
              <w:bottom w:val="nil"/>
              <w:right w:val="nil"/>
            </w:tcBorders>
          </w:tcPr>
          <w:p w14:paraId="0BFBC9BA" w14:textId="77777777" w:rsidR="00557ED0" w:rsidRPr="00556843" w:rsidRDefault="00557ED0" w:rsidP="00831E16">
            <w:pPr>
              <w:pStyle w:val="TableText"/>
              <w:keepNext/>
            </w:pPr>
            <w:r w:rsidRPr="00AE31DA">
              <w:rPr>
                <w:color w:val="FFFFFF" w:themeColor="background1"/>
              </w:rPr>
              <w:t>–</w:t>
            </w:r>
          </w:p>
        </w:tc>
        <w:tc>
          <w:tcPr>
            <w:tcW w:w="2268" w:type="dxa"/>
            <w:tcBorders>
              <w:top w:val="single" w:sz="4" w:space="0" w:color="FFFFFF" w:themeColor="background1"/>
              <w:left w:val="nil"/>
              <w:bottom w:val="nil"/>
              <w:right w:val="single" w:sz="4" w:space="0" w:color="FFFFFF" w:themeColor="background1"/>
            </w:tcBorders>
            <w:shd w:val="clear" w:color="auto" w:fill="FF0000"/>
          </w:tcPr>
          <w:p w14:paraId="5576AB3A" w14:textId="77777777" w:rsidR="00557ED0" w:rsidRPr="00795F43" w:rsidRDefault="00557ED0" w:rsidP="00831E16">
            <w:pPr>
              <w:pStyle w:val="TableText"/>
              <w:keepNext/>
              <w:rPr>
                <w:rStyle w:val="Strong"/>
              </w:rPr>
            </w:pPr>
            <w:r w:rsidRPr="00795F43">
              <w:rPr>
                <w:rStyle w:val="Strong"/>
              </w:rPr>
              <w:t>Critically Endangered</w:t>
            </w:r>
          </w:p>
          <w:p w14:paraId="4493B4ED" w14:textId="77777777" w:rsidR="00557ED0" w:rsidRPr="00556843" w:rsidRDefault="00557ED0" w:rsidP="00831E16">
            <w:pPr>
              <w:pStyle w:val="TableText"/>
              <w:keepNext/>
              <w:rPr>
                <w:b/>
              </w:rPr>
            </w:pPr>
            <w:r w:rsidRPr="00795F43">
              <w:rPr>
                <w:rStyle w:val="Strong"/>
              </w:rPr>
              <w:t>Very restricted</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7190AE4E" w14:textId="77777777" w:rsidR="00557ED0" w:rsidRPr="00556843" w:rsidRDefault="00557ED0" w:rsidP="00831E16">
            <w:pPr>
              <w:pStyle w:val="TableText"/>
              <w:keepNext/>
              <w:rPr>
                <w:b/>
              </w:rPr>
            </w:pPr>
            <w:r w:rsidRPr="00556843">
              <w:rPr>
                <w:b/>
              </w:rPr>
              <w:t>Endangered</w:t>
            </w:r>
          </w:p>
          <w:p w14:paraId="567BC7BE" w14:textId="77777777" w:rsidR="00557ED0" w:rsidRPr="00556843" w:rsidRDefault="00557ED0" w:rsidP="00831E16">
            <w:pPr>
              <w:pStyle w:val="TableText"/>
              <w:keepNext/>
              <w:rPr>
                <w:b/>
              </w:rPr>
            </w:pPr>
            <w:r w:rsidRPr="00556843">
              <w:rPr>
                <w:b/>
              </w:rPr>
              <w:t>Restricted</w:t>
            </w:r>
          </w:p>
        </w:tc>
        <w:tc>
          <w:tcPr>
            <w:tcW w:w="2232" w:type="dxa"/>
            <w:tcBorders>
              <w:top w:val="single" w:sz="4" w:space="0" w:color="FFFFFF" w:themeColor="background1"/>
              <w:left w:val="single" w:sz="4" w:space="0" w:color="FFFFFF" w:themeColor="background1"/>
              <w:bottom w:val="nil"/>
            </w:tcBorders>
            <w:shd w:val="clear" w:color="auto" w:fill="FFFF00"/>
          </w:tcPr>
          <w:p w14:paraId="65AAA2F5" w14:textId="77777777" w:rsidR="00557ED0" w:rsidRPr="00556843" w:rsidRDefault="00557ED0" w:rsidP="00831E16">
            <w:pPr>
              <w:pStyle w:val="TableText"/>
              <w:keepNext/>
              <w:rPr>
                <w:b/>
              </w:rPr>
            </w:pPr>
            <w:r w:rsidRPr="00556843">
              <w:rPr>
                <w:b/>
              </w:rPr>
              <w:t>Vulnerable</w:t>
            </w:r>
          </w:p>
          <w:p w14:paraId="5E3A7029" w14:textId="77777777" w:rsidR="00557ED0" w:rsidRPr="00556843" w:rsidRDefault="00557ED0" w:rsidP="00831E16">
            <w:pPr>
              <w:pStyle w:val="TableText"/>
              <w:keepNext/>
              <w:rPr>
                <w:b/>
              </w:rPr>
            </w:pPr>
            <w:r w:rsidRPr="00556843">
              <w:rPr>
                <w:b/>
              </w:rPr>
              <w:t>Limited</w:t>
            </w:r>
          </w:p>
        </w:tc>
      </w:tr>
      <w:tr w:rsidR="00557ED0" w:rsidRPr="00556843" w14:paraId="59C41EAF" w14:textId="77777777" w:rsidTr="00831E16">
        <w:tc>
          <w:tcPr>
            <w:tcW w:w="4111" w:type="dxa"/>
            <w:tcBorders>
              <w:top w:val="nil"/>
              <w:left w:val="single" w:sz="4" w:space="0" w:color="auto"/>
              <w:bottom w:val="single" w:sz="4" w:space="0" w:color="FFFFFF" w:themeColor="background1"/>
              <w:right w:val="nil"/>
            </w:tcBorders>
            <w:shd w:val="clear" w:color="auto" w:fill="BFBFBF" w:themeFill="background1" w:themeFillShade="BF"/>
          </w:tcPr>
          <w:p w14:paraId="774346B4" w14:textId="77777777" w:rsidR="00557ED0" w:rsidRPr="00556843" w:rsidRDefault="00557ED0" w:rsidP="00831E16">
            <w:pPr>
              <w:pStyle w:val="TableText"/>
              <w:keepNext/>
              <w:ind w:left="492" w:hanging="492"/>
            </w:pPr>
            <w:r w:rsidRPr="00936152">
              <w:rPr>
                <w:rStyle w:val="Strong"/>
              </w:rPr>
              <w:t>B1.</w:t>
            </w:r>
            <w:r w:rsidRPr="00556843">
              <w:tab/>
              <w:t>Extent of occurrence (EOO)</w:t>
            </w:r>
          </w:p>
        </w:tc>
        <w:tc>
          <w:tcPr>
            <w:tcW w:w="2268" w:type="dxa"/>
            <w:tcBorders>
              <w:top w:val="nil"/>
              <w:left w:val="nil"/>
              <w:bottom w:val="single" w:sz="4" w:space="0" w:color="FFFFFF" w:themeColor="background1"/>
              <w:right w:val="single" w:sz="4" w:space="0" w:color="FFFFFF" w:themeColor="background1"/>
            </w:tcBorders>
            <w:shd w:val="clear" w:color="auto" w:fill="FF7C80"/>
          </w:tcPr>
          <w:p w14:paraId="6AFC5037" w14:textId="77777777" w:rsidR="00557ED0" w:rsidRPr="00556843" w:rsidRDefault="00557ED0" w:rsidP="00831E16">
            <w:pPr>
              <w:pStyle w:val="TableText"/>
              <w:keepNext/>
              <w:rPr>
                <w:b/>
              </w:rPr>
            </w:pPr>
            <w:r w:rsidRPr="00556843">
              <w:rPr>
                <w:b/>
              </w:rPr>
              <w:t>&lt; 100 km</w:t>
            </w:r>
            <w:r w:rsidRPr="00556843">
              <w:rPr>
                <w:b/>
                <w:vertAlign w:val="superscript"/>
              </w:rPr>
              <w:t>2</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6C9E433E" w14:textId="77777777" w:rsidR="00557ED0" w:rsidRPr="00556843" w:rsidRDefault="00557ED0" w:rsidP="00831E16">
            <w:pPr>
              <w:pStyle w:val="TableText"/>
              <w:keepNext/>
            </w:pPr>
            <w:r w:rsidRPr="00556843">
              <w:rPr>
                <w:b/>
              </w:rPr>
              <w:t>&lt; 5,000 km</w:t>
            </w:r>
            <w:r w:rsidRPr="00556843">
              <w:rPr>
                <w:b/>
                <w:vertAlign w:val="superscript"/>
              </w:rPr>
              <w:t>2</w:t>
            </w:r>
          </w:p>
        </w:tc>
        <w:tc>
          <w:tcPr>
            <w:tcW w:w="2232" w:type="dxa"/>
            <w:tcBorders>
              <w:top w:val="nil"/>
              <w:left w:val="single" w:sz="4" w:space="0" w:color="FFFFFF" w:themeColor="background1"/>
              <w:bottom w:val="single" w:sz="4" w:space="0" w:color="FFFFFF" w:themeColor="background1"/>
            </w:tcBorders>
            <w:shd w:val="clear" w:color="auto" w:fill="FFFF66"/>
          </w:tcPr>
          <w:p w14:paraId="0E8685B5" w14:textId="77777777" w:rsidR="00557ED0" w:rsidRPr="00556843" w:rsidRDefault="00557ED0" w:rsidP="00831E16">
            <w:pPr>
              <w:pStyle w:val="TableText"/>
              <w:keepNext/>
            </w:pPr>
            <w:r w:rsidRPr="00556843">
              <w:rPr>
                <w:b/>
              </w:rPr>
              <w:t>&lt; 20,000 km</w:t>
            </w:r>
            <w:r w:rsidRPr="00556843">
              <w:rPr>
                <w:b/>
                <w:vertAlign w:val="superscript"/>
              </w:rPr>
              <w:t>2</w:t>
            </w:r>
          </w:p>
        </w:tc>
      </w:tr>
      <w:tr w:rsidR="00557ED0" w:rsidRPr="00556843" w14:paraId="301D3C5E" w14:textId="77777777" w:rsidTr="00831E16">
        <w:tc>
          <w:tcPr>
            <w:tcW w:w="4111" w:type="dxa"/>
            <w:tcBorders>
              <w:top w:val="single" w:sz="4" w:space="0" w:color="FFFFFF" w:themeColor="background1"/>
              <w:left w:val="single" w:sz="4" w:space="0" w:color="auto"/>
              <w:bottom w:val="nil"/>
              <w:right w:val="nil"/>
            </w:tcBorders>
            <w:shd w:val="clear" w:color="auto" w:fill="BFBFBF" w:themeFill="background1" w:themeFillShade="BF"/>
          </w:tcPr>
          <w:p w14:paraId="53DA06AD" w14:textId="77777777" w:rsidR="00557ED0" w:rsidRPr="00556843" w:rsidRDefault="00557ED0" w:rsidP="00831E16">
            <w:pPr>
              <w:pStyle w:val="TableText"/>
              <w:keepNext/>
              <w:ind w:left="492" w:hanging="492"/>
            </w:pPr>
            <w:r w:rsidRPr="00936152">
              <w:rPr>
                <w:rStyle w:val="Strong"/>
              </w:rPr>
              <w:t>B2.</w:t>
            </w:r>
            <w:r w:rsidRPr="00556843">
              <w:tab/>
              <w:t>Area of occupancy (AOO)</w:t>
            </w:r>
          </w:p>
        </w:tc>
        <w:tc>
          <w:tcPr>
            <w:tcW w:w="2268" w:type="dxa"/>
            <w:tcBorders>
              <w:top w:val="single" w:sz="4" w:space="0" w:color="FFFFFF" w:themeColor="background1"/>
              <w:left w:val="nil"/>
              <w:bottom w:val="nil"/>
              <w:right w:val="single" w:sz="4" w:space="0" w:color="FFFFFF" w:themeColor="background1"/>
            </w:tcBorders>
            <w:shd w:val="clear" w:color="auto" w:fill="FF7C80"/>
          </w:tcPr>
          <w:p w14:paraId="6E3EF249" w14:textId="77777777" w:rsidR="00557ED0" w:rsidRPr="00556843" w:rsidRDefault="00557ED0" w:rsidP="00831E16">
            <w:pPr>
              <w:pStyle w:val="TableText"/>
              <w:keepNext/>
              <w:rPr>
                <w:b/>
              </w:rPr>
            </w:pPr>
            <w:r w:rsidRPr="00556843">
              <w:rPr>
                <w:b/>
              </w:rPr>
              <w:t>&lt; 10 km</w:t>
            </w:r>
            <w:r w:rsidRPr="00556843">
              <w:rPr>
                <w:b/>
                <w:vertAlign w:val="superscript"/>
              </w:rPr>
              <w:t>2</w:t>
            </w:r>
          </w:p>
        </w:tc>
        <w:tc>
          <w:tcPr>
            <w:tcW w:w="2127"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7FE1D9BF" w14:textId="77777777" w:rsidR="00557ED0" w:rsidRPr="00556843" w:rsidRDefault="00557ED0" w:rsidP="00831E16">
            <w:pPr>
              <w:pStyle w:val="TableText"/>
              <w:keepNext/>
            </w:pPr>
            <w:r w:rsidRPr="00556843">
              <w:rPr>
                <w:b/>
              </w:rPr>
              <w:t>&lt; 500 km</w:t>
            </w:r>
            <w:r w:rsidRPr="00556843">
              <w:rPr>
                <w:b/>
                <w:vertAlign w:val="superscript"/>
              </w:rPr>
              <w:t>2</w:t>
            </w:r>
          </w:p>
        </w:tc>
        <w:tc>
          <w:tcPr>
            <w:tcW w:w="2232" w:type="dxa"/>
            <w:tcBorders>
              <w:top w:val="single" w:sz="4" w:space="0" w:color="FFFFFF" w:themeColor="background1"/>
              <w:left w:val="single" w:sz="4" w:space="0" w:color="FFFFFF" w:themeColor="background1"/>
              <w:bottom w:val="nil"/>
            </w:tcBorders>
            <w:shd w:val="clear" w:color="auto" w:fill="FFFF66"/>
          </w:tcPr>
          <w:p w14:paraId="166B5EB6" w14:textId="77777777" w:rsidR="00557ED0" w:rsidRPr="00556843" w:rsidRDefault="00557ED0" w:rsidP="00831E16">
            <w:pPr>
              <w:pStyle w:val="TableText"/>
              <w:keepNext/>
            </w:pPr>
            <w:r w:rsidRPr="00556843">
              <w:rPr>
                <w:b/>
              </w:rPr>
              <w:t>&lt; 2,000 km</w:t>
            </w:r>
            <w:r w:rsidRPr="00556843">
              <w:rPr>
                <w:b/>
                <w:vertAlign w:val="superscript"/>
              </w:rPr>
              <w:t>2</w:t>
            </w:r>
          </w:p>
        </w:tc>
      </w:tr>
      <w:tr w:rsidR="00557ED0" w:rsidRPr="00556843" w14:paraId="110C693C" w14:textId="77777777" w:rsidTr="00831E16">
        <w:tc>
          <w:tcPr>
            <w:tcW w:w="10738" w:type="dxa"/>
            <w:gridSpan w:val="4"/>
            <w:tcBorders>
              <w:top w:val="nil"/>
              <w:bottom w:val="nil"/>
            </w:tcBorders>
          </w:tcPr>
          <w:p w14:paraId="6CA1AA3A" w14:textId="77777777" w:rsidR="00557ED0" w:rsidRPr="00936152" w:rsidRDefault="00557ED0" w:rsidP="00831E16">
            <w:pPr>
              <w:pStyle w:val="TableText"/>
              <w:keepNext/>
              <w:rPr>
                <w:rStyle w:val="Strong"/>
              </w:rPr>
            </w:pPr>
            <w:r w:rsidRPr="00936152">
              <w:rPr>
                <w:rStyle w:val="Strong"/>
              </w:rPr>
              <w:t>AND at least 2 of the following 3 conditions:</w:t>
            </w:r>
          </w:p>
        </w:tc>
      </w:tr>
      <w:tr w:rsidR="00557ED0" w:rsidRPr="00556843" w14:paraId="0B37E6B8" w14:textId="77777777" w:rsidTr="00831E16">
        <w:tc>
          <w:tcPr>
            <w:tcW w:w="4111" w:type="dxa"/>
            <w:tcBorders>
              <w:top w:val="nil"/>
              <w:bottom w:val="single" w:sz="4" w:space="0" w:color="FFFFFF" w:themeColor="background1"/>
              <w:right w:val="single" w:sz="4" w:space="0" w:color="FFFFFF" w:themeColor="background1"/>
            </w:tcBorders>
            <w:shd w:val="clear" w:color="auto" w:fill="BFBFBF" w:themeFill="background1" w:themeFillShade="BF"/>
          </w:tcPr>
          <w:p w14:paraId="242DE782" w14:textId="77777777" w:rsidR="00557ED0" w:rsidRPr="00556843" w:rsidRDefault="00557ED0" w:rsidP="00831E16">
            <w:pPr>
              <w:pStyle w:val="TableText"/>
              <w:keepNext/>
              <w:ind w:left="492" w:hanging="492"/>
            </w:pPr>
            <w:r w:rsidRPr="00556843">
              <w:t>(a)</w:t>
            </w:r>
            <w:r w:rsidRPr="00556843">
              <w:tab/>
              <w:t>Severely fragmented OR Number of locations</w:t>
            </w:r>
          </w:p>
        </w:tc>
        <w:tc>
          <w:tcPr>
            <w:tcW w:w="2268"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10172F5C" w14:textId="77777777" w:rsidR="00557ED0" w:rsidRPr="00556843" w:rsidRDefault="00557ED0" w:rsidP="00831E16">
            <w:pPr>
              <w:pStyle w:val="TableText"/>
              <w:keepNext/>
              <w:rPr>
                <w:b/>
              </w:rPr>
            </w:pPr>
            <w:r w:rsidRPr="00556843">
              <w:rPr>
                <w:b/>
              </w:rPr>
              <w:t>= 1</w:t>
            </w:r>
          </w:p>
        </w:tc>
        <w:tc>
          <w:tcPr>
            <w:tcW w:w="2127"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64809AAF" w14:textId="77777777" w:rsidR="00557ED0" w:rsidRPr="00556843" w:rsidRDefault="00557ED0" w:rsidP="00831E16">
            <w:pPr>
              <w:pStyle w:val="TableText"/>
              <w:keepNext/>
              <w:rPr>
                <w:b/>
              </w:rPr>
            </w:pPr>
            <w:r w:rsidRPr="00556843">
              <w:rPr>
                <w:b/>
              </w:rPr>
              <w:t>≤ 5</w:t>
            </w:r>
          </w:p>
        </w:tc>
        <w:tc>
          <w:tcPr>
            <w:tcW w:w="2232" w:type="dxa"/>
            <w:tcBorders>
              <w:top w:val="nil"/>
              <w:left w:val="single" w:sz="4" w:space="0" w:color="FFFFFF" w:themeColor="background1"/>
              <w:bottom w:val="single" w:sz="4" w:space="0" w:color="FFFFFF" w:themeColor="background1"/>
            </w:tcBorders>
            <w:shd w:val="clear" w:color="auto" w:fill="FFFF66"/>
            <w:vAlign w:val="center"/>
          </w:tcPr>
          <w:p w14:paraId="34BB299B" w14:textId="77777777" w:rsidR="00557ED0" w:rsidRPr="00556843" w:rsidRDefault="00557ED0" w:rsidP="00831E16">
            <w:pPr>
              <w:pStyle w:val="TableText"/>
              <w:keepNext/>
              <w:rPr>
                <w:b/>
              </w:rPr>
            </w:pPr>
            <w:r w:rsidRPr="00556843">
              <w:rPr>
                <w:b/>
              </w:rPr>
              <w:t>≤ 10</w:t>
            </w:r>
          </w:p>
        </w:tc>
      </w:tr>
      <w:tr w:rsidR="00557ED0" w:rsidRPr="00556843" w14:paraId="2168789C" w14:textId="77777777" w:rsidTr="00831E16">
        <w:tc>
          <w:tcPr>
            <w:tcW w:w="10738" w:type="dxa"/>
            <w:gridSpan w:val="4"/>
            <w:tcBorders>
              <w:top w:val="single" w:sz="4" w:space="0" w:color="FFFFFF" w:themeColor="background1"/>
              <w:bottom w:val="single" w:sz="4" w:space="0" w:color="FFFFFF" w:themeColor="background1"/>
            </w:tcBorders>
            <w:shd w:val="clear" w:color="auto" w:fill="BFBFBF" w:themeFill="background1" w:themeFillShade="BF"/>
          </w:tcPr>
          <w:p w14:paraId="7A9AD84A" w14:textId="77777777" w:rsidR="00557ED0" w:rsidRPr="00556843" w:rsidRDefault="00557ED0" w:rsidP="00831E16">
            <w:pPr>
              <w:pStyle w:val="TableText"/>
              <w:keepNext/>
              <w:ind w:left="492" w:hanging="492"/>
            </w:pPr>
            <w:r w:rsidRPr="00556843">
              <w:t>(b)</w:t>
            </w:r>
            <w:r w:rsidRPr="00556843">
              <w:tab/>
              <w:t>Continuing decline observed, estimated, inferred or projected in any of: (i) extent of occurrence; (ii) area of occupancy; (iii) area, extent and/or quality of habitat; (iv) number of locations or subpopulations; (v) number of mature individuals</w:t>
            </w:r>
          </w:p>
        </w:tc>
      </w:tr>
      <w:tr w:rsidR="00557ED0" w:rsidRPr="00556843" w14:paraId="3778EBD2" w14:textId="77777777" w:rsidTr="00831E16">
        <w:tc>
          <w:tcPr>
            <w:tcW w:w="10738" w:type="dxa"/>
            <w:gridSpan w:val="4"/>
            <w:tcBorders>
              <w:top w:val="single" w:sz="4" w:space="0" w:color="FFFFFF" w:themeColor="background1"/>
            </w:tcBorders>
            <w:shd w:val="clear" w:color="auto" w:fill="BFBFBF" w:themeFill="background1" w:themeFillShade="BF"/>
          </w:tcPr>
          <w:p w14:paraId="3FE7B789" w14:textId="77777777" w:rsidR="00557ED0" w:rsidRPr="00556843" w:rsidRDefault="00557ED0" w:rsidP="00831E16">
            <w:pPr>
              <w:pStyle w:val="TableText"/>
              <w:ind w:left="492" w:hanging="492"/>
            </w:pPr>
            <w:r w:rsidRPr="00556843">
              <w:t>(c)</w:t>
            </w:r>
            <w:r w:rsidRPr="00556843">
              <w:tab/>
              <w:t>Extreme fluctuations in any of: (i) extent of occurrence; (ii) area of occupancy; (iii) number of locations or subpopulations; (iv) number of mature individuals</w:t>
            </w:r>
          </w:p>
        </w:tc>
      </w:tr>
    </w:tbl>
    <w:p w14:paraId="34FBA417" w14:textId="77777777" w:rsidR="00557ED0" w:rsidRPr="00B6264B" w:rsidRDefault="00557ED0" w:rsidP="00557ED0">
      <w:pPr>
        <w:pStyle w:val="Heading3"/>
        <w:ind w:left="964" w:hanging="964"/>
        <w:rPr>
          <w:lang w:eastAsia="ja-JP"/>
        </w:rPr>
      </w:pPr>
      <w:r w:rsidRPr="00535EDD">
        <w:rPr>
          <w:lang w:eastAsia="ja-JP"/>
        </w:rPr>
        <w:t>Criterion 2 evidence</w:t>
      </w:r>
    </w:p>
    <w:p w14:paraId="34D2E72A" w14:textId="0DC532B7" w:rsidR="00557ED0" w:rsidRDefault="00557ED0" w:rsidP="00557ED0">
      <w:pPr>
        <w:spacing w:before="120"/>
        <w:rPr>
          <w:b/>
          <w:bCs/>
          <w:lang w:eastAsia="ja-JP"/>
        </w:rPr>
      </w:pPr>
      <w:r w:rsidRPr="001F5DA5">
        <w:rPr>
          <w:rStyle w:val="Strong"/>
        </w:rPr>
        <w:t>Eligible under Criterion 2</w:t>
      </w:r>
      <w:r w:rsidRPr="001F5DA5">
        <w:rPr>
          <w:bCs/>
          <w:lang w:eastAsia="ja-JP"/>
        </w:rPr>
        <w:t xml:space="preserve"> </w:t>
      </w:r>
      <w:r w:rsidRPr="00CA7273">
        <w:rPr>
          <w:b/>
          <w:lang w:eastAsia="ja-JP"/>
        </w:rPr>
        <w:t>B1ab(iii</w:t>
      </w:r>
      <w:r w:rsidR="00D63BF1">
        <w:rPr>
          <w:b/>
          <w:lang w:eastAsia="ja-JP"/>
        </w:rPr>
        <w:t>,v</w:t>
      </w:r>
      <w:r w:rsidRPr="00CA7273">
        <w:rPr>
          <w:b/>
          <w:lang w:eastAsia="ja-JP"/>
        </w:rPr>
        <w:t>)+B2ab(iii</w:t>
      </w:r>
      <w:r w:rsidR="00D63BF1">
        <w:rPr>
          <w:b/>
          <w:lang w:eastAsia="ja-JP"/>
        </w:rPr>
        <w:t>,v</w:t>
      </w:r>
      <w:r w:rsidRPr="00CA7273">
        <w:rPr>
          <w:b/>
          <w:lang w:eastAsia="ja-JP"/>
        </w:rPr>
        <w:t>)</w:t>
      </w:r>
      <w:r w:rsidRPr="00CA7273">
        <w:rPr>
          <w:bCs/>
          <w:lang w:eastAsia="ja-JP"/>
        </w:rPr>
        <w:t xml:space="preserve"> </w:t>
      </w:r>
      <w:r w:rsidRPr="00CA7273">
        <w:rPr>
          <w:rStyle w:val="Strong"/>
        </w:rPr>
        <w:t>for listing as</w:t>
      </w:r>
      <w:r w:rsidRPr="00CA7273">
        <w:rPr>
          <w:b/>
          <w:bCs/>
          <w:lang w:eastAsia="ja-JP"/>
        </w:rPr>
        <w:t xml:space="preserve"> </w:t>
      </w:r>
      <w:sdt>
        <w:sdtPr>
          <w:rPr>
            <w:b/>
            <w:bCs/>
          </w:rPr>
          <w:id w:val="1779288282"/>
          <w:placeholder>
            <w:docPart w:val="02B17DCD58704C75A52AC534F9D08F48"/>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sidRPr="00CA7273">
            <w:rPr>
              <w:b/>
              <w:bCs/>
            </w:rPr>
            <w:t>Endangered</w:t>
          </w:r>
        </w:sdtContent>
      </w:sdt>
      <w:r w:rsidRPr="00CA7273">
        <w:rPr>
          <w:b/>
          <w:bCs/>
        </w:rPr>
        <w:t>.</w:t>
      </w:r>
      <w:r w:rsidRPr="00B6264B">
        <w:rPr>
          <w:b/>
          <w:bCs/>
          <w:lang w:eastAsia="ja-JP"/>
        </w:rPr>
        <w:t xml:space="preserve"> </w:t>
      </w:r>
    </w:p>
    <w:p w14:paraId="72BC98F5" w14:textId="77777777" w:rsidR="003F4C7C" w:rsidRPr="006061B5" w:rsidRDefault="003F4C7C" w:rsidP="003F4C7C">
      <w:pPr>
        <w:pStyle w:val="Heading4"/>
        <w:rPr>
          <w:lang w:eastAsia="ja-JP"/>
        </w:rPr>
      </w:pPr>
      <w:r w:rsidRPr="0014559E">
        <w:rPr>
          <w:lang w:eastAsia="ja-JP"/>
        </w:rPr>
        <w:t>E</w:t>
      </w:r>
      <w:r>
        <w:rPr>
          <w:lang w:eastAsia="ja-JP"/>
        </w:rPr>
        <w:t>xtent of occurrence (EOO) and area of occupancy (</w:t>
      </w:r>
      <w:r w:rsidRPr="006061B5">
        <w:rPr>
          <w:lang w:eastAsia="ja-JP"/>
        </w:rPr>
        <w:t>AOO)</w:t>
      </w:r>
    </w:p>
    <w:p w14:paraId="19FB03D0" w14:textId="5A2C4020" w:rsidR="00557ED0" w:rsidRDefault="00557ED0" w:rsidP="00557ED0">
      <w:pPr>
        <w:spacing w:before="120"/>
        <w:rPr>
          <w:lang w:eastAsia="ja-JP"/>
        </w:rPr>
      </w:pPr>
      <w:r w:rsidRPr="00751D8A">
        <w:rPr>
          <w:i/>
          <w:lang w:eastAsia="ja-JP"/>
        </w:rPr>
        <w:t>Euastacus balanensis</w:t>
      </w:r>
      <w:r w:rsidRPr="00751D8A">
        <w:rPr>
          <w:lang w:eastAsia="ja-JP"/>
        </w:rPr>
        <w:t xml:space="preserve"> is restricted to habitat in </w:t>
      </w:r>
      <w:r>
        <w:rPr>
          <w:lang w:eastAsia="ja-JP"/>
        </w:rPr>
        <w:t>six</w:t>
      </w:r>
      <w:r w:rsidRPr="00751D8A">
        <w:rPr>
          <w:lang w:eastAsia="ja-JP"/>
        </w:rPr>
        <w:t xml:space="preserve"> small streams in the highland rainforests to the East and South of Cairns in Far North Qld. A series of surveys </w:t>
      </w:r>
      <w:r w:rsidRPr="00751D8A">
        <w:rPr>
          <w:rFonts w:asciiTheme="majorHAnsi" w:hAnsiTheme="majorHAnsi"/>
        </w:rPr>
        <w:t xml:space="preserve">(i.e. </w:t>
      </w:r>
      <w:r>
        <w:rPr>
          <w:rFonts w:asciiTheme="majorHAnsi" w:hAnsiTheme="majorHAnsi"/>
        </w:rPr>
        <w:t xml:space="preserve">J. </w:t>
      </w:r>
      <w:r w:rsidRPr="00751D8A">
        <w:rPr>
          <w:rFonts w:asciiTheme="majorHAnsi" w:hAnsiTheme="majorHAnsi"/>
        </w:rPr>
        <w:t xml:space="preserve">Coughran </w:t>
      </w:r>
      <w:r>
        <w:rPr>
          <w:rFonts w:asciiTheme="majorHAnsi" w:hAnsiTheme="majorHAnsi"/>
        </w:rPr>
        <w:t xml:space="preserve">2008 </w:t>
      </w:r>
      <w:r w:rsidRPr="00751D8A">
        <w:rPr>
          <w:rFonts w:asciiTheme="majorHAnsi" w:hAnsiTheme="majorHAnsi"/>
        </w:rPr>
        <w:t>unpub</w:t>
      </w:r>
      <w:r>
        <w:rPr>
          <w:rFonts w:asciiTheme="majorHAnsi" w:hAnsiTheme="majorHAnsi"/>
        </w:rPr>
        <w:t>; R.B.</w:t>
      </w:r>
      <w:r w:rsidRPr="00751D8A">
        <w:rPr>
          <w:rFonts w:asciiTheme="majorHAnsi" w:hAnsiTheme="majorHAnsi"/>
        </w:rPr>
        <w:t xml:space="preserve"> McCormack </w:t>
      </w:r>
      <w:r>
        <w:rPr>
          <w:rFonts w:asciiTheme="majorHAnsi" w:hAnsiTheme="majorHAnsi"/>
        </w:rPr>
        <w:t xml:space="preserve">2008 </w:t>
      </w:r>
      <w:r w:rsidRPr="00751D8A">
        <w:rPr>
          <w:rFonts w:asciiTheme="majorHAnsi" w:hAnsiTheme="majorHAnsi"/>
        </w:rPr>
        <w:t>unpub)</w:t>
      </w:r>
      <w:r w:rsidRPr="00C53847">
        <w:rPr>
          <w:lang w:eastAsia="ja-JP"/>
        </w:rPr>
        <w:t xml:space="preserve"> confirmed the highly restricted distribution of this species</w:t>
      </w:r>
      <w:r w:rsidRPr="1D8AB4A0">
        <w:rPr>
          <w:lang w:eastAsia="ja-JP"/>
        </w:rPr>
        <w:t xml:space="preserve">: </w:t>
      </w:r>
      <w:r w:rsidRPr="00955FAD">
        <w:rPr>
          <w:lang w:eastAsia="ja-JP"/>
        </w:rPr>
        <w:t xml:space="preserve">EOO </w:t>
      </w:r>
      <w:r>
        <w:rPr>
          <w:lang w:eastAsia="ja-JP"/>
        </w:rPr>
        <w:t xml:space="preserve">= </w:t>
      </w:r>
      <w:r w:rsidRPr="00751D8A">
        <w:rPr>
          <w:lang w:eastAsia="ja-JP"/>
        </w:rPr>
        <w:t>461 km</w:t>
      </w:r>
      <w:r w:rsidRPr="00751D8A">
        <w:rPr>
          <w:vertAlign w:val="superscript"/>
          <w:lang w:eastAsia="ja-JP"/>
        </w:rPr>
        <w:t>2</w:t>
      </w:r>
      <w:r w:rsidRPr="00751D8A">
        <w:rPr>
          <w:lang w:eastAsia="ja-JP"/>
        </w:rPr>
        <w:t xml:space="preserve"> and </w:t>
      </w:r>
      <w:r>
        <w:rPr>
          <w:lang w:eastAsia="ja-JP"/>
        </w:rPr>
        <w:t xml:space="preserve">AOO = </w:t>
      </w:r>
      <w:r w:rsidRPr="00751D8A">
        <w:rPr>
          <w:lang w:eastAsia="ja-JP"/>
        </w:rPr>
        <w:t>36 km</w:t>
      </w:r>
      <w:r w:rsidRPr="00751D8A">
        <w:rPr>
          <w:vertAlign w:val="superscript"/>
          <w:lang w:eastAsia="ja-JP"/>
        </w:rPr>
        <w:t>2</w:t>
      </w:r>
      <w:r w:rsidRPr="00751D8A">
        <w:rPr>
          <w:lang w:eastAsia="ja-JP"/>
        </w:rPr>
        <w:t>.</w:t>
      </w:r>
      <w:r w:rsidRPr="1D8AB4A0">
        <w:rPr>
          <w:lang w:eastAsia="ja-JP"/>
        </w:rPr>
        <w:t xml:space="preserve"> </w:t>
      </w:r>
      <w:r w:rsidRPr="00CA7273">
        <w:rPr>
          <w:lang w:eastAsia="ja-JP"/>
        </w:rPr>
        <w:t>The EOO meets the threshold for listing as Endangered under Criterion B1 and the AOO meets the threshold for listing as Endangered under Criterion B2.</w:t>
      </w:r>
      <w:r w:rsidRPr="009C1F0D">
        <w:rPr>
          <w:lang w:eastAsia="ja-JP"/>
        </w:rPr>
        <w:t xml:space="preserve"> </w:t>
      </w:r>
    </w:p>
    <w:p w14:paraId="2F47FF5E" w14:textId="4FDB8DA0" w:rsidR="00B42A86" w:rsidRPr="00E36EB2" w:rsidRDefault="00B42A86" w:rsidP="00B42A86">
      <w:pPr>
        <w:spacing w:before="120"/>
        <w:rPr>
          <w:highlight w:val="yellow"/>
        </w:rPr>
      </w:pPr>
      <w:r w:rsidRPr="00581535">
        <w:rPr>
          <w:i/>
          <w:lang w:eastAsia="ja-JP"/>
        </w:rPr>
        <w:t>Euastacus balanensis</w:t>
      </w:r>
      <w:r w:rsidRPr="00581535">
        <w:rPr>
          <w:lang w:eastAsia="ja-JP"/>
        </w:rPr>
        <w:t xml:space="preserve"> is evidently a stream dwelling crayfish</w:t>
      </w:r>
      <w:r>
        <w:rPr>
          <w:lang w:eastAsia="ja-JP"/>
        </w:rPr>
        <w:t>;</w:t>
      </w:r>
      <w:r w:rsidRPr="00581535">
        <w:rPr>
          <w:lang w:eastAsia="ja-JP"/>
        </w:rPr>
        <w:t xml:space="preserve"> the species occupies small tropical headwater streams (e.g.</w:t>
      </w:r>
      <w:r>
        <w:rPr>
          <w:lang w:eastAsia="ja-JP"/>
        </w:rPr>
        <w:t>,</w:t>
      </w:r>
      <w:r w:rsidRPr="00581535">
        <w:rPr>
          <w:lang w:eastAsia="ja-JP"/>
        </w:rPr>
        <w:t xml:space="preserve"> </w:t>
      </w:r>
      <w:r w:rsidRPr="00581535">
        <w:rPr>
          <w:rFonts w:asciiTheme="majorHAnsi" w:eastAsia="Cambria" w:hAnsiTheme="majorHAnsi" w:cs="Arial"/>
          <w:szCs w:val="24"/>
          <w:lang w:val="en-US" w:eastAsia="en-AU"/>
        </w:rPr>
        <w:t xml:space="preserve">Morgan 1988; </w:t>
      </w:r>
      <w:r>
        <w:rPr>
          <w:rFonts w:asciiTheme="majorHAnsi" w:eastAsia="Cambria" w:hAnsiTheme="majorHAnsi" w:cs="Arial"/>
          <w:szCs w:val="24"/>
          <w:lang w:val="en-US" w:eastAsia="en-AU"/>
        </w:rPr>
        <w:t xml:space="preserve">J. </w:t>
      </w:r>
      <w:r w:rsidRPr="00C53847">
        <w:rPr>
          <w:rFonts w:asciiTheme="majorHAnsi" w:hAnsiTheme="majorHAnsi"/>
        </w:rPr>
        <w:t xml:space="preserve">Coughran </w:t>
      </w:r>
      <w:r>
        <w:rPr>
          <w:rFonts w:asciiTheme="majorHAnsi" w:hAnsiTheme="majorHAnsi"/>
        </w:rPr>
        <w:t xml:space="preserve">2008 </w:t>
      </w:r>
      <w:r w:rsidRPr="00C53847">
        <w:rPr>
          <w:rFonts w:asciiTheme="majorHAnsi" w:hAnsiTheme="majorHAnsi"/>
        </w:rPr>
        <w:t>unpub</w:t>
      </w:r>
      <w:r>
        <w:rPr>
          <w:rFonts w:asciiTheme="majorHAnsi" w:hAnsiTheme="majorHAnsi"/>
        </w:rPr>
        <w:t xml:space="preserve">; </w:t>
      </w:r>
      <w:r w:rsidRPr="00581535">
        <w:rPr>
          <w:rFonts w:asciiTheme="majorHAnsi" w:eastAsia="Cambria" w:hAnsiTheme="majorHAnsi" w:cs="Arial"/>
          <w:szCs w:val="24"/>
          <w:lang w:val="en-US" w:eastAsia="en-AU"/>
        </w:rPr>
        <w:t xml:space="preserve">Coughran </w:t>
      </w:r>
      <w:r>
        <w:rPr>
          <w:rFonts w:asciiTheme="majorHAnsi" w:eastAsia="Cambria" w:hAnsiTheme="majorHAnsi" w:cs="Arial"/>
          <w:szCs w:val="24"/>
          <w:lang w:val="en-US" w:eastAsia="en-AU"/>
        </w:rPr>
        <w:t>&amp;</w:t>
      </w:r>
      <w:r w:rsidRPr="00581535">
        <w:rPr>
          <w:rFonts w:asciiTheme="majorHAnsi" w:eastAsia="Cambria" w:hAnsiTheme="majorHAnsi" w:cs="Arial"/>
          <w:szCs w:val="24"/>
          <w:lang w:val="en-US" w:eastAsia="en-AU"/>
        </w:rPr>
        <w:t xml:space="preserve"> Furse 2010)</w:t>
      </w:r>
      <w:r w:rsidRPr="00581535">
        <w:rPr>
          <w:lang w:eastAsia="ja-JP"/>
        </w:rPr>
        <w:t xml:space="preserve"> that may be perennial due to the typically very high rainfalls in the region.</w:t>
      </w:r>
      <w:r>
        <w:rPr>
          <w:lang w:eastAsia="ja-JP"/>
        </w:rPr>
        <w:t xml:space="preserve"> High altitude stream habitat of this type is </w:t>
      </w:r>
      <w:r w:rsidRPr="00E779C2">
        <w:rPr>
          <w:lang w:eastAsia="ja-JP"/>
        </w:rPr>
        <w:t xml:space="preserve">not common in the rainforests of </w:t>
      </w:r>
      <w:r>
        <w:rPr>
          <w:lang w:eastAsia="ja-JP"/>
        </w:rPr>
        <w:t>Far North Qld</w:t>
      </w:r>
      <w:r w:rsidRPr="00E779C2">
        <w:rPr>
          <w:lang w:eastAsia="ja-JP"/>
        </w:rPr>
        <w:t>.</w:t>
      </w:r>
      <w:r>
        <w:rPr>
          <w:lang w:eastAsia="ja-JP"/>
        </w:rPr>
        <w:t xml:space="preserve"> This </w:t>
      </w:r>
      <w:r w:rsidRPr="00BD489E">
        <w:rPr>
          <w:lang w:eastAsia="ja-JP"/>
        </w:rPr>
        <w:t xml:space="preserve">increases the risk of species extinction, with </w:t>
      </w:r>
      <w:r w:rsidRPr="00E36EB2">
        <w:t>a large-scale meta</w:t>
      </w:r>
      <w:r w:rsidRPr="00E36EB2">
        <w:noBreakHyphen/>
        <w:t xml:space="preserve">analysis by Bland (2017) </w:t>
      </w:r>
      <w:r>
        <w:t>reporting</w:t>
      </w:r>
      <w:r w:rsidRPr="00E36EB2">
        <w:t xml:space="preserve"> that small range size is the single most important factor that influence extinction risk in freshwater crayfish.</w:t>
      </w:r>
    </w:p>
    <w:p w14:paraId="3961F566" w14:textId="77777777" w:rsidR="003F4C7C" w:rsidRDefault="003F4C7C" w:rsidP="003F4C7C">
      <w:pPr>
        <w:pStyle w:val="Heading4"/>
        <w:rPr>
          <w:lang w:eastAsia="ja-JP"/>
        </w:rPr>
      </w:pPr>
      <w:r>
        <w:rPr>
          <w:lang w:eastAsia="ja-JP"/>
        </w:rPr>
        <w:t>Number of locations</w:t>
      </w:r>
    </w:p>
    <w:p w14:paraId="28FAAB70" w14:textId="342BDA1F" w:rsidR="0088143D" w:rsidRDefault="00557ED0" w:rsidP="00557ED0">
      <w:pPr>
        <w:spacing w:before="120"/>
        <w:rPr>
          <w:lang w:eastAsia="ja-JP"/>
        </w:rPr>
      </w:pPr>
      <w:r w:rsidRPr="2DB3A534">
        <w:rPr>
          <w:i/>
          <w:iCs/>
          <w:lang w:eastAsia="ja-JP"/>
        </w:rPr>
        <w:t>Euastacus balanensis</w:t>
      </w:r>
      <w:r w:rsidRPr="2DB3A534">
        <w:rPr>
          <w:lang w:eastAsia="ja-JP"/>
        </w:rPr>
        <w:t xml:space="preserve"> has been recorded from </w:t>
      </w:r>
      <w:r w:rsidR="00B42A86" w:rsidRPr="2DB3A534">
        <w:rPr>
          <w:lang w:eastAsia="ja-JP"/>
        </w:rPr>
        <w:t xml:space="preserve">six sites </w:t>
      </w:r>
      <w:r w:rsidR="00D5032B" w:rsidRPr="2DB3A534">
        <w:rPr>
          <w:lang w:eastAsia="ja-JP"/>
        </w:rPr>
        <w:t xml:space="preserve">(all </w:t>
      </w:r>
      <w:r w:rsidR="00950FB3" w:rsidRPr="2DB3A534">
        <w:rPr>
          <w:lang w:eastAsia="ja-JP"/>
        </w:rPr>
        <w:t>&gt;700 m a.s.l)</w:t>
      </w:r>
      <w:r w:rsidRPr="2DB3A534">
        <w:rPr>
          <w:lang w:eastAsia="ja-JP"/>
        </w:rPr>
        <w:t>, which are assessed as one threat-defined location (</w:t>
      </w:r>
      <w:r w:rsidR="005F5B2A" w:rsidRPr="2DB3A534">
        <w:rPr>
          <w:lang w:eastAsia="ja-JP"/>
        </w:rPr>
        <w:t>IUCN Standards and Petitions Committee 2024</w:t>
      </w:r>
      <w:r w:rsidRPr="2DB3A534">
        <w:rPr>
          <w:lang w:eastAsia="ja-JP"/>
        </w:rPr>
        <w:t xml:space="preserve">), meeting the threshold for listing as </w:t>
      </w:r>
      <w:r w:rsidR="00044359" w:rsidRPr="2DB3A534">
        <w:rPr>
          <w:lang w:eastAsia="ja-JP"/>
        </w:rPr>
        <w:t xml:space="preserve">Critically </w:t>
      </w:r>
      <w:r w:rsidRPr="2DB3A534">
        <w:rPr>
          <w:lang w:eastAsia="ja-JP"/>
        </w:rPr>
        <w:t>Endangered under subcriterion (a). The proximity of the sites to each other is an important consideration. Sites that are close experience similar conditions over time (e.g., weather, temperature) compared to sites that are at greater distance from each other. Therefore, the major threats to this species, especially those associated with climate change</w:t>
      </w:r>
      <w:r w:rsidR="00804663" w:rsidRPr="2DB3A534">
        <w:rPr>
          <w:lang w:eastAsia="ja-JP"/>
        </w:rPr>
        <w:t xml:space="preserve"> (such as increased temperature)</w:t>
      </w:r>
      <w:r w:rsidR="00E9641F" w:rsidRPr="2DB3A534">
        <w:rPr>
          <w:lang w:eastAsia="ja-JP"/>
        </w:rPr>
        <w:t>,</w:t>
      </w:r>
      <w:r w:rsidRPr="2DB3A534">
        <w:rPr>
          <w:lang w:eastAsia="ja-JP"/>
        </w:rPr>
        <w:t xml:space="preserve"> are likely to be experienced in a relatively uniform fashion across the entire range of this species, with the likelihood of any habitat providing refuge from adverse conditions reduced to zero. Some species of </w:t>
      </w:r>
      <w:r w:rsidRPr="2DB3A534">
        <w:rPr>
          <w:i/>
          <w:iCs/>
          <w:lang w:eastAsia="ja-JP"/>
        </w:rPr>
        <w:t>Euastacus</w:t>
      </w:r>
      <w:r w:rsidRPr="2DB3A534">
        <w:rPr>
          <w:lang w:eastAsia="ja-JP"/>
        </w:rPr>
        <w:t xml:space="preserve"> have been identified as having </w:t>
      </w:r>
      <w:r w:rsidRPr="2DB3A534">
        <w:rPr>
          <w:lang w:eastAsia="ja-JP"/>
        </w:rPr>
        <w:lastRenderedPageBreak/>
        <w:t>limited tolerance to abiotic changes (Lowe et al. 2010; Bone et al. 2014; Bone et al. 2017) and are susceptible to ongoing declines in habitat through climate change (Bruna 2004).</w:t>
      </w:r>
      <w:r w:rsidR="00D50481" w:rsidRPr="2DB3A534">
        <w:rPr>
          <w:lang w:eastAsia="ja-JP"/>
        </w:rPr>
        <w:t xml:space="preserve"> </w:t>
      </w:r>
    </w:p>
    <w:p w14:paraId="025C8999" w14:textId="64AA95B7" w:rsidR="00557ED0" w:rsidRPr="00E779C2" w:rsidRDefault="00557ED0" w:rsidP="00557ED0">
      <w:pPr>
        <w:spacing w:before="120"/>
        <w:rPr>
          <w:lang w:eastAsia="ja-JP"/>
        </w:rPr>
      </w:pPr>
      <w:r w:rsidRPr="1D8AB4A0">
        <w:rPr>
          <w:lang w:eastAsia="ja-JP"/>
        </w:rPr>
        <w:t>Th</w:t>
      </w:r>
      <w:r>
        <w:rPr>
          <w:lang w:eastAsia="ja-JP"/>
        </w:rPr>
        <w:t>e</w:t>
      </w:r>
      <w:r w:rsidRPr="1D8AB4A0">
        <w:rPr>
          <w:lang w:eastAsia="ja-JP"/>
        </w:rPr>
        <w:t xml:space="preserve"> isolation</w:t>
      </w:r>
      <w:r w:rsidR="00105285" w:rsidRPr="00105285">
        <w:rPr>
          <w:lang w:eastAsia="ja-JP"/>
        </w:rPr>
        <w:t xml:space="preserve"> </w:t>
      </w:r>
      <w:r w:rsidR="00105285">
        <w:rPr>
          <w:lang w:eastAsia="ja-JP"/>
        </w:rPr>
        <w:t>of this species</w:t>
      </w:r>
      <w:r w:rsidR="00787492">
        <w:rPr>
          <w:lang w:eastAsia="ja-JP"/>
        </w:rPr>
        <w:t xml:space="preserve"> to the headwaters of streams at high altitudes (&gt;700 m a</w:t>
      </w:r>
      <w:r w:rsidR="00105285">
        <w:rPr>
          <w:lang w:eastAsia="ja-JP"/>
        </w:rPr>
        <w:t>.</w:t>
      </w:r>
      <w:r w:rsidR="00787492">
        <w:rPr>
          <w:lang w:eastAsia="ja-JP"/>
        </w:rPr>
        <w:t>s</w:t>
      </w:r>
      <w:r w:rsidR="00105285">
        <w:rPr>
          <w:lang w:eastAsia="ja-JP"/>
        </w:rPr>
        <w:t>.</w:t>
      </w:r>
      <w:r w:rsidR="00787492">
        <w:rPr>
          <w:lang w:eastAsia="ja-JP"/>
        </w:rPr>
        <w:t>l)</w:t>
      </w:r>
      <w:r>
        <w:rPr>
          <w:lang w:eastAsia="ja-JP"/>
        </w:rPr>
        <w:t xml:space="preserve"> </w:t>
      </w:r>
      <w:r w:rsidRPr="1D8AB4A0">
        <w:rPr>
          <w:lang w:eastAsia="ja-JP"/>
        </w:rPr>
        <w:t xml:space="preserve">increases the risk of extirpation of </w:t>
      </w:r>
      <w:r w:rsidRPr="002E66D3">
        <w:rPr>
          <w:lang w:eastAsia="ja-JP"/>
        </w:rPr>
        <w:t>any individual subpopulations</w:t>
      </w:r>
      <w:r w:rsidRPr="1D8AB4A0">
        <w:rPr>
          <w:lang w:eastAsia="ja-JP"/>
        </w:rPr>
        <w:t xml:space="preserve"> through environmental and demographic stochasticity (Bruna 2004; De Castro &amp; Bolker 2005). Therefore, current and future threats could potentially rapidly eliminate all individuals in the taxon.</w:t>
      </w:r>
    </w:p>
    <w:p w14:paraId="51CF4CBA" w14:textId="77777777" w:rsidR="003F4C7C" w:rsidRDefault="003F4C7C" w:rsidP="003F4C7C">
      <w:pPr>
        <w:pStyle w:val="Heading4"/>
        <w:rPr>
          <w:lang w:eastAsia="ja-JP"/>
        </w:rPr>
      </w:pPr>
      <w:r>
        <w:rPr>
          <w:lang w:eastAsia="ja-JP"/>
        </w:rPr>
        <w:t xml:space="preserve">Continuing decline </w:t>
      </w:r>
    </w:p>
    <w:p w14:paraId="28D6A01A" w14:textId="3F0014A9" w:rsidR="00D6290A" w:rsidRDefault="00557ED0" w:rsidP="00926723">
      <w:pPr>
        <w:spacing w:before="120"/>
        <w:rPr>
          <w:lang w:eastAsia="ja-JP"/>
        </w:rPr>
      </w:pPr>
      <w:r w:rsidRPr="00D625CC">
        <w:rPr>
          <w:rFonts w:asciiTheme="majorHAnsi" w:hAnsiTheme="majorHAnsi"/>
        </w:rPr>
        <w:t xml:space="preserve">By 2070, mean annual temperature in the Wet Tropics bioregion of Queensland is expected to increase by </w:t>
      </w:r>
      <w:r w:rsidRPr="00D625CC">
        <w:rPr>
          <w:rFonts w:asciiTheme="majorHAnsi" w:hAnsiTheme="majorHAnsi"/>
          <w:szCs w:val="18"/>
        </w:rPr>
        <w:t xml:space="preserve">1–2˚C (RCP 4.5) to 1.9–3.1˚C (RCP 8.5) </w:t>
      </w:r>
      <w:r w:rsidRPr="00D625CC">
        <w:rPr>
          <w:rFonts w:asciiTheme="majorHAnsi" w:hAnsiTheme="majorHAnsi"/>
        </w:rPr>
        <w:t>(</w:t>
      </w:r>
      <w:r w:rsidRPr="00D625CC">
        <w:rPr>
          <w:rFonts w:asciiTheme="majorHAnsi" w:hAnsiTheme="majorHAnsi"/>
          <w:szCs w:val="18"/>
        </w:rPr>
        <w:t>Syktus et al. 2020).</w:t>
      </w:r>
      <w:r w:rsidR="00424402">
        <w:rPr>
          <w:lang w:eastAsia="ja-JP"/>
        </w:rPr>
        <w:t xml:space="preserve"> </w:t>
      </w:r>
      <w:r w:rsidRPr="00160913">
        <w:rPr>
          <w:lang w:eastAsia="ja-JP"/>
        </w:rPr>
        <w:t xml:space="preserve">This is likely to lead to altitudinal compression of the species’ habitat, as there is limited scope for up slope migration by </w:t>
      </w:r>
      <w:r w:rsidRPr="00160913">
        <w:rPr>
          <w:i/>
          <w:lang w:eastAsia="ja-JP"/>
        </w:rPr>
        <w:t>E. balanensis</w:t>
      </w:r>
      <w:r w:rsidRPr="00160913">
        <w:rPr>
          <w:lang w:eastAsia="ja-JP"/>
        </w:rPr>
        <w:t>.</w:t>
      </w:r>
      <w:r w:rsidRPr="1D8AB4A0">
        <w:rPr>
          <w:lang w:eastAsia="ja-JP"/>
        </w:rPr>
        <w:t xml:space="preserve"> </w:t>
      </w:r>
      <w:r w:rsidR="00160913">
        <w:rPr>
          <w:lang w:eastAsia="ja-JP"/>
        </w:rPr>
        <w:t xml:space="preserve">It is also unlikely that the species can migrate to other suitable habitat </w:t>
      </w:r>
      <w:r w:rsidR="006240FF">
        <w:rPr>
          <w:lang w:eastAsia="ja-JP"/>
        </w:rPr>
        <w:t xml:space="preserve">further south of its current range </w:t>
      </w:r>
      <w:r w:rsidR="00160913">
        <w:rPr>
          <w:lang w:eastAsia="ja-JP"/>
        </w:rPr>
        <w:t xml:space="preserve">as this would involve moving through </w:t>
      </w:r>
      <w:r w:rsidR="0065278A">
        <w:rPr>
          <w:lang w:eastAsia="ja-JP"/>
        </w:rPr>
        <w:t xml:space="preserve">the </w:t>
      </w:r>
      <w:r w:rsidR="00160913">
        <w:rPr>
          <w:lang w:eastAsia="ja-JP"/>
        </w:rPr>
        <w:t>warmer valleys that surround the mountain tops inhabited by the species</w:t>
      </w:r>
      <w:r w:rsidR="008B2D4A">
        <w:rPr>
          <w:lang w:eastAsia="ja-JP"/>
        </w:rPr>
        <w:t xml:space="preserve"> (Rainforest CRC 2003)</w:t>
      </w:r>
      <w:r w:rsidR="00160913">
        <w:rPr>
          <w:lang w:eastAsia="ja-JP"/>
        </w:rPr>
        <w:t>.</w:t>
      </w:r>
      <w:r w:rsidR="00B860B4">
        <w:rPr>
          <w:lang w:eastAsia="ja-JP"/>
        </w:rPr>
        <w:t xml:space="preserve"> </w:t>
      </w:r>
      <w:r w:rsidR="00926723">
        <w:rPr>
          <w:lang w:eastAsia="ja-JP"/>
        </w:rPr>
        <w:t>Furthermore, c</w:t>
      </w:r>
      <w:r w:rsidR="00B860B4">
        <w:rPr>
          <w:lang w:eastAsia="ja-JP"/>
        </w:rPr>
        <w:t xml:space="preserve">limate change is projected to </w:t>
      </w:r>
      <w:r w:rsidR="00A21101">
        <w:rPr>
          <w:lang w:eastAsia="ja-JP"/>
        </w:rPr>
        <w:t xml:space="preserve">increase bushfire risk </w:t>
      </w:r>
      <w:r w:rsidR="004B2176">
        <w:rPr>
          <w:lang w:eastAsia="ja-JP"/>
        </w:rPr>
        <w:t>making rainforest habitat more prone to burning (</w:t>
      </w:r>
      <w:r w:rsidR="00121C5B">
        <w:rPr>
          <w:lang w:eastAsia="ja-JP"/>
        </w:rPr>
        <w:t xml:space="preserve">as was the case </w:t>
      </w:r>
      <w:r w:rsidR="00EF5B85">
        <w:rPr>
          <w:lang w:eastAsia="ja-JP"/>
        </w:rPr>
        <w:t>during the 2019</w:t>
      </w:r>
      <w:r w:rsidR="007C759D">
        <w:rPr>
          <w:lang w:eastAsia="ja-JP"/>
        </w:rPr>
        <w:t>–</w:t>
      </w:r>
      <w:r w:rsidR="00EF5B85">
        <w:rPr>
          <w:lang w:eastAsia="ja-JP"/>
        </w:rPr>
        <w:t>20</w:t>
      </w:r>
      <w:r w:rsidR="002E3184">
        <w:rPr>
          <w:lang w:eastAsia="ja-JP"/>
        </w:rPr>
        <w:t xml:space="preserve"> bushfire season</w:t>
      </w:r>
      <w:r w:rsidR="004B2176">
        <w:rPr>
          <w:lang w:eastAsia="ja-JP"/>
        </w:rPr>
        <w:t>)</w:t>
      </w:r>
      <w:r w:rsidR="00F57F1B">
        <w:rPr>
          <w:lang w:eastAsia="ja-JP"/>
        </w:rPr>
        <w:t xml:space="preserve"> thereby reducing the availability of suitable habitat</w:t>
      </w:r>
      <w:r w:rsidR="002E3184">
        <w:rPr>
          <w:lang w:eastAsia="ja-JP"/>
        </w:rPr>
        <w:t xml:space="preserve">. </w:t>
      </w:r>
    </w:p>
    <w:p w14:paraId="6CF58611" w14:textId="4D4F928F" w:rsidR="00557ED0" w:rsidRPr="000E4BB5" w:rsidRDefault="00E05376" w:rsidP="00557ED0">
      <w:pPr>
        <w:spacing w:before="120"/>
        <w:rPr>
          <w:lang w:eastAsia="ja-JP"/>
        </w:rPr>
      </w:pPr>
      <w:r w:rsidRPr="2DB3A534">
        <w:rPr>
          <w:lang w:eastAsia="ja-JP"/>
        </w:rPr>
        <w:t xml:space="preserve">It is </w:t>
      </w:r>
      <w:r w:rsidR="00F7544E" w:rsidRPr="2DB3A534">
        <w:rPr>
          <w:lang w:eastAsia="ja-JP"/>
        </w:rPr>
        <w:t xml:space="preserve">projected </w:t>
      </w:r>
      <w:r w:rsidRPr="2DB3A534">
        <w:rPr>
          <w:lang w:eastAsia="ja-JP"/>
        </w:rPr>
        <w:t xml:space="preserve">that there will be a decline in area, extent and/or quality of habitat due to impacts of climate change (principally increasing temperature, and reduced moisture availability) satisfying subcriterion (b)(iii). </w:t>
      </w:r>
      <w:r w:rsidR="006225EB" w:rsidRPr="2DB3A534">
        <w:rPr>
          <w:lang w:eastAsia="ja-JP"/>
        </w:rPr>
        <w:t xml:space="preserve"> </w:t>
      </w:r>
      <w:r w:rsidR="00D63BF1" w:rsidRPr="1FE1097E">
        <w:rPr>
          <w:lang w:eastAsia="ja-JP"/>
        </w:rPr>
        <w:t>Additionally, a decline in the number of mature individuals due to impacts from intense weather events such as heatwaves, plus more frequent and intense fires is projected, also satisfying subcriterion (b)(v).</w:t>
      </w:r>
    </w:p>
    <w:p w14:paraId="2EB71A55" w14:textId="77777777" w:rsidR="003F4C7C" w:rsidRDefault="003F4C7C" w:rsidP="00CB1DED">
      <w:pPr>
        <w:pStyle w:val="Heading4"/>
        <w:rPr>
          <w:lang w:val="en-US"/>
        </w:rPr>
      </w:pPr>
      <w:r>
        <w:t>Conclusion</w:t>
      </w:r>
      <w:r w:rsidRPr="000E4BB5">
        <w:rPr>
          <w:lang w:val="en-US"/>
        </w:rPr>
        <w:t xml:space="preserve"> </w:t>
      </w:r>
    </w:p>
    <w:p w14:paraId="22253D9A" w14:textId="173B064B" w:rsidR="00557ED0" w:rsidRPr="000E4BB5" w:rsidRDefault="00155FF5" w:rsidP="00557ED0">
      <w:pPr>
        <w:spacing w:before="120"/>
        <w:rPr>
          <w:rFonts w:cs="Calibri"/>
          <w:lang w:val="en-US"/>
        </w:rPr>
      </w:pPr>
      <w:r w:rsidRPr="738EC405">
        <w:rPr>
          <w:lang w:val="en-US"/>
        </w:rPr>
        <w:t>T</w:t>
      </w:r>
      <w:r w:rsidR="00557ED0" w:rsidRPr="738EC405">
        <w:rPr>
          <w:lang w:val="en-US"/>
        </w:rPr>
        <w:t xml:space="preserve">he species’ Extent of Occurrence (EOO) is highly restricted, the species occurs at only one location, and a continuing decline is projected in the </w:t>
      </w:r>
      <w:r w:rsidR="00557ED0">
        <w:t>area, extent and/or quality of habitat</w:t>
      </w:r>
      <w:r w:rsidR="00D8419D">
        <w:t xml:space="preserve"> and number of mature individuals</w:t>
      </w:r>
      <w:r w:rsidR="00557ED0" w:rsidRPr="738EC405">
        <w:rPr>
          <w:lang w:val="en-US"/>
        </w:rPr>
        <w:t xml:space="preserve">. Therefore, the species has met the relevant elements of Criterion 2 to make it eligible for listing as </w:t>
      </w:r>
      <w:r w:rsidR="00557ED0" w:rsidRPr="738EC405">
        <w:rPr>
          <w:b/>
          <w:bCs/>
          <w:lang w:val="en-US"/>
        </w:rPr>
        <w:t>Endangered</w:t>
      </w:r>
      <w:r w:rsidR="00557ED0" w:rsidRPr="738EC405">
        <w:rPr>
          <w:lang w:val="en-US"/>
        </w:rPr>
        <w:t>.</w:t>
      </w:r>
    </w:p>
    <w:p w14:paraId="09B90781" w14:textId="77777777" w:rsidR="00557ED0" w:rsidRPr="008C531D" w:rsidRDefault="00557ED0" w:rsidP="00557ED0">
      <w:pPr>
        <w:pStyle w:val="Caption"/>
        <w:rPr>
          <w:lang w:eastAsia="ja-JP"/>
        </w:rPr>
      </w:pPr>
      <w:r w:rsidRPr="002B69E4">
        <w:rPr>
          <w:lang w:eastAsia="ja-JP"/>
        </w:rPr>
        <w:lastRenderedPageBreak/>
        <w:t>Criterion 3</w:t>
      </w:r>
      <w:r>
        <w:rPr>
          <w:lang w:eastAsia="ja-JP"/>
        </w:rPr>
        <w:t xml:space="preserve"> </w:t>
      </w:r>
      <w:r w:rsidRPr="002B69E4">
        <w:rPr>
          <w:lang w:eastAsia="ja-JP"/>
        </w:rPr>
        <w:t>Population size and decline</w:t>
      </w:r>
    </w:p>
    <w:tbl>
      <w:tblPr>
        <w:tblStyle w:val="TableGrid"/>
        <w:tblW w:w="0" w:type="auto"/>
        <w:tblCellMar>
          <w:top w:w="57" w:type="dxa"/>
          <w:left w:w="85" w:type="dxa"/>
          <w:bottom w:w="57" w:type="dxa"/>
        </w:tblCellMar>
        <w:tblLook w:val="04A0" w:firstRow="1" w:lastRow="0" w:firstColumn="1" w:lastColumn="0" w:noHBand="0" w:noVBand="1"/>
      </w:tblPr>
      <w:tblGrid>
        <w:gridCol w:w="419"/>
        <w:gridCol w:w="2976"/>
        <w:gridCol w:w="1930"/>
        <w:gridCol w:w="1833"/>
        <w:gridCol w:w="1902"/>
      </w:tblGrid>
      <w:tr w:rsidR="00557ED0" w:rsidRPr="00556843" w14:paraId="2AD473FF" w14:textId="77777777" w:rsidTr="00831E16">
        <w:trPr>
          <w:trHeight w:val="350"/>
        </w:trPr>
        <w:tc>
          <w:tcPr>
            <w:tcW w:w="9060" w:type="dxa"/>
            <w:gridSpan w:val="5"/>
            <w:tcBorders>
              <w:left w:val="single" w:sz="4" w:space="0" w:color="auto"/>
              <w:bottom w:val="nil"/>
              <w:right w:val="single" w:sz="4" w:space="0" w:color="auto"/>
            </w:tcBorders>
            <w:shd w:val="clear" w:color="auto" w:fill="595959" w:themeFill="text1" w:themeFillTint="A6"/>
            <w:vAlign w:val="center"/>
          </w:tcPr>
          <w:p w14:paraId="1A618914" w14:textId="77777777" w:rsidR="00557ED0" w:rsidRPr="00556843" w:rsidRDefault="00557ED0" w:rsidP="00831E16">
            <w:pPr>
              <w:keepNext/>
              <w:tabs>
                <w:tab w:val="left" w:pos="284"/>
              </w:tabs>
              <w:rPr>
                <w:rFonts w:ascii="Arial" w:hAnsi="Arial" w:cs="Arial"/>
                <w:b/>
                <w:color w:val="FFFFFF" w:themeColor="background1"/>
              </w:rPr>
            </w:pPr>
          </w:p>
        </w:tc>
      </w:tr>
      <w:tr w:rsidR="00557ED0" w:rsidRPr="00556843" w14:paraId="039B8107" w14:textId="77777777" w:rsidTr="00831E16">
        <w:tc>
          <w:tcPr>
            <w:tcW w:w="3395" w:type="dxa"/>
            <w:gridSpan w:val="2"/>
            <w:tcBorders>
              <w:top w:val="nil"/>
              <w:left w:val="single" w:sz="4" w:space="0" w:color="auto"/>
              <w:bottom w:val="nil"/>
              <w:right w:val="nil"/>
            </w:tcBorders>
          </w:tcPr>
          <w:p w14:paraId="3372CC2A" w14:textId="77777777" w:rsidR="00557ED0" w:rsidRPr="00AE31DA" w:rsidRDefault="00557ED0" w:rsidP="00831E16">
            <w:pPr>
              <w:pStyle w:val="TableText"/>
              <w:keepNext/>
            </w:pPr>
            <w:r w:rsidRPr="00AE31DA">
              <w:rPr>
                <w:color w:val="FFFFFF" w:themeColor="background1"/>
              </w:rPr>
              <w:t>–</w:t>
            </w:r>
          </w:p>
        </w:tc>
        <w:tc>
          <w:tcPr>
            <w:tcW w:w="1930" w:type="dxa"/>
            <w:tcBorders>
              <w:top w:val="single" w:sz="4" w:space="0" w:color="FFFFFF" w:themeColor="background1"/>
              <w:left w:val="nil"/>
              <w:bottom w:val="nil"/>
              <w:right w:val="single" w:sz="4" w:space="0" w:color="FFFFFF" w:themeColor="background1"/>
            </w:tcBorders>
            <w:shd w:val="clear" w:color="auto" w:fill="FF0000"/>
          </w:tcPr>
          <w:p w14:paraId="560F2885" w14:textId="77777777" w:rsidR="00557ED0" w:rsidRPr="00556843" w:rsidRDefault="00557ED0" w:rsidP="00831E16">
            <w:pPr>
              <w:pStyle w:val="TableText"/>
              <w:keepNext/>
              <w:rPr>
                <w:b/>
              </w:rPr>
            </w:pPr>
            <w:r w:rsidRPr="00556843">
              <w:rPr>
                <w:b/>
              </w:rPr>
              <w:t>Critically Endangered</w:t>
            </w:r>
          </w:p>
          <w:p w14:paraId="1E92582D" w14:textId="77777777" w:rsidR="00557ED0" w:rsidRPr="00556843" w:rsidRDefault="00557ED0" w:rsidP="00831E16">
            <w:pPr>
              <w:pStyle w:val="TableText"/>
              <w:keepNext/>
              <w:rPr>
                <w:b/>
              </w:rPr>
            </w:pPr>
            <w:r w:rsidRPr="00556843">
              <w:rPr>
                <w:b/>
              </w:rPr>
              <w:t>Very low</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6600"/>
          </w:tcPr>
          <w:p w14:paraId="6F4D725D" w14:textId="77777777" w:rsidR="00557ED0" w:rsidRPr="00556843" w:rsidRDefault="00557ED0" w:rsidP="00831E16">
            <w:pPr>
              <w:pStyle w:val="TableText"/>
              <w:keepNext/>
              <w:rPr>
                <w:b/>
              </w:rPr>
            </w:pPr>
            <w:r w:rsidRPr="00556843">
              <w:rPr>
                <w:b/>
              </w:rPr>
              <w:t>Endangered</w:t>
            </w:r>
          </w:p>
          <w:p w14:paraId="09294696" w14:textId="77777777" w:rsidR="00557ED0" w:rsidRPr="00556843" w:rsidRDefault="00557ED0" w:rsidP="00831E16">
            <w:pPr>
              <w:pStyle w:val="TableText"/>
              <w:keepNext/>
              <w:rPr>
                <w:b/>
              </w:rPr>
            </w:pPr>
            <w:r w:rsidRPr="00556843">
              <w:rPr>
                <w:b/>
              </w:rPr>
              <w:t>Low</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00"/>
          </w:tcPr>
          <w:p w14:paraId="0F859215" w14:textId="77777777" w:rsidR="00557ED0" w:rsidRPr="00556843" w:rsidRDefault="00557ED0" w:rsidP="00831E16">
            <w:pPr>
              <w:pStyle w:val="TableText"/>
              <w:keepNext/>
              <w:rPr>
                <w:b/>
              </w:rPr>
            </w:pPr>
            <w:r w:rsidRPr="00556843">
              <w:rPr>
                <w:b/>
              </w:rPr>
              <w:t>Vulnerable</w:t>
            </w:r>
          </w:p>
          <w:p w14:paraId="1241DBD7" w14:textId="77777777" w:rsidR="00557ED0" w:rsidRPr="00556843" w:rsidRDefault="00557ED0" w:rsidP="00831E16">
            <w:pPr>
              <w:pStyle w:val="TableText"/>
              <w:keepNext/>
              <w:rPr>
                <w:b/>
              </w:rPr>
            </w:pPr>
            <w:r w:rsidRPr="00556843">
              <w:rPr>
                <w:b/>
              </w:rPr>
              <w:t>Limited</w:t>
            </w:r>
          </w:p>
        </w:tc>
      </w:tr>
      <w:tr w:rsidR="00557ED0" w:rsidRPr="00556843" w14:paraId="4938C0CB" w14:textId="77777777" w:rsidTr="00831E16">
        <w:tc>
          <w:tcPr>
            <w:tcW w:w="3395" w:type="dxa"/>
            <w:gridSpan w:val="2"/>
            <w:tcBorders>
              <w:top w:val="nil"/>
              <w:left w:val="single" w:sz="4" w:space="0" w:color="auto"/>
              <w:bottom w:val="single" w:sz="4" w:space="0" w:color="FFFFFF" w:themeColor="background1"/>
              <w:right w:val="nil"/>
            </w:tcBorders>
            <w:shd w:val="clear" w:color="auto" w:fill="BFBFBF" w:themeFill="background1" w:themeFillShade="BF"/>
          </w:tcPr>
          <w:p w14:paraId="7FB1ACAD" w14:textId="77777777" w:rsidR="00557ED0" w:rsidRPr="00556843" w:rsidRDefault="00557ED0" w:rsidP="00831E16">
            <w:pPr>
              <w:pStyle w:val="TableText"/>
              <w:keepNext/>
            </w:pPr>
            <w:r w:rsidRPr="00556843">
              <w:t>Estimated number of mature individuals</w:t>
            </w:r>
          </w:p>
        </w:tc>
        <w:tc>
          <w:tcPr>
            <w:tcW w:w="1930" w:type="dxa"/>
            <w:tcBorders>
              <w:top w:val="nil"/>
              <w:left w:val="nil"/>
              <w:bottom w:val="single" w:sz="4" w:space="0" w:color="FFFFFF" w:themeColor="background1"/>
              <w:right w:val="single" w:sz="4" w:space="0" w:color="FFFFFF" w:themeColor="background1"/>
            </w:tcBorders>
            <w:shd w:val="clear" w:color="auto" w:fill="FF7C80"/>
          </w:tcPr>
          <w:p w14:paraId="5E3A5F75" w14:textId="77777777" w:rsidR="00557ED0" w:rsidRPr="00556843" w:rsidRDefault="00557ED0" w:rsidP="00831E16">
            <w:pPr>
              <w:pStyle w:val="TableText"/>
              <w:keepNext/>
              <w:rPr>
                <w:b/>
              </w:rPr>
            </w:pPr>
            <w:r w:rsidRPr="00556843">
              <w:rPr>
                <w:b/>
              </w:rPr>
              <w:t>&lt; 250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tcPr>
          <w:p w14:paraId="006CFA07" w14:textId="77777777" w:rsidR="00557ED0" w:rsidRPr="00556843" w:rsidRDefault="00557ED0" w:rsidP="00831E16">
            <w:pPr>
              <w:pStyle w:val="TableText"/>
              <w:keepNext/>
            </w:pPr>
            <w:r w:rsidRPr="00556843">
              <w:rPr>
                <w:b/>
              </w:rPr>
              <w:t xml:space="preserve">&lt; 2,500 </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tcPr>
          <w:p w14:paraId="6FC08EF2" w14:textId="77777777" w:rsidR="00557ED0" w:rsidRPr="00556843" w:rsidRDefault="00557ED0" w:rsidP="00831E16">
            <w:pPr>
              <w:pStyle w:val="TableText"/>
              <w:keepNext/>
            </w:pPr>
            <w:r w:rsidRPr="00556843">
              <w:rPr>
                <w:b/>
              </w:rPr>
              <w:t xml:space="preserve">&lt; 10,000 </w:t>
            </w:r>
          </w:p>
        </w:tc>
      </w:tr>
      <w:tr w:rsidR="00557ED0" w:rsidRPr="00556843" w14:paraId="31EDFA99" w14:textId="77777777" w:rsidTr="00831E16">
        <w:tc>
          <w:tcPr>
            <w:tcW w:w="3395" w:type="dxa"/>
            <w:gridSpan w:val="2"/>
            <w:tcBorders>
              <w:top w:val="nil"/>
              <w:left w:val="single" w:sz="4" w:space="0" w:color="auto"/>
              <w:bottom w:val="single" w:sz="4" w:space="0" w:color="FFFFFF" w:themeColor="background1"/>
              <w:right w:val="nil"/>
            </w:tcBorders>
            <w:shd w:val="clear" w:color="auto" w:fill="auto"/>
          </w:tcPr>
          <w:p w14:paraId="2148F9E6" w14:textId="77777777" w:rsidR="00557ED0" w:rsidRPr="00556843" w:rsidRDefault="00557ED0" w:rsidP="00831E16">
            <w:pPr>
              <w:pStyle w:val="TableText"/>
              <w:keepNext/>
            </w:pPr>
            <w:r w:rsidRPr="00556843">
              <w:t>AND either (C1) or (C2) is true</w:t>
            </w:r>
          </w:p>
        </w:tc>
        <w:tc>
          <w:tcPr>
            <w:tcW w:w="1930" w:type="dxa"/>
            <w:tcBorders>
              <w:top w:val="nil"/>
              <w:left w:val="nil"/>
              <w:bottom w:val="single" w:sz="4" w:space="0" w:color="FFFFFF" w:themeColor="background1"/>
              <w:right w:val="single" w:sz="4" w:space="0" w:color="FFFFFF" w:themeColor="background1"/>
            </w:tcBorders>
            <w:shd w:val="clear" w:color="auto" w:fill="auto"/>
          </w:tcPr>
          <w:p w14:paraId="07A7B158" w14:textId="77777777" w:rsidR="00557ED0" w:rsidRPr="00556843" w:rsidRDefault="00557ED0" w:rsidP="00831E16">
            <w:pPr>
              <w:pStyle w:val="TableText"/>
              <w:keepNext/>
              <w:rPr>
                <w:b/>
              </w:rPr>
            </w:pP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auto"/>
          </w:tcPr>
          <w:p w14:paraId="474B26B4" w14:textId="77777777" w:rsidR="00557ED0" w:rsidRPr="00556843" w:rsidRDefault="00557ED0" w:rsidP="00831E16">
            <w:pPr>
              <w:pStyle w:val="TableText"/>
              <w:keepNext/>
              <w:rPr>
                <w:b/>
              </w:rPr>
            </w:pP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auto"/>
          </w:tcPr>
          <w:p w14:paraId="2918A7E6" w14:textId="77777777" w:rsidR="00557ED0" w:rsidRPr="00556843" w:rsidRDefault="00557ED0" w:rsidP="00831E16">
            <w:pPr>
              <w:pStyle w:val="TableText"/>
              <w:keepNext/>
              <w:rPr>
                <w:b/>
              </w:rPr>
            </w:pPr>
          </w:p>
        </w:tc>
      </w:tr>
      <w:tr w:rsidR="00557ED0" w:rsidRPr="00556843" w14:paraId="0849DD56" w14:textId="77777777" w:rsidTr="00831E16">
        <w:tc>
          <w:tcPr>
            <w:tcW w:w="3395" w:type="dxa"/>
            <w:gridSpan w:val="2"/>
            <w:tcBorders>
              <w:top w:val="single" w:sz="4" w:space="0" w:color="FFFFFF" w:themeColor="background1"/>
              <w:left w:val="single" w:sz="4" w:space="0" w:color="auto"/>
              <w:bottom w:val="nil"/>
              <w:right w:val="nil"/>
            </w:tcBorders>
            <w:shd w:val="clear" w:color="auto" w:fill="BFBFBF" w:themeFill="background1" w:themeFillShade="BF"/>
          </w:tcPr>
          <w:p w14:paraId="11B38378" w14:textId="77777777" w:rsidR="00557ED0" w:rsidRPr="00556843" w:rsidRDefault="00557ED0" w:rsidP="00831E16">
            <w:pPr>
              <w:pStyle w:val="TableText"/>
              <w:keepNext/>
              <w:ind w:left="334" w:hanging="334"/>
            </w:pPr>
            <w:r w:rsidRPr="00855316">
              <w:rPr>
                <w:rStyle w:val="Strong"/>
              </w:rPr>
              <w:t>C1</w:t>
            </w:r>
            <w:r>
              <w:rPr>
                <w:rStyle w:val="Strong"/>
              </w:rPr>
              <w:t>.</w:t>
            </w:r>
            <w:r w:rsidRPr="00556843">
              <w:tab/>
              <w:t>An observed, estimated or projected continuing decline of at least (up to a max. of 100 years in future)</w:t>
            </w:r>
          </w:p>
        </w:tc>
        <w:tc>
          <w:tcPr>
            <w:tcW w:w="1930" w:type="dxa"/>
            <w:tcBorders>
              <w:top w:val="single" w:sz="4" w:space="0" w:color="FFFFFF" w:themeColor="background1"/>
              <w:left w:val="nil"/>
              <w:bottom w:val="nil"/>
              <w:right w:val="single" w:sz="4" w:space="0" w:color="FFFFFF" w:themeColor="background1"/>
            </w:tcBorders>
            <w:shd w:val="clear" w:color="auto" w:fill="FF7C80"/>
          </w:tcPr>
          <w:p w14:paraId="2EC75BCD" w14:textId="77777777" w:rsidR="00557ED0" w:rsidRPr="00556843" w:rsidRDefault="00557ED0" w:rsidP="00831E16">
            <w:pPr>
              <w:pStyle w:val="TableText"/>
              <w:keepNext/>
              <w:rPr>
                <w:b/>
              </w:rPr>
            </w:pPr>
            <w:r w:rsidRPr="00556843">
              <w:rPr>
                <w:b/>
              </w:rPr>
              <w:t>Very high rate</w:t>
            </w:r>
          </w:p>
          <w:p w14:paraId="31198CB5" w14:textId="77777777" w:rsidR="00557ED0" w:rsidRPr="00556843" w:rsidRDefault="00557ED0" w:rsidP="00831E16">
            <w:pPr>
              <w:pStyle w:val="TableText"/>
              <w:keepNext/>
              <w:rPr>
                <w:b/>
              </w:rPr>
            </w:pPr>
            <w:r w:rsidRPr="00556843">
              <w:rPr>
                <w:b/>
              </w:rPr>
              <w:t>25% in 3 years or 1 generation</w:t>
            </w:r>
          </w:p>
          <w:p w14:paraId="3C37CF4D" w14:textId="77777777" w:rsidR="00557ED0" w:rsidRPr="00556843" w:rsidRDefault="00557ED0" w:rsidP="00831E16">
            <w:pPr>
              <w:pStyle w:val="TableText"/>
              <w:keepNext/>
              <w:rPr>
                <w:b/>
              </w:rPr>
            </w:pPr>
            <w:r w:rsidRPr="00556843">
              <w:rPr>
                <w:b/>
              </w:rPr>
              <w:t>(whichever is longer)</w:t>
            </w:r>
          </w:p>
        </w:tc>
        <w:tc>
          <w:tcPr>
            <w:tcW w:w="1833" w:type="dxa"/>
            <w:tcBorders>
              <w:top w:val="single" w:sz="4" w:space="0" w:color="FFFFFF" w:themeColor="background1"/>
              <w:left w:val="single" w:sz="4" w:space="0" w:color="FFFFFF" w:themeColor="background1"/>
              <w:bottom w:val="nil"/>
              <w:right w:val="single" w:sz="4" w:space="0" w:color="FFFFFF" w:themeColor="background1"/>
            </w:tcBorders>
            <w:shd w:val="clear" w:color="auto" w:fill="FF9933"/>
          </w:tcPr>
          <w:p w14:paraId="441884C1" w14:textId="77777777" w:rsidR="00557ED0" w:rsidRPr="00556843" w:rsidRDefault="00557ED0" w:rsidP="00831E16">
            <w:pPr>
              <w:pStyle w:val="TableText"/>
              <w:keepNext/>
              <w:rPr>
                <w:b/>
              </w:rPr>
            </w:pPr>
            <w:r w:rsidRPr="00556843">
              <w:rPr>
                <w:b/>
              </w:rPr>
              <w:t>High rate</w:t>
            </w:r>
          </w:p>
          <w:p w14:paraId="7BA9BA66" w14:textId="77777777" w:rsidR="00557ED0" w:rsidRPr="00556843" w:rsidRDefault="00557ED0" w:rsidP="00831E16">
            <w:pPr>
              <w:pStyle w:val="TableText"/>
              <w:keepNext/>
              <w:rPr>
                <w:b/>
              </w:rPr>
            </w:pPr>
            <w:r w:rsidRPr="00556843">
              <w:rPr>
                <w:b/>
              </w:rPr>
              <w:t>20% in 5 years or 2 generation</w:t>
            </w:r>
          </w:p>
          <w:p w14:paraId="3960D68A" w14:textId="77777777" w:rsidR="00557ED0" w:rsidRPr="00556843" w:rsidRDefault="00557ED0" w:rsidP="00831E16">
            <w:pPr>
              <w:pStyle w:val="TableText"/>
              <w:keepNext/>
              <w:rPr>
                <w:b/>
              </w:rPr>
            </w:pPr>
            <w:r w:rsidRPr="00556843">
              <w:rPr>
                <w:b/>
              </w:rPr>
              <w:t>(whichever is longer)</w:t>
            </w:r>
          </w:p>
        </w:tc>
        <w:tc>
          <w:tcPr>
            <w:tcW w:w="1902" w:type="dxa"/>
            <w:tcBorders>
              <w:top w:val="single" w:sz="4" w:space="0" w:color="FFFFFF" w:themeColor="background1"/>
              <w:left w:val="single" w:sz="4" w:space="0" w:color="FFFFFF" w:themeColor="background1"/>
              <w:bottom w:val="nil"/>
              <w:right w:val="single" w:sz="4" w:space="0" w:color="auto"/>
            </w:tcBorders>
            <w:shd w:val="clear" w:color="auto" w:fill="FFFF66"/>
          </w:tcPr>
          <w:p w14:paraId="53132CCC" w14:textId="77777777" w:rsidR="00557ED0" w:rsidRPr="00556843" w:rsidRDefault="00557ED0" w:rsidP="00831E16">
            <w:pPr>
              <w:pStyle w:val="TableText"/>
              <w:keepNext/>
              <w:rPr>
                <w:b/>
              </w:rPr>
            </w:pPr>
            <w:r w:rsidRPr="00556843">
              <w:rPr>
                <w:b/>
              </w:rPr>
              <w:t>Substantial rate</w:t>
            </w:r>
          </w:p>
          <w:p w14:paraId="21AA5E96" w14:textId="77777777" w:rsidR="00557ED0" w:rsidRPr="00556843" w:rsidRDefault="00557ED0" w:rsidP="00831E16">
            <w:pPr>
              <w:pStyle w:val="TableText"/>
              <w:keepNext/>
              <w:rPr>
                <w:b/>
              </w:rPr>
            </w:pPr>
            <w:r w:rsidRPr="00556843">
              <w:rPr>
                <w:b/>
              </w:rPr>
              <w:t>10% in 10 years or 3 generations</w:t>
            </w:r>
          </w:p>
          <w:p w14:paraId="1FFB571E" w14:textId="77777777" w:rsidR="00557ED0" w:rsidRPr="00556843" w:rsidRDefault="00557ED0" w:rsidP="00831E16">
            <w:pPr>
              <w:pStyle w:val="TableText"/>
              <w:keepNext/>
              <w:rPr>
                <w:b/>
              </w:rPr>
            </w:pPr>
            <w:r w:rsidRPr="00556843">
              <w:rPr>
                <w:b/>
              </w:rPr>
              <w:t>(whichever is longer)</w:t>
            </w:r>
          </w:p>
        </w:tc>
      </w:tr>
      <w:tr w:rsidR="00557ED0" w:rsidRPr="00556843" w14:paraId="70D741F3" w14:textId="77777777" w:rsidTr="00831E16">
        <w:tc>
          <w:tcPr>
            <w:tcW w:w="3395" w:type="dxa"/>
            <w:gridSpan w:val="2"/>
            <w:tcBorders>
              <w:top w:val="nil"/>
              <w:left w:val="single" w:sz="4" w:space="0" w:color="auto"/>
              <w:bottom w:val="nil"/>
              <w:right w:val="nil"/>
            </w:tcBorders>
            <w:shd w:val="clear" w:color="auto" w:fill="BFBFBF" w:themeFill="background1" w:themeFillShade="BF"/>
          </w:tcPr>
          <w:p w14:paraId="14BCF201" w14:textId="77777777" w:rsidR="00557ED0" w:rsidRPr="00556843" w:rsidRDefault="00557ED0" w:rsidP="00831E16">
            <w:pPr>
              <w:pStyle w:val="TableText"/>
              <w:keepNext/>
              <w:ind w:left="336" w:hanging="336"/>
            </w:pPr>
            <w:r w:rsidRPr="00855316">
              <w:rPr>
                <w:rStyle w:val="Strong"/>
              </w:rPr>
              <w:t>C2</w:t>
            </w:r>
            <w:r>
              <w:rPr>
                <w:rStyle w:val="Strong"/>
              </w:rPr>
              <w:t>.</w:t>
            </w:r>
            <w:r w:rsidRPr="00556843">
              <w:tab/>
              <w:t>An observed, estimated, projected or inferred continuing decline AND its geographic distribution is precarious for its survival based on at least 1 of the following 3 conditions:</w:t>
            </w:r>
          </w:p>
        </w:tc>
        <w:tc>
          <w:tcPr>
            <w:tcW w:w="1930" w:type="dxa"/>
            <w:tcBorders>
              <w:top w:val="nil"/>
              <w:left w:val="nil"/>
              <w:bottom w:val="nil"/>
              <w:right w:val="nil"/>
            </w:tcBorders>
          </w:tcPr>
          <w:p w14:paraId="2F9CC7F6" w14:textId="77777777" w:rsidR="00557ED0" w:rsidRPr="00556843" w:rsidRDefault="00557ED0" w:rsidP="00831E16">
            <w:pPr>
              <w:pStyle w:val="TableText"/>
              <w:keepNext/>
            </w:pPr>
          </w:p>
        </w:tc>
        <w:tc>
          <w:tcPr>
            <w:tcW w:w="1833" w:type="dxa"/>
            <w:tcBorders>
              <w:top w:val="nil"/>
              <w:left w:val="nil"/>
              <w:bottom w:val="nil"/>
              <w:right w:val="nil"/>
            </w:tcBorders>
          </w:tcPr>
          <w:p w14:paraId="2CAFF9AA" w14:textId="77777777" w:rsidR="00557ED0" w:rsidRPr="00556843" w:rsidRDefault="00557ED0" w:rsidP="00831E16">
            <w:pPr>
              <w:pStyle w:val="TableText"/>
              <w:keepNext/>
            </w:pPr>
          </w:p>
        </w:tc>
        <w:tc>
          <w:tcPr>
            <w:tcW w:w="1902" w:type="dxa"/>
            <w:tcBorders>
              <w:top w:val="nil"/>
              <w:left w:val="nil"/>
              <w:bottom w:val="nil"/>
              <w:right w:val="single" w:sz="4" w:space="0" w:color="auto"/>
            </w:tcBorders>
          </w:tcPr>
          <w:p w14:paraId="7609CBAA" w14:textId="77777777" w:rsidR="00557ED0" w:rsidRPr="00556843" w:rsidRDefault="00557ED0" w:rsidP="00831E16">
            <w:pPr>
              <w:pStyle w:val="TableText"/>
              <w:keepNext/>
            </w:pPr>
          </w:p>
        </w:tc>
      </w:tr>
      <w:tr w:rsidR="00557ED0" w:rsidRPr="00556843" w14:paraId="2FAEA515" w14:textId="77777777" w:rsidTr="00831E16">
        <w:tc>
          <w:tcPr>
            <w:tcW w:w="419" w:type="dxa"/>
            <w:vMerge w:val="restart"/>
            <w:tcBorders>
              <w:top w:val="nil"/>
              <w:left w:val="single" w:sz="4" w:space="0" w:color="auto"/>
              <w:right w:val="nil"/>
            </w:tcBorders>
            <w:shd w:val="clear" w:color="auto" w:fill="D9D9D9" w:themeFill="background1" w:themeFillShade="D9"/>
            <w:vAlign w:val="center"/>
          </w:tcPr>
          <w:p w14:paraId="0D09F799" w14:textId="77777777" w:rsidR="00557ED0" w:rsidRPr="00556843" w:rsidRDefault="00557ED0" w:rsidP="00831E16">
            <w:pPr>
              <w:pStyle w:val="TableText"/>
              <w:keepNext/>
            </w:pPr>
            <w:r w:rsidRPr="00556843">
              <w:t>(a)</w:t>
            </w:r>
          </w:p>
        </w:tc>
        <w:tc>
          <w:tcPr>
            <w:tcW w:w="2976" w:type="dxa"/>
            <w:tcBorders>
              <w:top w:val="single" w:sz="4" w:space="0" w:color="FFFFFF" w:themeColor="background1"/>
              <w:left w:val="nil"/>
              <w:bottom w:val="single" w:sz="4" w:space="0" w:color="FFFFFF" w:themeColor="background1"/>
              <w:right w:val="single" w:sz="4" w:space="0" w:color="FFFFFF" w:themeColor="background1"/>
            </w:tcBorders>
            <w:shd w:val="clear" w:color="auto" w:fill="D9D9D9" w:themeFill="background1" w:themeFillShade="D9"/>
          </w:tcPr>
          <w:p w14:paraId="526C66D9" w14:textId="77777777" w:rsidR="00557ED0" w:rsidRPr="00556843" w:rsidRDefault="00557ED0" w:rsidP="00831E16">
            <w:pPr>
              <w:pStyle w:val="TableText"/>
              <w:keepNext/>
              <w:ind w:left="340" w:hanging="340"/>
            </w:pPr>
            <w:r w:rsidRPr="00556843">
              <w:t>(i)</w:t>
            </w:r>
            <w:r w:rsidRPr="00556843">
              <w:tab/>
              <w:t xml:space="preserve">Number of mature individuals in each subpopulation </w:t>
            </w:r>
          </w:p>
        </w:tc>
        <w:tc>
          <w:tcPr>
            <w:tcW w:w="1930" w:type="dxa"/>
            <w:tcBorders>
              <w:top w:val="nil"/>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23B26A80" w14:textId="77777777" w:rsidR="00557ED0" w:rsidRPr="00556843" w:rsidRDefault="00557ED0" w:rsidP="00831E16">
            <w:pPr>
              <w:pStyle w:val="TableText"/>
              <w:keepNext/>
              <w:rPr>
                <w:b/>
              </w:rPr>
            </w:pPr>
            <w:r w:rsidRPr="00556843">
              <w:rPr>
                <w:b/>
              </w:rPr>
              <w:t>≤ 50</w:t>
            </w:r>
          </w:p>
        </w:tc>
        <w:tc>
          <w:tcPr>
            <w:tcW w:w="1833" w:type="dxa"/>
            <w:tcBorders>
              <w:top w:val="nil"/>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0EAC77E9" w14:textId="77777777" w:rsidR="00557ED0" w:rsidRPr="00556843" w:rsidRDefault="00557ED0" w:rsidP="00831E16">
            <w:pPr>
              <w:pStyle w:val="TableText"/>
              <w:keepNext/>
              <w:rPr>
                <w:b/>
              </w:rPr>
            </w:pPr>
            <w:r w:rsidRPr="00556843">
              <w:rPr>
                <w:b/>
              </w:rPr>
              <w:t>≤ 250</w:t>
            </w:r>
          </w:p>
        </w:tc>
        <w:tc>
          <w:tcPr>
            <w:tcW w:w="1902" w:type="dxa"/>
            <w:tcBorders>
              <w:top w:val="nil"/>
              <w:left w:val="single" w:sz="4" w:space="0" w:color="FFFFFF" w:themeColor="background1"/>
              <w:bottom w:val="single" w:sz="4" w:space="0" w:color="FFFFFF" w:themeColor="background1"/>
              <w:right w:val="single" w:sz="4" w:space="0" w:color="auto"/>
            </w:tcBorders>
            <w:shd w:val="clear" w:color="auto" w:fill="FFFF66"/>
            <w:vAlign w:val="center"/>
          </w:tcPr>
          <w:p w14:paraId="0980DD18" w14:textId="77777777" w:rsidR="00557ED0" w:rsidRPr="00556843" w:rsidRDefault="00557ED0" w:rsidP="00831E16">
            <w:pPr>
              <w:pStyle w:val="TableText"/>
              <w:keepNext/>
              <w:rPr>
                <w:b/>
              </w:rPr>
            </w:pPr>
            <w:r w:rsidRPr="00556843">
              <w:rPr>
                <w:b/>
              </w:rPr>
              <w:t>≤ 1,000</w:t>
            </w:r>
          </w:p>
        </w:tc>
      </w:tr>
      <w:tr w:rsidR="00557ED0" w:rsidRPr="00556843" w14:paraId="75415ADF" w14:textId="77777777" w:rsidTr="00831E16">
        <w:tc>
          <w:tcPr>
            <w:tcW w:w="419" w:type="dxa"/>
            <w:vMerge/>
            <w:tcBorders>
              <w:left w:val="single" w:sz="4" w:space="0" w:color="auto"/>
              <w:bottom w:val="single" w:sz="4" w:space="0" w:color="FFFFFF" w:themeColor="background1"/>
              <w:right w:val="single" w:sz="4" w:space="0" w:color="FFFFFF" w:themeColor="background1"/>
            </w:tcBorders>
            <w:shd w:val="clear" w:color="auto" w:fill="D9D9D9" w:themeFill="background1" w:themeFillShade="D9"/>
          </w:tcPr>
          <w:p w14:paraId="59FFD56B" w14:textId="77777777" w:rsidR="00557ED0" w:rsidRPr="00556843" w:rsidRDefault="00557ED0" w:rsidP="00831E16">
            <w:pPr>
              <w:pStyle w:val="TableText"/>
              <w:keepNext/>
            </w:pPr>
          </w:p>
        </w:tc>
        <w:tc>
          <w:tcPr>
            <w:tcW w:w="29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6AB4BF4" w14:textId="77777777" w:rsidR="00557ED0" w:rsidRPr="00556843" w:rsidRDefault="00557ED0" w:rsidP="00831E16">
            <w:pPr>
              <w:pStyle w:val="TableText"/>
              <w:keepNext/>
              <w:ind w:left="340" w:hanging="340"/>
            </w:pPr>
            <w:r w:rsidRPr="00556843">
              <w:t xml:space="preserve">(ii) </w:t>
            </w:r>
            <w:r w:rsidRPr="00556843">
              <w:tab/>
              <w:t>% of mature individuals in one subpopulation =</w:t>
            </w:r>
          </w:p>
        </w:tc>
        <w:tc>
          <w:tcPr>
            <w:tcW w:w="19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7C80"/>
            <w:vAlign w:val="center"/>
          </w:tcPr>
          <w:p w14:paraId="348DA090" w14:textId="77777777" w:rsidR="00557ED0" w:rsidRPr="00556843" w:rsidRDefault="00557ED0" w:rsidP="00831E16">
            <w:pPr>
              <w:pStyle w:val="TableText"/>
              <w:keepNext/>
              <w:rPr>
                <w:b/>
              </w:rPr>
            </w:pPr>
            <w:r w:rsidRPr="00556843">
              <w:rPr>
                <w:b/>
              </w:rPr>
              <w:t>90 – 100%</w:t>
            </w:r>
          </w:p>
        </w:tc>
        <w:tc>
          <w:tcPr>
            <w:tcW w:w="183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9933"/>
            <w:vAlign w:val="center"/>
          </w:tcPr>
          <w:p w14:paraId="385594BF" w14:textId="77777777" w:rsidR="00557ED0" w:rsidRPr="00556843" w:rsidRDefault="00557ED0" w:rsidP="00831E16">
            <w:pPr>
              <w:pStyle w:val="TableText"/>
              <w:keepNext/>
              <w:rPr>
                <w:b/>
              </w:rPr>
            </w:pPr>
            <w:r w:rsidRPr="00556843">
              <w:rPr>
                <w:b/>
              </w:rPr>
              <w:t>95 – 100%</w:t>
            </w:r>
          </w:p>
        </w:tc>
        <w:tc>
          <w:tcPr>
            <w:tcW w:w="1902"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66"/>
            <w:vAlign w:val="center"/>
          </w:tcPr>
          <w:p w14:paraId="46383476" w14:textId="77777777" w:rsidR="00557ED0" w:rsidRPr="00556843" w:rsidRDefault="00557ED0" w:rsidP="00831E16">
            <w:pPr>
              <w:pStyle w:val="TableText"/>
              <w:keepNext/>
              <w:rPr>
                <w:b/>
              </w:rPr>
            </w:pPr>
            <w:r w:rsidRPr="00556843">
              <w:rPr>
                <w:b/>
              </w:rPr>
              <w:t>100%</w:t>
            </w:r>
          </w:p>
        </w:tc>
      </w:tr>
      <w:tr w:rsidR="00557ED0" w:rsidRPr="00556843" w14:paraId="7FB650D6" w14:textId="77777777" w:rsidTr="00831E16">
        <w:tc>
          <w:tcPr>
            <w:tcW w:w="3395" w:type="dxa"/>
            <w:gridSpan w:val="2"/>
            <w:tcBorders>
              <w:top w:val="single" w:sz="4" w:space="0" w:color="FFFFFF" w:themeColor="background1"/>
              <w:left w:val="single" w:sz="4" w:space="0" w:color="auto"/>
              <w:right w:val="single" w:sz="4" w:space="0" w:color="FFFFFF" w:themeColor="background1"/>
            </w:tcBorders>
            <w:shd w:val="clear" w:color="auto" w:fill="D9D9D9" w:themeFill="background1" w:themeFillShade="D9"/>
          </w:tcPr>
          <w:p w14:paraId="67480C34" w14:textId="77777777" w:rsidR="00557ED0" w:rsidRPr="00556843" w:rsidRDefault="00557ED0" w:rsidP="00831E16">
            <w:pPr>
              <w:pStyle w:val="TableText"/>
              <w:keepNext/>
              <w:ind w:left="334" w:hanging="334"/>
            </w:pPr>
            <w:r w:rsidRPr="00556843">
              <w:t>(b)</w:t>
            </w:r>
            <w:r w:rsidRPr="00556843">
              <w:tab/>
              <w:t>Extreme fluctuations in the number of mature individuals</w:t>
            </w:r>
          </w:p>
        </w:tc>
        <w:tc>
          <w:tcPr>
            <w:tcW w:w="1930" w:type="dxa"/>
            <w:tcBorders>
              <w:top w:val="single" w:sz="4" w:space="0" w:color="FFFFFF" w:themeColor="background1"/>
              <w:left w:val="single" w:sz="4" w:space="0" w:color="FFFFFF" w:themeColor="background1"/>
              <w:right w:val="nil"/>
            </w:tcBorders>
            <w:shd w:val="clear" w:color="auto" w:fill="auto"/>
          </w:tcPr>
          <w:p w14:paraId="52091602" w14:textId="77777777" w:rsidR="00557ED0" w:rsidRPr="00556843" w:rsidRDefault="00557ED0" w:rsidP="00831E16">
            <w:pPr>
              <w:pStyle w:val="TableText"/>
              <w:keepNext/>
            </w:pPr>
          </w:p>
        </w:tc>
        <w:tc>
          <w:tcPr>
            <w:tcW w:w="1833" w:type="dxa"/>
            <w:tcBorders>
              <w:top w:val="single" w:sz="4" w:space="0" w:color="FFFFFF" w:themeColor="background1"/>
              <w:left w:val="nil"/>
              <w:right w:val="nil"/>
            </w:tcBorders>
            <w:shd w:val="clear" w:color="auto" w:fill="auto"/>
          </w:tcPr>
          <w:p w14:paraId="419E32E1" w14:textId="77777777" w:rsidR="00557ED0" w:rsidRPr="00556843" w:rsidRDefault="00557ED0" w:rsidP="00831E16">
            <w:pPr>
              <w:pStyle w:val="TableText"/>
              <w:keepNext/>
            </w:pPr>
          </w:p>
        </w:tc>
        <w:tc>
          <w:tcPr>
            <w:tcW w:w="1902" w:type="dxa"/>
            <w:tcBorders>
              <w:top w:val="single" w:sz="4" w:space="0" w:color="FFFFFF" w:themeColor="background1"/>
              <w:left w:val="nil"/>
              <w:right w:val="single" w:sz="4" w:space="0" w:color="auto"/>
            </w:tcBorders>
            <w:shd w:val="clear" w:color="auto" w:fill="auto"/>
          </w:tcPr>
          <w:p w14:paraId="6D12A7A5" w14:textId="77777777" w:rsidR="00557ED0" w:rsidRPr="00556843" w:rsidRDefault="00557ED0" w:rsidP="00831E16">
            <w:pPr>
              <w:pStyle w:val="TableText"/>
              <w:keepNext/>
            </w:pPr>
          </w:p>
        </w:tc>
      </w:tr>
    </w:tbl>
    <w:p w14:paraId="1048112A" w14:textId="77777777" w:rsidR="00557ED0" w:rsidRPr="002B69E4" w:rsidRDefault="00557ED0" w:rsidP="00557ED0">
      <w:pPr>
        <w:pStyle w:val="Heading3"/>
        <w:ind w:left="964" w:hanging="964"/>
      </w:pPr>
      <w:r>
        <w:t>Criterion 3 e</w:t>
      </w:r>
      <w:r w:rsidRPr="002B69E4">
        <w:t>vidence</w:t>
      </w:r>
    </w:p>
    <w:p w14:paraId="37C72FA1" w14:textId="77777777" w:rsidR="00557ED0" w:rsidRDefault="00557ED0" w:rsidP="00557ED0">
      <w:pPr>
        <w:spacing w:before="120"/>
        <w:rPr>
          <w:bCs/>
          <w:lang w:eastAsia="ja-JP"/>
        </w:rPr>
      </w:pPr>
      <w:r w:rsidRPr="008F14F5">
        <w:rPr>
          <w:rStyle w:val="Strong"/>
        </w:rPr>
        <w:t>Insufficient data to determine eligibility</w:t>
      </w:r>
    </w:p>
    <w:p w14:paraId="6F7B163E" w14:textId="77777777" w:rsidR="00557ED0" w:rsidRDefault="00557ED0" w:rsidP="00557ED0">
      <w:pPr>
        <w:spacing w:before="120"/>
        <w:rPr>
          <w:bCs/>
          <w:lang w:eastAsia="ja-JP"/>
        </w:rPr>
      </w:pPr>
      <w:r w:rsidRPr="001F5DA5">
        <w:rPr>
          <w:bCs/>
          <w:lang w:eastAsia="ja-JP"/>
        </w:rPr>
        <w:t xml:space="preserve">There </w:t>
      </w:r>
      <w:r>
        <w:rPr>
          <w:bCs/>
          <w:lang w:eastAsia="ja-JP"/>
        </w:rPr>
        <w:t>are</w:t>
      </w:r>
      <w:r w:rsidRPr="001F5DA5">
        <w:rPr>
          <w:bCs/>
          <w:lang w:eastAsia="ja-JP"/>
        </w:rPr>
        <w:t xml:space="preserve"> </w:t>
      </w:r>
      <w:r>
        <w:rPr>
          <w:bCs/>
          <w:lang w:eastAsia="ja-JP"/>
        </w:rPr>
        <w:t xml:space="preserve">no estimates of numbers of mature individuals or any population-decline </w:t>
      </w:r>
      <w:r w:rsidRPr="001F5DA5">
        <w:rPr>
          <w:bCs/>
          <w:lang w:eastAsia="ja-JP"/>
        </w:rPr>
        <w:t xml:space="preserve">data </w:t>
      </w:r>
      <w:r>
        <w:rPr>
          <w:bCs/>
          <w:lang w:eastAsia="ja-JP"/>
        </w:rPr>
        <w:t xml:space="preserve">that will allow assessment </w:t>
      </w:r>
      <w:r w:rsidRPr="00AB191E">
        <w:rPr>
          <w:bCs/>
          <w:lang w:eastAsia="ja-JP"/>
        </w:rPr>
        <w:t xml:space="preserve">of </w:t>
      </w:r>
      <w:r w:rsidRPr="00557A21">
        <w:rPr>
          <w:bCs/>
          <w:i/>
          <w:lang w:eastAsia="ja-JP"/>
        </w:rPr>
        <w:t>E</w:t>
      </w:r>
      <w:r w:rsidRPr="00581535">
        <w:rPr>
          <w:bCs/>
          <w:i/>
          <w:lang w:eastAsia="ja-JP"/>
        </w:rPr>
        <w:t>. balanensis</w:t>
      </w:r>
      <w:r>
        <w:rPr>
          <w:bCs/>
          <w:lang w:eastAsia="ja-JP"/>
        </w:rPr>
        <w:t xml:space="preserve"> </w:t>
      </w:r>
      <w:r w:rsidRPr="00AB191E">
        <w:rPr>
          <w:bCs/>
          <w:lang w:eastAsia="ja-JP"/>
        </w:rPr>
        <w:t>for</w:t>
      </w:r>
      <w:r>
        <w:rPr>
          <w:bCs/>
          <w:lang w:eastAsia="ja-JP"/>
        </w:rPr>
        <w:t xml:space="preserve"> </w:t>
      </w:r>
      <w:r w:rsidRPr="001F5DA5">
        <w:rPr>
          <w:bCs/>
          <w:lang w:eastAsia="ja-JP"/>
        </w:rPr>
        <w:t>eligibility</w:t>
      </w:r>
      <w:r>
        <w:rPr>
          <w:bCs/>
          <w:lang w:eastAsia="ja-JP"/>
        </w:rPr>
        <w:t xml:space="preserve"> for listing under Criterion 3. </w:t>
      </w:r>
    </w:p>
    <w:p w14:paraId="601131CC" w14:textId="747497E1" w:rsidR="00557ED0" w:rsidRPr="006E7804" w:rsidRDefault="00557ED0" w:rsidP="00557ED0">
      <w:pPr>
        <w:spacing w:before="120"/>
        <w:rPr>
          <w:rFonts w:asciiTheme="majorHAnsi" w:eastAsia="Times New Roman" w:hAnsiTheme="majorHAnsi" w:cs="Arial"/>
        </w:rPr>
      </w:pPr>
      <w:r w:rsidRPr="006C19B2">
        <w:rPr>
          <w:bCs/>
        </w:rPr>
        <w:t xml:space="preserve">The data presented </w:t>
      </w:r>
      <w:r>
        <w:rPr>
          <w:bCs/>
        </w:rPr>
        <w:t>suggest</w:t>
      </w:r>
      <w:r w:rsidRPr="006C19B2">
        <w:rPr>
          <w:bCs/>
        </w:rPr>
        <w:t xml:space="preserve"> that there are </w:t>
      </w:r>
      <w:r w:rsidRPr="006C19B2">
        <w:rPr>
          <w:b/>
        </w:rPr>
        <w:t>insufficient data</w:t>
      </w:r>
      <w:r w:rsidRPr="006C19B2">
        <w:rPr>
          <w:bCs/>
        </w:rPr>
        <w:t xml:space="preserve"> to </w:t>
      </w:r>
      <w:r w:rsidRPr="006C19B2">
        <w:rPr>
          <w:rFonts w:asciiTheme="majorHAnsi" w:hAnsiTheme="majorHAnsi"/>
          <w:bCs/>
        </w:rPr>
        <w:t xml:space="preserve">demonstrate if the species is eligible for listing under this criterion. </w:t>
      </w:r>
    </w:p>
    <w:p w14:paraId="0EB040E5" w14:textId="77777777" w:rsidR="00557ED0" w:rsidRDefault="00557ED0" w:rsidP="00557ED0">
      <w:pPr>
        <w:pStyle w:val="Caption"/>
      </w:pPr>
      <w:r w:rsidRPr="00166185">
        <w:lastRenderedPageBreak/>
        <w:t>Criterion 4 Number of mature individuals</w:t>
      </w:r>
    </w:p>
    <w:tbl>
      <w:tblPr>
        <w:tblW w:w="9346" w:type="dxa"/>
        <w:tblCellMar>
          <w:left w:w="0" w:type="dxa"/>
          <w:right w:w="0" w:type="dxa"/>
        </w:tblCellMar>
        <w:tblLook w:val="04A0" w:firstRow="1" w:lastRow="0" w:firstColumn="1" w:lastColumn="0" w:noHBand="0" w:noVBand="1"/>
      </w:tblPr>
      <w:tblGrid>
        <w:gridCol w:w="3392"/>
        <w:gridCol w:w="2127"/>
        <w:gridCol w:w="1842"/>
        <w:gridCol w:w="1985"/>
      </w:tblGrid>
      <w:tr w:rsidR="00557ED0" w:rsidRPr="00166185" w14:paraId="5DB18313" w14:textId="77777777" w:rsidTr="00831E16">
        <w:trPr>
          <w:trHeight w:val="350"/>
        </w:trPr>
        <w:tc>
          <w:tcPr>
            <w:tcW w:w="9346" w:type="dxa"/>
            <w:gridSpan w:val="4"/>
            <w:tcBorders>
              <w:top w:val="single" w:sz="8" w:space="0" w:color="auto"/>
              <w:left w:val="single" w:sz="8" w:space="0" w:color="auto"/>
              <w:bottom w:val="nil"/>
              <w:right w:val="single" w:sz="4" w:space="0" w:color="auto"/>
            </w:tcBorders>
            <w:shd w:val="clear" w:color="auto" w:fill="595959"/>
            <w:tcMar>
              <w:top w:w="57" w:type="dxa"/>
              <w:left w:w="85" w:type="dxa"/>
              <w:bottom w:w="57" w:type="dxa"/>
              <w:right w:w="108" w:type="dxa"/>
            </w:tcMar>
            <w:vAlign w:val="center"/>
            <w:hideMark/>
          </w:tcPr>
          <w:p w14:paraId="1AB6463E" w14:textId="77777777" w:rsidR="00557ED0" w:rsidRPr="00166185" w:rsidRDefault="00557ED0" w:rsidP="00831E16">
            <w:pPr>
              <w:pStyle w:val="TableText"/>
              <w:keepNext/>
            </w:pPr>
          </w:p>
        </w:tc>
      </w:tr>
      <w:tr w:rsidR="00557ED0" w:rsidRPr="00166185" w14:paraId="2030D6F4" w14:textId="77777777" w:rsidTr="00831E16">
        <w:trPr>
          <w:trHeight w:val="524"/>
        </w:trPr>
        <w:tc>
          <w:tcPr>
            <w:tcW w:w="3392" w:type="dxa"/>
            <w:tcBorders>
              <w:top w:val="nil"/>
              <w:left w:val="single" w:sz="8" w:space="0" w:color="auto"/>
              <w:bottom w:val="nil"/>
              <w:right w:val="nil"/>
            </w:tcBorders>
            <w:tcMar>
              <w:top w:w="57" w:type="dxa"/>
              <w:left w:w="85" w:type="dxa"/>
              <w:bottom w:w="57" w:type="dxa"/>
              <w:right w:w="108" w:type="dxa"/>
            </w:tcMar>
          </w:tcPr>
          <w:p w14:paraId="7DFE65D6" w14:textId="77777777" w:rsidR="00557ED0" w:rsidRPr="00166185" w:rsidRDefault="00557ED0" w:rsidP="00831E16">
            <w:pPr>
              <w:pStyle w:val="TableText"/>
              <w:keepNext/>
              <w:rPr>
                <w:szCs w:val="18"/>
              </w:rPr>
            </w:pPr>
            <w:r w:rsidRPr="0095692A">
              <w:rPr>
                <w:color w:val="FFFFFF" w:themeColor="background1"/>
                <w:szCs w:val="18"/>
              </w:rPr>
              <w:t>–</w:t>
            </w:r>
          </w:p>
        </w:tc>
        <w:tc>
          <w:tcPr>
            <w:tcW w:w="2127" w:type="dxa"/>
            <w:tcBorders>
              <w:top w:val="single" w:sz="8" w:space="0" w:color="FFFFFF"/>
              <w:left w:val="nil"/>
              <w:bottom w:val="single" w:sz="8" w:space="0" w:color="FFFFFF"/>
              <w:right w:val="single" w:sz="8" w:space="0" w:color="FFFFFF"/>
            </w:tcBorders>
            <w:shd w:val="clear" w:color="auto" w:fill="FF0000"/>
            <w:tcMar>
              <w:top w:w="57" w:type="dxa"/>
              <w:left w:w="85" w:type="dxa"/>
              <w:bottom w:w="57" w:type="dxa"/>
              <w:right w:w="108" w:type="dxa"/>
            </w:tcMar>
            <w:hideMark/>
          </w:tcPr>
          <w:p w14:paraId="2395BF33" w14:textId="77777777" w:rsidR="00557ED0" w:rsidRPr="009E3E71" w:rsidRDefault="00557ED0" w:rsidP="00831E16">
            <w:pPr>
              <w:pStyle w:val="TableText"/>
              <w:keepNext/>
              <w:rPr>
                <w:rStyle w:val="Strong"/>
              </w:rPr>
            </w:pPr>
            <w:r w:rsidRPr="009E3E71">
              <w:rPr>
                <w:rStyle w:val="Strong"/>
              </w:rPr>
              <w:t>Critically Endangered</w:t>
            </w:r>
          </w:p>
          <w:p w14:paraId="42D4D621" w14:textId="77777777" w:rsidR="00557ED0" w:rsidRPr="009E3E71" w:rsidRDefault="00557ED0" w:rsidP="00831E16">
            <w:pPr>
              <w:pStyle w:val="TableText"/>
              <w:keepNext/>
              <w:rPr>
                <w:rStyle w:val="Strong"/>
              </w:rPr>
            </w:pPr>
            <w:r w:rsidRPr="009E3E71">
              <w:rPr>
                <w:rStyle w:val="Strong"/>
              </w:rPr>
              <w:t>Extremely low</w:t>
            </w:r>
          </w:p>
        </w:tc>
        <w:tc>
          <w:tcPr>
            <w:tcW w:w="1842" w:type="dxa"/>
            <w:tcBorders>
              <w:top w:val="single" w:sz="8" w:space="0" w:color="FFFFFF"/>
              <w:left w:val="nil"/>
              <w:bottom w:val="single" w:sz="8" w:space="0" w:color="FFFFFF"/>
              <w:right w:val="single" w:sz="8" w:space="0" w:color="FFFFFF"/>
            </w:tcBorders>
            <w:shd w:val="clear" w:color="auto" w:fill="FF6600"/>
            <w:tcMar>
              <w:top w:w="57" w:type="dxa"/>
              <w:left w:w="85" w:type="dxa"/>
              <w:bottom w:w="57" w:type="dxa"/>
              <w:right w:w="108" w:type="dxa"/>
            </w:tcMar>
            <w:hideMark/>
          </w:tcPr>
          <w:p w14:paraId="7A277837" w14:textId="77777777" w:rsidR="00557ED0" w:rsidRPr="009E3E71" w:rsidRDefault="00557ED0" w:rsidP="00831E16">
            <w:pPr>
              <w:pStyle w:val="TableText"/>
              <w:keepNext/>
              <w:rPr>
                <w:rStyle w:val="Strong"/>
              </w:rPr>
            </w:pPr>
            <w:r w:rsidRPr="009E3E71">
              <w:rPr>
                <w:rStyle w:val="Strong"/>
              </w:rPr>
              <w:t>Endangered</w:t>
            </w:r>
          </w:p>
          <w:p w14:paraId="573BDA14" w14:textId="77777777" w:rsidR="00557ED0" w:rsidRPr="009E3E71" w:rsidRDefault="00557ED0" w:rsidP="00831E16">
            <w:pPr>
              <w:pStyle w:val="TableText"/>
              <w:keepNext/>
              <w:rPr>
                <w:rStyle w:val="Strong"/>
              </w:rPr>
            </w:pPr>
            <w:r w:rsidRPr="009E3E71">
              <w:rPr>
                <w:rStyle w:val="Strong"/>
              </w:rPr>
              <w:t>Very Low</w:t>
            </w:r>
          </w:p>
        </w:tc>
        <w:tc>
          <w:tcPr>
            <w:tcW w:w="1985" w:type="dxa"/>
            <w:tcBorders>
              <w:top w:val="single" w:sz="8" w:space="0" w:color="FFFFFF"/>
              <w:left w:val="nil"/>
              <w:bottom w:val="single" w:sz="8" w:space="0" w:color="FFFFFF"/>
              <w:right w:val="single" w:sz="4" w:space="0" w:color="auto"/>
            </w:tcBorders>
            <w:shd w:val="clear" w:color="auto" w:fill="FFFF00"/>
            <w:tcMar>
              <w:top w:w="57" w:type="dxa"/>
              <w:left w:w="85" w:type="dxa"/>
              <w:bottom w:w="57" w:type="dxa"/>
              <w:right w:w="108" w:type="dxa"/>
            </w:tcMar>
            <w:hideMark/>
          </w:tcPr>
          <w:p w14:paraId="2E2A1419" w14:textId="77777777" w:rsidR="00557ED0" w:rsidRPr="009E3E71" w:rsidRDefault="00557ED0" w:rsidP="00831E16">
            <w:pPr>
              <w:pStyle w:val="TableText"/>
              <w:keepNext/>
              <w:rPr>
                <w:rStyle w:val="Strong"/>
              </w:rPr>
            </w:pPr>
            <w:r w:rsidRPr="009E3E71">
              <w:rPr>
                <w:rStyle w:val="Strong"/>
              </w:rPr>
              <w:t>Vulnerable</w:t>
            </w:r>
          </w:p>
          <w:p w14:paraId="1F51CCF7" w14:textId="77777777" w:rsidR="00557ED0" w:rsidRPr="009E3E71" w:rsidRDefault="00557ED0" w:rsidP="00831E16">
            <w:pPr>
              <w:pStyle w:val="TableText"/>
              <w:keepNext/>
              <w:rPr>
                <w:rStyle w:val="Strong"/>
              </w:rPr>
            </w:pPr>
            <w:r w:rsidRPr="009E3E71">
              <w:rPr>
                <w:rStyle w:val="Strong"/>
              </w:rPr>
              <w:t>Low</w:t>
            </w:r>
          </w:p>
        </w:tc>
      </w:tr>
      <w:tr w:rsidR="00557ED0" w:rsidRPr="00166185" w14:paraId="2CA97A65" w14:textId="77777777" w:rsidTr="00831E16">
        <w:trPr>
          <w:trHeight w:val="442"/>
        </w:trPr>
        <w:tc>
          <w:tcPr>
            <w:tcW w:w="3392" w:type="dxa"/>
            <w:tcBorders>
              <w:top w:val="nil"/>
              <w:left w:val="single" w:sz="8" w:space="0" w:color="auto"/>
              <w:bottom w:val="nil"/>
              <w:right w:val="single" w:sz="8" w:space="0" w:color="FFFFFF"/>
            </w:tcBorders>
            <w:shd w:val="clear" w:color="auto" w:fill="BFBFBF"/>
            <w:tcMar>
              <w:top w:w="57" w:type="dxa"/>
              <w:left w:w="85" w:type="dxa"/>
              <w:bottom w:w="57" w:type="dxa"/>
              <w:right w:w="108" w:type="dxa"/>
            </w:tcMar>
            <w:vAlign w:val="center"/>
            <w:hideMark/>
          </w:tcPr>
          <w:p w14:paraId="0CB32377" w14:textId="77777777" w:rsidR="00557ED0" w:rsidRPr="00166185" w:rsidRDefault="00557ED0" w:rsidP="00831E16">
            <w:pPr>
              <w:pStyle w:val="TableText"/>
              <w:keepNext/>
              <w:rPr>
                <w:szCs w:val="18"/>
              </w:rPr>
            </w:pPr>
            <w:r w:rsidRPr="004F5429">
              <w:rPr>
                <w:rStyle w:val="Strong"/>
              </w:rPr>
              <w:t>D</w:t>
            </w:r>
            <w:r>
              <w:rPr>
                <w:rStyle w:val="Strong"/>
              </w:rPr>
              <w:t>.</w:t>
            </w:r>
            <w:r w:rsidRPr="004F5429">
              <w:rPr>
                <w:rStyle w:val="Strong"/>
              </w:rPr>
              <w:t xml:space="preserve"> </w:t>
            </w:r>
            <w:r w:rsidRPr="00166185">
              <w:rPr>
                <w:szCs w:val="18"/>
              </w:rPr>
              <w:t>Number of mature individuals</w:t>
            </w:r>
          </w:p>
        </w:tc>
        <w:tc>
          <w:tcPr>
            <w:tcW w:w="2127" w:type="dxa"/>
            <w:tcBorders>
              <w:top w:val="nil"/>
              <w:left w:val="nil"/>
              <w:bottom w:val="single" w:sz="8" w:space="0" w:color="FFFFFF"/>
              <w:right w:val="single" w:sz="8" w:space="0" w:color="FFFFFF"/>
            </w:tcBorders>
            <w:shd w:val="clear" w:color="auto" w:fill="FF7C80"/>
            <w:tcMar>
              <w:top w:w="57" w:type="dxa"/>
              <w:left w:w="85" w:type="dxa"/>
              <w:bottom w:w="57" w:type="dxa"/>
              <w:right w:w="108" w:type="dxa"/>
            </w:tcMar>
            <w:vAlign w:val="center"/>
            <w:hideMark/>
          </w:tcPr>
          <w:p w14:paraId="4F643105" w14:textId="77777777" w:rsidR="00557ED0" w:rsidRPr="00166185" w:rsidRDefault="00557ED0" w:rsidP="00831E16">
            <w:pPr>
              <w:pStyle w:val="TableText"/>
              <w:keepNext/>
              <w:rPr>
                <w:szCs w:val="18"/>
              </w:rPr>
            </w:pPr>
            <w:r w:rsidRPr="00166185">
              <w:rPr>
                <w:szCs w:val="18"/>
              </w:rPr>
              <w:t>&lt; 50</w:t>
            </w:r>
          </w:p>
        </w:tc>
        <w:tc>
          <w:tcPr>
            <w:tcW w:w="1842" w:type="dxa"/>
            <w:tcBorders>
              <w:top w:val="nil"/>
              <w:left w:val="nil"/>
              <w:bottom w:val="single" w:sz="8" w:space="0" w:color="FFFFFF"/>
              <w:right w:val="single" w:sz="8" w:space="0" w:color="FFFFFF"/>
            </w:tcBorders>
            <w:shd w:val="clear" w:color="auto" w:fill="FF9933"/>
            <w:tcMar>
              <w:top w:w="57" w:type="dxa"/>
              <w:left w:w="85" w:type="dxa"/>
              <w:bottom w:w="57" w:type="dxa"/>
              <w:right w:w="108" w:type="dxa"/>
            </w:tcMar>
            <w:vAlign w:val="center"/>
            <w:hideMark/>
          </w:tcPr>
          <w:p w14:paraId="51B96DC6" w14:textId="77777777" w:rsidR="00557ED0" w:rsidRPr="00166185" w:rsidRDefault="00557ED0" w:rsidP="00831E16">
            <w:pPr>
              <w:pStyle w:val="TableText"/>
              <w:keepNext/>
              <w:rPr>
                <w:rFonts w:ascii="Times New Roman" w:hAnsi="Times New Roman" w:cs="Times New Roman"/>
                <w:szCs w:val="18"/>
              </w:rPr>
            </w:pPr>
            <w:r w:rsidRPr="00166185">
              <w:rPr>
                <w:szCs w:val="18"/>
              </w:rPr>
              <w:t>&lt; 250</w:t>
            </w:r>
          </w:p>
        </w:tc>
        <w:tc>
          <w:tcPr>
            <w:tcW w:w="1985" w:type="dxa"/>
            <w:tcBorders>
              <w:top w:val="single" w:sz="8" w:space="0" w:color="FFFFFF"/>
              <w:left w:val="nil"/>
              <w:bottom w:val="single" w:sz="8" w:space="0" w:color="FFFFFF"/>
              <w:right w:val="single" w:sz="4" w:space="0" w:color="auto"/>
            </w:tcBorders>
            <w:shd w:val="clear" w:color="auto" w:fill="FFFF66"/>
            <w:tcMar>
              <w:top w:w="57" w:type="dxa"/>
              <w:left w:w="85" w:type="dxa"/>
              <w:bottom w:w="57" w:type="dxa"/>
              <w:right w:w="108" w:type="dxa"/>
            </w:tcMar>
            <w:vAlign w:val="center"/>
            <w:hideMark/>
          </w:tcPr>
          <w:p w14:paraId="51B5206B" w14:textId="77777777" w:rsidR="00557ED0" w:rsidRPr="00166185" w:rsidRDefault="00557ED0" w:rsidP="00831E16">
            <w:pPr>
              <w:pStyle w:val="TableText"/>
              <w:keepNext/>
              <w:rPr>
                <w:rFonts w:ascii="Times New Roman" w:hAnsi="Times New Roman" w:cs="Times New Roman"/>
                <w:szCs w:val="18"/>
              </w:rPr>
            </w:pPr>
            <w:r w:rsidRPr="00166185">
              <w:rPr>
                <w:szCs w:val="18"/>
              </w:rPr>
              <w:t>&lt; 1,000</w:t>
            </w:r>
          </w:p>
        </w:tc>
      </w:tr>
      <w:tr w:rsidR="00557ED0" w:rsidRPr="00166185" w14:paraId="5BC1BB05" w14:textId="77777777" w:rsidTr="00831E16">
        <w:trPr>
          <w:trHeight w:val="442"/>
        </w:trPr>
        <w:tc>
          <w:tcPr>
            <w:tcW w:w="3392" w:type="dxa"/>
            <w:tcBorders>
              <w:top w:val="nil"/>
              <w:left w:val="single" w:sz="8" w:space="0" w:color="auto"/>
              <w:bottom w:val="single" w:sz="8" w:space="0" w:color="auto"/>
              <w:right w:val="single" w:sz="8" w:space="0" w:color="FFFFFF"/>
            </w:tcBorders>
            <w:shd w:val="clear" w:color="auto" w:fill="BFBFBF"/>
            <w:tcMar>
              <w:top w:w="57" w:type="dxa"/>
              <w:left w:w="85" w:type="dxa"/>
              <w:bottom w:w="57" w:type="dxa"/>
              <w:right w:w="108" w:type="dxa"/>
            </w:tcMar>
            <w:vAlign w:val="center"/>
            <w:hideMark/>
          </w:tcPr>
          <w:p w14:paraId="7CC94024" w14:textId="77777777" w:rsidR="00557ED0" w:rsidRPr="00166185" w:rsidRDefault="00557ED0" w:rsidP="00831E16">
            <w:pPr>
              <w:pStyle w:val="TableText"/>
              <w:keepNext/>
              <w:rPr>
                <w:szCs w:val="18"/>
              </w:rPr>
            </w:pPr>
            <w:r w:rsidRPr="004F5429">
              <w:rPr>
                <w:rStyle w:val="Strong"/>
              </w:rPr>
              <w:t>D2</w:t>
            </w:r>
            <w:r>
              <w:rPr>
                <w:rStyle w:val="Strong"/>
              </w:rPr>
              <w:t>.</w:t>
            </w:r>
            <w:r w:rsidRPr="00166185">
              <w:rPr>
                <w:szCs w:val="18"/>
                <w:vertAlign w:val="superscript"/>
              </w:rPr>
              <w:t>1</w:t>
            </w:r>
            <w:r w:rsidRPr="00166185">
              <w:rPr>
                <w:szCs w:val="18"/>
              </w:rPr>
              <w:t xml:space="preserve"> </w:t>
            </w:r>
            <w:r w:rsidRPr="00166185">
              <w:rPr>
                <w:i/>
                <w:szCs w:val="18"/>
              </w:rPr>
              <w:t>Only applies to the Vulnerable category</w:t>
            </w:r>
          </w:p>
          <w:p w14:paraId="4FAEA1E8" w14:textId="77777777" w:rsidR="00557ED0" w:rsidRPr="00166185" w:rsidRDefault="00557ED0" w:rsidP="00831E16">
            <w:pPr>
              <w:pStyle w:val="TableText"/>
              <w:keepNext/>
              <w:rPr>
                <w:szCs w:val="18"/>
              </w:rPr>
            </w:pPr>
            <w:r w:rsidRPr="00166185">
              <w:rPr>
                <w:szCs w:val="18"/>
              </w:rPr>
              <w:t>Restricted area of occupancy or number of locations with a plausible future threat that could drive the species to critically endangered or Extinct in a very short time</w:t>
            </w:r>
          </w:p>
        </w:tc>
        <w:tc>
          <w:tcPr>
            <w:tcW w:w="2127"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798632CB" w14:textId="77777777" w:rsidR="00557ED0" w:rsidRPr="00A034C7" w:rsidRDefault="00557ED0" w:rsidP="00831E16">
            <w:pPr>
              <w:pStyle w:val="TableText"/>
              <w:keepNext/>
              <w:rPr>
                <w:color w:val="FFFFFF" w:themeColor="background1"/>
                <w:szCs w:val="18"/>
              </w:rPr>
            </w:pPr>
            <w:r w:rsidRPr="00A034C7">
              <w:rPr>
                <w:color w:val="FFFFFF" w:themeColor="background1"/>
                <w:szCs w:val="18"/>
              </w:rPr>
              <w:t>-</w:t>
            </w:r>
          </w:p>
        </w:tc>
        <w:tc>
          <w:tcPr>
            <w:tcW w:w="1842" w:type="dxa"/>
            <w:tcBorders>
              <w:top w:val="single" w:sz="8" w:space="0" w:color="FFFFFF"/>
              <w:left w:val="nil"/>
              <w:bottom w:val="single" w:sz="4" w:space="0" w:color="auto"/>
              <w:right w:val="single" w:sz="8" w:space="0" w:color="FFFFFF"/>
            </w:tcBorders>
            <w:shd w:val="clear" w:color="auto" w:fill="auto"/>
            <w:tcMar>
              <w:top w:w="57" w:type="dxa"/>
              <w:left w:w="85" w:type="dxa"/>
              <w:bottom w:w="57" w:type="dxa"/>
              <w:right w:w="108" w:type="dxa"/>
            </w:tcMar>
            <w:vAlign w:val="center"/>
            <w:hideMark/>
          </w:tcPr>
          <w:p w14:paraId="2C579D11" w14:textId="77777777" w:rsidR="00557ED0" w:rsidRPr="00A034C7" w:rsidRDefault="00557ED0" w:rsidP="00831E16">
            <w:pPr>
              <w:pStyle w:val="TableText"/>
              <w:keepNext/>
              <w:rPr>
                <w:color w:val="FFFFFF" w:themeColor="background1"/>
                <w:szCs w:val="18"/>
              </w:rPr>
            </w:pPr>
            <w:r w:rsidRPr="00A034C7">
              <w:rPr>
                <w:color w:val="FFFFFF" w:themeColor="background1"/>
                <w:szCs w:val="18"/>
              </w:rPr>
              <w:t>-</w:t>
            </w:r>
          </w:p>
        </w:tc>
        <w:tc>
          <w:tcPr>
            <w:tcW w:w="1985" w:type="dxa"/>
            <w:tcBorders>
              <w:top w:val="single" w:sz="8" w:space="0" w:color="FFFFFF"/>
              <w:left w:val="nil"/>
              <w:bottom w:val="single" w:sz="8" w:space="0" w:color="auto"/>
              <w:right w:val="single" w:sz="4" w:space="0" w:color="auto"/>
            </w:tcBorders>
            <w:shd w:val="clear" w:color="auto" w:fill="FFFF66"/>
            <w:tcMar>
              <w:top w:w="57" w:type="dxa"/>
              <w:left w:w="85" w:type="dxa"/>
              <w:bottom w:w="57" w:type="dxa"/>
              <w:right w:w="108" w:type="dxa"/>
            </w:tcMar>
            <w:vAlign w:val="center"/>
            <w:hideMark/>
          </w:tcPr>
          <w:p w14:paraId="383170D0" w14:textId="77777777" w:rsidR="00557ED0" w:rsidRPr="00166185" w:rsidRDefault="00557ED0" w:rsidP="00831E16">
            <w:pPr>
              <w:pStyle w:val="TableText"/>
              <w:keepNext/>
              <w:rPr>
                <w:szCs w:val="18"/>
              </w:rPr>
            </w:pPr>
            <w:r w:rsidRPr="00166185">
              <w:rPr>
                <w:szCs w:val="18"/>
              </w:rPr>
              <w:t>D2. Typically: area of occupancy &lt; 20 km</w:t>
            </w:r>
            <w:r w:rsidRPr="00166185">
              <w:rPr>
                <w:szCs w:val="18"/>
                <w:vertAlign w:val="superscript"/>
              </w:rPr>
              <w:t>2</w:t>
            </w:r>
            <w:r w:rsidRPr="00166185">
              <w:rPr>
                <w:szCs w:val="18"/>
              </w:rPr>
              <w:t xml:space="preserve"> or number of locations ≤ 5</w:t>
            </w:r>
          </w:p>
        </w:tc>
      </w:tr>
    </w:tbl>
    <w:p w14:paraId="32309864" w14:textId="309144E6" w:rsidR="00557ED0" w:rsidRPr="00166185" w:rsidRDefault="00557ED0" w:rsidP="00557ED0">
      <w:pPr>
        <w:pStyle w:val="FigureTableNoteSource"/>
      </w:pPr>
      <w:r w:rsidRPr="00166185">
        <w:rPr>
          <w:vertAlign w:val="superscript"/>
        </w:rPr>
        <w:t>1</w:t>
      </w:r>
      <w:r w:rsidRPr="00166185">
        <w:t xml:space="preserve"> The IUCN Red List Criterion D allows for species to be listed as Vulnerable under Criterion D2. The corresponding Criterion 4 in the EPBC Regulations does not currently include the provision for listing a species under D2. As such, a species cannot currently be listed under the EPBC Act under Criterion D2 only. However, assessments may include information relevant to D2. </w:t>
      </w:r>
    </w:p>
    <w:p w14:paraId="0D530B8C" w14:textId="77777777" w:rsidR="00557ED0" w:rsidRPr="00C2736A" w:rsidRDefault="00557ED0" w:rsidP="00557ED0">
      <w:pPr>
        <w:pStyle w:val="Heading3"/>
        <w:ind w:left="964" w:hanging="964"/>
      </w:pPr>
      <w:r>
        <w:t>Criterion 4 e</w:t>
      </w:r>
      <w:r w:rsidRPr="00BE530B">
        <w:t>vidence</w:t>
      </w:r>
    </w:p>
    <w:p w14:paraId="18F0FBD3" w14:textId="002A72DC" w:rsidR="00975C07" w:rsidRDefault="00975C07" w:rsidP="00975C07">
      <w:pPr>
        <w:spacing w:before="120"/>
        <w:rPr>
          <w:b/>
          <w:bCs/>
          <w:lang w:eastAsia="ja-JP"/>
        </w:rPr>
      </w:pPr>
      <w:r w:rsidRPr="001F5DA5">
        <w:rPr>
          <w:rStyle w:val="Strong"/>
        </w:rPr>
        <w:t xml:space="preserve">Eligible under Criterion </w:t>
      </w:r>
      <w:r>
        <w:rPr>
          <w:rStyle w:val="Strong"/>
        </w:rPr>
        <w:t xml:space="preserve">4 D2 </w:t>
      </w:r>
      <w:r w:rsidRPr="00CA7273">
        <w:rPr>
          <w:rStyle w:val="Strong"/>
        </w:rPr>
        <w:t>for listing as</w:t>
      </w:r>
      <w:r w:rsidRPr="00CA7273">
        <w:rPr>
          <w:b/>
          <w:bCs/>
          <w:lang w:eastAsia="ja-JP"/>
        </w:rPr>
        <w:t xml:space="preserve"> </w:t>
      </w:r>
      <w:sdt>
        <w:sdtPr>
          <w:rPr>
            <w:b/>
            <w:bCs/>
          </w:rPr>
          <w:id w:val="214712071"/>
          <w:placeholder>
            <w:docPart w:val="06EEFC78DE6E466EBC474785FB1707ED"/>
          </w:placeholder>
          <w:dropDownList>
            <w:listItem w:displayText="Critically Endangered" w:value="Critically Endangered"/>
            <w:listItem w:displayText="Endangered" w:value="Endangered"/>
            <w:listItem w:displayText="Vulnerable" w:value="Vulnerable"/>
            <w:listItem w:displayText="Insufficient data" w:value="Insufficient data"/>
          </w:dropDownList>
        </w:sdtPr>
        <w:sdtEndPr/>
        <w:sdtContent>
          <w:r>
            <w:rPr>
              <w:b/>
              <w:bCs/>
            </w:rPr>
            <w:t>Vulnerable</w:t>
          </w:r>
        </w:sdtContent>
      </w:sdt>
      <w:r w:rsidRPr="00CA7273">
        <w:rPr>
          <w:b/>
          <w:bCs/>
        </w:rPr>
        <w:t>.</w:t>
      </w:r>
      <w:r w:rsidRPr="00B6264B">
        <w:rPr>
          <w:b/>
          <w:bCs/>
          <w:lang w:eastAsia="ja-JP"/>
        </w:rPr>
        <w:t xml:space="preserve"> </w:t>
      </w:r>
    </w:p>
    <w:p w14:paraId="51FE7519" w14:textId="1276DD69" w:rsidR="00DD3E48" w:rsidRPr="00557A21" w:rsidRDefault="00750F54" w:rsidP="00557ED0">
      <w:pPr>
        <w:spacing w:before="120"/>
        <w:rPr>
          <w:bCs/>
          <w:lang w:eastAsia="ja-JP"/>
        </w:rPr>
      </w:pPr>
      <w:r>
        <w:rPr>
          <w:bCs/>
        </w:rPr>
        <w:t>T</w:t>
      </w:r>
      <w:r w:rsidR="00DD3E48" w:rsidRPr="00DD3E48">
        <w:rPr>
          <w:bCs/>
          <w:lang w:eastAsia="ja-JP"/>
        </w:rPr>
        <w:t xml:space="preserve">here are insufficient data to assess </w:t>
      </w:r>
      <w:r w:rsidR="00DD3E48" w:rsidRPr="00FA347D">
        <w:rPr>
          <w:bCs/>
          <w:i/>
          <w:iCs/>
          <w:lang w:eastAsia="ja-JP"/>
        </w:rPr>
        <w:t xml:space="preserve">Euastacus </w:t>
      </w:r>
      <w:r w:rsidRPr="00581535">
        <w:rPr>
          <w:bCs/>
          <w:i/>
          <w:iCs/>
          <w:lang w:eastAsia="ja-JP"/>
        </w:rPr>
        <w:t>balanensis</w:t>
      </w:r>
      <w:r w:rsidRPr="002E66D3">
        <w:rPr>
          <w:bCs/>
          <w:iCs/>
          <w:lang w:eastAsia="ja-JP"/>
        </w:rPr>
        <w:t xml:space="preserve"> </w:t>
      </w:r>
      <w:r w:rsidR="00DD3E48" w:rsidRPr="00DD3E48">
        <w:rPr>
          <w:bCs/>
          <w:lang w:eastAsia="ja-JP"/>
        </w:rPr>
        <w:t xml:space="preserve">against the thresholds for listing under Criterion D1 as there is little information available to determine a robust estimate of the number of mature individuals. However, </w:t>
      </w:r>
      <w:r>
        <w:rPr>
          <w:bCs/>
          <w:lang w:eastAsia="ja-JP"/>
        </w:rPr>
        <w:t>the species</w:t>
      </w:r>
      <w:r w:rsidR="00DD3E48" w:rsidRPr="00DD3E48">
        <w:rPr>
          <w:bCs/>
          <w:lang w:eastAsia="ja-JP"/>
        </w:rPr>
        <w:t xml:space="preserve"> does qualify under Criterion D2 as Vulnerable (VU). This is because it is found in </w:t>
      </w:r>
      <w:r>
        <w:rPr>
          <w:bCs/>
          <w:lang w:eastAsia="ja-JP"/>
        </w:rPr>
        <w:t>one</w:t>
      </w:r>
      <w:r w:rsidR="00DD3E48" w:rsidRPr="00DD3E48">
        <w:rPr>
          <w:bCs/>
          <w:lang w:eastAsia="ja-JP"/>
        </w:rPr>
        <w:t xml:space="preserve"> location, and the combined threats of enhanced climate change, bushfires and feral predators could drive the species towards extinction in a short timeframe.</w:t>
      </w:r>
      <w:r w:rsidR="00DD4A9A">
        <w:rPr>
          <w:bCs/>
          <w:lang w:eastAsia="ja-JP"/>
        </w:rPr>
        <w:t xml:space="preserve"> </w:t>
      </w:r>
      <w:r w:rsidR="00DD4A9A" w:rsidRPr="00DD4A9A">
        <w:rPr>
          <w:bCs/>
          <w:lang w:eastAsia="ja-JP"/>
        </w:rPr>
        <w:t>The isolation of this species to the headwaters of streams at high altitudes (&gt;700 m a.s.l) increases the risk of extirpation of any individual subpopulations through environmental and demographic stochasticity (Bruna 2004; De Castro &amp; Bolker 2005). Therefore, current and future threats could potentially rapidly eliminate all individuals in the taxon.</w:t>
      </w:r>
    </w:p>
    <w:p w14:paraId="57E960F5" w14:textId="3C154F99" w:rsidR="00557ED0" w:rsidRPr="006C19B2" w:rsidRDefault="00557ED0" w:rsidP="00557ED0">
      <w:pPr>
        <w:spacing w:before="120"/>
        <w:rPr>
          <w:rFonts w:asciiTheme="majorHAnsi" w:eastAsia="Times New Roman" w:hAnsiTheme="majorHAnsi" w:cs="Arial"/>
        </w:rPr>
      </w:pPr>
    </w:p>
    <w:p w14:paraId="2F397EEE" w14:textId="77777777" w:rsidR="00557ED0" w:rsidRDefault="00557ED0" w:rsidP="00557ED0">
      <w:pPr>
        <w:pStyle w:val="Caption"/>
        <w:spacing w:before="120"/>
      </w:pPr>
      <w:r w:rsidRPr="00AD2722">
        <w:t>Criterion 5</w:t>
      </w:r>
      <w:r>
        <w:t xml:space="preserve"> </w:t>
      </w:r>
      <w:r w:rsidRPr="00AD2722">
        <w:t xml:space="preserve">Quantitative </w:t>
      </w:r>
      <w:r>
        <w:t>a</w:t>
      </w:r>
      <w:r w:rsidRPr="00AD2722">
        <w:t>nalysis</w:t>
      </w:r>
    </w:p>
    <w:tbl>
      <w:tblPr>
        <w:tblStyle w:val="TableGrid"/>
        <w:tblW w:w="0" w:type="auto"/>
        <w:tblCellMar>
          <w:top w:w="57" w:type="dxa"/>
          <w:left w:w="85" w:type="dxa"/>
          <w:bottom w:w="57" w:type="dxa"/>
        </w:tblCellMar>
        <w:tblLook w:val="04A0" w:firstRow="1" w:lastRow="0" w:firstColumn="1" w:lastColumn="0" w:noHBand="0" w:noVBand="1"/>
      </w:tblPr>
      <w:tblGrid>
        <w:gridCol w:w="3282"/>
        <w:gridCol w:w="1976"/>
        <w:gridCol w:w="1873"/>
        <w:gridCol w:w="1929"/>
      </w:tblGrid>
      <w:tr w:rsidR="00557ED0" w:rsidRPr="00556843" w14:paraId="371B61EA" w14:textId="77777777" w:rsidTr="00831E16">
        <w:trPr>
          <w:trHeight w:val="350"/>
        </w:trPr>
        <w:tc>
          <w:tcPr>
            <w:tcW w:w="10624" w:type="dxa"/>
            <w:gridSpan w:val="4"/>
            <w:tcBorders>
              <w:left w:val="single" w:sz="4" w:space="0" w:color="auto"/>
              <w:bottom w:val="nil"/>
              <w:right w:val="single" w:sz="4" w:space="0" w:color="auto"/>
            </w:tcBorders>
            <w:shd w:val="clear" w:color="auto" w:fill="595959" w:themeFill="text1" w:themeFillTint="A6"/>
            <w:vAlign w:val="center"/>
          </w:tcPr>
          <w:p w14:paraId="4BC747D4" w14:textId="77777777" w:rsidR="00557ED0" w:rsidRPr="00556843" w:rsidRDefault="00557ED0" w:rsidP="00831E16">
            <w:pPr>
              <w:keepNext/>
              <w:tabs>
                <w:tab w:val="left" w:pos="284"/>
              </w:tabs>
              <w:rPr>
                <w:rFonts w:ascii="Arial" w:hAnsi="Arial" w:cs="Arial"/>
                <w:b/>
                <w:color w:val="FFFFFF" w:themeColor="background1"/>
              </w:rPr>
            </w:pPr>
          </w:p>
        </w:tc>
      </w:tr>
      <w:tr w:rsidR="00557ED0" w:rsidRPr="00556843" w14:paraId="03D2F788" w14:textId="77777777" w:rsidTr="00831E16">
        <w:trPr>
          <w:trHeight w:val="439"/>
        </w:trPr>
        <w:tc>
          <w:tcPr>
            <w:tcW w:w="4042" w:type="dxa"/>
            <w:tcBorders>
              <w:top w:val="nil"/>
              <w:left w:val="single" w:sz="4" w:space="0" w:color="auto"/>
              <w:bottom w:val="nil"/>
              <w:right w:val="nil"/>
            </w:tcBorders>
          </w:tcPr>
          <w:p w14:paraId="308815F1" w14:textId="77777777" w:rsidR="00557ED0" w:rsidRPr="00556843" w:rsidRDefault="00557ED0" w:rsidP="00831E16">
            <w:pPr>
              <w:pStyle w:val="TableText"/>
              <w:keepNext/>
            </w:pPr>
            <w:r w:rsidRPr="00E73F60">
              <w:rPr>
                <w:color w:val="FFFFFF" w:themeColor="background1"/>
              </w:rPr>
              <w:t>–</w:t>
            </w:r>
          </w:p>
        </w:tc>
        <w:tc>
          <w:tcPr>
            <w:tcW w:w="2252" w:type="dxa"/>
            <w:tcBorders>
              <w:top w:val="single" w:sz="4" w:space="0" w:color="FFFFFF" w:themeColor="background1"/>
              <w:left w:val="nil"/>
              <w:bottom w:val="single" w:sz="4" w:space="0" w:color="FFFFFF" w:themeColor="background1"/>
              <w:right w:val="single" w:sz="4" w:space="0" w:color="FFFFFF" w:themeColor="background1"/>
            </w:tcBorders>
            <w:shd w:val="clear" w:color="auto" w:fill="FF0000"/>
          </w:tcPr>
          <w:p w14:paraId="6FBE8069" w14:textId="77777777" w:rsidR="00557ED0" w:rsidRPr="009E3E71" w:rsidRDefault="00557ED0" w:rsidP="00831E16">
            <w:pPr>
              <w:pStyle w:val="TableText"/>
              <w:keepNext/>
              <w:rPr>
                <w:rStyle w:val="Strong"/>
              </w:rPr>
            </w:pPr>
            <w:r w:rsidRPr="009E3E71">
              <w:rPr>
                <w:rStyle w:val="Strong"/>
              </w:rPr>
              <w:t>Critically Endangered</w:t>
            </w:r>
          </w:p>
          <w:p w14:paraId="7A512F62" w14:textId="77777777" w:rsidR="00557ED0" w:rsidRPr="00556843" w:rsidRDefault="00557ED0" w:rsidP="00831E16">
            <w:pPr>
              <w:pStyle w:val="TableText"/>
              <w:keepNext/>
              <w:rPr>
                <w:b/>
              </w:rPr>
            </w:pPr>
            <w:r w:rsidRPr="009E3E71">
              <w:rPr>
                <w:rStyle w:val="Strong"/>
              </w:rPr>
              <w:t>Immediate future</w:t>
            </w:r>
          </w:p>
        </w:tc>
        <w:tc>
          <w:tcPr>
            <w:tcW w:w="21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1793AA88" w14:textId="77777777" w:rsidR="00557ED0" w:rsidRPr="009E3E71" w:rsidRDefault="00557ED0" w:rsidP="00831E16">
            <w:pPr>
              <w:pStyle w:val="TableText"/>
              <w:keepNext/>
              <w:rPr>
                <w:rStyle w:val="Strong"/>
              </w:rPr>
            </w:pPr>
            <w:r w:rsidRPr="009E3E71">
              <w:rPr>
                <w:rStyle w:val="Strong"/>
              </w:rPr>
              <w:t>Endangered</w:t>
            </w:r>
          </w:p>
          <w:p w14:paraId="1701D47D" w14:textId="77777777" w:rsidR="00557ED0" w:rsidRPr="009E3E71" w:rsidRDefault="00557ED0" w:rsidP="00831E16">
            <w:pPr>
              <w:pStyle w:val="TableText"/>
              <w:keepNext/>
              <w:rPr>
                <w:rStyle w:val="Strong"/>
              </w:rPr>
            </w:pPr>
            <w:r w:rsidRPr="009E3E71">
              <w:rPr>
                <w:rStyle w:val="Strong"/>
              </w:rPr>
              <w:t>Near future</w:t>
            </w:r>
          </w:p>
        </w:tc>
        <w:tc>
          <w:tcPr>
            <w:tcW w:w="2217" w:type="dxa"/>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FFFF00"/>
          </w:tcPr>
          <w:p w14:paraId="3C4171EA" w14:textId="77777777" w:rsidR="00557ED0" w:rsidRPr="009E3E71" w:rsidRDefault="00557ED0" w:rsidP="00831E16">
            <w:pPr>
              <w:pStyle w:val="TableText"/>
              <w:keepNext/>
              <w:rPr>
                <w:rStyle w:val="Strong"/>
              </w:rPr>
            </w:pPr>
            <w:r w:rsidRPr="009E3E71">
              <w:rPr>
                <w:rStyle w:val="Strong"/>
              </w:rPr>
              <w:t>Vulnerable</w:t>
            </w:r>
          </w:p>
          <w:p w14:paraId="35BBE1D2" w14:textId="77777777" w:rsidR="00557ED0" w:rsidRPr="009E3E71" w:rsidRDefault="00557ED0" w:rsidP="00831E16">
            <w:pPr>
              <w:pStyle w:val="TableText"/>
              <w:keepNext/>
              <w:rPr>
                <w:rStyle w:val="Strong"/>
              </w:rPr>
            </w:pPr>
            <w:r w:rsidRPr="009E3E71">
              <w:rPr>
                <w:rStyle w:val="Strong"/>
              </w:rPr>
              <w:t>Medium-term future</w:t>
            </w:r>
          </w:p>
        </w:tc>
      </w:tr>
      <w:tr w:rsidR="00557ED0" w:rsidRPr="004F5429" w14:paraId="7A76DF06" w14:textId="77777777" w:rsidTr="00831E16">
        <w:trPr>
          <w:trHeight w:val="442"/>
        </w:trPr>
        <w:tc>
          <w:tcPr>
            <w:tcW w:w="4042" w:type="dxa"/>
            <w:tcBorders>
              <w:top w:val="nil"/>
              <w:left w:val="single" w:sz="4" w:space="0" w:color="auto"/>
              <w:bottom w:val="single" w:sz="4" w:space="0" w:color="auto"/>
              <w:right w:val="nil"/>
            </w:tcBorders>
            <w:shd w:val="clear" w:color="auto" w:fill="BFBFBF" w:themeFill="background1" w:themeFillShade="BF"/>
            <w:vAlign w:val="center"/>
          </w:tcPr>
          <w:p w14:paraId="4F6EBF66" w14:textId="77777777" w:rsidR="00557ED0" w:rsidRPr="004F5429" w:rsidRDefault="00557ED0" w:rsidP="00831E16">
            <w:pPr>
              <w:pStyle w:val="TableText"/>
              <w:rPr>
                <w:rStyle w:val="Strong"/>
              </w:rPr>
            </w:pPr>
            <w:r w:rsidRPr="004F5429">
              <w:rPr>
                <w:rStyle w:val="Strong"/>
              </w:rPr>
              <w:t xml:space="preserve">Indicating the probability of extinction in the wild to be: </w:t>
            </w:r>
          </w:p>
        </w:tc>
        <w:tc>
          <w:tcPr>
            <w:tcW w:w="2252" w:type="dxa"/>
            <w:tcBorders>
              <w:top w:val="single" w:sz="4" w:space="0" w:color="FFFFFF" w:themeColor="background1"/>
              <w:left w:val="nil"/>
              <w:bottom w:val="single" w:sz="4" w:space="0" w:color="auto"/>
              <w:right w:val="single" w:sz="4" w:space="0" w:color="FFFFFF" w:themeColor="background1"/>
            </w:tcBorders>
            <w:shd w:val="clear" w:color="auto" w:fill="FF7C80"/>
            <w:vAlign w:val="center"/>
          </w:tcPr>
          <w:p w14:paraId="66B17F39" w14:textId="77777777" w:rsidR="00557ED0" w:rsidRPr="004F5429" w:rsidRDefault="00557ED0" w:rsidP="00831E16">
            <w:pPr>
              <w:pStyle w:val="TableText"/>
              <w:rPr>
                <w:rStyle w:val="Strong"/>
                <w:b w:val="0"/>
                <w:bCs w:val="0"/>
              </w:rPr>
            </w:pPr>
            <w:r w:rsidRPr="004F5429">
              <w:rPr>
                <w:rStyle w:val="Strong"/>
                <w:b w:val="0"/>
                <w:bCs w:val="0"/>
              </w:rPr>
              <w:t>≥ 50% in 10 years or 3 generations, whichever is longer (100 years max.)</w:t>
            </w:r>
          </w:p>
        </w:tc>
        <w:tc>
          <w:tcPr>
            <w:tcW w:w="211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FF9933"/>
            <w:vAlign w:val="center"/>
          </w:tcPr>
          <w:p w14:paraId="426A9F60" w14:textId="77777777" w:rsidR="00557ED0" w:rsidRPr="004F5429" w:rsidRDefault="00557ED0" w:rsidP="00831E16">
            <w:pPr>
              <w:pStyle w:val="TableText"/>
              <w:rPr>
                <w:rStyle w:val="Strong"/>
                <w:b w:val="0"/>
                <w:bCs w:val="0"/>
              </w:rPr>
            </w:pPr>
            <w:r w:rsidRPr="004F5429">
              <w:rPr>
                <w:rStyle w:val="Strong"/>
                <w:b w:val="0"/>
                <w:bCs w:val="0"/>
              </w:rPr>
              <w:t>≥ 20% in 20 years or 5 generations, whichever is longer (100 years max.)</w:t>
            </w:r>
          </w:p>
        </w:tc>
        <w:tc>
          <w:tcPr>
            <w:tcW w:w="2217" w:type="dxa"/>
            <w:tcBorders>
              <w:top w:val="single" w:sz="4" w:space="0" w:color="FFFFFF" w:themeColor="background1"/>
              <w:left w:val="single" w:sz="4" w:space="0" w:color="FFFFFF" w:themeColor="background1"/>
              <w:bottom w:val="single" w:sz="4" w:space="0" w:color="auto"/>
              <w:right w:val="single" w:sz="4" w:space="0" w:color="auto"/>
            </w:tcBorders>
            <w:shd w:val="clear" w:color="auto" w:fill="FFFF66"/>
            <w:vAlign w:val="center"/>
          </w:tcPr>
          <w:p w14:paraId="0F70EE69" w14:textId="77777777" w:rsidR="00557ED0" w:rsidRPr="004F5429" w:rsidRDefault="00557ED0" w:rsidP="00831E16">
            <w:pPr>
              <w:pStyle w:val="TableText"/>
              <w:rPr>
                <w:rStyle w:val="Strong"/>
                <w:b w:val="0"/>
                <w:bCs w:val="0"/>
              </w:rPr>
            </w:pPr>
            <w:r w:rsidRPr="004F5429">
              <w:rPr>
                <w:rStyle w:val="Strong"/>
                <w:b w:val="0"/>
                <w:bCs w:val="0"/>
              </w:rPr>
              <w:t xml:space="preserve">≥ 10% in 100 years </w:t>
            </w:r>
          </w:p>
        </w:tc>
      </w:tr>
    </w:tbl>
    <w:p w14:paraId="31BB1D9B" w14:textId="77777777" w:rsidR="00557ED0" w:rsidRPr="00AD2722" w:rsidRDefault="00557ED0" w:rsidP="00155FF5">
      <w:pPr>
        <w:pStyle w:val="Heading3"/>
        <w:ind w:left="964" w:hanging="964"/>
      </w:pPr>
      <w:r>
        <w:lastRenderedPageBreak/>
        <w:t>Criterion 5 e</w:t>
      </w:r>
      <w:r w:rsidRPr="00AD2722">
        <w:t>vidence</w:t>
      </w:r>
    </w:p>
    <w:p w14:paraId="726B89D0" w14:textId="77777777" w:rsidR="00557ED0" w:rsidRDefault="00557ED0" w:rsidP="00155FF5">
      <w:pPr>
        <w:keepNext/>
        <w:keepLines/>
        <w:spacing w:before="120"/>
        <w:rPr>
          <w:bCs/>
        </w:rPr>
      </w:pPr>
      <w:r w:rsidRPr="008F14F5">
        <w:rPr>
          <w:rStyle w:val="Strong"/>
        </w:rPr>
        <w:t>Insufficient data to determine eligibility</w:t>
      </w:r>
    </w:p>
    <w:p w14:paraId="18FAD1B4" w14:textId="2D03F2E9" w:rsidR="00781FBE" w:rsidRDefault="00557ED0" w:rsidP="00781FBE">
      <w:pPr>
        <w:spacing w:before="120"/>
        <w:rPr>
          <w:lang w:eastAsia="ja-JP"/>
        </w:rPr>
      </w:pPr>
      <w:r w:rsidRPr="00AD2722">
        <w:rPr>
          <w:bCs/>
        </w:rPr>
        <w:t>Population viability analysis has not been undertaken</w:t>
      </w:r>
      <w:r>
        <w:rPr>
          <w:bCs/>
        </w:rPr>
        <w:t xml:space="preserve">. Therefore, </w:t>
      </w:r>
      <w:r w:rsidRPr="00AD2722">
        <w:rPr>
          <w:bCs/>
        </w:rPr>
        <w:t>there is insufficient information to determine the eligibility of the species for listing in any category under this criterion</w:t>
      </w:r>
      <w:r w:rsidRPr="00FC1152">
        <w:rPr>
          <w:bCs/>
        </w:rPr>
        <w:t>.</w:t>
      </w:r>
      <w:r>
        <w:rPr>
          <w:bCs/>
        </w:rPr>
        <w:t xml:space="preserve"> </w:t>
      </w:r>
    </w:p>
    <w:p w14:paraId="7010D7AB" w14:textId="77777777" w:rsidR="00557ED0" w:rsidRPr="00AD2722" w:rsidRDefault="00557ED0" w:rsidP="00557ED0">
      <w:pPr>
        <w:pStyle w:val="Heading3"/>
        <w:spacing w:before="200" w:after="200"/>
        <w:ind w:left="964" w:hanging="964"/>
      </w:pPr>
      <w:r w:rsidRPr="00AD2722">
        <w:t>Adequacy of survey</w:t>
      </w:r>
    </w:p>
    <w:p w14:paraId="512EAB10" w14:textId="77777777" w:rsidR="00557ED0" w:rsidRDefault="00557ED0" w:rsidP="00557ED0">
      <w:pPr>
        <w:spacing w:before="200"/>
        <w:rPr>
          <w:bCs/>
        </w:rPr>
      </w:pPr>
      <w:r w:rsidRPr="008C5A70">
        <w:rPr>
          <w:bCs/>
        </w:rPr>
        <w:t xml:space="preserve">The survey effort </w:t>
      </w:r>
      <w:r>
        <w:rPr>
          <w:bCs/>
        </w:rPr>
        <w:t xml:space="preserve">for this assessment is </w:t>
      </w:r>
      <w:r w:rsidRPr="008C5A70">
        <w:rPr>
          <w:bCs/>
        </w:rPr>
        <w:t>appropriate</w:t>
      </w:r>
      <w:r>
        <w:rPr>
          <w:bCs/>
        </w:rPr>
        <w:t xml:space="preserve"> (i.e. 2004, 2005, 2008)</w:t>
      </w:r>
      <w:r w:rsidRPr="008C5A70">
        <w:rPr>
          <w:bCs/>
        </w:rPr>
        <w:t xml:space="preserve"> and there is sufficient </w:t>
      </w:r>
      <w:r>
        <w:rPr>
          <w:bCs/>
        </w:rPr>
        <w:t xml:space="preserve">published </w:t>
      </w:r>
      <w:r w:rsidRPr="008C5A70">
        <w:rPr>
          <w:bCs/>
        </w:rPr>
        <w:t>scientific evidence to support th</w:t>
      </w:r>
      <w:r>
        <w:rPr>
          <w:bCs/>
        </w:rPr>
        <w:t>is</w:t>
      </w:r>
      <w:r w:rsidRPr="008C5A70">
        <w:rPr>
          <w:bCs/>
        </w:rPr>
        <w:t xml:space="preserve"> assessment.</w:t>
      </w:r>
    </w:p>
    <w:sectPr w:rsidR="00557ED0" w:rsidSect="002F232F">
      <w:headerReference w:type="even" r:id="rId30"/>
      <w:headerReference w:type="default" r:id="rId31"/>
      <w:footerReference w:type="even" r:id="rId32"/>
      <w:footerReference w:type="default" r:id="rId33"/>
      <w:headerReference w:type="first" r:id="rId34"/>
      <w:footerReference w:type="first" r:id="rId35"/>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E52D14" w14:textId="77777777" w:rsidR="001352F9" w:rsidRDefault="001352F9">
      <w:r>
        <w:separator/>
      </w:r>
    </w:p>
    <w:p w14:paraId="30FF31A8" w14:textId="77777777" w:rsidR="001352F9" w:rsidRDefault="001352F9"/>
    <w:p w14:paraId="4920C842" w14:textId="77777777" w:rsidR="001352F9" w:rsidRDefault="001352F9"/>
    <w:p w14:paraId="09AF57BC" w14:textId="77777777" w:rsidR="001352F9" w:rsidRDefault="001352F9"/>
  </w:endnote>
  <w:endnote w:type="continuationSeparator" w:id="0">
    <w:p w14:paraId="7EF00786" w14:textId="77777777" w:rsidR="001352F9" w:rsidRDefault="001352F9">
      <w:r>
        <w:continuationSeparator/>
      </w:r>
    </w:p>
    <w:p w14:paraId="595D9A90" w14:textId="77777777" w:rsidR="001352F9" w:rsidRDefault="001352F9"/>
    <w:p w14:paraId="76FF5BF4" w14:textId="77777777" w:rsidR="001352F9" w:rsidRDefault="001352F9"/>
    <w:p w14:paraId="3D779115" w14:textId="77777777" w:rsidR="001352F9" w:rsidRDefault="001352F9"/>
  </w:endnote>
  <w:endnote w:type="continuationNotice" w:id="1">
    <w:p w14:paraId="07C1C8C1" w14:textId="77777777" w:rsidR="001352F9" w:rsidRDefault="001352F9">
      <w:pPr>
        <w:pStyle w:val="Footer"/>
      </w:pPr>
    </w:p>
    <w:p w14:paraId="303F36A8" w14:textId="77777777" w:rsidR="001352F9" w:rsidRDefault="001352F9"/>
    <w:p w14:paraId="04209AC2" w14:textId="77777777" w:rsidR="001352F9" w:rsidRDefault="001352F9"/>
    <w:p w14:paraId="71DDC224" w14:textId="77777777" w:rsidR="001352F9" w:rsidRDefault="001352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 w:name="MTSYN">
    <w:altName w:val="Arial Unicode MS"/>
    <w:panose1 w:val="00000000000000000000"/>
    <w:charset w:val="81"/>
    <w:family w:val="auto"/>
    <w:notTrueType/>
    <w:pitch w:val="default"/>
    <w:sig w:usb0="00000001" w:usb1="09060000" w:usb2="00000010" w:usb3="00000000" w:csb0="00080000" w:csb1="00000000"/>
  </w:font>
  <w:font w:name="Engravers MT">
    <w:panose1 w:val="020907070805050203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16DF7" w14:textId="39C7DFE1" w:rsidR="002D456F" w:rsidRDefault="007F172C">
    <w:pPr>
      <w:pStyle w:val="Footer"/>
    </w:pPr>
    <w:r>
      <w:rPr>
        <w:noProof/>
      </w:rPr>
      <mc:AlternateContent>
        <mc:Choice Requires="wps">
          <w:drawing>
            <wp:anchor distT="0" distB="0" distL="0" distR="0" simplePos="0" relativeHeight="251693056" behindDoc="0" locked="0" layoutInCell="1" allowOverlap="1" wp14:anchorId="43E49327" wp14:editId="716A968E">
              <wp:simplePos x="635" y="635"/>
              <wp:positionH relativeFrom="page">
                <wp:align>center</wp:align>
              </wp:positionH>
              <wp:positionV relativeFrom="page">
                <wp:align>bottom</wp:align>
              </wp:positionV>
              <wp:extent cx="551815" cy="404495"/>
              <wp:effectExtent l="0" t="0" r="635" b="0"/>
              <wp:wrapNone/>
              <wp:docPr id="1020953755" name="Text Box 3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5309D27" w14:textId="6509CEA3" w:rsidR="007F172C" w:rsidRPr="007F172C" w:rsidRDefault="007F172C" w:rsidP="007F172C">
                          <w:pPr>
                            <w:spacing w:after="0"/>
                            <w:rPr>
                              <w:rFonts w:ascii="Calibri" w:eastAsia="Calibri" w:hAnsi="Calibri" w:cs="Calibri"/>
                              <w:noProof/>
                              <w:color w:val="FF0000"/>
                              <w:sz w:val="24"/>
                              <w:szCs w:val="24"/>
                            </w:rPr>
                          </w:pPr>
                          <w:r w:rsidRPr="007F172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E49327" id="_x0000_t202" coordsize="21600,21600" o:spt="202" path="m,l,21600r21600,l21600,xe">
              <v:stroke joinstyle="miter"/>
              <v:path gradientshapeok="t" o:connecttype="rect"/>
            </v:shapetype>
            <v:shape id="Text Box 32" o:spid="_x0000_s1029" type="#_x0000_t202" alt="OFFICIAL" style="position:absolute;left:0;text-align:left;margin-left:0;margin-top:0;width:43.45pt;height:31.85pt;z-index:251693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75309D27" w14:textId="6509CEA3" w:rsidR="007F172C" w:rsidRPr="007F172C" w:rsidRDefault="007F172C" w:rsidP="007F172C">
                    <w:pPr>
                      <w:spacing w:after="0"/>
                      <w:rPr>
                        <w:rFonts w:ascii="Calibri" w:eastAsia="Calibri" w:hAnsi="Calibri" w:cs="Calibri"/>
                        <w:noProof/>
                        <w:color w:val="FF0000"/>
                        <w:sz w:val="24"/>
                        <w:szCs w:val="24"/>
                      </w:rPr>
                    </w:pPr>
                    <w:r w:rsidRPr="007F172C">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107AA" w14:textId="31608D1E" w:rsidR="00557ED0" w:rsidRDefault="007F172C" w:rsidP="00E02D9C">
    <w:pPr>
      <w:pStyle w:val="Footer"/>
    </w:pPr>
    <w:r>
      <w:rPr>
        <w:noProof/>
      </w:rPr>
      <mc:AlternateContent>
        <mc:Choice Requires="wps">
          <w:drawing>
            <wp:anchor distT="0" distB="0" distL="0" distR="0" simplePos="0" relativeHeight="251694080" behindDoc="0" locked="0" layoutInCell="1" allowOverlap="1" wp14:anchorId="60128D9D" wp14:editId="18F4021A">
              <wp:simplePos x="0" y="0"/>
              <wp:positionH relativeFrom="margin">
                <wp:align>center</wp:align>
              </wp:positionH>
              <wp:positionV relativeFrom="page">
                <wp:posOffset>10106881</wp:posOffset>
              </wp:positionV>
              <wp:extent cx="551815" cy="404495"/>
              <wp:effectExtent l="0" t="0" r="635" b="0"/>
              <wp:wrapNone/>
              <wp:docPr id="199020441" name="Text Box 3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5E3C348" w14:textId="7DC78123" w:rsidR="007F172C" w:rsidRPr="007F172C" w:rsidRDefault="007F172C" w:rsidP="007F172C">
                          <w:pPr>
                            <w:spacing w:after="0"/>
                            <w:rPr>
                              <w:rFonts w:ascii="Calibri" w:eastAsia="Calibri" w:hAnsi="Calibri" w:cs="Calibri"/>
                              <w:noProof/>
                              <w:color w:val="FF0000"/>
                              <w:sz w:val="24"/>
                              <w:szCs w:val="24"/>
                            </w:rPr>
                          </w:pPr>
                          <w:r w:rsidRPr="007F172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128D9D" id="_x0000_t202" coordsize="21600,21600" o:spt="202" path="m,l,21600r21600,l21600,xe">
              <v:stroke joinstyle="miter"/>
              <v:path gradientshapeok="t" o:connecttype="rect"/>
            </v:shapetype>
            <v:shape id="Text Box 33" o:spid="_x0000_s1030" type="#_x0000_t202" alt="OFFICIAL" style="position:absolute;left:0;text-align:left;margin-left:0;margin-top:795.8pt;width:43.45pt;height:31.85pt;z-index:251694080;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" filled="f" stroked="f">
              <v:textbox style="mso-fit-shape-to-text:t" inset="0,0,0,15pt">
                <w:txbxContent>
                  <w:p w14:paraId="35E3C348" w14:textId="7DC78123" w:rsidR="007F172C" w:rsidRPr="007F172C" w:rsidRDefault="007F172C" w:rsidP="007F172C">
                    <w:pPr>
                      <w:spacing w:after="0"/>
                      <w:rPr>
                        <w:rFonts w:ascii="Calibri" w:eastAsia="Calibri" w:hAnsi="Calibri" w:cs="Calibri"/>
                        <w:noProof/>
                        <w:color w:val="FF0000"/>
                        <w:sz w:val="24"/>
                        <w:szCs w:val="24"/>
                      </w:rPr>
                    </w:pPr>
                    <w:r w:rsidRPr="007F172C">
                      <w:rPr>
                        <w:rFonts w:ascii="Calibri" w:eastAsia="Calibri" w:hAnsi="Calibri" w:cs="Calibri"/>
                        <w:noProof/>
                        <w:color w:val="FF0000"/>
                        <w:sz w:val="24"/>
                        <w:szCs w:val="24"/>
                      </w:rPr>
                      <w:t>OFFICIAL</w:t>
                    </w:r>
                  </w:p>
                </w:txbxContent>
              </v:textbox>
              <w10:wrap anchorx="margin" anchory="page"/>
            </v:shape>
          </w:pict>
        </mc:Fallback>
      </mc:AlternateContent>
    </w:r>
    <w:r w:rsidR="00557ED0">
      <w:fldChar w:fldCharType="begin"/>
    </w:r>
    <w:r w:rsidR="00557ED0">
      <w:instrText xml:space="preserve"> PAGE   \* MERGEFORMAT </w:instrText>
    </w:r>
    <w:r w:rsidR="00557ED0">
      <w:fldChar w:fldCharType="separate"/>
    </w:r>
    <w:r w:rsidR="00557ED0">
      <w:rPr>
        <w:noProof/>
      </w:rPr>
      <w:t>7</w:t>
    </w:r>
    <w:r w:rsidR="00557ED0">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D2010" w14:textId="7A6C0509" w:rsidR="00557ED0" w:rsidRDefault="007F172C" w:rsidP="002F232F">
    <w:pPr>
      <w:pStyle w:val="Footer"/>
    </w:pPr>
    <w:r>
      <w:rPr>
        <w:noProof/>
      </w:rPr>
      <mc:AlternateContent>
        <mc:Choice Requires="wps">
          <w:drawing>
            <wp:anchor distT="0" distB="0" distL="0" distR="0" simplePos="0" relativeHeight="251692032" behindDoc="0" locked="0" layoutInCell="1" allowOverlap="1" wp14:anchorId="67774680" wp14:editId="70DFC604">
              <wp:simplePos x="0" y="0"/>
              <wp:positionH relativeFrom="page">
                <wp:align>center</wp:align>
              </wp:positionH>
              <wp:positionV relativeFrom="page">
                <wp:posOffset>10096249</wp:posOffset>
              </wp:positionV>
              <wp:extent cx="551815" cy="404495"/>
              <wp:effectExtent l="0" t="0" r="635" b="0"/>
              <wp:wrapNone/>
              <wp:docPr id="1514500170" name="Text Box 3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1E0D87C" w14:textId="69DDED67" w:rsidR="007F172C" w:rsidRPr="007F172C" w:rsidRDefault="007F172C" w:rsidP="007F172C">
                          <w:pPr>
                            <w:spacing w:after="0"/>
                            <w:rPr>
                              <w:rFonts w:ascii="Calibri" w:eastAsia="Calibri" w:hAnsi="Calibri" w:cs="Calibri"/>
                              <w:noProof/>
                              <w:color w:val="FF0000"/>
                              <w:sz w:val="24"/>
                              <w:szCs w:val="24"/>
                            </w:rPr>
                          </w:pPr>
                          <w:r w:rsidRPr="007F172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774680" id="_x0000_t202" coordsize="21600,21600" o:spt="202" path="m,l,21600r21600,l21600,xe">
              <v:stroke joinstyle="miter"/>
              <v:path gradientshapeok="t" o:connecttype="rect"/>
            </v:shapetype>
            <v:shape id="Text Box 31" o:spid="_x0000_s1032" type="#_x0000_t202" alt="OFFICIAL" style="position:absolute;left:0;text-align:left;margin-left:0;margin-top:795pt;width:43.45pt;height:31.85pt;z-index:251692032;visibility:visible;mso-wrap-style:none;mso-wrap-distance-left:0;mso-wrap-distance-top:0;mso-wrap-distance-right:0;mso-wrap-distance-bottom:0;mso-position-horizontal:center;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" filled="f" stroked="f">
              <v:textbox style="mso-fit-shape-to-text:t" inset="0,0,0,15pt">
                <w:txbxContent>
                  <w:p w14:paraId="41E0D87C" w14:textId="69DDED67" w:rsidR="007F172C" w:rsidRPr="007F172C" w:rsidRDefault="007F172C" w:rsidP="007F172C">
                    <w:pPr>
                      <w:spacing w:after="0"/>
                      <w:rPr>
                        <w:rFonts w:ascii="Calibri" w:eastAsia="Calibri" w:hAnsi="Calibri" w:cs="Calibri"/>
                        <w:noProof/>
                        <w:color w:val="FF0000"/>
                        <w:sz w:val="24"/>
                        <w:szCs w:val="24"/>
                      </w:rPr>
                    </w:pPr>
                    <w:r w:rsidRPr="007F172C">
                      <w:rPr>
                        <w:rFonts w:ascii="Calibri" w:eastAsia="Calibri" w:hAnsi="Calibri" w:cs="Calibri"/>
                        <w:noProof/>
                        <w:color w:val="FF0000"/>
                        <w:sz w:val="24"/>
                        <w:szCs w:val="24"/>
                      </w:rPr>
                      <w:t>OFFICIAL</w:t>
                    </w:r>
                  </w:p>
                </w:txbxContent>
              </v:textbox>
              <w10:wrap anchorx="page" anchory="page"/>
            </v:shape>
          </w:pict>
        </mc:Fallback>
      </mc:AlternateContent>
    </w:r>
  </w:p>
  <w:p w14:paraId="6AB868BD" w14:textId="77777777" w:rsidR="00557ED0" w:rsidRDefault="00557ED0" w:rsidP="002F232F">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F7AA1" w14:textId="1592F8ED" w:rsidR="002D456F" w:rsidRDefault="007F172C">
    <w:pPr>
      <w:pStyle w:val="Footer"/>
    </w:pPr>
    <w:r>
      <w:rPr>
        <w:noProof/>
      </w:rPr>
      <mc:AlternateContent>
        <mc:Choice Requires="wps">
          <w:drawing>
            <wp:anchor distT="0" distB="0" distL="0" distR="0" simplePos="0" relativeHeight="251696128" behindDoc="0" locked="0" layoutInCell="1" allowOverlap="1" wp14:anchorId="42646334" wp14:editId="3204A32E">
              <wp:simplePos x="635" y="635"/>
              <wp:positionH relativeFrom="page">
                <wp:align>center</wp:align>
              </wp:positionH>
              <wp:positionV relativeFrom="page">
                <wp:align>bottom</wp:align>
              </wp:positionV>
              <wp:extent cx="551815" cy="404495"/>
              <wp:effectExtent l="0" t="0" r="635" b="0"/>
              <wp:wrapNone/>
              <wp:docPr id="120728376"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F13EDA6" w14:textId="5A90B698" w:rsidR="007F172C" w:rsidRPr="007F172C" w:rsidRDefault="007F172C" w:rsidP="007F172C">
                          <w:pPr>
                            <w:spacing w:after="0"/>
                            <w:rPr>
                              <w:rFonts w:ascii="Calibri" w:eastAsia="Calibri" w:hAnsi="Calibri" w:cs="Calibri"/>
                              <w:noProof/>
                              <w:color w:val="FF0000"/>
                              <w:sz w:val="24"/>
                              <w:szCs w:val="24"/>
                            </w:rPr>
                          </w:pPr>
                          <w:r w:rsidRPr="007F172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646334" id="_x0000_t202" coordsize="21600,21600" o:spt="202" path="m,l,21600r21600,l21600,xe">
              <v:stroke joinstyle="miter"/>
              <v:path gradientshapeok="t" o:connecttype="rect"/>
            </v:shapetype>
            <v:shape id="Text Box 35" o:spid="_x0000_s1035" type="#_x0000_t202" alt="OFFICIAL" style="position:absolute;left:0;text-align:left;margin-left:0;margin-top:0;width:43.45pt;height:31.85pt;z-index:251696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MxvXfQ4CAAAc&#10;BAAADgAAAAAAAAAAAAAAAAAuAgAAZHJzL2Uyb0RvYy54bWxQSwECLQAUAAYACAAAACEAH1WiDdsA&#10;AAADAQAADwAAAAAAAAAAAAAAAABoBAAAZHJzL2Rvd25yZXYueG1sUEsFBgAAAAAEAAQA8wAAAHAF&#10;AAAAAA==&#10;" filled="f" stroked="f">
              <v:textbox style="mso-fit-shape-to-text:t" inset="0,0,0,15pt">
                <w:txbxContent>
                  <w:p w14:paraId="1F13EDA6" w14:textId="5A90B698" w:rsidR="007F172C" w:rsidRPr="007F172C" w:rsidRDefault="007F172C" w:rsidP="007F172C">
                    <w:pPr>
                      <w:spacing w:after="0"/>
                      <w:rPr>
                        <w:rFonts w:ascii="Calibri" w:eastAsia="Calibri" w:hAnsi="Calibri" w:cs="Calibri"/>
                        <w:noProof/>
                        <w:color w:val="FF0000"/>
                        <w:sz w:val="24"/>
                        <w:szCs w:val="24"/>
                      </w:rPr>
                    </w:pPr>
                    <w:r w:rsidRPr="007F172C">
                      <w:rPr>
                        <w:rFonts w:ascii="Calibri" w:eastAsia="Calibri" w:hAnsi="Calibri" w:cs="Calibri"/>
                        <w:noProof/>
                        <w:color w:val="FF0000"/>
                        <w:sz w:val="24"/>
                        <w:szCs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3395811"/>
      <w:docPartObj>
        <w:docPartGallery w:val="Page Numbers (Bottom of Page)"/>
        <w:docPartUnique/>
      </w:docPartObj>
    </w:sdtPr>
    <w:sdtEndPr>
      <w:rPr>
        <w:noProof/>
      </w:rPr>
    </w:sdtEndPr>
    <w:sdtContent>
      <w:p w14:paraId="2145A70F" w14:textId="4B6E28E2" w:rsidR="00B3335F" w:rsidRDefault="00B3335F">
        <w:pPr>
          <w:pStyle w:val="Footer"/>
        </w:pPr>
        <w:r>
          <w:fldChar w:fldCharType="begin"/>
        </w:r>
        <w:r>
          <w:instrText xml:space="preserve"> PAGE   \* MERGEFORMAT </w:instrText>
        </w:r>
        <w:r>
          <w:fldChar w:fldCharType="separate"/>
        </w:r>
        <w:r>
          <w:rPr>
            <w:noProof/>
          </w:rPr>
          <w:t>2</w:t>
        </w:r>
        <w:r>
          <w:rPr>
            <w:noProof/>
          </w:rPr>
          <w:fldChar w:fldCharType="end"/>
        </w:r>
      </w:p>
    </w:sdtContent>
  </w:sdt>
  <w:p w14:paraId="103F8ED7" w14:textId="76186773" w:rsidR="002D456F" w:rsidRDefault="002D456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1F719" w14:textId="0F33E473" w:rsidR="00DA128A" w:rsidRDefault="007F172C" w:rsidP="002F232F">
    <w:pPr>
      <w:pStyle w:val="Footer"/>
    </w:pPr>
    <w:r>
      <w:rPr>
        <w:noProof/>
      </w:rPr>
      <mc:AlternateContent>
        <mc:Choice Requires="wps">
          <w:drawing>
            <wp:anchor distT="0" distB="0" distL="0" distR="0" simplePos="0" relativeHeight="251695104" behindDoc="0" locked="0" layoutInCell="1" allowOverlap="1" wp14:anchorId="6C943021" wp14:editId="5116C03C">
              <wp:simplePos x="0" y="0"/>
              <wp:positionH relativeFrom="margin">
                <wp:align>center</wp:align>
              </wp:positionH>
              <wp:positionV relativeFrom="page">
                <wp:posOffset>10085616</wp:posOffset>
              </wp:positionV>
              <wp:extent cx="551815" cy="404495"/>
              <wp:effectExtent l="0" t="0" r="635" b="0"/>
              <wp:wrapNone/>
              <wp:docPr id="1508866689"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F8BA35D" w14:textId="7B06F11C" w:rsidR="007F172C" w:rsidRPr="007F172C" w:rsidRDefault="007F172C" w:rsidP="007F172C">
                          <w:pPr>
                            <w:spacing w:after="0"/>
                            <w:rPr>
                              <w:rFonts w:ascii="Calibri" w:eastAsia="Calibri" w:hAnsi="Calibri" w:cs="Calibri"/>
                              <w:noProof/>
                              <w:color w:val="FF0000"/>
                              <w:sz w:val="24"/>
                              <w:szCs w:val="24"/>
                            </w:rPr>
                          </w:pPr>
                          <w:r w:rsidRPr="007F172C">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943021" id="_x0000_t202" coordsize="21600,21600" o:spt="202" path="m,l,21600r21600,l21600,xe">
              <v:stroke joinstyle="miter"/>
              <v:path gradientshapeok="t" o:connecttype="rect"/>
            </v:shapetype>
            <v:shape id="Text Box 34" o:spid="_x0000_s1037" type="#_x0000_t202" alt="OFFICIAL" style="position:absolute;left:0;text-align:left;margin-left:0;margin-top:794.15pt;width:43.45pt;height:31.85pt;z-index:251695104;visibility:visible;mso-wrap-style:none;mso-wrap-distance-left:0;mso-wrap-distance-top:0;mso-wrap-distance-right:0;mso-wrap-distance-bottom:0;mso-position-horizontal:center;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" filled="f" stroked="f">
              <v:textbox style="mso-fit-shape-to-text:t" inset="0,0,0,15pt">
                <w:txbxContent>
                  <w:p w14:paraId="0F8BA35D" w14:textId="7B06F11C" w:rsidR="007F172C" w:rsidRPr="007F172C" w:rsidRDefault="007F172C" w:rsidP="007F172C">
                    <w:pPr>
                      <w:spacing w:after="0"/>
                      <w:rPr>
                        <w:rFonts w:ascii="Calibri" w:eastAsia="Calibri" w:hAnsi="Calibri" w:cs="Calibri"/>
                        <w:noProof/>
                        <w:color w:val="FF0000"/>
                        <w:sz w:val="24"/>
                        <w:szCs w:val="24"/>
                      </w:rPr>
                    </w:pPr>
                    <w:r w:rsidRPr="007F172C">
                      <w:rPr>
                        <w:rFonts w:ascii="Calibri" w:eastAsia="Calibri" w:hAnsi="Calibri" w:cs="Calibri"/>
                        <w:noProof/>
                        <w:color w:val="FF0000"/>
                        <w:sz w:val="24"/>
                        <w:szCs w:val="24"/>
                      </w:rPr>
                      <w:t>OFFICIAL</w:t>
                    </w:r>
                  </w:p>
                </w:txbxContent>
              </v:textbox>
              <w10:wrap anchorx="margin" anchory="page"/>
            </v:shape>
          </w:pict>
        </mc:Fallback>
      </mc:AlternateContent>
    </w:r>
  </w:p>
  <w:p w14:paraId="10D16921" w14:textId="77777777" w:rsidR="00DA128A" w:rsidRDefault="00E746DE" w:rsidP="002F232F">
    <w:pPr>
      <w:pStyle w:val="Footer"/>
    </w:pPr>
    <w:r>
      <w:fldChar w:fldCharType="begin"/>
    </w:r>
    <w:r>
      <w:instrText xml:space="preserve"> PAGE   \* MERGEFORMAT </w:instrText>
    </w:r>
    <w:r>
      <w:fldChar w:fldCharType="separate"/>
    </w:r>
    <w:r>
      <w:rPr>
        <w:noProof/>
      </w:rPr>
      <w:t>20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DFF6CA" w14:textId="77777777" w:rsidR="001352F9" w:rsidRDefault="001352F9">
      <w:r>
        <w:separator/>
      </w:r>
    </w:p>
    <w:p w14:paraId="010B86BE" w14:textId="77777777" w:rsidR="001352F9" w:rsidRDefault="001352F9"/>
    <w:p w14:paraId="323CD4F5" w14:textId="77777777" w:rsidR="001352F9" w:rsidRDefault="001352F9"/>
    <w:p w14:paraId="62C27BBE" w14:textId="77777777" w:rsidR="001352F9" w:rsidRDefault="001352F9"/>
  </w:footnote>
  <w:footnote w:type="continuationSeparator" w:id="0">
    <w:p w14:paraId="013B8D49" w14:textId="77777777" w:rsidR="001352F9" w:rsidRDefault="001352F9">
      <w:r>
        <w:continuationSeparator/>
      </w:r>
    </w:p>
    <w:p w14:paraId="64A7DE0B" w14:textId="77777777" w:rsidR="001352F9" w:rsidRDefault="001352F9"/>
    <w:p w14:paraId="16FE3281" w14:textId="77777777" w:rsidR="001352F9" w:rsidRDefault="001352F9"/>
    <w:p w14:paraId="30E42A06" w14:textId="77777777" w:rsidR="001352F9" w:rsidRDefault="001352F9"/>
  </w:footnote>
  <w:footnote w:type="continuationNotice" w:id="1">
    <w:p w14:paraId="238B6452" w14:textId="77777777" w:rsidR="001352F9" w:rsidRDefault="001352F9">
      <w:pPr>
        <w:pStyle w:val="Footer"/>
      </w:pPr>
    </w:p>
    <w:p w14:paraId="359468CB" w14:textId="77777777" w:rsidR="001352F9" w:rsidRDefault="001352F9"/>
    <w:p w14:paraId="198506C5" w14:textId="77777777" w:rsidR="001352F9" w:rsidRDefault="001352F9"/>
    <w:p w14:paraId="1F6170EF" w14:textId="77777777" w:rsidR="001352F9" w:rsidRDefault="001352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FE832" w14:textId="5E870F3E" w:rsidR="00557ED0" w:rsidRDefault="007F172C">
    <w:pPr>
      <w:pStyle w:val="Header"/>
    </w:pPr>
    <w:r>
      <w:rPr>
        <w:noProof/>
      </w:rPr>
      <mc:AlternateContent>
        <mc:Choice Requires="wps">
          <w:drawing>
            <wp:anchor distT="0" distB="0" distL="0" distR="0" simplePos="0" relativeHeight="251683840" behindDoc="0" locked="0" layoutInCell="1" allowOverlap="1" wp14:anchorId="7E60B854" wp14:editId="30CD401D">
              <wp:simplePos x="635" y="635"/>
              <wp:positionH relativeFrom="page">
                <wp:align>center</wp:align>
              </wp:positionH>
              <wp:positionV relativeFrom="page">
                <wp:align>top</wp:align>
              </wp:positionV>
              <wp:extent cx="551815" cy="404495"/>
              <wp:effectExtent l="0" t="0" r="635" b="14605"/>
              <wp:wrapNone/>
              <wp:docPr id="31002720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7D40DF0" w14:textId="0D277161" w:rsidR="007F172C" w:rsidRPr="007F172C" w:rsidRDefault="007F172C" w:rsidP="007F172C">
                          <w:pPr>
                            <w:spacing w:after="0"/>
                            <w:rPr>
                              <w:rFonts w:ascii="Calibri" w:eastAsia="Calibri" w:hAnsi="Calibri" w:cs="Calibri"/>
                              <w:noProof/>
                              <w:color w:val="FF0000"/>
                              <w:sz w:val="24"/>
                              <w:szCs w:val="24"/>
                            </w:rPr>
                          </w:pPr>
                          <w:r w:rsidRPr="007F172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60B854" id="_x0000_t202" coordsize="21600,21600" o:spt="202" path="m,l,21600r21600,l21600,xe">
              <v:stroke joinstyle="miter"/>
              <v:path gradientshapeok="t" o:connecttype="rect"/>
            </v:shapetype>
            <v:shape id="Text Box 23" o:spid="_x0000_s1027" type="#_x0000_t202" alt="OFFICIAL" style="position:absolute;left:0;text-align:left;margin-left:0;margin-top:0;width:43.45pt;height:31.8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27D40DF0" w14:textId="0D277161" w:rsidR="007F172C" w:rsidRPr="007F172C" w:rsidRDefault="007F172C" w:rsidP="007F172C">
                    <w:pPr>
                      <w:spacing w:after="0"/>
                      <w:rPr>
                        <w:rFonts w:ascii="Calibri" w:eastAsia="Calibri" w:hAnsi="Calibri" w:cs="Calibri"/>
                        <w:noProof/>
                        <w:color w:val="FF0000"/>
                        <w:sz w:val="24"/>
                        <w:szCs w:val="24"/>
                      </w:rPr>
                    </w:pPr>
                    <w:r w:rsidRPr="007F172C">
                      <w:rPr>
                        <w:rFonts w:ascii="Calibri" w:eastAsia="Calibri" w:hAnsi="Calibri" w:cs="Calibri"/>
                        <w:noProof/>
                        <w:color w:val="FF0000"/>
                        <w:sz w:val="24"/>
                        <w:szCs w:val="24"/>
                      </w:rPr>
                      <w:t>OFFICIAL</w:t>
                    </w:r>
                  </w:p>
                </w:txbxContent>
              </v:textbox>
              <w10:wrap anchorx="page" anchory="page"/>
            </v:shape>
          </w:pict>
        </mc:Fallback>
      </mc:AlternateContent>
    </w:r>
    <w:r w:rsidR="00464C6A">
      <w:rPr>
        <w:noProof/>
      </w:rPr>
      <w:pict w14:anchorId="1B190D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70547" o:spid="_x0000_s1035" type="#_x0000_t136" style="position:absolute;left:0;text-align:left;margin-left:0;margin-top:0;width:471.05pt;height:188.4pt;rotation:315;z-index:-25165926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p w14:paraId="7F5B95F6" w14:textId="77777777" w:rsidR="00557ED0" w:rsidRDefault="00557E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97D50" w14:textId="2C82047D" w:rsidR="00557ED0" w:rsidRDefault="007F172C" w:rsidP="000202F4">
    <w:pPr>
      <w:pStyle w:val="Header"/>
    </w:pPr>
    <w:r>
      <w:rPr>
        <w:noProof/>
      </w:rPr>
      <mc:AlternateContent>
        <mc:Choice Requires="wps">
          <w:drawing>
            <wp:anchor distT="0" distB="0" distL="0" distR="0" simplePos="0" relativeHeight="251684864" behindDoc="0" locked="0" layoutInCell="1" allowOverlap="1" wp14:anchorId="017419B0" wp14:editId="34F3B949">
              <wp:simplePos x="635" y="635"/>
              <wp:positionH relativeFrom="page">
                <wp:align>center</wp:align>
              </wp:positionH>
              <wp:positionV relativeFrom="page">
                <wp:align>top</wp:align>
              </wp:positionV>
              <wp:extent cx="551815" cy="404495"/>
              <wp:effectExtent l="0" t="0" r="635" b="14605"/>
              <wp:wrapNone/>
              <wp:docPr id="735560627"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6EE19FB" w14:textId="37679DB5" w:rsidR="007F172C" w:rsidRPr="007F172C" w:rsidRDefault="007F172C" w:rsidP="007F172C">
                          <w:pPr>
                            <w:spacing w:after="0"/>
                            <w:rPr>
                              <w:rFonts w:ascii="Calibri" w:eastAsia="Calibri" w:hAnsi="Calibri" w:cs="Calibri"/>
                              <w:noProof/>
                              <w:color w:val="FF0000"/>
                              <w:sz w:val="24"/>
                              <w:szCs w:val="24"/>
                            </w:rPr>
                          </w:pPr>
                          <w:r w:rsidRPr="007F172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7419B0" id="_x0000_t202" coordsize="21600,21600" o:spt="202" path="m,l,21600r21600,l21600,xe">
              <v:stroke joinstyle="miter"/>
              <v:path gradientshapeok="t" o:connecttype="rect"/>
            </v:shapetype>
            <v:shape id="Text Box 24" o:spid="_x0000_s1028" type="#_x0000_t202" alt="OFFICIAL" style="position:absolute;left:0;text-align:left;margin-left:0;margin-top:0;width:43.45pt;height:31.8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46EE19FB" w14:textId="37679DB5" w:rsidR="007F172C" w:rsidRPr="007F172C" w:rsidRDefault="007F172C" w:rsidP="007F172C">
                    <w:pPr>
                      <w:spacing w:after="0"/>
                      <w:rPr>
                        <w:rFonts w:ascii="Calibri" w:eastAsia="Calibri" w:hAnsi="Calibri" w:cs="Calibri"/>
                        <w:noProof/>
                        <w:color w:val="FF0000"/>
                        <w:sz w:val="24"/>
                        <w:szCs w:val="24"/>
                      </w:rPr>
                    </w:pPr>
                    <w:r w:rsidRPr="007F172C">
                      <w:rPr>
                        <w:rFonts w:ascii="Calibri" w:eastAsia="Calibri" w:hAnsi="Calibri" w:cs="Calibri"/>
                        <w:noProof/>
                        <w:color w:val="FF0000"/>
                        <w:sz w:val="24"/>
                        <w:szCs w:val="24"/>
                      </w:rPr>
                      <w:t>OFFICIAL</w:t>
                    </w:r>
                  </w:p>
                </w:txbxContent>
              </v:textbox>
              <w10:wrap anchorx="page" anchory="page"/>
            </v:shape>
          </w:pict>
        </mc:Fallback>
      </mc:AlternateContent>
    </w:r>
    <w:r w:rsidR="00464C6A">
      <w:rPr>
        <w:noProof/>
      </w:rPr>
      <w:pict w14:anchorId="2B29F9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70548" o:spid="_x0000_s1036" type="#_x0000_t136" style="position:absolute;left:0;text-align:left;margin-left:0;margin-top:0;width:471.05pt;height:188.4pt;rotation:315;z-index:-251657216;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557ED0" w:rsidRPr="00515F05">
      <w:t xml:space="preserve"> </w:t>
    </w:r>
    <w:r w:rsidR="00B71783" w:rsidRPr="00B71783">
      <w:t>Balan spiny crayfish</w:t>
    </w:r>
    <w:r w:rsidR="00B71783">
      <w:t xml:space="preserve"> </w:t>
    </w:r>
    <w:r w:rsidR="00557ED0">
      <w:t>Conservation Advice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AC7C4" w14:textId="61EA3A7F" w:rsidR="00557ED0" w:rsidRDefault="007F172C" w:rsidP="00C37215">
    <w:pPr>
      <w:pStyle w:val="Header"/>
      <w:tabs>
        <w:tab w:val="clear" w:pos="4820"/>
        <w:tab w:val="left" w:pos="7992"/>
      </w:tabs>
      <w:jc w:val="left"/>
    </w:pPr>
    <w:r>
      <w:rPr>
        <w:noProof/>
      </w:rPr>
      <mc:AlternateContent>
        <mc:Choice Requires="wps">
          <w:drawing>
            <wp:anchor distT="0" distB="0" distL="0" distR="0" simplePos="0" relativeHeight="251682816" behindDoc="0" locked="0" layoutInCell="1" allowOverlap="1" wp14:anchorId="750C70CF" wp14:editId="2B7C103D">
              <wp:simplePos x="635" y="635"/>
              <wp:positionH relativeFrom="page">
                <wp:align>center</wp:align>
              </wp:positionH>
              <wp:positionV relativeFrom="page">
                <wp:align>top</wp:align>
              </wp:positionV>
              <wp:extent cx="551815" cy="404495"/>
              <wp:effectExtent l="0" t="0" r="635" b="14605"/>
              <wp:wrapNone/>
              <wp:docPr id="412912228"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288E1F44" w14:textId="6F52490B" w:rsidR="007F172C" w:rsidRPr="007F172C" w:rsidRDefault="007F172C" w:rsidP="007F172C">
                          <w:pPr>
                            <w:spacing w:after="0"/>
                            <w:rPr>
                              <w:rFonts w:ascii="Calibri" w:eastAsia="Calibri" w:hAnsi="Calibri" w:cs="Calibri"/>
                              <w:noProof/>
                              <w:color w:val="FF0000"/>
                              <w:sz w:val="24"/>
                              <w:szCs w:val="24"/>
                            </w:rPr>
                          </w:pPr>
                          <w:r w:rsidRPr="007F172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0C70CF" id="_x0000_t202" coordsize="21600,21600" o:spt="202" path="m,l,21600r21600,l21600,xe">
              <v:stroke joinstyle="miter"/>
              <v:path gradientshapeok="t" o:connecttype="rect"/>
            </v:shapetype>
            <v:shape id="Text Box 22" o:spid="_x0000_s1031" type="#_x0000_t202" alt="OFFICIAL" style="position:absolute;margin-left:0;margin-top:0;width:43.45pt;height:31.8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288E1F44" w14:textId="6F52490B" w:rsidR="007F172C" w:rsidRPr="007F172C" w:rsidRDefault="007F172C" w:rsidP="007F172C">
                    <w:pPr>
                      <w:spacing w:after="0"/>
                      <w:rPr>
                        <w:rFonts w:ascii="Calibri" w:eastAsia="Calibri" w:hAnsi="Calibri" w:cs="Calibri"/>
                        <w:noProof/>
                        <w:color w:val="FF0000"/>
                        <w:sz w:val="24"/>
                        <w:szCs w:val="24"/>
                      </w:rPr>
                    </w:pPr>
                    <w:r w:rsidRPr="007F172C">
                      <w:rPr>
                        <w:rFonts w:ascii="Calibri" w:eastAsia="Calibri" w:hAnsi="Calibri" w:cs="Calibri"/>
                        <w:noProof/>
                        <w:color w:val="FF0000"/>
                        <w:sz w:val="24"/>
                        <w:szCs w:val="24"/>
                      </w:rPr>
                      <w:t>OFFICIAL</w:t>
                    </w:r>
                  </w:p>
                </w:txbxContent>
              </v:textbox>
              <w10:wrap anchorx="page" anchory="page"/>
            </v:shape>
          </w:pict>
        </mc:Fallback>
      </mc:AlternateContent>
    </w:r>
    <w:r w:rsidR="00464C6A">
      <w:rPr>
        <w:noProof/>
      </w:rPr>
      <w:pict w14:anchorId="044DA3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70546" o:spid="_x0000_s1034" type="#_x0000_t136" style="position:absolute;margin-left:0;margin-top:0;width:471.05pt;height:188.4pt;rotation:315;z-index:-25166131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6DA092" w14:textId="7DED27A9" w:rsidR="00DA128A" w:rsidRDefault="007F172C">
    <w:pPr>
      <w:pStyle w:val="Header"/>
    </w:pPr>
    <w:r>
      <w:rPr>
        <w:noProof/>
      </w:rPr>
      <mc:AlternateContent>
        <mc:Choice Requires="wps">
          <w:drawing>
            <wp:anchor distT="0" distB="0" distL="0" distR="0" simplePos="0" relativeHeight="251686912" behindDoc="0" locked="0" layoutInCell="1" allowOverlap="1" wp14:anchorId="0E1774A2" wp14:editId="632D4166">
              <wp:simplePos x="635" y="635"/>
              <wp:positionH relativeFrom="page">
                <wp:align>center</wp:align>
              </wp:positionH>
              <wp:positionV relativeFrom="page">
                <wp:align>top</wp:align>
              </wp:positionV>
              <wp:extent cx="551815" cy="404495"/>
              <wp:effectExtent l="0" t="0" r="635" b="14605"/>
              <wp:wrapNone/>
              <wp:docPr id="892190308"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555A449" w14:textId="218C6567" w:rsidR="007F172C" w:rsidRPr="007F172C" w:rsidRDefault="007F172C" w:rsidP="007F172C">
                          <w:pPr>
                            <w:spacing w:after="0"/>
                            <w:rPr>
                              <w:rFonts w:ascii="Calibri" w:eastAsia="Calibri" w:hAnsi="Calibri" w:cs="Calibri"/>
                              <w:noProof/>
                              <w:color w:val="FF0000"/>
                              <w:sz w:val="24"/>
                              <w:szCs w:val="24"/>
                            </w:rPr>
                          </w:pPr>
                          <w:r w:rsidRPr="007F172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1774A2" id="_x0000_t202" coordsize="21600,21600" o:spt="202" path="m,l,21600r21600,l21600,xe">
              <v:stroke joinstyle="miter"/>
              <v:path gradientshapeok="t" o:connecttype="rect"/>
            </v:shapetype>
            <v:shape id="Text Box 26" o:spid="_x0000_s1033" type="#_x0000_t202" alt="OFFICIAL" style="position:absolute;left:0;text-align:left;margin-left:0;margin-top:0;width:43.45pt;height:31.8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qos1yDgIAABwE&#10;AAAOAAAAAAAAAAAAAAAAAC4CAABkcnMvZTJvRG9jLnhtbFBLAQItABQABgAIAAAAIQD8pn6y2gAA&#10;AAMBAAAPAAAAAAAAAAAAAAAAAGgEAABkcnMvZG93bnJldi54bWxQSwUGAAAAAAQABADzAAAAbwUA&#10;AAAA&#10;" filled="f" stroked="f">
              <v:textbox style="mso-fit-shape-to-text:t" inset="0,15pt,0,0">
                <w:txbxContent>
                  <w:p w14:paraId="6555A449" w14:textId="218C6567" w:rsidR="007F172C" w:rsidRPr="007F172C" w:rsidRDefault="007F172C" w:rsidP="007F172C">
                    <w:pPr>
                      <w:spacing w:after="0"/>
                      <w:rPr>
                        <w:rFonts w:ascii="Calibri" w:eastAsia="Calibri" w:hAnsi="Calibri" w:cs="Calibri"/>
                        <w:noProof/>
                        <w:color w:val="FF0000"/>
                        <w:sz w:val="24"/>
                        <w:szCs w:val="24"/>
                      </w:rPr>
                    </w:pPr>
                    <w:r w:rsidRPr="007F172C">
                      <w:rPr>
                        <w:rFonts w:ascii="Calibri" w:eastAsia="Calibri" w:hAnsi="Calibri" w:cs="Calibri"/>
                        <w:noProof/>
                        <w:color w:val="FF0000"/>
                        <w:sz w:val="24"/>
                        <w:szCs w:val="24"/>
                      </w:rPr>
                      <w:t>OFFICIAL</w:t>
                    </w:r>
                  </w:p>
                </w:txbxContent>
              </v:textbox>
              <w10:wrap anchorx="page" anchory="page"/>
            </v:shape>
          </w:pict>
        </mc:Fallback>
      </mc:AlternateContent>
    </w:r>
    <w:r w:rsidR="00464C6A">
      <w:rPr>
        <w:noProof/>
      </w:rPr>
      <w:pict w14:anchorId="78BED1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70550" o:spid="_x0000_s1038" type="#_x0000_t136" style="position:absolute;left:0;text-align:left;margin-left:0;margin-top:0;width:471.05pt;height:188.4pt;rotation:315;z-index:-25165824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5D352" w14:textId="6B961C38" w:rsidR="00DA128A" w:rsidRDefault="007F172C" w:rsidP="008E7C80">
    <w:pPr>
      <w:pStyle w:val="Header"/>
    </w:pPr>
    <w:r>
      <w:rPr>
        <w:noProof/>
      </w:rPr>
      <mc:AlternateContent>
        <mc:Choice Requires="wps">
          <w:drawing>
            <wp:anchor distT="0" distB="0" distL="0" distR="0" simplePos="0" relativeHeight="251687936" behindDoc="0" locked="0" layoutInCell="1" allowOverlap="1" wp14:anchorId="78C57977" wp14:editId="7D7A8908">
              <wp:simplePos x="635" y="635"/>
              <wp:positionH relativeFrom="page">
                <wp:align>center</wp:align>
              </wp:positionH>
              <wp:positionV relativeFrom="page">
                <wp:align>top</wp:align>
              </wp:positionV>
              <wp:extent cx="551815" cy="404495"/>
              <wp:effectExtent l="0" t="0" r="635" b="14605"/>
              <wp:wrapNone/>
              <wp:docPr id="1875368271"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6C69E06A" w14:textId="34D339A5" w:rsidR="007F172C" w:rsidRPr="007F172C" w:rsidRDefault="007F172C" w:rsidP="007F172C">
                          <w:pPr>
                            <w:spacing w:after="0"/>
                            <w:rPr>
                              <w:rFonts w:ascii="Calibri" w:eastAsia="Calibri" w:hAnsi="Calibri" w:cs="Calibri"/>
                              <w:noProof/>
                              <w:color w:val="FF0000"/>
                              <w:sz w:val="24"/>
                              <w:szCs w:val="24"/>
                            </w:rPr>
                          </w:pPr>
                          <w:r w:rsidRPr="007F172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C57977" id="_x0000_t202" coordsize="21600,21600" o:spt="202" path="m,l,21600r21600,l21600,xe">
              <v:stroke joinstyle="miter"/>
              <v:path gradientshapeok="t" o:connecttype="rect"/>
            </v:shapetype>
            <v:shape id="Text Box 27" o:spid="_x0000_s1034" type="#_x0000_t202" alt="OFFICIAL" style="position:absolute;left:0;text-align:left;margin-left:0;margin-top:0;width:43.45pt;height:31.8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CHHX9PDgIAABwE&#10;AAAOAAAAAAAAAAAAAAAAAC4CAABkcnMvZTJvRG9jLnhtbFBLAQItABQABgAIAAAAIQD8pn6y2gAA&#10;AAMBAAAPAAAAAAAAAAAAAAAAAGgEAABkcnMvZG93bnJldi54bWxQSwUGAAAAAAQABADzAAAAbwUA&#10;AAAA&#10;" filled="f" stroked="f">
              <v:textbox style="mso-fit-shape-to-text:t" inset="0,15pt,0,0">
                <w:txbxContent>
                  <w:p w14:paraId="6C69E06A" w14:textId="34D339A5" w:rsidR="007F172C" w:rsidRPr="007F172C" w:rsidRDefault="007F172C" w:rsidP="007F172C">
                    <w:pPr>
                      <w:spacing w:after="0"/>
                      <w:rPr>
                        <w:rFonts w:ascii="Calibri" w:eastAsia="Calibri" w:hAnsi="Calibri" w:cs="Calibri"/>
                        <w:noProof/>
                        <w:color w:val="FF0000"/>
                        <w:sz w:val="24"/>
                        <w:szCs w:val="24"/>
                      </w:rPr>
                    </w:pPr>
                    <w:r w:rsidRPr="007F172C">
                      <w:rPr>
                        <w:rFonts w:ascii="Calibri" w:eastAsia="Calibri" w:hAnsi="Calibri" w:cs="Calibri"/>
                        <w:noProof/>
                        <w:color w:val="FF0000"/>
                        <w:sz w:val="24"/>
                        <w:szCs w:val="24"/>
                      </w:rPr>
                      <w:t>OFFICIAL</w:t>
                    </w:r>
                  </w:p>
                </w:txbxContent>
              </v:textbox>
              <w10:wrap anchorx="page" anchory="page"/>
            </v:shape>
          </w:pict>
        </mc:Fallback>
      </mc:AlternateContent>
    </w:r>
    <w:r w:rsidR="00464C6A">
      <w:rPr>
        <w:noProof/>
      </w:rPr>
      <w:pict w14:anchorId="4B6A5A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70551" o:spid="_x0000_s1039" type="#_x0000_t136" style="position:absolute;left:0;text-align:left;margin-left:0;margin-top:0;width:471.05pt;height:188.4pt;rotation:315;z-index:-25165619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E746DE" w:rsidRPr="00515F05">
      <w:rPr>
        <w:rStyle w:val="Emphasis"/>
      </w:rPr>
      <w:t xml:space="preserve">Euastacus </w:t>
    </w:r>
    <w:r w:rsidR="00E746DE">
      <w:rPr>
        <w:rStyle w:val="Emphasis"/>
      </w:rPr>
      <w:t>balanensis</w:t>
    </w:r>
    <w:r w:rsidR="00E746DE">
      <w:t xml:space="preserve"> </w:t>
    </w:r>
    <w:r w:rsidR="00E746DE" w:rsidRPr="00515F05">
      <w:t>Conservation Advice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7D84D" w14:textId="71B0B627" w:rsidR="00DA128A" w:rsidRDefault="007F172C" w:rsidP="00E320E4">
    <w:pPr>
      <w:pStyle w:val="Header"/>
    </w:pPr>
    <w:r>
      <w:rPr>
        <w:noProof/>
      </w:rPr>
      <mc:AlternateContent>
        <mc:Choice Requires="wps">
          <w:drawing>
            <wp:anchor distT="0" distB="0" distL="0" distR="0" simplePos="0" relativeHeight="251685888" behindDoc="0" locked="0" layoutInCell="1" allowOverlap="1" wp14:anchorId="2433C3CE" wp14:editId="796589A2">
              <wp:simplePos x="635" y="635"/>
              <wp:positionH relativeFrom="page">
                <wp:align>center</wp:align>
              </wp:positionH>
              <wp:positionV relativeFrom="page">
                <wp:align>top</wp:align>
              </wp:positionV>
              <wp:extent cx="551815" cy="404495"/>
              <wp:effectExtent l="0" t="0" r="635" b="14605"/>
              <wp:wrapNone/>
              <wp:docPr id="1809283540"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14843019" w14:textId="2E35FA89" w:rsidR="007F172C" w:rsidRPr="007F172C" w:rsidRDefault="007F172C" w:rsidP="007F172C">
                          <w:pPr>
                            <w:spacing w:after="0"/>
                            <w:rPr>
                              <w:rFonts w:ascii="Calibri" w:eastAsia="Calibri" w:hAnsi="Calibri" w:cs="Calibri"/>
                              <w:noProof/>
                              <w:color w:val="FF0000"/>
                              <w:sz w:val="24"/>
                              <w:szCs w:val="24"/>
                            </w:rPr>
                          </w:pPr>
                          <w:r w:rsidRPr="007F172C">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33C3CE" id="_x0000_t202" coordsize="21600,21600" o:spt="202" path="m,l,21600r21600,l21600,xe">
              <v:stroke joinstyle="miter"/>
              <v:path gradientshapeok="t" o:connecttype="rect"/>
            </v:shapetype>
            <v:shape id="Text Box 25" o:spid="_x0000_s1036" type="#_x0000_t202" alt="OFFICIAL" style="position:absolute;left:0;text-align:left;margin-left:0;margin-top:0;width:43.45pt;height:31.8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DAYzT0DgIAABwE&#10;AAAOAAAAAAAAAAAAAAAAAC4CAABkcnMvZTJvRG9jLnhtbFBLAQItABQABgAIAAAAIQD8pn6y2gAA&#10;AAMBAAAPAAAAAAAAAAAAAAAAAGgEAABkcnMvZG93bnJldi54bWxQSwUGAAAAAAQABADzAAAAbwUA&#10;AAAA&#10;" filled="f" stroked="f">
              <v:textbox style="mso-fit-shape-to-text:t" inset="0,15pt,0,0">
                <w:txbxContent>
                  <w:p w14:paraId="14843019" w14:textId="2E35FA89" w:rsidR="007F172C" w:rsidRPr="007F172C" w:rsidRDefault="007F172C" w:rsidP="007F172C">
                    <w:pPr>
                      <w:spacing w:after="0"/>
                      <w:rPr>
                        <w:rFonts w:ascii="Calibri" w:eastAsia="Calibri" w:hAnsi="Calibri" w:cs="Calibri"/>
                        <w:noProof/>
                        <w:color w:val="FF0000"/>
                        <w:sz w:val="24"/>
                        <w:szCs w:val="24"/>
                      </w:rPr>
                    </w:pPr>
                    <w:r w:rsidRPr="007F172C">
                      <w:rPr>
                        <w:rFonts w:ascii="Calibri" w:eastAsia="Calibri" w:hAnsi="Calibri" w:cs="Calibri"/>
                        <w:noProof/>
                        <w:color w:val="FF0000"/>
                        <w:sz w:val="24"/>
                        <w:szCs w:val="24"/>
                      </w:rPr>
                      <w:t>OFFICIAL</w:t>
                    </w:r>
                  </w:p>
                </w:txbxContent>
              </v:textbox>
              <w10:wrap anchorx="page" anchory="page"/>
            </v:shape>
          </w:pict>
        </mc:Fallback>
      </mc:AlternateContent>
    </w:r>
    <w:r w:rsidR="00464C6A">
      <w:rPr>
        <w:noProof/>
      </w:rPr>
      <w:pict w14:anchorId="4A2DF7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70549" o:spid="_x0000_s1037" type="#_x0000_t136" style="position:absolute;left:0;text-align:left;margin-left:0;margin-top:0;width:471.05pt;height:188.4pt;rotation:315;z-index:-251660288;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82CA030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91874"/>
    <w:multiLevelType w:val="multilevel"/>
    <w:tmpl w:val="A0A43B0A"/>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851" w:hanging="426"/>
      </w:pPr>
      <w:rPr>
        <w:rFonts w:ascii="Courier New" w:hAnsi="Courier New" w:cs="Courier New"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4" w15:restartNumberingAfterBreak="0">
    <w:nsid w:val="21A328D5"/>
    <w:multiLevelType w:val="multilevel"/>
    <w:tmpl w:val="BE78A4F8"/>
    <w:numStyleLink w:val="Numberlist"/>
  </w:abstractNum>
  <w:abstractNum w:abstractNumId="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5E6AB07"/>
    <w:multiLevelType w:val="multilevel"/>
    <w:tmpl w:val="24A07B74"/>
    <w:lvl w:ilvl="0">
      <w:start w:val="1"/>
      <w:numFmt w:val="bulle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6952B37"/>
    <w:multiLevelType w:val="multilevel"/>
    <w:tmpl w:val="4260C94C"/>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851" w:hanging="426"/>
      </w:pPr>
      <w:rPr>
        <w:rFonts w:ascii="Courier New" w:hAnsi="Courier New" w:cs="Courier New"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 w15:restartNumberingAfterBreak="0">
    <w:nsid w:val="3E0760AE"/>
    <w:multiLevelType w:val="hybridMultilevel"/>
    <w:tmpl w:val="75F24E8C"/>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17F4EE7"/>
    <w:multiLevelType w:val="multilevel"/>
    <w:tmpl w:val="4DECDDA8"/>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851" w:hanging="426"/>
      </w:pPr>
      <w:rPr>
        <w:rFonts w:ascii="Courier New" w:hAnsi="Courier New" w:cs="Courier New"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3" w15:restartNumberingAfterBreak="0">
    <w:nsid w:val="5AA12966"/>
    <w:multiLevelType w:val="multilevel"/>
    <w:tmpl w:val="54885B84"/>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o"/>
      <w:lvlJc w:val="left"/>
      <w:pPr>
        <w:ind w:left="785" w:hanging="360"/>
      </w:pPr>
      <w:rPr>
        <w:rFonts w:ascii="Courier New" w:hAnsi="Courier New" w:cs="Courier New" w:hint="default"/>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5" w15:restartNumberingAfterBreak="0">
    <w:nsid w:val="5F5050F7"/>
    <w:multiLevelType w:val="hybridMultilevel"/>
    <w:tmpl w:val="B24A57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FD25886"/>
    <w:multiLevelType w:val="multilevel"/>
    <w:tmpl w:val="E1D8BB0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720"/>
        </w:tabs>
        <w:ind w:left="720" w:hanging="360"/>
      </w:pPr>
      <w:rPr>
        <w:rFonts w:ascii="Symbol" w:hAnsi="Symbol" w:hint="default"/>
      </w:rPr>
    </w:lvl>
    <w:lvl w:ilvl="4">
      <w:start w:val="1"/>
      <w:numFmt w:val="decimal"/>
      <w:lvlText w:val="%5."/>
      <w:lvlJc w:val="left"/>
      <w:pPr>
        <w:tabs>
          <w:tab w:val="num" w:pos="3600"/>
        </w:tabs>
        <w:ind w:left="3600" w:hanging="360"/>
      </w:pPr>
      <w:rPr>
        <w:rFont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6555CE8"/>
    <w:multiLevelType w:val="hybridMultilevel"/>
    <w:tmpl w:val="82EAD944"/>
    <w:lvl w:ilvl="0" w:tplc="3D962C4A">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80F38EF"/>
    <w:multiLevelType w:val="multilevel"/>
    <w:tmpl w:val="6CD46482"/>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785" w:hanging="360"/>
      </w:pPr>
      <w:rPr>
        <w:rFonts w:ascii="Courier New" w:hAnsi="Courier New" w:cs="Courier New" w:hint="default"/>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9" w15:restartNumberingAfterBreak="0">
    <w:nsid w:val="7A986C3C"/>
    <w:multiLevelType w:val="multilevel"/>
    <w:tmpl w:val="05BC39BA"/>
    <w:lvl w:ilvl="0">
      <w:start w:val="1"/>
      <w:numFmt w:val="bullet"/>
      <w:lvlText w:val=""/>
      <w:lvlJc w:val="left"/>
      <w:pPr>
        <w:ind w:left="425" w:hanging="425"/>
      </w:pPr>
      <w:rPr>
        <w:rFonts w:ascii="Symbol" w:hAnsi="Symbol" w:hint="default"/>
        <w:color w:val="003150"/>
      </w:rPr>
    </w:lvl>
    <w:lvl w:ilvl="1">
      <w:start w:val="1"/>
      <w:numFmt w:val="bullet"/>
      <w:lvlText w:val="o"/>
      <w:lvlJc w:val="left"/>
      <w:pPr>
        <w:ind w:left="851" w:hanging="426"/>
      </w:pPr>
      <w:rPr>
        <w:rFonts w:ascii="Courier New" w:hAnsi="Courier New" w:cs="Courier New"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num w:numId="1" w16cid:durableId="79177807">
    <w:abstractNumId w:val="6"/>
  </w:num>
  <w:num w:numId="2" w16cid:durableId="1469787839">
    <w:abstractNumId w:val="9"/>
  </w:num>
  <w:num w:numId="3" w16cid:durableId="1341660912">
    <w:abstractNumId w:val="3"/>
  </w:num>
  <w:num w:numId="4" w16cid:durableId="286012719">
    <w:abstractNumId w:val="13"/>
  </w:num>
  <w:num w:numId="5" w16cid:durableId="1462729586">
    <w:abstractNumId w:val="14"/>
  </w:num>
  <w:num w:numId="6" w16cid:durableId="1755937255">
    <w:abstractNumId w:val="5"/>
  </w:num>
  <w:num w:numId="7" w16cid:durableId="1807769885">
    <w:abstractNumId w:val="12"/>
  </w:num>
  <w:num w:numId="8" w16cid:durableId="1899899575">
    <w:abstractNumId w:val="4"/>
  </w:num>
  <w:num w:numId="9" w16cid:durableId="1562597126">
    <w:abstractNumId w:val="10"/>
  </w:num>
  <w:num w:numId="10" w16cid:durableId="1218589843">
    <w:abstractNumId w:val="2"/>
  </w:num>
  <w:num w:numId="11" w16cid:durableId="846747863">
    <w:abstractNumId w:val="16"/>
  </w:num>
  <w:num w:numId="12" w16cid:durableId="1958829332">
    <w:abstractNumId w:val="8"/>
  </w:num>
  <w:num w:numId="13" w16cid:durableId="37440418">
    <w:abstractNumId w:val="15"/>
  </w:num>
  <w:num w:numId="14" w16cid:durableId="1437364547">
    <w:abstractNumId w:val="7"/>
  </w:num>
  <w:num w:numId="15" w16cid:durableId="1899393498">
    <w:abstractNumId w:val="1"/>
  </w:num>
  <w:num w:numId="16" w16cid:durableId="5134537">
    <w:abstractNumId w:val="19"/>
  </w:num>
  <w:num w:numId="17" w16cid:durableId="1958019864">
    <w:abstractNumId w:val="11"/>
  </w:num>
  <w:num w:numId="18" w16cid:durableId="1770153814">
    <w:abstractNumId w:val="0"/>
  </w:num>
  <w:num w:numId="19" w16cid:durableId="1772050254">
    <w:abstractNumId w:val="17"/>
  </w:num>
  <w:num w:numId="20" w16cid:durableId="1801026839">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B31"/>
    <w:rsid w:val="000011D8"/>
    <w:rsid w:val="000013B4"/>
    <w:rsid w:val="000057F8"/>
    <w:rsid w:val="000075C7"/>
    <w:rsid w:val="00010D07"/>
    <w:rsid w:val="00010EBA"/>
    <w:rsid w:val="00012542"/>
    <w:rsid w:val="000129F5"/>
    <w:rsid w:val="0001339B"/>
    <w:rsid w:val="00017112"/>
    <w:rsid w:val="00017276"/>
    <w:rsid w:val="000202F4"/>
    <w:rsid w:val="00020376"/>
    <w:rsid w:val="000205E1"/>
    <w:rsid w:val="000213FD"/>
    <w:rsid w:val="00021895"/>
    <w:rsid w:val="00021FF3"/>
    <w:rsid w:val="0002419A"/>
    <w:rsid w:val="00024AB0"/>
    <w:rsid w:val="00025619"/>
    <w:rsid w:val="00025662"/>
    <w:rsid w:val="00025AB5"/>
    <w:rsid w:val="00026920"/>
    <w:rsid w:val="000273CB"/>
    <w:rsid w:val="0003054E"/>
    <w:rsid w:val="00031D22"/>
    <w:rsid w:val="00032E47"/>
    <w:rsid w:val="00033318"/>
    <w:rsid w:val="00033701"/>
    <w:rsid w:val="00033B31"/>
    <w:rsid w:val="000341E0"/>
    <w:rsid w:val="000352B0"/>
    <w:rsid w:val="00041499"/>
    <w:rsid w:val="0004263C"/>
    <w:rsid w:val="00042969"/>
    <w:rsid w:val="00042A0D"/>
    <w:rsid w:val="000437CB"/>
    <w:rsid w:val="00044359"/>
    <w:rsid w:val="000450C8"/>
    <w:rsid w:val="0004550E"/>
    <w:rsid w:val="00045DD0"/>
    <w:rsid w:val="000470FA"/>
    <w:rsid w:val="00050234"/>
    <w:rsid w:val="0005314C"/>
    <w:rsid w:val="000531D6"/>
    <w:rsid w:val="00053A14"/>
    <w:rsid w:val="00055AFD"/>
    <w:rsid w:val="00055B18"/>
    <w:rsid w:val="00057337"/>
    <w:rsid w:val="00061087"/>
    <w:rsid w:val="00061B82"/>
    <w:rsid w:val="00063C71"/>
    <w:rsid w:val="00063E78"/>
    <w:rsid w:val="000644A2"/>
    <w:rsid w:val="00065F4B"/>
    <w:rsid w:val="00067A5C"/>
    <w:rsid w:val="00071129"/>
    <w:rsid w:val="0007233A"/>
    <w:rsid w:val="00073C60"/>
    <w:rsid w:val="00074648"/>
    <w:rsid w:val="00074DC8"/>
    <w:rsid w:val="0007570B"/>
    <w:rsid w:val="00082347"/>
    <w:rsid w:val="00082CE3"/>
    <w:rsid w:val="000835A0"/>
    <w:rsid w:val="00084C51"/>
    <w:rsid w:val="00085069"/>
    <w:rsid w:val="0008655C"/>
    <w:rsid w:val="00086F98"/>
    <w:rsid w:val="00087505"/>
    <w:rsid w:val="000903E3"/>
    <w:rsid w:val="00092F9E"/>
    <w:rsid w:val="00094C09"/>
    <w:rsid w:val="00094F22"/>
    <w:rsid w:val="000953AF"/>
    <w:rsid w:val="000959C5"/>
    <w:rsid w:val="00095E90"/>
    <w:rsid w:val="0009615B"/>
    <w:rsid w:val="00097670"/>
    <w:rsid w:val="000A23B6"/>
    <w:rsid w:val="000A2B5E"/>
    <w:rsid w:val="000A4134"/>
    <w:rsid w:val="000A4CEB"/>
    <w:rsid w:val="000A5C2B"/>
    <w:rsid w:val="000A6133"/>
    <w:rsid w:val="000A644C"/>
    <w:rsid w:val="000A6BDE"/>
    <w:rsid w:val="000A722E"/>
    <w:rsid w:val="000A79AA"/>
    <w:rsid w:val="000A7C67"/>
    <w:rsid w:val="000B0257"/>
    <w:rsid w:val="000B2E72"/>
    <w:rsid w:val="000B3EB6"/>
    <w:rsid w:val="000B5B8A"/>
    <w:rsid w:val="000B5E97"/>
    <w:rsid w:val="000B5F19"/>
    <w:rsid w:val="000B6AA6"/>
    <w:rsid w:val="000B6B02"/>
    <w:rsid w:val="000B6BB7"/>
    <w:rsid w:val="000B7CE7"/>
    <w:rsid w:val="000C1AC9"/>
    <w:rsid w:val="000C4E8F"/>
    <w:rsid w:val="000C55A6"/>
    <w:rsid w:val="000C5F3A"/>
    <w:rsid w:val="000C6FAB"/>
    <w:rsid w:val="000C7740"/>
    <w:rsid w:val="000D1830"/>
    <w:rsid w:val="000D2C65"/>
    <w:rsid w:val="000D3B81"/>
    <w:rsid w:val="000D51F3"/>
    <w:rsid w:val="000D559F"/>
    <w:rsid w:val="000D55BC"/>
    <w:rsid w:val="000D5D14"/>
    <w:rsid w:val="000D738D"/>
    <w:rsid w:val="000D78A9"/>
    <w:rsid w:val="000D7FAF"/>
    <w:rsid w:val="000E0BF4"/>
    <w:rsid w:val="000E1A6F"/>
    <w:rsid w:val="000E279F"/>
    <w:rsid w:val="000E4F53"/>
    <w:rsid w:val="000E55C8"/>
    <w:rsid w:val="000E630E"/>
    <w:rsid w:val="000E668C"/>
    <w:rsid w:val="000E6776"/>
    <w:rsid w:val="000E690C"/>
    <w:rsid w:val="000E699F"/>
    <w:rsid w:val="000E79F2"/>
    <w:rsid w:val="000F018A"/>
    <w:rsid w:val="000F1170"/>
    <w:rsid w:val="000F194B"/>
    <w:rsid w:val="000F21B0"/>
    <w:rsid w:val="000F221F"/>
    <w:rsid w:val="000F280C"/>
    <w:rsid w:val="000F2C81"/>
    <w:rsid w:val="000F30DC"/>
    <w:rsid w:val="000F3D21"/>
    <w:rsid w:val="000F5970"/>
    <w:rsid w:val="000F5ED4"/>
    <w:rsid w:val="000F615D"/>
    <w:rsid w:val="000F68CF"/>
    <w:rsid w:val="000F6A54"/>
    <w:rsid w:val="000F6D5A"/>
    <w:rsid w:val="000F7F88"/>
    <w:rsid w:val="00100D2F"/>
    <w:rsid w:val="00102FDA"/>
    <w:rsid w:val="00103A46"/>
    <w:rsid w:val="00104C87"/>
    <w:rsid w:val="00105285"/>
    <w:rsid w:val="0010557C"/>
    <w:rsid w:val="00105970"/>
    <w:rsid w:val="00107010"/>
    <w:rsid w:val="00110505"/>
    <w:rsid w:val="001108F1"/>
    <w:rsid w:val="001112AB"/>
    <w:rsid w:val="001121AB"/>
    <w:rsid w:val="00114207"/>
    <w:rsid w:val="001160F5"/>
    <w:rsid w:val="001165CD"/>
    <w:rsid w:val="0011667C"/>
    <w:rsid w:val="00117FA7"/>
    <w:rsid w:val="001200FA"/>
    <w:rsid w:val="00120CED"/>
    <w:rsid w:val="00121C5B"/>
    <w:rsid w:val="001242D4"/>
    <w:rsid w:val="0012461E"/>
    <w:rsid w:val="00126AD9"/>
    <w:rsid w:val="00127671"/>
    <w:rsid w:val="00127A25"/>
    <w:rsid w:val="00130407"/>
    <w:rsid w:val="00130A0B"/>
    <w:rsid w:val="0013190E"/>
    <w:rsid w:val="00133292"/>
    <w:rsid w:val="00133674"/>
    <w:rsid w:val="00134419"/>
    <w:rsid w:val="0013468C"/>
    <w:rsid w:val="001352F9"/>
    <w:rsid w:val="00135E5C"/>
    <w:rsid w:val="00136226"/>
    <w:rsid w:val="00137093"/>
    <w:rsid w:val="001375CF"/>
    <w:rsid w:val="001376F1"/>
    <w:rsid w:val="00137F5A"/>
    <w:rsid w:val="00140C81"/>
    <w:rsid w:val="001411A6"/>
    <w:rsid w:val="00142591"/>
    <w:rsid w:val="001448B3"/>
    <w:rsid w:val="00145862"/>
    <w:rsid w:val="0014596A"/>
    <w:rsid w:val="00145DB1"/>
    <w:rsid w:val="00147B0D"/>
    <w:rsid w:val="00150297"/>
    <w:rsid w:val="00150D31"/>
    <w:rsid w:val="00150FC0"/>
    <w:rsid w:val="00151517"/>
    <w:rsid w:val="00151525"/>
    <w:rsid w:val="001515F5"/>
    <w:rsid w:val="00151921"/>
    <w:rsid w:val="001524E0"/>
    <w:rsid w:val="00154280"/>
    <w:rsid w:val="00154AAD"/>
    <w:rsid w:val="00154B5B"/>
    <w:rsid w:val="00155BA9"/>
    <w:rsid w:val="00155FF5"/>
    <w:rsid w:val="00156359"/>
    <w:rsid w:val="001573B8"/>
    <w:rsid w:val="0016081E"/>
    <w:rsid w:val="00160913"/>
    <w:rsid w:val="00160F9B"/>
    <w:rsid w:val="00161E8C"/>
    <w:rsid w:val="00162F94"/>
    <w:rsid w:val="001633F4"/>
    <w:rsid w:val="00165364"/>
    <w:rsid w:val="001660F0"/>
    <w:rsid w:val="00166185"/>
    <w:rsid w:val="00167081"/>
    <w:rsid w:val="00167354"/>
    <w:rsid w:val="001676FB"/>
    <w:rsid w:val="00170795"/>
    <w:rsid w:val="00172CCD"/>
    <w:rsid w:val="00172CFB"/>
    <w:rsid w:val="00172D4D"/>
    <w:rsid w:val="001739A8"/>
    <w:rsid w:val="00174207"/>
    <w:rsid w:val="00177744"/>
    <w:rsid w:val="0017795A"/>
    <w:rsid w:val="00177B7B"/>
    <w:rsid w:val="00177DAD"/>
    <w:rsid w:val="00180329"/>
    <w:rsid w:val="0018058D"/>
    <w:rsid w:val="00180E87"/>
    <w:rsid w:val="001812D5"/>
    <w:rsid w:val="00181344"/>
    <w:rsid w:val="001819A7"/>
    <w:rsid w:val="00181D18"/>
    <w:rsid w:val="00182CB7"/>
    <w:rsid w:val="00183206"/>
    <w:rsid w:val="00184096"/>
    <w:rsid w:val="0018487B"/>
    <w:rsid w:val="00184ACA"/>
    <w:rsid w:val="0018553C"/>
    <w:rsid w:val="00186635"/>
    <w:rsid w:val="00186F4D"/>
    <w:rsid w:val="00190C56"/>
    <w:rsid w:val="00190C7C"/>
    <w:rsid w:val="0019222A"/>
    <w:rsid w:val="00192AA0"/>
    <w:rsid w:val="00192D88"/>
    <w:rsid w:val="00194894"/>
    <w:rsid w:val="0019598A"/>
    <w:rsid w:val="0019700D"/>
    <w:rsid w:val="001A06C8"/>
    <w:rsid w:val="001A0FF1"/>
    <w:rsid w:val="001A14E4"/>
    <w:rsid w:val="001A16C4"/>
    <w:rsid w:val="001A2CAF"/>
    <w:rsid w:val="001A2D13"/>
    <w:rsid w:val="001A36E9"/>
    <w:rsid w:val="001A39BD"/>
    <w:rsid w:val="001A3C77"/>
    <w:rsid w:val="001A4032"/>
    <w:rsid w:val="001A5697"/>
    <w:rsid w:val="001A6FE1"/>
    <w:rsid w:val="001B048B"/>
    <w:rsid w:val="001B06CB"/>
    <w:rsid w:val="001B06CC"/>
    <w:rsid w:val="001B077B"/>
    <w:rsid w:val="001B1298"/>
    <w:rsid w:val="001B19FD"/>
    <w:rsid w:val="001B1E10"/>
    <w:rsid w:val="001B2183"/>
    <w:rsid w:val="001B2BE2"/>
    <w:rsid w:val="001B316A"/>
    <w:rsid w:val="001B43CB"/>
    <w:rsid w:val="001B441B"/>
    <w:rsid w:val="001B4482"/>
    <w:rsid w:val="001B55AE"/>
    <w:rsid w:val="001B6655"/>
    <w:rsid w:val="001B729C"/>
    <w:rsid w:val="001C0298"/>
    <w:rsid w:val="001C0493"/>
    <w:rsid w:val="001C062D"/>
    <w:rsid w:val="001C063B"/>
    <w:rsid w:val="001C14B3"/>
    <w:rsid w:val="001C2426"/>
    <w:rsid w:val="001C31E1"/>
    <w:rsid w:val="001C3E41"/>
    <w:rsid w:val="001C3F42"/>
    <w:rsid w:val="001C433B"/>
    <w:rsid w:val="001C439C"/>
    <w:rsid w:val="001C45B0"/>
    <w:rsid w:val="001C4D87"/>
    <w:rsid w:val="001C5188"/>
    <w:rsid w:val="001C5433"/>
    <w:rsid w:val="001C5A10"/>
    <w:rsid w:val="001C6C1B"/>
    <w:rsid w:val="001C7420"/>
    <w:rsid w:val="001C7CB0"/>
    <w:rsid w:val="001D0416"/>
    <w:rsid w:val="001D064C"/>
    <w:rsid w:val="001D1051"/>
    <w:rsid w:val="001D107F"/>
    <w:rsid w:val="001D130F"/>
    <w:rsid w:val="001D4C16"/>
    <w:rsid w:val="001D59C6"/>
    <w:rsid w:val="001D5F69"/>
    <w:rsid w:val="001D7427"/>
    <w:rsid w:val="001E15A5"/>
    <w:rsid w:val="001E17D5"/>
    <w:rsid w:val="001E3289"/>
    <w:rsid w:val="001E3A62"/>
    <w:rsid w:val="001E4765"/>
    <w:rsid w:val="001E4D8D"/>
    <w:rsid w:val="001E5131"/>
    <w:rsid w:val="001E68C4"/>
    <w:rsid w:val="001E74C5"/>
    <w:rsid w:val="001E7962"/>
    <w:rsid w:val="001E7C8D"/>
    <w:rsid w:val="001F1C51"/>
    <w:rsid w:val="001F7039"/>
    <w:rsid w:val="001F7A9A"/>
    <w:rsid w:val="00200175"/>
    <w:rsid w:val="002010FC"/>
    <w:rsid w:val="00202402"/>
    <w:rsid w:val="002024DC"/>
    <w:rsid w:val="00202562"/>
    <w:rsid w:val="00203EB5"/>
    <w:rsid w:val="002049C1"/>
    <w:rsid w:val="002056AD"/>
    <w:rsid w:val="002060AB"/>
    <w:rsid w:val="00206C65"/>
    <w:rsid w:val="002119E4"/>
    <w:rsid w:val="0021414E"/>
    <w:rsid w:val="0021433D"/>
    <w:rsid w:val="00214E2F"/>
    <w:rsid w:val="00215B64"/>
    <w:rsid w:val="00215C8D"/>
    <w:rsid w:val="00216BA8"/>
    <w:rsid w:val="00221209"/>
    <w:rsid w:val="0022142B"/>
    <w:rsid w:val="00221911"/>
    <w:rsid w:val="00222B1F"/>
    <w:rsid w:val="00223138"/>
    <w:rsid w:val="00226321"/>
    <w:rsid w:val="00227D8A"/>
    <w:rsid w:val="00227E25"/>
    <w:rsid w:val="0023010D"/>
    <w:rsid w:val="002302CF"/>
    <w:rsid w:val="002319AB"/>
    <w:rsid w:val="00231B3C"/>
    <w:rsid w:val="00232201"/>
    <w:rsid w:val="00232977"/>
    <w:rsid w:val="00233575"/>
    <w:rsid w:val="00237FDF"/>
    <w:rsid w:val="00243014"/>
    <w:rsid w:val="00243288"/>
    <w:rsid w:val="0024487C"/>
    <w:rsid w:val="00244D1D"/>
    <w:rsid w:val="0024549B"/>
    <w:rsid w:val="00245643"/>
    <w:rsid w:val="00245B85"/>
    <w:rsid w:val="00246BAF"/>
    <w:rsid w:val="00250BF4"/>
    <w:rsid w:val="00250C8C"/>
    <w:rsid w:val="00251F5A"/>
    <w:rsid w:val="00251F87"/>
    <w:rsid w:val="00252237"/>
    <w:rsid w:val="00252454"/>
    <w:rsid w:val="002526DD"/>
    <w:rsid w:val="00252F41"/>
    <w:rsid w:val="002545F0"/>
    <w:rsid w:val="00256249"/>
    <w:rsid w:val="00256A28"/>
    <w:rsid w:val="00257E15"/>
    <w:rsid w:val="00257F27"/>
    <w:rsid w:val="002626C8"/>
    <w:rsid w:val="002629F4"/>
    <w:rsid w:val="00262C42"/>
    <w:rsid w:val="00264D43"/>
    <w:rsid w:val="00265DA4"/>
    <w:rsid w:val="00266C3E"/>
    <w:rsid w:val="00266DC5"/>
    <w:rsid w:val="00270822"/>
    <w:rsid w:val="00274B8A"/>
    <w:rsid w:val="00275941"/>
    <w:rsid w:val="00276E5C"/>
    <w:rsid w:val="00277C67"/>
    <w:rsid w:val="002802A2"/>
    <w:rsid w:val="002803B8"/>
    <w:rsid w:val="00280857"/>
    <w:rsid w:val="0028144F"/>
    <w:rsid w:val="0028148E"/>
    <w:rsid w:val="00284E69"/>
    <w:rsid w:val="0028601D"/>
    <w:rsid w:val="0028630E"/>
    <w:rsid w:val="00286746"/>
    <w:rsid w:val="00286E84"/>
    <w:rsid w:val="002906BC"/>
    <w:rsid w:val="00291107"/>
    <w:rsid w:val="0029211B"/>
    <w:rsid w:val="00292F01"/>
    <w:rsid w:val="0029531A"/>
    <w:rsid w:val="00297045"/>
    <w:rsid w:val="00297049"/>
    <w:rsid w:val="002970BE"/>
    <w:rsid w:val="002970CF"/>
    <w:rsid w:val="0029756F"/>
    <w:rsid w:val="0029780A"/>
    <w:rsid w:val="00297AFA"/>
    <w:rsid w:val="002A04F6"/>
    <w:rsid w:val="002A0845"/>
    <w:rsid w:val="002A0B5E"/>
    <w:rsid w:val="002A153D"/>
    <w:rsid w:val="002A3B07"/>
    <w:rsid w:val="002A4C30"/>
    <w:rsid w:val="002A5E79"/>
    <w:rsid w:val="002A6135"/>
    <w:rsid w:val="002A6B13"/>
    <w:rsid w:val="002A6BDE"/>
    <w:rsid w:val="002A7652"/>
    <w:rsid w:val="002B01EE"/>
    <w:rsid w:val="002B134C"/>
    <w:rsid w:val="002B144C"/>
    <w:rsid w:val="002B1918"/>
    <w:rsid w:val="002B1F3E"/>
    <w:rsid w:val="002B2F2B"/>
    <w:rsid w:val="002B32CA"/>
    <w:rsid w:val="002B4982"/>
    <w:rsid w:val="002B502B"/>
    <w:rsid w:val="002B52FD"/>
    <w:rsid w:val="002B5807"/>
    <w:rsid w:val="002B69E4"/>
    <w:rsid w:val="002B6A3F"/>
    <w:rsid w:val="002B75BD"/>
    <w:rsid w:val="002B76C9"/>
    <w:rsid w:val="002C0AD0"/>
    <w:rsid w:val="002C12B3"/>
    <w:rsid w:val="002C2ACE"/>
    <w:rsid w:val="002C309A"/>
    <w:rsid w:val="002C3389"/>
    <w:rsid w:val="002C4310"/>
    <w:rsid w:val="002C4E8F"/>
    <w:rsid w:val="002C602B"/>
    <w:rsid w:val="002C680E"/>
    <w:rsid w:val="002D12E1"/>
    <w:rsid w:val="002D3439"/>
    <w:rsid w:val="002D3D25"/>
    <w:rsid w:val="002D429E"/>
    <w:rsid w:val="002D456F"/>
    <w:rsid w:val="002D4672"/>
    <w:rsid w:val="002D4691"/>
    <w:rsid w:val="002D52F6"/>
    <w:rsid w:val="002D6AF2"/>
    <w:rsid w:val="002D7118"/>
    <w:rsid w:val="002D72FF"/>
    <w:rsid w:val="002E0B47"/>
    <w:rsid w:val="002E18AB"/>
    <w:rsid w:val="002E1FFC"/>
    <w:rsid w:val="002E2A02"/>
    <w:rsid w:val="002E3184"/>
    <w:rsid w:val="002E31FA"/>
    <w:rsid w:val="002E32CA"/>
    <w:rsid w:val="002E3478"/>
    <w:rsid w:val="002E34B7"/>
    <w:rsid w:val="002E4A6A"/>
    <w:rsid w:val="002E558A"/>
    <w:rsid w:val="002E6591"/>
    <w:rsid w:val="002E79C8"/>
    <w:rsid w:val="002E7A4C"/>
    <w:rsid w:val="002F0704"/>
    <w:rsid w:val="002F11F0"/>
    <w:rsid w:val="002F232F"/>
    <w:rsid w:val="002F250A"/>
    <w:rsid w:val="002F34D8"/>
    <w:rsid w:val="002F3AEA"/>
    <w:rsid w:val="002F4DAD"/>
    <w:rsid w:val="002F61EA"/>
    <w:rsid w:val="002F711B"/>
    <w:rsid w:val="002F7D51"/>
    <w:rsid w:val="003029BB"/>
    <w:rsid w:val="0030435E"/>
    <w:rsid w:val="003045A0"/>
    <w:rsid w:val="003047A0"/>
    <w:rsid w:val="00304804"/>
    <w:rsid w:val="00306451"/>
    <w:rsid w:val="003113EE"/>
    <w:rsid w:val="00314365"/>
    <w:rsid w:val="00314E41"/>
    <w:rsid w:val="00315330"/>
    <w:rsid w:val="003169DD"/>
    <w:rsid w:val="00320BB1"/>
    <w:rsid w:val="00320F4A"/>
    <w:rsid w:val="0032115E"/>
    <w:rsid w:val="003219BC"/>
    <w:rsid w:val="00321CE6"/>
    <w:rsid w:val="00322655"/>
    <w:rsid w:val="0032371F"/>
    <w:rsid w:val="0032372E"/>
    <w:rsid w:val="00323922"/>
    <w:rsid w:val="00324C82"/>
    <w:rsid w:val="0032699F"/>
    <w:rsid w:val="003269FB"/>
    <w:rsid w:val="0032771B"/>
    <w:rsid w:val="00327D0F"/>
    <w:rsid w:val="003308A7"/>
    <w:rsid w:val="00330CE0"/>
    <w:rsid w:val="0033112A"/>
    <w:rsid w:val="0033408F"/>
    <w:rsid w:val="00334270"/>
    <w:rsid w:val="003351E5"/>
    <w:rsid w:val="00335B2E"/>
    <w:rsid w:val="003362C7"/>
    <w:rsid w:val="00337360"/>
    <w:rsid w:val="003415D9"/>
    <w:rsid w:val="00342D55"/>
    <w:rsid w:val="003437D5"/>
    <w:rsid w:val="00343A9B"/>
    <w:rsid w:val="003445EF"/>
    <w:rsid w:val="00344617"/>
    <w:rsid w:val="00344A9E"/>
    <w:rsid w:val="00346541"/>
    <w:rsid w:val="003468F5"/>
    <w:rsid w:val="00347206"/>
    <w:rsid w:val="00347EBE"/>
    <w:rsid w:val="00351E68"/>
    <w:rsid w:val="003523A6"/>
    <w:rsid w:val="00352860"/>
    <w:rsid w:val="00353787"/>
    <w:rsid w:val="00353B73"/>
    <w:rsid w:val="003558BA"/>
    <w:rsid w:val="00355F1B"/>
    <w:rsid w:val="00356377"/>
    <w:rsid w:val="00356713"/>
    <w:rsid w:val="003607B9"/>
    <w:rsid w:val="00360ACE"/>
    <w:rsid w:val="0036534A"/>
    <w:rsid w:val="003705C2"/>
    <w:rsid w:val="00370F01"/>
    <w:rsid w:val="00371465"/>
    <w:rsid w:val="0037402E"/>
    <w:rsid w:val="0037602E"/>
    <w:rsid w:val="00380EBB"/>
    <w:rsid w:val="00382336"/>
    <w:rsid w:val="00382572"/>
    <w:rsid w:val="003833F4"/>
    <w:rsid w:val="0038356D"/>
    <w:rsid w:val="0038431D"/>
    <w:rsid w:val="003844EE"/>
    <w:rsid w:val="003869AF"/>
    <w:rsid w:val="00387519"/>
    <w:rsid w:val="00387BCA"/>
    <w:rsid w:val="00387E7C"/>
    <w:rsid w:val="003925B0"/>
    <w:rsid w:val="003928CE"/>
    <w:rsid w:val="0039336C"/>
    <w:rsid w:val="003937FA"/>
    <w:rsid w:val="00393CDD"/>
    <w:rsid w:val="00394AB6"/>
    <w:rsid w:val="00395CFA"/>
    <w:rsid w:val="00397262"/>
    <w:rsid w:val="003A06CA"/>
    <w:rsid w:val="003A1FD9"/>
    <w:rsid w:val="003A4214"/>
    <w:rsid w:val="003A6771"/>
    <w:rsid w:val="003A77FD"/>
    <w:rsid w:val="003A7953"/>
    <w:rsid w:val="003A7E69"/>
    <w:rsid w:val="003B0E49"/>
    <w:rsid w:val="003B23E2"/>
    <w:rsid w:val="003B294B"/>
    <w:rsid w:val="003B2A51"/>
    <w:rsid w:val="003B5465"/>
    <w:rsid w:val="003B7B35"/>
    <w:rsid w:val="003B7E72"/>
    <w:rsid w:val="003B7E7C"/>
    <w:rsid w:val="003C2486"/>
    <w:rsid w:val="003C31BF"/>
    <w:rsid w:val="003C7B5E"/>
    <w:rsid w:val="003D0E93"/>
    <w:rsid w:val="003D2167"/>
    <w:rsid w:val="003D3167"/>
    <w:rsid w:val="003D4210"/>
    <w:rsid w:val="003D5B81"/>
    <w:rsid w:val="003D725F"/>
    <w:rsid w:val="003E0E76"/>
    <w:rsid w:val="003E1291"/>
    <w:rsid w:val="003E23C7"/>
    <w:rsid w:val="003E30FD"/>
    <w:rsid w:val="003E46D0"/>
    <w:rsid w:val="003E4EF6"/>
    <w:rsid w:val="003E5290"/>
    <w:rsid w:val="003E56B8"/>
    <w:rsid w:val="003E5E90"/>
    <w:rsid w:val="003E6000"/>
    <w:rsid w:val="003E6102"/>
    <w:rsid w:val="003E77D1"/>
    <w:rsid w:val="003F22EA"/>
    <w:rsid w:val="003F25B0"/>
    <w:rsid w:val="003F440B"/>
    <w:rsid w:val="003F4C7C"/>
    <w:rsid w:val="003F5BEB"/>
    <w:rsid w:val="003F60E2"/>
    <w:rsid w:val="003F6EE8"/>
    <w:rsid w:val="003F7087"/>
    <w:rsid w:val="003F78E6"/>
    <w:rsid w:val="0040031A"/>
    <w:rsid w:val="00400461"/>
    <w:rsid w:val="00400494"/>
    <w:rsid w:val="00400BB6"/>
    <w:rsid w:val="004010F4"/>
    <w:rsid w:val="00402054"/>
    <w:rsid w:val="0040258A"/>
    <w:rsid w:val="00402C9A"/>
    <w:rsid w:val="0040378D"/>
    <w:rsid w:val="00406264"/>
    <w:rsid w:val="00407BCC"/>
    <w:rsid w:val="00410DC4"/>
    <w:rsid w:val="0041189A"/>
    <w:rsid w:val="00412830"/>
    <w:rsid w:val="0041301B"/>
    <w:rsid w:val="00414ACD"/>
    <w:rsid w:val="00415563"/>
    <w:rsid w:val="00417286"/>
    <w:rsid w:val="00420E21"/>
    <w:rsid w:val="004218F0"/>
    <w:rsid w:val="00421DC2"/>
    <w:rsid w:val="00421E71"/>
    <w:rsid w:val="00421FA6"/>
    <w:rsid w:val="00422380"/>
    <w:rsid w:val="00422AA9"/>
    <w:rsid w:val="004233F7"/>
    <w:rsid w:val="004236E0"/>
    <w:rsid w:val="00423DE6"/>
    <w:rsid w:val="00424402"/>
    <w:rsid w:val="004247E0"/>
    <w:rsid w:val="00425B39"/>
    <w:rsid w:val="00425FC4"/>
    <w:rsid w:val="00430084"/>
    <w:rsid w:val="004322A1"/>
    <w:rsid w:val="0043286F"/>
    <w:rsid w:val="00432BB0"/>
    <w:rsid w:val="0043513C"/>
    <w:rsid w:val="00436DDC"/>
    <w:rsid w:val="00437E66"/>
    <w:rsid w:val="00440C79"/>
    <w:rsid w:val="00443064"/>
    <w:rsid w:val="00443683"/>
    <w:rsid w:val="0044391F"/>
    <w:rsid w:val="00444919"/>
    <w:rsid w:val="00444AD8"/>
    <w:rsid w:val="004455F8"/>
    <w:rsid w:val="004465EC"/>
    <w:rsid w:val="00450517"/>
    <w:rsid w:val="004530AB"/>
    <w:rsid w:val="0045563F"/>
    <w:rsid w:val="00460C44"/>
    <w:rsid w:val="00460D54"/>
    <w:rsid w:val="0046168A"/>
    <w:rsid w:val="004645A7"/>
    <w:rsid w:val="00464C6A"/>
    <w:rsid w:val="004657D3"/>
    <w:rsid w:val="00465E7C"/>
    <w:rsid w:val="0046688E"/>
    <w:rsid w:val="0046798B"/>
    <w:rsid w:val="004709B0"/>
    <w:rsid w:val="004709D0"/>
    <w:rsid w:val="004710AB"/>
    <w:rsid w:val="00472299"/>
    <w:rsid w:val="00472961"/>
    <w:rsid w:val="00472E91"/>
    <w:rsid w:val="00473104"/>
    <w:rsid w:val="00473DF9"/>
    <w:rsid w:val="00473EF8"/>
    <w:rsid w:val="0047416A"/>
    <w:rsid w:val="00475F22"/>
    <w:rsid w:val="00475FF3"/>
    <w:rsid w:val="00476948"/>
    <w:rsid w:val="00476F95"/>
    <w:rsid w:val="0047745C"/>
    <w:rsid w:val="00480C78"/>
    <w:rsid w:val="00481223"/>
    <w:rsid w:val="00481380"/>
    <w:rsid w:val="00482558"/>
    <w:rsid w:val="004838CB"/>
    <w:rsid w:val="00485502"/>
    <w:rsid w:val="00486A2E"/>
    <w:rsid w:val="00486C20"/>
    <w:rsid w:val="00487C65"/>
    <w:rsid w:val="0049063E"/>
    <w:rsid w:val="0049153D"/>
    <w:rsid w:val="0049173B"/>
    <w:rsid w:val="00491849"/>
    <w:rsid w:val="00491B7A"/>
    <w:rsid w:val="00491CBF"/>
    <w:rsid w:val="00492C3D"/>
    <w:rsid w:val="0049477E"/>
    <w:rsid w:val="00494E80"/>
    <w:rsid w:val="004A07AA"/>
    <w:rsid w:val="004A3350"/>
    <w:rsid w:val="004A4941"/>
    <w:rsid w:val="004A5009"/>
    <w:rsid w:val="004A6E1F"/>
    <w:rsid w:val="004A779C"/>
    <w:rsid w:val="004B06F9"/>
    <w:rsid w:val="004B1469"/>
    <w:rsid w:val="004B2176"/>
    <w:rsid w:val="004B38BC"/>
    <w:rsid w:val="004B4A69"/>
    <w:rsid w:val="004B549E"/>
    <w:rsid w:val="004B7D26"/>
    <w:rsid w:val="004C03C2"/>
    <w:rsid w:val="004C14D0"/>
    <w:rsid w:val="004C3033"/>
    <w:rsid w:val="004C4253"/>
    <w:rsid w:val="004C4380"/>
    <w:rsid w:val="004C495C"/>
    <w:rsid w:val="004C49CE"/>
    <w:rsid w:val="004C6539"/>
    <w:rsid w:val="004C66F5"/>
    <w:rsid w:val="004C6D5B"/>
    <w:rsid w:val="004C6D96"/>
    <w:rsid w:val="004C77BF"/>
    <w:rsid w:val="004C7F78"/>
    <w:rsid w:val="004D0D1F"/>
    <w:rsid w:val="004D109F"/>
    <w:rsid w:val="004D2790"/>
    <w:rsid w:val="004D2E53"/>
    <w:rsid w:val="004D4298"/>
    <w:rsid w:val="004D48AF"/>
    <w:rsid w:val="004D4959"/>
    <w:rsid w:val="004D4ACD"/>
    <w:rsid w:val="004D5526"/>
    <w:rsid w:val="004D5DFF"/>
    <w:rsid w:val="004D61C9"/>
    <w:rsid w:val="004D74CD"/>
    <w:rsid w:val="004D7666"/>
    <w:rsid w:val="004E0136"/>
    <w:rsid w:val="004E0633"/>
    <w:rsid w:val="004E48EF"/>
    <w:rsid w:val="004E57CB"/>
    <w:rsid w:val="004E60AB"/>
    <w:rsid w:val="004E76CC"/>
    <w:rsid w:val="004E7AAB"/>
    <w:rsid w:val="004F32AB"/>
    <w:rsid w:val="004F3C78"/>
    <w:rsid w:val="004F412F"/>
    <w:rsid w:val="004F5120"/>
    <w:rsid w:val="004F5429"/>
    <w:rsid w:val="004F5E35"/>
    <w:rsid w:val="004F5F8E"/>
    <w:rsid w:val="004F68EC"/>
    <w:rsid w:val="004F694B"/>
    <w:rsid w:val="0050021A"/>
    <w:rsid w:val="0050079E"/>
    <w:rsid w:val="0050087B"/>
    <w:rsid w:val="00500CFB"/>
    <w:rsid w:val="00501322"/>
    <w:rsid w:val="005019A7"/>
    <w:rsid w:val="00501D99"/>
    <w:rsid w:val="00502056"/>
    <w:rsid w:val="005033A2"/>
    <w:rsid w:val="0050438E"/>
    <w:rsid w:val="00504740"/>
    <w:rsid w:val="00504E67"/>
    <w:rsid w:val="0050535B"/>
    <w:rsid w:val="0050545D"/>
    <w:rsid w:val="005059FD"/>
    <w:rsid w:val="00506274"/>
    <w:rsid w:val="0051038A"/>
    <w:rsid w:val="00510CEA"/>
    <w:rsid w:val="0051170F"/>
    <w:rsid w:val="0051202F"/>
    <w:rsid w:val="0051221F"/>
    <w:rsid w:val="0051232A"/>
    <w:rsid w:val="00512EC9"/>
    <w:rsid w:val="00513053"/>
    <w:rsid w:val="00514773"/>
    <w:rsid w:val="00514A37"/>
    <w:rsid w:val="00514F1E"/>
    <w:rsid w:val="00516891"/>
    <w:rsid w:val="0051701F"/>
    <w:rsid w:val="0051707B"/>
    <w:rsid w:val="005171E6"/>
    <w:rsid w:val="005202F1"/>
    <w:rsid w:val="005206AB"/>
    <w:rsid w:val="005208A6"/>
    <w:rsid w:val="00520C72"/>
    <w:rsid w:val="005219AD"/>
    <w:rsid w:val="00521EA6"/>
    <w:rsid w:val="00521F51"/>
    <w:rsid w:val="00522DE3"/>
    <w:rsid w:val="0052522B"/>
    <w:rsid w:val="00525E8C"/>
    <w:rsid w:val="00526530"/>
    <w:rsid w:val="00526B94"/>
    <w:rsid w:val="005306BA"/>
    <w:rsid w:val="0053662F"/>
    <w:rsid w:val="00536A2C"/>
    <w:rsid w:val="00536DF1"/>
    <w:rsid w:val="005372D9"/>
    <w:rsid w:val="00537662"/>
    <w:rsid w:val="0053794F"/>
    <w:rsid w:val="0054066B"/>
    <w:rsid w:val="0054124D"/>
    <w:rsid w:val="0054151D"/>
    <w:rsid w:val="00541959"/>
    <w:rsid w:val="00545121"/>
    <w:rsid w:val="0054559E"/>
    <w:rsid w:val="00546300"/>
    <w:rsid w:val="0054798E"/>
    <w:rsid w:val="0055033C"/>
    <w:rsid w:val="00550780"/>
    <w:rsid w:val="00553EAD"/>
    <w:rsid w:val="0055417E"/>
    <w:rsid w:val="0055644C"/>
    <w:rsid w:val="005568E4"/>
    <w:rsid w:val="00557ED0"/>
    <w:rsid w:val="00561141"/>
    <w:rsid w:val="00561674"/>
    <w:rsid w:val="00562755"/>
    <w:rsid w:val="005633B0"/>
    <w:rsid w:val="0056348C"/>
    <w:rsid w:val="00563691"/>
    <w:rsid w:val="00563809"/>
    <w:rsid w:val="00564397"/>
    <w:rsid w:val="0056572C"/>
    <w:rsid w:val="005657E0"/>
    <w:rsid w:val="005658A1"/>
    <w:rsid w:val="00565F5A"/>
    <w:rsid w:val="005662C8"/>
    <w:rsid w:val="0057106E"/>
    <w:rsid w:val="00571190"/>
    <w:rsid w:val="005719A4"/>
    <w:rsid w:val="005729AE"/>
    <w:rsid w:val="0057341F"/>
    <w:rsid w:val="00573B2C"/>
    <w:rsid w:val="00574B34"/>
    <w:rsid w:val="00576E3A"/>
    <w:rsid w:val="00577270"/>
    <w:rsid w:val="005773B4"/>
    <w:rsid w:val="005775D1"/>
    <w:rsid w:val="0058168E"/>
    <w:rsid w:val="005833F6"/>
    <w:rsid w:val="0058583E"/>
    <w:rsid w:val="00586D71"/>
    <w:rsid w:val="0058725B"/>
    <w:rsid w:val="00590213"/>
    <w:rsid w:val="00590E2A"/>
    <w:rsid w:val="005934A5"/>
    <w:rsid w:val="0059487A"/>
    <w:rsid w:val="005960E3"/>
    <w:rsid w:val="005969CE"/>
    <w:rsid w:val="0059777E"/>
    <w:rsid w:val="005A02CB"/>
    <w:rsid w:val="005A0A2A"/>
    <w:rsid w:val="005A0A3A"/>
    <w:rsid w:val="005A3B40"/>
    <w:rsid w:val="005A3DAB"/>
    <w:rsid w:val="005A4BB6"/>
    <w:rsid w:val="005A5154"/>
    <w:rsid w:val="005A57E7"/>
    <w:rsid w:val="005B051B"/>
    <w:rsid w:val="005B2DA0"/>
    <w:rsid w:val="005B2E55"/>
    <w:rsid w:val="005B3D88"/>
    <w:rsid w:val="005B3ECB"/>
    <w:rsid w:val="005B5CEE"/>
    <w:rsid w:val="005B6F81"/>
    <w:rsid w:val="005C03DF"/>
    <w:rsid w:val="005C0F61"/>
    <w:rsid w:val="005C125F"/>
    <w:rsid w:val="005C4878"/>
    <w:rsid w:val="005C52A2"/>
    <w:rsid w:val="005C7931"/>
    <w:rsid w:val="005D00BD"/>
    <w:rsid w:val="005D0B73"/>
    <w:rsid w:val="005D2006"/>
    <w:rsid w:val="005D22D0"/>
    <w:rsid w:val="005D2C2B"/>
    <w:rsid w:val="005D2CE0"/>
    <w:rsid w:val="005D3105"/>
    <w:rsid w:val="005D3AAC"/>
    <w:rsid w:val="005D452F"/>
    <w:rsid w:val="005D5124"/>
    <w:rsid w:val="005D5988"/>
    <w:rsid w:val="005D7F6A"/>
    <w:rsid w:val="005D7F8D"/>
    <w:rsid w:val="005E07DA"/>
    <w:rsid w:val="005E0917"/>
    <w:rsid w:val="005E2F6D"/>
    <w:rsid w:val="005E3128"/>
    <w:rsid w:val="005E3132"/>
    <w:rsid w:val="005E482C"/>
    <w:rsid w:val="005E4AF2"/>
    <w:rsid w:val="005E4CBC"/>
    <w:rsid w:val="005E59A4"/>
    <w:rsid w:val="005E662A"/>
    <w:rsid w:val="005E696D"/>
    <w:rsid w:val="005E72DF"/>
    <w:rsid w:val="005F045A"/>
    <w:rsid w:val="005F0A7C"/>
    <w:rsid w:val="005F0E4D"/>
    <w:rsid w:val="005F174A"/>
    <w:rsid w:val="005F23CA"/>
    <w:rsid w:val="005F242D"/>
    <w:rsid w:val="005F376D"/>
    <w:rsid w:val="005F3E72"/>
    <w:rsid w:val="005F4E99"/>
    <w:rsid w:val="005F5B2A"/>
    <w:rsid w:val="005F7FB7"/>
    <w:rsid w:val="0060091B"/>
    <w:rsid w:val="00601A17"/>
    <w:rsid w:val="00601FF6"/>
    <w:rsid w:val="006027F2"/>
    <w:rsid w:val="00602E0D"/>
    <w:rsid w:val="00602E71"/>
    <w:rsid w:val="00603441"/>
    <w:rsid w:val="00603D24"/>
    <w:rsid w:val="00604584"/>
    <w:rsid w:val="00604DC9"/>
    <w:rsid w:val="00605A86"/>
    <w:rsid w:val="00605BF7"/>
    <w:rsid w:val="006072A2"/>
    <w:rsid w:val="00607399"/>
    <w:rsid w:val="00607ACE"/>
    <w:rsid w:val="00607E4A"/>
    <w:rsid w:val="0061044D"/>
    <w:rsid w:val="00611FAC"/>
    <w:rsid w:val="0061241B"/>
    <w:rsid w:val="006129B6"/>
    <w:rsid w:val="00612AA8"/>
    <w:rsid w:val="006134A7"/>
    <w:rsid w:val="006137FD"/>
    <w:rsid w:val="00613CAA"/>
    <w:rsid w:val="00614B94"/>
    <w:rsid w:val="00614F97"/>
    <w:rsid w:val="0061515E"/>
    <w:rsid w:val="006157FE"/>
    <w:rsid w:val="00615996"/>
    <w:rsid w:val="006167EE"/>
    <w:rsid w:val="00617B40"/>
    <w:rsid w:val="006225EB"/>
    <w:rsid w:val="00622D0D"/>
    <w:rsid w:val="006240FF"/>
    <w:rsid w:val="00624A10"/>
    <w:rsid w:val="00625949"/>
    <w:rsid w:val="00625A55"/>
    <w:rsid w:val="00625A6B"/>
    <w:rsid w:val="0062764A"/>
    <w:rsid w:val="00627AFF"/>
    <w:rsid w:val="006314FA"/>
    <w:rsid w:val="00631870"/>
    <w:rsid w:val="00632C86"/>
    <w:rsid w:val="00633CE0"/>
    <w:rsid w:val="006346CF"/>
    <w:rsid w:val="006351F3"/>
    <w:rsid w:val="0063546A"/>
    <w:rsid w:val="00636722"/>
    <w:rsid w:val="00636EA5"/>
    <w:rsid w:val="0063782E"/>
    <w:rsid w:val="00637ACF"/>
    <w:rsid w:val="006406A0"/>
    <w:rsid w:val="006411D5"/>
    <w:rsid w:val="00642847"/>
    <w:rsid w:val="00642B93"/>
    <w:rsid w:val="00643783"/>
    <w:rsid w:val="00643D03"/>
    <w:rsid w:val="00643EE8"/>
    <w:rsid w:val="006445FF"/>
    <w:rsid w:val="0064539C"/>
    <w:rsid w:val="0064551D"/>
    <w:rsid w:val="006505A3"/>
    <w:rsid w:val="006506EA"/>
    <w:rsid w:val="0065073D"/>
    <w:rsid w:val="00651F93"/>
    <w:rsid w:val="0065278A"/>
    <w:rsid w:val="00652A21"/>
    <w:rsid w:val="00655AF5"/>
    <w:rsid w:val="00655BD3"/>
    <w:rsid w:val="00656FD5"/>
    <w:rsid w:val="0065774E"/>
    <w:rsid w:val="006579D9"/>
    <w:rsid w:val="006604F0"/>
    <w:rsid w:val="0066106F"/>
    <w:rsid w:val="00661489"/>
    <w:rsid w:val="00661CF1"/>
    <w:rsid w:val="00663987"/>
    <w:rsid w:val="00663AEA"/>
    <w:rsid w:val="00663F96"/>
    <w:rsid w:val="006662AB"/>
    <w:rsid w:val="006673D6"/>
    <w:rsid w:val="0066757B"/>
    <w:rsid w:val="006703CB"/>
    <w:rsid w:val="0067357F"/>
    <w:rsid w:val="006735E0"/>
    <w:rsid w:val="00674EB0"/>
    <w:rsid w:val="00675130"/>
    <w:rsid w:val="00677456"/>
    <w:rsid w:val="006778BC"/>
    <w:rsid w:val="006807B3"/>
    <w:rsid w:val="006807DE"/>
    <w:rsid w:val="00682AC1"/>
    <w:rsid w:val="00682F70"/>
    <w:rsid w:val="00683080"/>
    <w:rsid w:val="0068360F"/>
    <w:rsid w:val="00683895"/>
    <w:rsid w:val="00683B26"/>
    <w:rsid w:val="00683E9B"/>
    <w:rsid w:val="00685944"/>
    <w:rsid w:val="0068677D"/>
    <w:rsid w:val="0068732C"/>
    <w:rsid w:val="00690379"/>
    <w:rsid w:val="0069132A"/>
    <w:rsid w:val="00691832"/>
    <w:rsid w:val="00691AC8"/>
    <w:rsid w:val="00693312"/>
    <w:rsid w:val="0069352C"/>
    <w:rsid w:val="00694EE4"/>
    <w:rsid w:val="00695795"/>
    <w:rsid w:val="00695903"/>
    <w:rsid w:val="00695AAF"/>
    <w:rsid w:val="00695BF3"/>
    <w:rsid w:val="00695E59"/>
    <w:rsid w:val="00696A26"/>
    <w:rsid w:val="006974EF"/>
    <w:rsid w:val="006975EE"/>
    <w:rsid w:val="00697B8B"/>
    <w:rsid w:val="00697EA2"/>
    <w:rsid w:val="006A0B60"/>
    <w:rsid w:val="006A0F0C"/>
    <w:rsid w:val="006A262B"/>
    <w:rsid w:val="006A2841"/>
    <w:rsid w:val="006A43B0"/>
    <w:rsid w:val="006A5604"/>
    <w:rsid w:val="006A5F1F"/>
    <w:rsid w:val="006A62D3"/>
    <w:rsid w:val="006A6526"/>
    <w:rsid w:val="006A7709"/>
    <w:rsid w:val="006A78FE"/>
    <w:rsid w:val="006A7AEA"/>
    <w:rsid w:val="006A7F16"/>
    <w:rsid w:val="006B3111"/>
    <w:rsid w:val="006B39BD"/>
    <w:rsid w:val="006B3D80"/>
    <w:rsid w:val="006B5595"/>
    <w:rsid w:val="006C064D"/>
    <w:rsid w:val="006C07A3"/>
    <w:rsid w:val="006C225D"/>
    <w:rsid w:val="006C27E7"/>
    <w:rsid w:val="006C450A"/>
    <w:rsid w:val="006C480C"/>
    <w:rsid w:val="006C5497"/>
    <w:rsid w:val="006C5633"/>
    <w:rsid w:val="006C591C"/>
    <w:rsid w:val="006C5AE4"/>
    <w:rsid w:val="006C7342"/>
    <w:rsid w:val="006C7763"/>
    <w:rsid w:val="006C7F7B"/>
    <w:rsid w:val="006D0068"/>
    <w:rsid w:val="006D02B3"/>
    <w:rsid w:val="006D173D"/>
    <w:rsid w:val="006D33EC"/>
    <w:rsid w:val="006D3581"/>
    <w:rsid w:val="006D384D"/>
    <w:rsid w:val="006D3CD9"/>
    <w:rsid w:val="006D6A32"/>
    <w:rsid w:val="006D6B36"/>
    <w:rsid w:val="006D6B6B"/>
    <w:rsid w:val="006D6C77"/>
    <w:rsid w:val="006D779F"/>
    <w:rsid w:val="006D7C98"/>
    <w:rsid w:val="006E04A7"/>
    <w:rsid w:val="006E2D05"/>
    <w:rsid w:val="006E2D0F"/>
    <w:rsid w:val="006E31ED"/>
    <w:rsid w:val="006E3429"/>
    <w:rsid w:val="006E3AB2"/>
    <w:rsid w:val="006E5CC3"/>
    <w:rsid w:val="006E6507"/>
    <w:rsid w:val="006E7B8E"/>
    <w:rsid w:val="006E7D87"/>
    <w:rsid w:val="006E7F28"/>
    <w:rsid w:val="006F03F4"/>
    <w:rsid w:val="006F133D"/>
    <w:rsid w:val="006F13D8"/>
    <w:rsid w:val="006F1D0B"/>
    <w:rsid w:val="006F34F8"/>
    <w:rsid w:val="006F4AC3"/>
    <w:rsid w:val="006F544B"/>
    <w:rsid w:val="006F6134"/>
    <w:rsid w:val="006F6587"/>
    <w:rsid w:val="006F7698"/>
    <w:rsid w:val="006F7DF6"/>
    <w:rsid w:val="00700BE2"/>
    <w:rsid w:val="00700DFB"/>
    <w:rsid w:val="007019A7"/>
    <w:rsid w:val="0070330D"/>
    <w:rsid w:val="0070330E"/>
    <w:rsid w:val="00703A2C"/>
    <w:rsid w:val="00703DF6"/>
    <w:rsid w:val="00705B57"/>
    <w:rsid w:val="007062CB"/>
    <w:rsid w:val="007063FF"/>
    <w:rsid w:val="00710DEA"/>
    <w:rsid w:val="0071552D"/>
    <w:rsid w:val="00715C18"/>
    <w:rsid w:val="007170D6"/>
    <w:rsid w:val="00717C06"/>
    <w:rsid w:val="00720F63"/>
    <w:rsid w:val="00720FDB"/>
    <w:rsid w:val="007210AB"/>
    <w:rsid w:val="007221BD"/>
    <w:rsid w:val="00722508"/>
    <w:rsid w:val="00722880"/>
    <w:rsid w:val="0072303E"/>
    <w:rsid w:val="0072328F"/>
    <w:rsid w:val="007247D0"/>
    <w:rsid w:val="00725FA8"/>
    <w:rsid w:val="007269A3"/>
    <w:rsid w:val="00726E42"/>
    <w:rsid w:val="00727293"/>
    <w:rsid w:val="00730CF3"/>
    <w:rsid w:val="00731D62"/>
    <w:rsid w:val="00734074"/>
    <w:rsid w:val="00734386"/>
    <w:rsid w:val="00734925"/>
    <w:rsid w:val="0073584B"/>
    <w:rsid w:val="00737FD3"/>
    <w:rsid w:val="007405CB"/>
    <w:rsid w:val="00741724"/>
    <w:rsid w:val="00741974"/>
    <w:rsid w:val="007419EA"/>
    <w:rsid w:val="00741E5D"/>
    <w:rsid w:val="00742B5F"/>
    <w:rsid w:val="0074317F"/>
    <w:rsid w:val="00743AA2"/>
    <w:rsid w:val="0074480F"/>
    <w:rsid w:val="007450EC"/>
    <w:rsid w:val="00745C4A"/>
    <w:rsid w:val="00745E1F"/>
    <w:rsid w:val="00745F00"/>
    <w:rsid w:val="0074658B"/>
    <w:rsid w:val="00746B45"/>
    <w:rsid w:val="00747768"/>
    <w:rsid w:val="00747FE7"/>
    <w:rsid w:val="00750ED3"/>
    <w:rsid w:val="00750F54"/>
    <w:rsid w:val="007515DE"/>
    <w:rsid w:val="007527F7"/>
    <w:rsid w:val="007531FC"/>
    <w:rsid w:val="007537AD"/>
    <w:rsid w:val="0075388B"/>
    <w:rsid w:val="0075470D"/>
    <w:rsid w:val="00756DC3"/>
    <w:rsid w:val="00757F1C"/>
    <w:rsid w:val="00757FC5"/>
    <w:rsid w:val="0076046D"/>
    <w:rsid w:val="00760FF8"/>
    <w:rsid w:val="0076197C"/>
    <w:rsid w:val="00761D73"/>
    <w:rsid w:val="00762520"/>
    <w:rsid w:val="00762AA7"/>
    <w:rsid w:val="00763F74"/>
    <w:rsid w:val="007648CB"/>
    <w:rsid w:val="0076542A"/>
    <w:rsid w:val="00765819"/>
    <w:rsid w:val="007659EE"/>
    <w:rsid w:val="007664C8"/>
    <w:rsid w:val="00766677"/>
    <w:rsid w:val="007666FE"/>
    <w:rsid w:val="00766F92"/>
    <w:rsid w:val="00767760"/>
    <w:rsid w:val="0077038C"/>
    <w:rsid w:val="007706DF"/>
    <w:rsid w:val="00770726"/>
    <w:rsid w:val="00770DEA"/>
    <w:rsid w:val="00771C98"/>
    <w:rsid w:val="00772527"/>
    <w:rsid w:val="0077351A"/>
    <w:rsid w:val="00774EAA"/>
    <w:rsid w:val="0077667D"/>
    <w:rsid w:val="00776730"/>
    <w:rsid w:val="00780907"/>
    <w:rsid w:val="00780E73"/>
    <w:rsid w:val="00780F0A"/>
    <w:rsid w:val="00781958"/>
    <w:rsid w:val="00781FBE"/>
    <w:rsid w:val="00782EBC"/>
    <w:rsid w:val="0078307B"/>
    <w:rsid w:val="00783106"/>
    <w:rsid w:val="00783314"/>
    <w:rsid w:val="00783F28"/>
    <w:rsid w:val="00785AC0"/>
    <w:rsid w:val="00785E4F"/>
    <w:rsid w:val="00786529"/>
    <w:rsid w:val="00787492"/>
    <w:rsid w:val="00787EB2"/>
    <w:rsid w:val="00790A70"/>
    <w:rsid w:val="00791773"/>
    <w:rsid w:val="00792854"/>
    <w:rsid w:val="00792E2B"/>
    <w:rsid w:val="007946EE"/>
    <w:rsid w:val="00794BA6"/>
    <w:rsid w:val="00794DD6"/>
    <w:rsid w:val="00795014"/>
    <w:rsid w:val="0079574E"/>
    <w:rsid w:val="00795F43"/>
    <w:rsid w:val="00796DC0"/>
    <w:rsid w:val="007975AB"/>
    <w:rsid w:val="007A0796"/>
    <w:rsid w:val="007A0EAB"/>
    <w:rsid w:val="007A3729"/>
    <w:rsid w:val="007A5898"/>
    <w:rsid w:val="007A7A33"/>
    <w:rsid w:val="007A7AD9"/>
    <w:rsid w:val="007B028A"/>
    <w:rsid w:val="007B1BA0"/>
    <w:rsid w:val="007B2AB9"/>
    <w:rsid w:val="007B2D3B"/>
    <w:rsid w:val="007B40C1"/>
    <w:rsid w:val="007B4E95"/>
    <w:rsid w:val="007B573E"/>
    <w:rsid w:val="007B6B35"/>
    <w:rsid w:val="007B7837"/>
    <w:rsid w:val="007C0912"/>
    <w:rsid w:val="007C1000"/>
    <w:rsid w:val="007C1049"/>
    <w:rsid w:val="007C2A40"/>
    <w:rsid w:val="007C3601"/>
    <w:rsid w:val="007C5B94"/>
    <w:rsid w:val="007C5CD8"/>
    <w:rsid w:val="007C759D"/>
    <w:rsid w:val="007C7900"/>
    <w:rsid w:val="007D0BB0"/>
    <w:rsid w:val="007D15E0"/>
    <w:rsid w:val="007E06CF"/>
    <w:rsid w:val="007E2ACF"/>
    <w:rsid w:val="007E2BD0"/>
    <w:rsid w:val="007E3524"/>
    <w:rsid w:val="007E394B"/>
    <w:rsid w:val="007E46CE"/>
    <w:rsid w:val="007E7085"/>
    <w:rsid w:val="007E7D9C"/>
    <w:rsid w:val="007F07A7"/>
    <w:rsid w:val="007F07C8"/>
    <w:rsid w:val="007F0D44"/>
    <w:rsid w:val="007F138C"/>
    <w:rsid w:val="007F172C"/>
    <w:rsid w:val="007F234C"/>
    <w:rsid w:val="007F4024"/>
    <w:rsid w:val="007F4224"/>
    <w:rsid w:val="007F5B9C"/>
    <w:rsid w:val="007F63C5"/>
    <w:rsid w:val="00800C59"/>
    <w:rsid w:val="0080121C"/>
    <w:rsid w:val="008017D1"/>
    <w:rsid w:val="00802479"/>
    <w:rsid w:val="00802773"/>
    <w:rsid w:val="00802C21"/>
    <w:rsid w:val="00803707"/>
    <w:rsid w:val="00803C55"/>
    <w:rsid w:val="00804663"/>
    <w:rsid w:val="008059DA"/>
    <w:rsid w:val="00805C15"/>
    <w:rsid w:val="00805DF5"/>
    <w:rsid w:val="008064B3"/>
    <w:rsid w:val="00807052"/>
    <w:rsid w:val="008119B7"/>
    <w:rsid w:val="00811EF2"/>
    <w:rsid w:val="0081317C"/>
    <w:rsid w:val="00814350"/>
    <w:rsid w:val="00814CBA"/>
    <w:rsid w:val="008153CE"/>
    <w:rsid w:val="008170AB"/>
    <w:rsid w:val="008204C5"/>
    <w:rsid w:val="0082077E"/>
    <w:rsid w:val="00820849"/>
    <w:rsid w:val="00821A24"/>
    <w:rsid w:val="00821FE9"/>
    <w:rsid w:val="0082249A"/>
    <w:rsid w:val="008239C9"/>
    <w:rsid w:val="0082410B"/>
    <w:rsid w:val="00824B5A"/>
    <w:rsid w:val="00826439"/>
    <w:rsid w:val="0083023A"/>
    <w:rsid w:val="0083041C"/>
    <w:rsid w:val="008305D1"/>
    <w:rsid w:val="00832E99"/>
    <w:rsid w:val="00832FAC"/>
    <w:rsid w:val="00833044"/>
    <w:rsid w:val="00833933"/>
    <w:rsid w:val="00834209"/>
    <w:rsid w:val="00835A2B"/>
    <w:rsid w:val="00836709"/>
    <w:rsid w:val="008368F9"/>
    <w:rsid w:val="0084035B"/>
    <w:rsid w:val="00840E76"/>
    <w:rsid w:val="008415AE"/>
    <w:rsid w:val="00841B36"/>
    <w:rsid w:val="00842871"/>
    <w:rsid w:val="008452F9"/>
    <w:rsid w:val="00846BBC"/>
    <w:rsid w:val="00851121"/>
    <w:rsid w:val="0085136A"/>
    <w:rsid w:val="00853A69"/>
    <w:rsid w:val="00855316"/>
    <w:rsid w:val="008554B3"/>
    <w:rsid w:val="008570BE"/>
    <w:rsid w:val="008603A6"/>
    <w:rsid w:val="00860692"/>
    <w:rsid w:val="0086194F"/>
    <w:rsid w:val="008655BF"/>
    <w:rsid w:val="00865A48"/>
    <w:rsid w:val="0086619D"/>
    <w:rsid w:val="0086717F"/>
    <w:rsid w:val="00867292"/>
    <w:rsid w:val="00867995"/>
    <w:rsid w:val="0087041D"/>
    <w:rsid w:val="00871C8E"/>
    <w:rsid w:val="00872E14"/>
    <w:rsid w:val="008745FF"/>
    <w:rsid w:val="008754BA"/>
    <w:rsid w:val="00876B5A"/>
    <w:rsid w:val="00880060"/>
    <w:rsid w:val="00880E00"/>
    <w:rsid w:val="00881197"/>
    <w:rsid w:val="00881205"/>
    <w:rsid w:val="0088143D"/>
    <w:rsid w:val="00881F33"/>
    <w:rsid w:val="00881FD6"/>
    <w:rsid w:val="008825C3"/>
    <w:rsid w:val="008830C7"/>
    <w:rsid w:val="00883609"/>
    <w:rsid w:val="00883B8B"/>
    <w:rsid w:val="008850CC"/>
    <w:rsid w:val="00885209"/>
    <w:rsid w:val="008861BF"/>
    <w:rsid w:val="0088646A"/>
    <w:rsid w:val="00887CFD"/>
    <w:rsid w:val="00887EF8"/>
    <w:rsid w:val="00891A05"/>
    <w:rsid w:val="00891EE6"/>
    <w:rsid w:val="008938D3"/>
    <w:rsid w:val="00894095"/>
    <w:rsid w:val="00895793"/>
    <w:rsid w:val="0089596B"/>
    <w:rsid w:val="0089648E"/>
    <w:rsid w:val="008A17E1"/>
    <w:rsid w:val="008A18B0"/>
    <w:rsid w:val="008A24A1"/>
    <w:rsid w:val="008A35DD"/>
    <w:rsid w:val="008A3D0A"/>
    <w:rsid w:val="008A50CA"/>
    <w:rsid w:val="008A51E7"/>
    <w:rsid w:val="008A54E9"/>
    <w:rsid w:val="008A6658"/>
    <w:rsid w:val="008A6F13"/>
    <w:rsid w:val="008B00FB"/>
    <w:rsid w:val="008B04D5"/>
    <w:rsid w:val="008B09C8"/>
    <w:rsid w:val="008B118D"/>
    <w:rsid w:val="008B2D4A"/>
    <w:rsid w:val="008B39BF"/>
    <w:rsid w:val="008B424F"/>
    <w:rsid w:val="008B5697"/>
    <w:rsid w:val="008B5C4E"/>
    <w:rsid w:val="008B5DBB"/>
    <w:rsid w:val="008B5DCA"/>
    <w:rsid w:val="008B78CE"/>
    <w:rsid w:val="008C021B"/>
    <w:rsid w:val="008C0E3A"/>
    <w:rsid w:val="008C44EF"/>
    <w:rsid w:val="008C46EA"/>
    <w:rsid w:val="008C48BA"/>
    <w:rsid w:val="008C531D"/>
    <w:rsid w:val="008C5A24"/>
    <w:rsid w:val="008C5C8D"/>
    <w:rsid w:val="008C62AD"/>
    <w:rsid w:val="008C6B8C"/>
    <w:rsid w:val="008C7FB4"/>
    <w:rsid w:val="008D0A0F"/>
    <w:rsid w:val="008D0A7B"/>
    <w:rsid w:val="008D0F9A"/>
    <w:rsid w:val="008D11C6"/>
    <w:rsid w:val="008D19AA"/>
    <w:rsid w:val="008D1E3E"/>
    <w:rsid w:val="008D2312"/>
    <w:rsid w:val="008D2DCF"/>
    <w:rsid w:val="008D3D46"/>
    <w:rsid w:val="008D4C1F"/>
    <w:rsid w:val="008D4C2A"/>
    <w:rsid w:val="008D4E8C"/>
    <w:rsid w:val="008D5FB2"/>
    <w:rsid w:val="008D6560"/>
    <w:rsid w:val="008D66D6"/>
    <w:rsid w:val="008D6962"/>
    <w:rsid w:val="008E2060"/>
    <w:rsid w:val="008E2333"/>
    <w:rsid w:val="008E266C"/>
    <w:rsid w:val="008E26DE"/>
    <w:rsid w:val="008E463E"/>
    <w:rsid w:val="008E4C40"/>
    <w:rsid w:val="008E7368"/>
    <w:rsid w:val="008E7C80"/>
    <w:rsid w:val="008E7E21"/>
    <w:rsid w:val="008F1B3D"/>
    <w:rsid w:val="008F222A"/>
    <w:rsid w:val="008F2912"/>
    <w:rsid w:val="008F31FB"/>
    <w:rsid w:val="008F4A89"/>
    <w:rsid w:val="008F57A7"/>
    <w:rsid w:val="008F75B7"/>
    <w:rsid w:val="00903651"/>
    <w:rsid w:val="00903833"/>
    <w:rsid w:val="0090592E"/>
    <w:rsid w:val="00905BF1"/>
    <w:rsid w:val="009065B3"/>
    <w:rsid w:val="00906DE2"/>
    <w:rsid w:val="00907AC9"/>
    <w:rsid w:val="00907B9E"/>
    <w:rsid w:val="00910365"/>
    <w:rsid w:val="00910D84"/>
    <w:rsid w:val="00911931"/>
    <w:rsid w:val="00912788"/>
    <w:rsid w:val="0091298D"/>
    <w:rsid w:val="00913054"/>
    <w:rsid w:val="0091345E"/>
    <w:rsid w:val="009137FE"/>
    <w:rsid w:val="00913A44"/>
    <w:rsid w:val="00913A5F"/>
    <w:rsid w:val="009140EF"/>
    <w:rsid w:val="00914A01"/>
    <w:rsid w:val="00915C2F"/>
    <w:rsid w:val="00916F8B"/>
    <w:rsid w:val="00917EC5"/>
    <w:rsid w:val="009205A9"/>
    <w:rsid w:val="00920BF0"/>
    <w:rsid w:val="00920CA3"/>
    <w:rsid w:val="00920CFB"/>
    <w:rsid w:val="00921F7C"/>
    <w:rsid w:val="00923003"/>
    <w:rsid w:val="00924BD7"/>
    <w:rsid w:val="009262B2"/>
    <w:rsid w:val="00926723"/>
    <w:rsid w:val="00926BE1"/>
    <w:rsid w:val="00927AAB"/>
    <w:rsid w:val="00927D81"/>
    <w:rsid w:val="00930234"/>
    <w:rsid w:val="00930E14"/>
    <w:rsid w:val="00931643"/>
    <w:rsid w:val="00931D7A"/>
    <w:rsid w:val="00931F7B"/>
    <w:rsid w:val="00932AE2"/>
    <w:rsid w:val="00932DA2"/>
    <w:rsid w:val="00933A0D"/>
    <w:rsid w:val="00933B07"/>
    <w:rsid w:val="00934017"/>
    <w:rsid w:val="0093421F"/>
    <w:rsid w:val="00934607"/>
    <w:rsid w:val="00935CDF"/>
    <w:rsid w:val="00936152"/>
    <w:rsid w:val="00936B19"/>
    <w:rsid w:val="00936FDE"/>
    <w:rsid w:val="00940116"/>
    <w:rsid w:val="00940B89"/>
    <w:rsid w:val="00942315"/>
    <w:rsid w:val="009444E6"/>
    <w:rsid w:val="009460DA"/>
    <w:rsid w:val="009468FD"/>
    <w:rsid w:val="00947113"/>
    <w:rsid w:val="00947982"/>
    <w:rsid w:val="009502E2"/>
    <w:rsid w:val="00950FB3"/>
    <w:rsid w:val="00951B64"/>
    <w:rsid w:val="0095202F"/>
    <w:rsid w:val="00952F77"/>
    <w:rsid w:val="009530E7"/>
    <w:rsid w:val="00953F4C"/>
    <w:rsid w:val="0095692A"/>
    <w:rsid w:val="00956DC6"/>
    <w:rsid w:val="0095701C"/>
    <w:rsid w:val="00957A21"/>
    <w:rsid w:val="00960028"/>
    <w:rsid w:val="009603F5"/>
    <w:rsid w:val="00960FFD"/>
    <w:rsid w:val="009623CE"/>
    <w:rsid w:val="00962432"/>
    <w:rsid w:val="00962918"/>
    <w:rsid w:val="009638AE"/>
    <w:rsid w:val="0096428F"/>
    <w:rsid w:val="009663A8"/>
    <w:rsid w:val="00970DDD"/>
    <w:rsid w:val="009713EB"/>
    <w:rsid w:val="00972E40"/>
    <w:rsid w:val="00973704"/>
    <w:rsid w:val="0097373D"/>
    <w:rsid w:val="00974658"/>
    <w:rsid w:val="009746AB"/>
    <w:rsid w:val="00975C07"/>
    <w:rsid w:val="00975E38"/>
    <w:rsid w:val="0097684A"/>
    <w:rsid w:val="009806B6"/>
    <w:rsid w:val="00980788"/>
    <w:rsid w:val="0098092F"/>
    <w:rsid w:val="00980C72"/>
    <w:rsid w:val="009833E0"/>
    <w:rsid w:val="00983F24"/>
    <w:rsid w:val="009854EB"/>
    <w:rsid w:val="00985F12"/>
    <w:rsid w:val="009868F1"/>
    <w:rsid w:val="00987D5C"/>
    <w:rsid w:val="00990238"/>
    <w:rsid w:val="009922A0"/>
    <w:rsid w:val="0099332C"/>
    <w:rsid w:val="00993635"/>
    <w:rsid w:val="009937A0"/>
    <w:rsid w:val="009939D9"/>
    <w:rsid w:val="0099413F"/>
    <w:rsid w:val="009943F0"/>
    <w:rsid w:val="00995B7F"/>
    <w:rsid w:val="0099626E"/>
    <w:rsid w:val="00996FC1"/>
    <w:rsid w:val="009970C8"/>
    <w:rsid w:val="00997EF5"/>
    <w:rsid w:val="009A0B18"/>
    <w:rsid w:val="009A16E0"/>
    <w:rsid w:val="009A1768"/>
    <w:rsid w:val="009A1A07"/>
    <w:rsid w:val="009A509E"/>
    <w:rsid w:val="009A5676"/>
    <w:rsid w:val="009A5850"/>
    <w:rsid w:val="009A5916"/>
    <w:rsid w:val="009A5C7E"/>
    <w:rsid w:val="009A615F"/>
    <w:rsid w:val="009A6C5E"/>
    <w:rsid w:val="009A7056"/>
    <w:rsid w:val="009A799D"/>
    <w:rsid w:val="009B1303"/>
    <w:rsid w:val="009B1AA7"/>
    <w:rsid w:val="009B1CF1"/>
    <w:rsid w:val="009B2322"/>
    <w:rsid w:val="009B5162"/>
    <w:rsid w:val="009B60C0"/>
    <w:rsid w:val="009C0321"/>
    <w:rsid w:val="009C05D6"/>
    <w:rsid w:val="009C2ADA"/>
    <w:rsid w:val="009C33A3"/>
    <w:rsid w:val="009C3951"/>
    <w:rsid w:val="009C3EAE"/>
    <w:rsid w:val="009C4AC4"/>
    <w:rsid w:val="009C5345"/>
    <w:rsid w:val="009C5EFA"/>
    <w:rsid w:val="009C60C1"/>
    <w:rsid w:val="009C72A8"/>
    <w:rsid w:val="009C73FA"/>
    <w:rsid w:val="009C7BFD"/>
    <w:rsid w:val="009D0C10"/>
    <w:rsid w:val="009D140E"/>
    <w:rsid w:val="009D27FB"/>
    <w:rsid w:val="009D41D2"/>
    <w:rsid w:val="009D56CA"/>
    <w:rsid w:val="009D58A4"/>
    <w:rsid w:val="009D6DC7"/>
    <w:rsid w:val="009D726D"/>
    <w:rsid w:val="009E0E09"/>
    <w:rsid w:val="009E1114"/>
    <w:rsid w:val="009E13C2"/>
    <w:rsid w:val="009E2BC4"/>
    <w:rsid w:val="009E30E5"/>
    <w:rsid w:val="009E3AA9"/>
    <w:rsid w:val="009E3E71"/>
    <w:rsid w:val="009E41DF"/>
    <w:rsid w:val="009E4BD1"/>
    <w:rsid w:val="009E5850"/>
    <w:rsid w:val="009E59CA"/>
    <w:rsid w:val="009E7A91"/>
    <w:rsid w:val="009F08D5"/>
    <w:rsid w:val="009F10A8"/>
    <w:rsid w:val="009F19A8"/>
    <w:rsid w:val="009F1A26"/>
    <w:rsid w:val="009F1B82"/>
    <w:rsid w:val="009F2604"/>
    <w:rsid w:val="009F2774"/>
    <w:rsid w:val="009F2B1B"/>
    <w:rsid w:val="009F3916"/>
    <w:rsid w:val="009F4586"/>
    <w:rsid w:val="009F5905"/>
    <w:rsid w:val="009F7601"/>
    <w:rsid w:val="00A0179C"/>
    <w:rsid w:val="00A03015"/>
    <w:rsid w:val="00A034C7"/>
    <w:rsid w:val="00A036F8"/>
    <w:rsid w:val="00A03B2E"/>
    <w:rsid w:val="00A0427D"/>
    <w:rsid w:val="00A04612"/>
    <w:rsid w:val="00A06FC3"/>
    <w:rsid w:val="00A07DF2"/>
    <w:rsid w:val="00A117BD"/>
    <w:rsid w:val="00A11FC7"/>
    <w:rsid w:val="00A12094"/>
    <w:rsid w:val="00A12616"/>
    <w:rsid w:val="00A128C3"/>
    <w:rsid w:val="00A12D87"/>
    <w:rsid w:val="00A12DC1"/>
    <w:rsid w:val="00A13589"/>
    <w:rsid w:val="00A14299"/>
    <w:rsid w:val="00A1479C"/>
    <w:rsid w:val="00A14BC6"/>
    <w:rsid w:val="00A15314"/>
    <w:rsid w:val="00A16B25"/>
    <w:rsid w:val="00A17475"/>
    <w:rsid w:val="00A17BFC"/>
    <w:rsid w:val="00A201F6"/>
    <w:rsid w:val="00A20FCA"/>
    <w:rsid w:val="00A21068"/>
    <w:rsid w:val="00A21101"/>
    <w:rsid w:val="00A21391"/>
    <w:rsid w:val="00A214C9"/>
    <w:rsid w:val="00A2205C"/>
    <w:rsid w:val="00A2217C"/>
    <w:rsid w:val="00A22BF6"/>
    <w:rsid w:val="00A22F6D"/>
    <w:rsid w:val="00A23AF2"/>
    <w:rsid w:val="00A23E3A"/>
    <w:rsid w:val="00A24136"/>
    <w:rsid w:val="00A243A1"/>
    <w:rsid w:val="00A2706C"/>
    <w:rsid w:val="00A30359"/>
    <w:rsid w:val="00A303BE"/>
    <w:rsid w:val="00A30646"/>
    <w:rsid w:val="00A32FFB"/>
    <w:rsid w:val="00A33257"/>
    <w:rsid w:val="00A33501"/>
    <w:rsid w:val="00A33A53"/>
    <w:rsid w:val="00A33B04"/>
    <w:rsid w:val="00A34BB8"/>
    <w:rsid w:val="00A37B41"/>
    <w:rsid w:val="00A41058"/>
    <w:rsid w:val="00A41612"/>
    <w:rsid w:val="00A43965"/>
    <w:rsid w:val="00A44871"/>
    <w:rsid w:val="00A44A50"/>
    <w:rsid w:val="00A45C2B"/>
    <w:rsid w:val="00A46E1E"/>
    <w:rsid w:val="00A47A66"/>
    <w:rsid w:val="00A50663"/>
    <w:rsid w:val="00A5119E"/>
    <w:rsid w:val="00A51891"/>
    <w:rsid w:val="00A52A33"/>
    <w:rsid w:val="00A52EB8"/>
    <w:rsid w:val="00A5399A"/>
    <w:rsid w:val="00A54B60"/>
    <w:rsid w:val="00A54F55"/>
    <w:rsid w:val="00A56411"/>
    <w:rsid w:val="00A56664"/>
    <w:rsid w:val="00A56EAB"/>
    <w:rsid w:val="00A571BC"/>
    <w:rsid w:val="00A609F3"/>
    <w:rsid w:val="00A60CB6"/>
    <w:rsid w:val="00A625CA"/>
    <w:rsid w:val="00A62941"/>
    <w:rsid w:val="00A62F8B"/>
    <w:rsid w:val="00A6324D"/>
    <w:rsid w:val="00A63411"/>
    <w:rsid w:val="00A6427F"/>
    <w:rsid w:val="00A64604"/>
    <w:rsid w:val="00A64A4C"/>
    <w:rsid w:val="00A64A84"/>
    <w:rsid w:val="00A65198"/>
    <w:rsid w:val="00A6525C"/>
    <w:rsid w:val="00A652B5"/>
    <w:rsid w:val="00A65D7F"/>
    <w:rsid w:val="00A7089F"/>
    <w:rsid w:val="00A72E1A"/>
    <w:rsid w:val="00A73787"/>
    <w:rsid w:val="00A73DD2"/>
    <w:rsid w:val="00A749A0"/>
    <w:rsid w:val="00A74AC5"/>
    <w:rsid w:val="00A74D51"/>
    <w:rsid w:val="00A76F32"/>
    <w:rsid w:val="00A770C1"/>
    <w:rsid w:val="00A7740E"/>
    <w:rsid w:val="00A7798C"/>
    <w:rsid w:val="00A77F8D"/>
    <w:rsid w:val="00A81027"/>
    <w:rsid w:val="00A84071"/>
    <w:rsid w:val="00A846BB"/>
    <w:rsid w:val="00A8520E"/>
    <w:rsid w:val="00A85421"/>
    <w:rsid w:val="00A85AD2"/>
    <w:rsid w:val="00A85E32"/>
    <w:rsid w:val="00A86AB2"/>
    <w:rsid w:val="00A876F6"/>
    <w:rsid w:val="00A87EFD"/>
    <w:rsid w:val="00A91DBE"/>
    <w:rsid w:val="00A93565"/>
    <w:rsid w:val="00A93805"/>
    <w:rsid w:val="00A93E26"/>
    <w:rsid w:val="00A940D7"/>
    <w:rsid w:val="00A941C6"/>
    <w:rsid w:val="00A956D8"/>
    <w:rsid w:val="00A95919"/>
    <w:rsid w:val="00A95C44"/>
    <w:rsid w:val="00A95E4E"/>
    <w:rsid w:val="00A96BBC"/>
    <w:rsid w:val="00A9722B"/>
    <w:rsid w:val="00AA0A06"/>
    <w:rsid w:val="00AA2530"/>
    <w:rsid w:val="00AA2903"/>
    <w:rsid w:val="00AA2925"/>
    <w:rsid w:val="00AA3575"/>
    <w:rsid w:val="00AA38C7"/>
    <w:rsid w:val="00AA5972"/>
    <w:rsid w:val="00AA5B46"/>
    <w:rsid w:val="00AA5BD8"/>
    <w:rsid w:val="00AA6060"/>
    <w:rsid w:val="00AA64C9"/>
    <w:rsid w:val="00AA6D03"/>
    <w:rsid w:val="00AA70E3"/>
    <w:rsid w:val="00AA7388"/>
    <w:rsid w:val="00AA74F0"/>
    <w:rsid w:val="00AB0006"/>
    <w:rsid w:val="00AB0206"/>
    <w:rsid w:val="00AB0349"/>
    <w:rsid w:val="00AB057A"/>
    <w:rsid w:val="00AB0A34"/>
    <w:rsid w:val="00AB0B52"/>
    <w:rsid w:val="00AB0FBE"/>
    <w:rsid w:val="00AB1E34"/>
    <w:rsid w:val="00AB3764"/>
    <w:rsid w:val="00AB4774"/>
    <w:rsid w:val="00AB6D45"/>
    <w:rsid w:val="00AC049E"/>
    <w:rsid w:val="00AC0B15"/>
    <w:rsid w:val="00AC1F52"/>
    <w:rsid w:val="00AC2501"/>
    <w:rsid w:val="00AC2A37"/>
    <w:rsid w:val="00AC2AF9"/>
    <w:rsid w:val="00AC386B"/>
    <w:rsid w:val="00AC38A1"/>
    <w:rsid w:val="00AC3A2A"/>
    <w:rsid w:val="00AC3DE7"/>
    <w:rsid w:val="00AC4456"/>
    <w:rsid w:val="00AC5CEF"/>
    <w:rsid w:val="00AC5EFC"/>
    <w:rsid w:val="00AC5F6E"/>
    <w:rsid w:val="00AC6303"/>
    <w:rsid w:val="00AC722A"/>
    <w:rsid w:val="00AD2182"/>
    <w:rsid w:val="00AD2530"/>
    <w:rsid w:val="00AD2722"/>
    <w:rsid w:val="00AD299A"/>
    <w:rsid w:val="00AD2D38"/>
    <w:rsid w:val="00AD315D"/>
    <w:rsid w:val="00AD44EA"/>
    <w:rsid w:val="00AD60E4"/>
    <w:rsid w:val="00AD7B9D"/>
    <w:rsid w:val="00AE1129"/>
    <w:rsid w:val="00AE31DA"/>
    <w:rsid w:val="00AE39F2"/>
    <w:rsid w:val="00AE42F4"/>
    <w:rsid w:val="00AE4696"/>
    <w:rsid w:val="00AE4893"/>
    <w:rsid w:val="00AE4D3F"/>
    <w:rsid w:val="00AE749B"/>
    <w:rsid w:val="00AE7608"/>
    <w:rsid w:val="00AF036E"/>
    <w:rsid w:val="00AF091F"/>
    <w:rsid w:val="00AF0C5D"/>
    <w:rsid w:val="00AF0EC2"/>
    <w:rsid w:val="00AF2143"/>
    <w:rsid w:val="00AF4755"/>
    <w:rsid w:val="00AF5211"/>
    <w:rsid w:val="00AF527D"/>
    <w:rsid w:val="00AF5C1E"/>
    <w:rsid w:val="00AF6941"/>
    <w:rsid w:val="00AF6CF8"/>
    <w:rsid w:val="00AF7A2F"/>
    <w:rsid w:val="00B00236"/>
    <w:rsid w:val="00B005C0"/>
    <w:rsid w:val="00B012AB"/>
    <w:rsid w:val="00B01AD0"/>
    <w:rsid w:val="00B01FB8"/>
    <w:rsid w:val="00B0203B"/>
    <w:rsid w:val="00B038DF"/>
    <w:rsid w:val="00B043A7"/>
    <w:rsid w:val="00B044A1"/>
    <w:rsid w:val="00B04579"/>
    <w:rsid w:val="00B04975"/>
    <w:rsid w:val="00B07566"/>
    <w:rsid w:val="00B13658"/>
    <w:rsid w:val="00B150DF"/>
    <w:rsid w:val="00B15A89"/>
    <w:rsid w:val="00B16806"/>
    <w:rsid w:val="00B170BA"/>
    <w:rsid w:val="00B17197"/>
    <w:rsid w:val="00B17200"/>
    <w:rsid w:val="00B17601"/>
    <w:rsid w:val="00B20CED"/>
    <w:rsid w:val="00B21337"/>
    <w:rsid w:val="00B21C20"/>
    <w:rsid w:val="00B22300"/>
    <w:rsid w:val="00B23137"/>
    <w:rsid w:val="00B24814"/>
    <w:rsid w:val="00B25360"/>
    <w:rsid w:val="00B2645F"/>
    <w:rsid w:val="00B27E5A"/>
    <w:rsid w:val="00B3144E"/>
    <w:rsid w:val="00B32925"/>
    <w:rsid w:val="00B3335F"/>
    <w:rsid w:val="00B33C35"/>
    <w:rsid w:val="00B35393"/>
    <w:rsid w:val="00B3750C"/>
    <w:rsid w:val="00B37AB7"/>
    <w:rsid w:val="00B40556"/>
    <w:rsid w:val="00B411FF"/>
    <w:rsid w:val="00B4128D"/>
    <w:rsid w:val="00B42635"/>
    <w:rsid w:val="00B42A86"/>
    <w:rsid w:val="00B45760"/>
    <w:rsid w:val="00B461EA"/>
    <w:rsid w:val="00B4649B"/>
    <w:rsid w:val="00B47611"/>
    <w:rsid w:val="00B47DD3"/>
    <w:rsid w:val="00B529EB"/>
    <w:rsid w:val="00B52E90"/>
    <w:rsid w:val="00B53003"/>
    <w:rsid w:val="00B53D80"/>
    <w:rsid w:val="00B544F0"/>
    <w:rsid w:val="00B54C08"/>
    <w:rsid w:val="00B55CA6"/>
    <w:rsid w:val="00B568E7"/>
    <w:rsid w:val="00B57722"/>
    <w:rsid w:val="00B6083A"/>
    <w:rsid w:val="00B60BF3"/>
    <w:rsid w:val="00B60E88"/>
    <w:rsid w:val="00B61C4E"/>
    <w:rsid w:val="00B6264B"/>
    <w:rsid w:val="00B63452"/>
    <w:rsid w:val="00B637F6"/>
    <w:rsid w:val="00B648FE"/>
    <w:rsid w:val="00B64C33"/>
    <w:rsid w:val="00B64FEB"/>
    <w:rsid w:val="00B6566D"/>
    <w:rsid w:val="00B65AF2"/>
    <w:rsid w:val="00B65B2A"/>
    <w:rsid w:val="00B66290"/>
    <w:rsid w:val="00B66CC6"/>
    <w:rsid w:val="00B6782E"/>
    <w:rsid w:val="00B706ED"/>
    <w:rsid w:val="00B70826"/>
    <w:rsid w:val="00B71783"/>
    <w:rsid w:val="00B72218"/>
    <w:rsid w:val="00B738ED"/>
    <w:rsid w:val="00B74698"/>
    <w:rsid w:val="00B749B7"/>
    <w:rsid w:val="00B75142"/>
    <w:rsid w:val="00B76A62"/>
    <w:rsid w:val="00B773C7"/>
    <w:rsid w:val="00B7745D"/>
    <w:rsid w:val="00B8047F"/>
    <w:rsid w:val="00B805F7"/>
    <w:rsid w:val="00B808E6"/>
    <w:rsid w:val="00B80E9F"/>
    <w:rsid w:val="00B810EC"/>
    <w:rsid w:val="00B81B74"/>
    <w:rsid w:val="00B82E54"/>
    <w:rsid w:val="00B8300B"/>
    <w:rsid w:val="00B84563"/>
    <w:rsid w:val="00B84FCB"/>
    <w:rsid w:val="00B85665"/>
    <w:rsid w:val="00B857E0"/>
    <w:rsid w:val="00B85BAA"/>
    <w:rsid w:val="00B860B4"/>
    <w:rsid w:val="00B86BDB"/>
    <w:rsid w:val="00B87DF9"/>
    <w:rsid w:val="00B900F0"/>
    <w:rsid w:val="00B91381"/>
    <w:rsid w:val="00B91F80"/>
    <w:rsid w:val="00B92695"/>
    <w:rsid w:val="00B94D4A"/>
    <w:rsid w:val="00B94D9C"/>
    <w:rsid w:val="00B9504C"/>
    <w:rsid w:val="00B967B9"/>
    <w:rsid w:val="00B96BDB"/>
    <w:rsid w:val="00BA0064"/>
    <w:rsid w:val="00BA19F7"/>
    <w:rsid w:val="00BA1D73"/>
    <w:rsid w:val="00BA244B"/>
    <w:rsid w:val="00BA28D1"/>
    <w:rsid w:val="00BA3715"/>
    <w:rsid w:val="00BA4656"/>
    <w:rsid w:val="00BA5042"/>
    <w:rsid w:val="00BA5DC7"/>
    <w:rsid w:val="00BA5E0A"/>
    <w:rsid w:val="00BB23AB"/>
    <w:rsid w:val="00BB2E0D"/>
    <w:rsid w:val="00BB33E1"/>
    <w:rsid w:val="00BB365A"/>
    <w:rsid w:val="00BB3E03"/>
    <w:rsid w:val="00BB579B"/>
    <w:rsid w:val="00BB5812"/>
    <w:rsid w:val="00BC1D62"/>
    <w:rsid w:val="00BC43F9"/>
    <w:rsid w:val="00BC4859"/>
    <w:rsid w:val="00BC5530"/>
    <w:rsid w:val="00BC5A7B"/>
    <w:rsid w:val="00BC6061"/>
    <w:rsid w:val="00BC6805"/>
    <w:rsid w:val="00BC6C52"/>
    <w:rsid w:val="00BC749F"/>
    <w:rsid w:val="00BC7613"/>
    <w:rsid w:val="00BD0179"/>
    <w:rsid w:val="00BD04E1"/>
    <w:rsid w:val="00BD073A"/>
    <w:rsid w:val="00BD2367"/>
    <w:rsid w:val="00BD3E44"/>
    <w:rsid w:val="00BD43F8"/>
    <w:rsid w:val="00BD455F"/>
    <w:rsid w:val="00BD4B68"/>
    <w:rsid w:val="00BD5ADE"/>
    <w:rsid w:val="00BD67DE"/>
    <w:rsid w:val="00BD7983"/>
    <w:rsid w:val="00BD7AF6"/>
    <w:rsid w:val="00BE0B8D"/>
    <w:rsid w:val="00BE15B5"/>
    <w:rsid w:val="00BE1AEB"/>
    <w:rsid w:val="00BE1CF2"/>
    <w:rsid w:val="00BE2DD9"/>
    <w:rsid w:val="00BE3034"/>
    <w:rsid w:val="00BE34F1"/>
    <w:rsid w:val="00BE362B"/>
    <w:rsid w:val="00BE4FE4"/>
    <w:rsid w:val="00BE530B"/>
    <w:rsid w:val="00BE5960"/>
    <w:rsid w:val="00BE65E8"/>
    <w:rsid w:val="00BE6617"/>
    <w:rsid w:val="00BE6EE9"/>
    <w:rsid w:val="00BE707D"/>
    <w:rsid w:val="00BE7BD8"/>
    <w:rsid w:val="00BF02FA"/>
    <w:rsid w:val="00BF1003"/>
    <w:rsid w:val="00BF2381"/>
    <w:rsid w:val="00BF26AD"/>
    <w:rsid w:val="00BF26E2"/>
    <w:rsid w:val="00BF2F61"/>
    <w:rsid w:val="00BF3701"/>
    <w:rsid w:val="00BF5222"/>
    <w:rsid w:val="00BF6502"/>
    <w:rsid w:val="00BF6AC7"/>
    <w:rsid w:val="00BF752E"/>
    <w:rsid w:val="00BF789C"/>
    <w:rsid w:val="00C004EF"/>
    <w:rsid w:val="00C01163"/>
    <w:rsid w:val="00C020C2"/>
    <w:rsid w:val="00C032B2"/>
    <w:rsid w:val="00C0457A"/>
    <w:rsid w:val="00C04E3B"/>
    <w:rsid w:val="00C0578E"/>
    <w:rsid w:val="00C116F9"/>
    <w:rsid w:val="00C12072"/>
    <w:rsid w:val="00C13361"/>
    <w:rsid w:val="00C1341A"/>
    <w:rsid w:val="00C145FB"/>
    <w:rsid w:val="00C14651"/>
    <w:rsid w:val="00C14D04"/>
    <w:rsid w:val="00C151D1"/>
    <w:rsid w:val="00C15579"/>
    <w:rsid w:val="00C15DA3"/>
    <w:rsid w:val="00C16A50"/>
    <w:rsid w:val="00C171E4"/>
    <w:rsid w:val="00C17381"/>
    <w:rsid w:val="00C20591"/>
    <w:rsid w:val="00C20A78"/>
    <w:rsid w:val="00C2128B"/>
    <w:rsid w:val="00C21813"/>
    <w:rsid w:val="00C22752"/>
    <w:rsid w:val="00C22A22"/>
    <w:rsid w:val="00C22A6F"/>
    <w:rsid w:val="00C23646"/>
    <w:rsid w:val="00C23BD8"/>
    <w:rsid w:val="00C24F49"/>
    <w:rsid w:val="00C2690C"/>
    <w:rsid w:val="00C2703E"/>
    <w:rsid w:val="00C2736A"/>
    <w:rsid w:val="00C304AA"/>
    <w:rsid w:val="00C30C8B"/>
    <w:rsid w:val="00C31D9B"/>
    <w:rsid w:val="00C3286F"/>
    <w:rsid w:val="00C3308E"/>
    <w:rsid w:val="00C331F8"/>
    <w:rsid w:val="00C3331E"/>
    <w:rsid w:val="00C34826"/>
    <w:rsid w:val="00C358D7"/>
    <w:rsid w:val="00C35E9E"/>
    <w:rsid w:val="00C362F4"/>
    <w:rsid w:val="00C371D5"/>
    <w:rsid w:val="00C37215"/>
    <w:rsid w:val="00C4081C"/>
    <w:rsid w:val="00C40CE8"/>
    <w:rsid w:val="00C41AA9"/>
    <w:rsid w:val="00C42056"/>
    <w:rsid w:val="00C4221F"/>
    <w:rsid w:val="00C42E53"/>
    <w:rsid w:val="00C45E2F"/>
    <w:rsid w:val="00C46F02"/>
    <w:rsid w:val="00C47E37"/>
    <w:rsid w:val="00C5004F"/>
    <w:rsid w:val="00C502B0"/>
    <w:rsid w:val="00C50743"/>
    <w:rsid w:val="00C509A3"/>
    <w:rsid w:val="00C51603"/>
    <w:rsid w:val="00C52C46"/>
    <w:rsid w:val="00C54803"/>
    <w:rsid w:val="00C54856"/>
    <w:rsid w:val="00C5493E"/>
    <w:rsid w:val="00C55AED"/>
    <w:rsid w:val="00C5780F"/>
    <w:rsid w:val="00C578CF"/>
    <w:rsid w:val="00C61BE0"/>
    <w:rsid w:val="00C64607"/>
    <w:rsid w:val="00C64C7F"/>
    <w:rsid w:val="00C658DA"/>
    <w:rsid w:val="00C70048"/>
    <w:rsid w:val="00C705C6"/>
    <w:rsid w:val="00C70DD4"/>
    <w:rsid w:val="00C71B41"/>
    <w:rsid w:val="00C71FD6"/>
    <w:rsid w:val="00C72F10"/>
    <w:rsid w:val="00C732EB"/>
    <w:rsid w:val="00C73C49"/>
    <w:rsid w:val="00C74D06"/>
    <w:rsid w:val="00C75B8D"/>
    <w:rsid w:val="00C75BAC"/>
    <w:rsid w:val="00C75F7B"/>
    <w:rsid w:val="00C7602F"/>
    <w:rsid w:val="00C76B1A"/>
    <w:rsid w:val="00C77652"/>
    <w:rsid w:val="00C77CE3"/>
    <w:rsid w:val="00C803C1"/>
    <w:rsid w:val="00C815C0"/>
    <w:rsid w:val="00C81A1C"/>
    <w:rsid w:val="00C8322D"/>
    <w:rsid w:val="00C843FC"/>
    <w:rsid w:val="00C8541A"/>
    <w:rsid w:val="00C85C97"/>
    <w:rsid w:val="00C86333"/>
    <w:rsid w:val="00C871F9"/>
    <w:rsid w:val="00C877B7"/>
    <w:rsid w:val="00C90516"/>
    <w:rsid w:val="00C93BA3"/>
    <w:rsid w:val="00C93E62"/>
    <w:rsid w:val="00C9428B"/>
    <w:rsid w:val="00C94FC0"/>
    <w:rsid w:val="00C95107"/>
    <w:rsid w:val="00C95C57"/>
    <w:rsid w:val="00C9783B"/>
    <w:rsid w:val="00C97BC8"/>
    <w:rsid w:val="00CA0917"/>
    <w:rsid w:val="00CA32C5"/>
    <w:rsid w:val="00CA3BFF"/>
    <w:rsid w:val="00CA3D5E"/>
    <w:rsid w:val="00CA4755"/>
    <w:rsid w:val="00CA4A24"/>
    <w:rsid w:val="00CA4B6B"/>
    <w:rsid w:val="00CA5301"/>
    <w:rsid w:val="00CA6B9B"/>
    <w:rsid w:val="00CA6D34"/>
    <w:rsid w:val="00CA7C3F"/>
    <w:rsid w:val="00CB0B4A"/>
    <w:rsid w:val="00CB1245"/>
    <w:rsid w:val="00CB1DED"/>
    <w:rsid w:val="00CB50CB"/>
    <w:rsid w:val="00CB51E8"/>
    <w:rsid w:val="00CB7017"/>
    <w:rsid w:val="00CB74C7"/>
    <w:rsid w:val="00CB7690"/>
    <w:rsid w:val="00CB7F45"/>
    <w:rsid w:val="00CC062B"/>
    <w:rsid w:val="00CC0CD9"/>
    <w:rsid w:val="00CC10B8"/>
    <w:rsid w:val="00CC1424"/>
    <w:rsid w:val="00CC2F15"/>
    <w:rsid w:val="00CC5663"/>
    <w:rsid w:val="00CC5F85"/>
    <w:rsid w:val="00CC7E29"/>
    <w:rsid w:val="00CD1A9F"/>
    <w:rsid w:val="00CD2005"/>
    <w:rsid w:val="00CD2211"/>
    <w:rsid w:val="00CD221B"/>
    <w:rsid w:val="00CD25D3"/>
    <w:rsid w:val="00CD291E"/>
    <w:rsid w:val="00CD30FC"/>
    <w:rsid w:val="00CD40A1"/>
    <w:rsid w:val="00CD441B"/>
    <w:rsid w:val="00CE18A3"/>
    <w:rsid w:val="00CE2EE7"/>
    <w:rsid w:val="00CE57A0"/>
    <w:rsid w:val="00CE5B1F"/>
    <w:rsid w:val="00CE6343"/>
    <w:rsid w:val="00CE6F2A"/>
    <w:rsid w:val="00CE78B6"/>
    <w:rsid w:val="00CF0A90"/>
    <w:rsid w:val="00CF1CD2"/>
    <w:rsid w:val="00CF270B"/>
    <w:rsid w:val="00CF27A3"/>
    <w:rsid w:val="00CF2942"/>
    <w:rsid w:val="00CF2E3A"/>
    <w:rsid w:val="00CF3FD8"/>
    <w:rsid w:val="00CF473C"/>
    <w:rsid w:val="00CF4C86"/>
    <w:rsid w:val="00CF5313"/>
    <w:rsid w:val="00CF744F"/>
    <w:rsid w:val="00CF7479"/>
    <w:rsid w:val="00D00B8E"/>
    <w:rsid w:val="00D01E4C"/>
    <w:rsid w:val="00D0284E"/>
    <w:rsid w:val="00D030AD"/>
    <w:rsid w:val="00D03741"/>
    <w:rsid w:val="00D0428E"/>
    <w:rsid w:val="00D04ADA"/>
    <w:rsid w:val="00D06356"/>
    <w:rsid w:val="00D06867"/>
    <w:rsid w:val="00D1082E"/>
    <w:rsid w:val="00D10DCF"/>
    <w:rsid w:val="00D1181E"/>
    <w:rsid w:val="00D12300"/>
    <w:rsid w:val="00D1297B"/>
    <w:rsid w:val="00D12DEE"/>
    <w:rsid w:val="00D13762"/>
    <w:rsid w:val="00D1394B"/>
    <w:rsid w:val="00D1469B"/>
    <w:rsid w:val="00D15D2A"/>
    <w:rsid w:val="00D17068"/>
    <w:rsid w:val="00D179B0"/>
    <w:rsid w:val="00D17C18"/>
    <w:rsid w:val="00D20E31"/>
    <w:rsid w:val="00D21092"/>
    <w:rsid w:val="00D221B7"/>
    <w:rsid w:val="00D22B76"/>
    <w:rsid w:val="00D23169"/>
    <w:rsid w:val="00D233D4"/>
    <w:rsid w:val="00D24058"/>
    <w:rsid w:val="00D246E7"/>
    <w:rsid w:val="00D25067"/>
    <w:rsid w:val="00D2673A"/>
    <w:rsid w:val="00D27474"/>
    <w:rsid w:val="00D302F1"/>
    <w:rsid w:val="00D322B3"/>
    <w:rsid w:val="00D34ADB"/>
    <w:rsid w:val="00D35115"/>
    <w:rsid w:val="00D353B7"/>
    <w:rsid w:val="00D36F33"/>
    <w:rsid w:val="00D3702B"/>
    <w:rsid w:val="00D37773"/>
    <w:rsid w:val="00D409F0"/>
    <w:rsid w:val="00D42E63"/>
    <w:rsid w:val="00D431C8"/>
    <w:rsid w:val="00D43428"/>
    <w:rsid w:val="00D447A7"/>
    <w:rsid w:val="00D447F8"/>
    <w:rsid w:val="00D45274"/>
    <w:rsid w:val="00D453D5"/>
    <w:rsid w:val="00D45E0E"/>
    <w:rsid w:val="00D46ABC"/>
    <w:rsid w:val="00D46B09"/>
    <w:rsid w:val="00D47187"/>
    <w:rsid w:val="00D47438"/>
    <w:rsid w:val="00D47568"/>
    <w:rsid w:val="00D475B3"/>
    <w:rsid w:val="00D5032B"/>
    <w:rsid w:val="00D50481"/>
    <w:rsid w:val="00D516CF"/>
    <w:rsid w:val="00D54A17"/>
    <w:rsid w:val="00D551D7"/>
    <w:rsid w:val="00D55F80"/>
    <w:rsid w:val="00D56FE7"/>
    <w:rsid w:val="00D577A9"/>
    <w:rsid w:val="00D60C9A"/>
    <w:rsid w:val="00D60D9A"/>
    <w:rsid w:val="00D61067"/>
    <w:rsid w:val="00D613A4"/>
    <w:rsid w:val="00D626D6"/>
    <w:rsid w:val="00D6290A"/>
    <w:rsid w:val="00D63BF1"/>
    <w:rsid w:val="00D63DE4"/>
    <w:rsid w:val="00D65171"/>
    <w:rsid w:val="00D664B1"/>
    <w:rsid w:val="00D666DC"/>
    <w:rsid w:val="00D7056B"/>
    <w:rsid w:val="00D718B5"/>
    <w:rsid w:val="00D71A1C"/>
    <w:rsid w:val="00D728A1"/>
    <w:rsid w:val="00D759FF"/>
    <w:rsid w:val="00D76FD8"/>
    <w:rsid w:val="00D77F73"/>
    <w:rsid w:val="00D81936"/>
    <w:rsid w:val="00D82B35"/>
    <w:rsid w:val="00D830A9"/>
    <w:rsid w:val="00D83D2E"/>
    <w:rsid w:val="00D8419D"/>
    <w:rsid w:val="00D85657"/>
    <w:rsid w:val="00D85801"/>
    <w:rsid w:val="00D85D3F"/>
    <w:rsid w:val="00D86EDB"/>
    <w:rsid w:val="00D878C6"/>
    <w:rsid w:val="00D87E70"/>
    <w:rsid w:val="00D91156"/>
    <w:rsid w:val="00D93E30"/>
    <w:rsid w:val="00D945A0"/>
    <w:rsid w:val="00D958DC"/>
    <w:rsid w:val="00D95FE2"/>
    <w:rsid w:val="00D965AE"/>
    <w:rsid w:val="00D968D7"/>
    <w:rsid w:val="00D96AF1"/>
    <w:rsid w:val="00D96C40"/>
    <w:rsid w:val="00DA0032"/>
    <w:rsid w:val="00DA0FD8"/>
    <w:rsid w:val="00DA128A"/>
    <w:rsid w:val="00DA16D6"/>
    <w:rsid w:val="00DA2CBE"/>
    <w:rsid w:val="00DA36A8"/>
    <w:rsid w:val="00DA3C12"/>
    <w:rsid w:val="00DA4DE8"/>
    <w:rsid w:val="00DA5066"/>
    <w:rsid w:val="00DA5471"/>
    <w:rsid w:val="00DA65E7"/>
    <w:rsid w:val="00DA6B1B"/>
    <w:rsid w:val="00DA7871"/>
    <w:rsid w:val="00DB2C08"/>
    <w:rsid w:val="00DB41A9"/>
    <w:rsid w:val="00DB4543"/>
    <w:rsid w:val="00DB4AA3"/>
    <w:rsid w:val="00DB4CD9"/>
    <w:rsid w:val="00DB5C4C"/>
    <w:rsid w:val="00DB7505"/>
    <w:rsid w:val="00DC214C"/>
    <w:rsid w:val="00DC2435"/>
    <w:rsid w:val="00DC3C30"/>
    <w:rsid w:val="00DC3D9D"/>
    <w:rsid w:val="00DC4577"/>
    <w:rsid w:val="00DC5926"/>
    <w:rsid w:val="00DC7849"/>
    <w:rsid w:val="00DC7D98"/>
    <w:rsid w:val="00DD1553"/>
    <w:rsid w:val="00DD3067"/>
    <w:rsid w:val="00DD31F9"/>
    <w:rsid w:val="00DD3E48"/>
    <w:rsid w:val="00DD4163"/>
    <w:rsid w:val="00DD4A9A"/>
    <w:rsid w:val="00DD66FB"/>
    <w:rsid w:val="00DD6E1F"/>
    <w:rsid w:val="00DE00A7"/>
    <w:rsid w:val="00DE4599"/>
    <w:rsid w:val="00DE4612"/>
    <w:rsid w:val="00DE7365"/>
    <w:rsid w:val="00DF0F37"/>
    <w:rsid w:val="00DF0F6A"/>
    <w:rsid w:val="00DF19D7"/>
    <w:rsid w:val="00DF2483"/>
    <w:rsid w:val="00DF384E"/>
    <w:rsid w:val="00DF38A5"/>
    <w:rsid w:val="00DF4016"/>
    <w:rsid w:val="00DF436A"/>
    <w:rsid w:val="00DF490B"/>
    <w:rsid w:val="00DF4B35"/>
    <w:rsid w:val="00DF5095"/>
    <w:rsid w:val="00DF57BF"/>
    <w:rsid w:val="00DF7FB8"/>
    <w:rsid w:val="00E00199"/>
    <w:rsid w:val="00E00C1C"/>
    <w:rsid w:val="00E02906"/>
    <w:rsid w:val="00E02D9C"/>
    <w:rsid w:val="00E02EA5"/>
    <w:rsid w:val="00E0419B"/>
    <w:rsid w:val="00E05376"/>
    <w:rsid w:val="00E061EB"/>
    <w:rsid w:val="00E10BC6"/>
    <w:rsid w:val="00E1167E"/>
    <w:rsid w:val="00E1196D"/>
    <w:rsid w:val="00E12271"/>
    <w:rsid w:val="00E13397"/>
    <w:rsid w:val="00E16284"/>
    <w:rsid w:val="00E171C3"/>
    <w:rsid w:val="00E20469"/>
    <w:rsid w:val="00E21316"/>
    <w:rsid w:val="00E22344"/>
    <w:rsid w:val="00E223F1"/>
    <w:rsid w:val="00E24617"/>
    <w:rsid w:val="00E25445"/>
    <w:rsid w:val="00E25A4B"/>
    <w:rsid w:val="00E26D9F"/>
    <w:rsid w:val="00E3086F"/>
    <w:rsid w:val="00E30C49"/>
    <w:rsid w:val="00E30C87"/>
    <w:rsid w:val="00E31D16"/>
    <w:rsid w:val="00E31D1E"/>
    <w:rsid w:val="00E320E4"/>
    <w:rsid w:val="00E325CB"/>
    <w:rsid w:val="00E3282F"/>
    <w:rsid w:val="00E339EC"/>
    <w:rsid w:val="00E349E8"/>
    <w:rsid w:val="00E3560A"/>
    <w:rsid w:val="00E35989"/>
    <w:rsid w:val="00E362EF"/>
    <w:rsid w:val="00E36F63"/>
    <w:rsid w:val="00E36FAB"/>
    <w:rsid w:val="00E3770A"/>
    <w:rsid w:val="00E37DF3"/>
    <w:rsid w:val="00E418DC"/>
    <w:rsid w:val="00E41CC8"/>
    <w:rsid w:val="00E41D33"/>
    <w:rsid w:val="00E4374F"/>
    <w:rsid w:val="00E43FF4"/>
    <w:rsid w:val="00E4466C"/>
    <w:rsid w:val="00E44AA8"/>
    <w:rsid w:val="00E44F7C"/>
    <w:rsid w:val="00E4514F"/>
    <w:rsid w:val="00E47B4E"/>
    <w:rsid w:val="00E50CCA"/>
    <w:rsid w:val="00E52084"/>
    <w:rsid w:val="00E5498E"/>
    <w:rsid w:val="00E55C76"/>
    <w:rsid w:val="00E560BF"/>
    <w:rsid w:val="00E615F8"/>
    <w:rsid w:val="00E61E77"/>
    <w:rsid w:val="00E6238F"/>
    <w:rsid w:val="00E63622"/>
    <w:rsid w:val="00E6400F"/>
    <w:rsid w:val="00E64E8F"/>
    <w:rsid w:val="00E64ECF"/>
    <w:rsid w:val="00E65F26"/>
    <w:rsid w:val="00E66075"/>
    <w:rsid w:val="00E66543"/>
    <w:rsid w:val="00E665CA"/>
    <w:rsid w:val="00E6703C"/>
    <w:rsid w:val="00E705C2"/>
    <w:rsid w:val="00E7066B"/>
    <w:rsid w:val="00E70716"/>
    <w:rsid w:val="00E707AE"/>
    <w:rsid w:val="00E70B20"/>
    <w:rsid w:val="00E72434"/>
    <w:rsid w:val="00E72462"/>
    <w:rsid w:val="00E73F60"/>
    <w:rsid w:val="00E746DE"/>
    <w:rsid w:val="00E74B47"/>
    <w:rsid w:val="00E7554F"/>
    <w:rsid w:val="00E77779"/>
    <w:rsid w:val="00E802DE"/>
    <w:rsid w:val="00E809EF"/>
    <w:rsid w:val="00E81218"/>
    <w:rsid w:val="00E838B6"/>
    <w:rsid w:val="00E83AA3"/>
    <w:rsid w:val="00E8423F"/>
    <w:rsid w:val="00E84D66"/>
    <w:rsid w:val="00E85880"/>
    <w:rsid w:val="00E869F7"/>
    <w:rsid w:val="00E86DE4"/>
    <w:rsid w:val="00E9177F"/>
    <w:rsid w:val="00E93125"/>
    <w:rsid w:val="00E9641F"/>
    <w:rsid w:val="00EA0DA1"/>
    <w:rsid w:val="00EA1957"/>
    <w:rsid w:val="00EA2E37"/>
    <w:rsid w:val="00EA4649"/>
    <w:rsid w:val="00EA4D74"/>
    <w:rsid w:val="00EA690A"/>
    <w:rsid w:val="00EB06D4"/>
    <w:rsid w:val="00EB10A4"/>
    <w:rsid w:val="00EB33D2"/>
    <w:rsid w:val="00EB49EF"/>
    <w:rsid w:val="00EB4FB8"/>
    <w:rsid w:val="00EB53E3"/>
    <w:rsid w:val="00EB57DE"/>
    <w:rsid w:val="00EB796D"/>
    <w:rsid w:val="00EC0D8B"/>
    <w:rsid w:val="00EC0ECF"/>
    <w:rsid w:val="00EC1B80"/>
    <w:rsid w:val="00EC1CA8"/>
    <w:rsid w:val="00EC2908"/>
    <w:rsid w:val="00EC40A2"/>
    <w:rsid w:val="00EC449C"/>
    <w:rsid w:val="00EC6348"/>
    <w:rsid w:val="00EC6DFD"/>
    <w:rsid w:val="00EC7103"/>
    <w:rsid w:val="00EC7C3F"/>
    <w:rsid w:val="00ED07EC"/>
    <w:rsid w:val="00ED236A"/>
    <w:rsid w:val="00ED2D87"/>
    <w:rsid w:val="00ED2E38"/>
    <w:rsid w:val="00ED3AA4"/>
    <w:rsid w:val="00ED47D7"/>
    <w:rsid w:val="00ED4DE8"/>
    <w:rsid w:val="00ED63FC"/>
    <w:rsid w:val="00ED7AE5"/>
    <w:rsid w:val="00EE0E96"/>
    <w:rsid w:val="00EE0F9A"/>
    <w:rsid w:val="00EE1E7A"/>
    <w:rsid w:val="00EE24D3"/>
    <w:rsid w:val="00EE4544"/>
    <w:rsid w:val="00EE4CEC"/>
    <w:rsid w:val="00EE4E28"/>
    <w:rsid w:val="00EE5124"/>
    <w:rsid w:val="00EE7B7A"/>
    <w:rsid w:val="00EF1524"/>
    <w:rsid w:val="00EF1ACF"/>
    <w:rsid w:val="00EF2DA6"/>
    <w:rsid w:val="00EF3899"/>
    <w:rsid w:val="00EF46A2"/>
    <w:rsid w:val="00EF57AF"/>
    <w:rsid w:val="00EF5B85"/>
    <w:rsid w:val="00EF6070"/>
    <w:rsid w:val="00EF6C8E"/>
    <w:rsid w:val="00EF6FFB"/>
    <w:rsid w:val="00EF7C1F"/>
    <w:rsid w:val="00F03209"/>
    <w:rsid w:val="00F0377C"/>
    <w:rsid w:val="00F05DED"/>
    <w:rsid w:val="00F06731"/>
    <w:rsid w:val="00F077CC"/>
    <w:rsid w:val="00F07F2B"/>
    <w:rsid w:val="00F1165F"/>
    <w:rsid w:val="00F118DB"/>
    <w:rsid w:val="00F11913"/>
    <w:rsid w:val="00F12C8D"/>
    <w:rsid w:val="00F12DD6"/>
    <w:rsid w:val="00F12EF4"/>
    <w:rsid w:val="00F13D60"/>
    <w:rsid w:val="00F15459"/>
    <w:rsid w:val="00F154D7"/>
    <w:rsid w:val="00F1579D"/>
    <w:rsid w:val="00F15F2A"/>
    <w:rsid w:val="00F20180"/>
    <w:rsid w:val="00F20349"/>
    <w:rsid w:val="00F20D34"/>
    <w:rsid w:val="00F21257"/>
    <w:rsid w:val="00F22A63"/>
    <w:rsid w:val="00F23281"/>
    <w:rsid w:val="00F25CC3"/>
    <w:rsid w:val="00F26239"/>
    <w:rsid w:val="00F26377"/>
    <w:rsid w:val="00F26D89"/>
    <w:rsid w:val="00F26EBE"/>
    <w:rsid w:val="00F30092"/>
    <w:rsid w:val="00F315B1"/>
    <w:rsid w:val="00F321A6"/>
    <w:rsid w:val="00F33CCD"/>
    <w:rsid w:val="00F3560A"/>
    <w:rsid w:val="00F35B65"/>
    <w:rsid w:val="00F36D94"/>
    <w:rsid w:val="00F40EA5"/>
    <w:rsid w:val="00F427CA"/>
    <w:rsid w:val="00F42D75"/>
    <w:rsid w:val="00F471B7"/>
    <w:rsid w:val="00F50A5C"/>
    <w:rsid w:val="00F510A0"/>
    <w:rsid w:val="00F52A16"/>
    <w:rsid w:val="00F5322A"/>
    <w:rsid w:val="00F53718"/>
    <w:rsid w:val="00F53F58"/>
    <w:rsid w:val="00F5467D"/>
    <w:rsid w:val="00F54C32"/>
    <w:rsid w:val="00F55929"/>
    <w:rsid w:val="00F55AFF"/>
    <w:rsid w:val="00F55E1A"/>
    <w:rsid w:val="00F56325"/>
    <w:rsid w:val="00F566BE"/>
    <w:rsid w:val="00F57F1B"/>
    <w:rsid w:val="00F6192D"/>
    <w:rsid w:val="00F61C27"/>
    <w:rsid w:val="00F62564"/>
    <w:rsid w:val="00F63902"/>
    <w:rsid w:val="00F63B3F"/>
    <w:rsid w:val="00F64C25"/>
    <w:rsid w:val="00F64E7E"/>
    <w:rsid w:val="00F65258"/>
    <w:rsid w:val="00F658E8"/>
    <w:rsid w:val="00F65D8C"/>
    <w:rsid w:val="00F677AE"/>
    <w:rsid w:val="00F72568"/>
    <w:rsid w:val="00F730C8"/>
    <w:rsid w:val="00F73357"/>
    <w:rsid w:val="00F74269"/>
    <w:rsid w:val="00F7541B"/>
    <w:rsid w:val="00F7544E"/>
    <w:rsid w:val="00F75B87"/>
    <w:rsid w:val="00F81C0A"/>
    <w:rsid w:val="00F81DF0"/>
    <w:rsid w:val="00F8260A"/>
    <w:rsid w:val="00F83369"/>
    <w:rsid w:val="00F83D60"/>
    <w:rsid w:val="00F83E8F"/>
    <w:rsid w:val="00F84A1A"/>
    <w:rsid w:val="00F85CAF"/>
    <w:rsid w:val="00F86897"/>
    <w:rsid w:val="00F86FC5"/>
    <w:rsid w:val="00F87F2A"/>
    <w:rsid w:val="00F91BB9"/>
    <w:rsid w:val="00F922B4"/>
    <w:rsid w:val="00F92E66"/>
    <w:rsid w:val="00F932BC"/>
    <w:rsid w:val="00F9338A"/>
    <w:rsid w:val="00F9510B"/>
    <w:rsid w:val="00F96CC2"/>
    <w:rsid w:val="00F97653"/>
    <w:rsid w:val="00FA0B6D"/>
    <w:rsid w:val="00FA0C5B"/>
    <w:rsid w:val="00FA347D"/>
    <w:rsid w:val="00FA39C1"/>
    <w:rsid w:val="00FA4E18"/>
    <w:rsid w:val="00FA66DA"/>
    <w:rsid w:val="00FA6A8C"/>
    <w:rsid w:val="00FA70C8"/>
    <w:rsid w:val="00FA7BB9"/>
    <w:rsid w:val="00FB03A4"/>
    <w:rsid w:val="00FB0405"/>
    <w:rsid w:val="00FB08F7"/>
    <w:rsid w:val="00FB0C3E"/>
    <w:rsid w:val="00FB1187"/>
    <w:rsid w:val="00FB1937"/>
    <w:rsid w:val="00FB2332"/>
    <w:rsid w:val="00FB2AB3"/>
    <w:rsid w:val="00FB3DA7"/>
    <w:rsid w:val="00FB3DC0"/>
    <w:rsid w:val="00FB52AC"/>
    <w:rsid w:val="00FB5637"/>
    <w:rsid w:val="00FB5E4E"/>
    <w:rsid w:val="00FB5FE0"/>
    <w:rsid w:val="00FB7170"/>
    <w:rsid w:val="00FB7D48"/>
    <w:rsid w:val="00FC00F7"/>
    <w:rsid w:val="00FC0EFA"/>
    <w:rsid w:val="00FC3961"/>
    <w:rsid w:val="00FC3F17"/>
    <w:rsid w:val="00FC45BE"/>
    <w:rsid w:val="00FC6E46"/>
    <w:rsid w:val="00FD0B84"/>
    <w:rsid w:val="00FD1166"/>
    <w:rsid w:val="00FD19AA"/>
    <w:rsid w:val="00FD499E"/>
    <w:rsid w:val="00FD515C"/>
    <w:rsid w:val="00FE0139"/>
    <w:rsid w:val="00FE0F63"/>
    <w:rsid w:val="00FE219F"/>
    <w:rsid w:val="00FE23C9"/>
    <w:rsid w:val="00FE28A7"/>
    <w:rsid w:val="00FE674B"/>
    <w:rsid w:val="00FE7879"/>
    <w:rsid w:val="00FE7929"/>
    <w:rsid w:val="00FF0EBF"/>
    <w:rsid w:val="00FF3ECD"/>
    <w:rsid w:val="00FF50CA"/>
    <w:rsid w:val="00FF52FC"/>
    <w:rsid w:val="00FF5744"/>
    <w:rsid w:val="00FF6402"/>
    <w:rsid w:val="02704D1C"/>
    <w:rsid w:val="051328BF"/>
    <w:rsid w:val="07F8FC72"/>
    <w:rsid w:val="09993554"/>
    <w:rsid w:val="09A3F17A"/>
    <w:rsid w:val="0C60686E"/>
    <w:rsid w:val="0C70EB9D"/>
    <w:rsid w:val="0CAEA0F0"/>
    <w:rsid w:val="0EEE5413"/>
    <w:rsid w:val="0F8DD31B"/>
    <w:rsid w:val="14528016"/>
    <w:rsid w:val="14FCD9A6"/>
    <w:rsid w:val="16686AB1"/>
    <w:rsid w:val="178650AB"/>
    <w:rsid w:val="188FE4B9"/>
    <w:rsid w:val="19D3E17E"/>
    <w:rsid w:val="1A97763E"/>
    <w:rsid w:val="1C68EB33"/>
    <w:rsid w:val="1E7ACAE3"/>
    <w:rsid w:val="2148BA8E"/>
    <w:rsid w:val="21C52ADC"/>
    <w:rsid w:val="22D38098"/>
    <w:rsid w:val="24C498D5"/>
    <w:rsid w:val="263C9160"/>
    <w:rsid w:val="271BB581"/>
    <w:rsid w:val="285CADF5"/>
    <w:rsid w:val="2912E395"/>
    <w:rsid w:val="2BC62CDD"/>
    <w:rsid w:val="2C5070F1"/>
    <w:rsid w:val="2DB3A534"/>
    <w:rsid w:val="308E1F10"/>
    <w:rsid w:val="318001B8"/>
    <w:rsid w:val="3256869F"/>
    <w:rsid w:val="32B115FF"/>
    <w:rsid w:val="334D77C2"/>
    <w:rsid w:val="33B9FD4C"/>
    <w:rsid w:val="386FC99D"/>
    <w:rsid w:val="39613394"/>
    <w:rsid w:val="3A60B572"/>
    <w:rsid w:val="3AF4E6C5"/>
    <w:rsid w:val="3D880FEE"/>
    <w:rsid w:val="3E414567"/>
    <w:rsid w:val="3FA4CF0E"/>
    <w:rsid w:val="40090EBC"/>
    <w:rsid w:val="414A531B"/>
    <w:rsid w:val="453AD03E"/>
    <w:rsid w:val="48FE62CD"/>
    <w:rsid w:val="49BED4F9"/>
    <w:rsid w:val="49E08CD3"/>
    <w:rsid w:val="4E9A8409"/>
    <w:rsid w:val="51FB37D1"/>
    <w:rsid w:val="54CAEDB9"/>
    <w:rsid w:val="554154BC"/>
    <w:rsid w:val="5C1D7234"/>
    <w:rsid w:val="5FBCB6F6"/>
    <w:rsid w:val="65559F53"/>
    <w:rsid w:val="6B8CEDFC"/>
    <w:rsid w:val="6D5ADE93"/>
    <w:rsid w:val="6F985C12"/>
    <w:rsid w:val="70B53147"/>
    <w:rsid w:val="70E79BD0"/>
    <w:rsid w:val="720B270B"/>
    <w:rsid w:val="738EC405"/>
    <w:rsid w:val="738F720B"/>
    <w:rsid w:val="75707D5E"/>
    <w:rsid w:val="75F376CC"/>
    <w:rsid w:val="779EC762"/>
    <w:rsid w:val="78A01AE5"/>
    <w:rsid w:val="7A0A2120"/>
    <w:rsid w:val="7AFBE284"/>
    <w:rsid w:val="7D32EEED"/>
    <w:rsid w:val="7EBDA8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16EB8"/>
  <w15:docId w15:val="{22DEB916-46C4-4A9C-919C-679A24BB5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DA2"/>
    <w:rPr>
      <w:rFonts w:eastAsiaTheme="minorHAnsi" w:cstheme="minorBidi"/>
      <w:sz w:val="22"/>
      <w:szCs w:val="22"/>
      <w:lang w:eastAsia="en-US"/>
    </w:rPr>
  </w:style>
  <w:style w:type="paragraph" w:styleId="Heading1">
    <w:name w:val="heading 1"/>
    <w:next w:val="Normal"/>
    <w:link w:val="Heading1Char"/>
    <w:uiPriority w:val="1"/>
    <w:qFormat/>
    <w:rsid w:val="004D2E53"/>
    <w:pPr>
      <w:widowControl w:val="0"/>
      <w:spacing w:before="360" w:after="240"/>
      <w:contextualSpacing/>
      <w:outlineLvl w:val="0"/>
    </w:pPr>
    <w:rPr>
      <w:rFonts w:ascii="Calibri" w:eastAsiaTheme="minorHAnsi" w:hAnsi="Calibri" w:cstheme="minorBidi"/>
      <w:b/>
      <w:bCs/>
      <w:color w:val="000000"/>
      <w:spacing w:val="5"/>
      <w:kern w:val="28"/>
      <w:sz w:val="52"/>
      <w:szCs w:val="28"/>
      <w:lang w:eastAsia="en-US"/>
    </w:rPr>
  </w:style>
  <w:style w:type="paragraph" w:styleId="Heading2">
    <w:name w:val="heading 2"/>
    <w:basedOn w:val="Normal"/>
    <w:next w:val="Normal"/>
    <w:link w:val="Heading2Char"/>
    <w:uiPriority w:val="3"/>
    <w:rsid w:val="00ED07EC"/>
    <w:pPr>
      <w:keepNext/>
      <w:spacing w:after="60" w:line="240" w:lineRule="auto"/>
      <w:outlineLvl w:val="1"/>
    </w:pPr>
    <w:rPr>
      <w:rFonts w:ascii="Calibri" w:eastAsiaTheme="minorEastAsia" w:hAnsi="Calibri"/>
      <w:bCs/>
      <w:color w:val="000000"/>
      <w:sz w:val="36"/>
      <w:szCs w:val="28"/>
      <w:lang w:eastAsia="ja-JP"/>
    </w:rPr>
  </w:style>
  <w:style w:type="paragraph" w:styleId="Heading3">
    <w:name w:val="heading 3"/>
    <w:next w:val="Normal"/>
    <w:link w:val="Heading3Char"/>
    <w:uiPriority w:val="4"/>
    <w:qFormat/>
    <w:rsid w:val="00AF527D"/>
    <w:pPr>
      <w:keepNext/>
      <w:keepLines/>
      <w:spacing w:before="120"/>
      <w:outlineLvl w:val="2"/>
    </w:pPr>
    <w:rPr>
      <w:rFonts w:ascii="Calibri" w:eastAsia="Times New Roman" w:hAnsi="Calibri"/>
      <w:b/>
      <w:bCs/>
      <w:sz w:val="28"/>
      <w:szCs w:val="24"/>
      <w:lang w:eastAsia="en-US"/>
    </w:rPr>
  </w:style>
  <w:style w:type="paragraph" w:styleId="Heading4">
    <w:name w:val="heading 4"/>
    <w:next w:val="Normal"/>
    <w:link w:val="Heading4Char"/>
    <w:uiPriority w:val="5"/>
    <w:qFormat/>
    <w:rsid w:val="00ED07EC"/>
    <w:pPr>
      <w:keepNext/>
      <w:outlineLvl w:val="3"/>
    </w:pPr>
    <w:rPr>
      <w:rFonts w:ascii="Calibri" w:eastAsia="Times New Roman" w:hAnsi="Calibri"/>
      <w:b/>
      <w:bCs/>
      <w:sz w:val="24"/>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4D2E53"/>
    <w:rPr>
      <w:rFonts w:ascii="Calibri" w:eastAsiaTheme="minorHAnsi" w:hAnsi="Calibri" w:cstheme="minorBidi"/>
      <w:b/>
      <w:bCs/>
      <w:color w:val="000000"/>
      <w:spacing w:val="5"/>
      <w:kern w:val="28"/>
      <w:sz w:val="5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36"/>
      <w:szCs w:val="28"/>
      <w:lang w:eastAsia="ja-JP"/>
    </w:rPr>
  </w:style>
  <w:style w:type="character" w:customStyle="1" w:styleId="Heading3Char">
    <w:name w:val="Heading 3 Char"/>
    <w:basedOn w:val="DefaultParagraphFont"/>
    <w:link w:val="Heading3"/>
    <w:uiPriority w:val="4"/>
    <w:rsid w:val="00AF527D"/>
    <w:rPr>
      <w:rFonts w:ascii="Calibri" w:eastAsia="Times New Roman" w:hAnsi="Calibri"/>
      <w:b/>
      <w:bCs/>
      <w:sz w:val="28"/>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4"/>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pPr>
    <w:rPr>
      <w:sz w:val="20"/>
    </w:rPr>
  </w:style>
  <w:style w:type="paragraph" w:styleId="Caption">
    <w:name w:val="caption"/>
    <w:basedOn w:val="Normal"/>
    <w:next w:val="Normal"/>
    <w:uiPriority w:val="12"/>
    <w:qFormat/>
    <w:pPr>
      <w:keepNext/>
      <w:spacing w:line="240" w:lineRule="auto"/>
    </w:pPr>
    <w:rPr>
      <w:rFonts w:ascii="Calibri" w:hAnsi="Calibri"/>
      <w:b/>
      <w:bCs/>
      <w:sz w:val="24"/>
      <w:szCs w:val="18"/>
    </w:rPr>
  </w:style>
  <w:style w:type="paragraph" w:customStyle="1" w:styleId="FigureTableNoteSource">
    <w:name w:val="Figure/Table Note/Source"/>
    <w:basedOn w:val="Normal"/>
    <w:next w:val="Normal"/>
    <w:link w:val="FigureTableNoteSourceChar"/>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44"/>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44"/>
      <w:szCs w:val="56"/>
      <w:lang w:eastAsia="en-US"/>
    </w:rPr>
  </w:style>
  <w:style w:type="paragraph" w:styleId="TOCHeading">
    <w:name w:val="TOC Heading"/>
    <w:next w:val="Normal"/>
    <w:uiPriority w:val="39"/>
    <w:qFormat/>
    <w:pPr>
      <w:spacing w:before="480"/>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line="240" w:lineRule="auto"/>
    </w:pPr>
    <w:rPr>
      <w:b/>
      <w:noProof/>
    </w:rPr>
  </w:style>
  <w:style w:type="paragraph" w:styleId="TOC2">
    <w:name w:val="toc 2"/>
    <w:basedOn w:val="Normal"/>
    <w:next w:val="Normal"/>
    <w:uiPriority w:val="39"/>
    <w:unhideWhenUsed/>
    <w:qFormat/>
    <w:pPr>
      <w:tabs>
        <w:tab w:val="right" w:leader="dot" w:pos="9060"/>
      </w:tabs>
      <w:spacing w:before="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4"/>
      </w:numPr>
      <w:spacing w:before="120"/>
    </w:pPr>
  </w:style>
  <w:style w:type="paragraph" w:styleId="TableofFigures">
    <w:name w:val="table of figures"/>
    <w:basedOn w:val="Normal"/>
    <w:next w:val="Normal"/>
    <w:uiPriority w:val="99"/>
    <w:pPr>
      <w:spacing w:before="120" w:line="240" w:lineRule="auto"/>
    </w:pPr>
  </w:style>
  <w:style w:type="paragraph" w:styleId="ListBullet2">
    <w:name w:val="List Bullet 2"/>
    <w:basedOn w:val="Normal"/>
    <w:uiPriority w:val="8"/>
    <w:qFormat/>
    <w:pPr>
      <w:numPr>
        <w:ilvl w:val="1"/>
        <w:numId w:val="4"/>
      </w:numPr>
      <w:spacing w:before="120"/>
      <w:contextualSpacing/>
    </w:pPr>
  </w:style>
  <w:style w:type="paragraph" w:styleId="ListNumber">
    <w:name w:val="List Number"/>
    <w:basedOn w:val="Normal"/>
    <w:uiPriority w:val="9"/>
    <w:qFormat/>
    <w:pPr>
      <w:numPr>
        <w:numId w:val="8"/>
      </w:numPr>
      <w:tabs>
        <w:tab w:val="left" w:pos="142"/>
      </w:tabs>
      <w:spacing w:before="120"/>
    </w:pPr>
  </w:style>
  <w:style w:type="paragraph" w:styleId="ListNumber2">
    <w:name w:val="List Number 2"/>
    <w:uiPriority w:val="10"/>
    <w:qFormat/>
    <w:pPr>
      <w:numPr>
        <w:ilvl w:val="1"/>
        <w:numId w:val="8"/>
      </w:numPr>
      <w:tabs>
        <w:tab w:val="left" w:pos="567"/>
      </w:tabs>
      <w:spacing w:before="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4"/>
      <w:szCs w:val="28"/>
    </w:rPr>
  </w:style>
  <w:style w:type="paragraph" w:customStyle="1" w:styleId="AuthorOrganisationAffiliation">
    <w:name w:val="Author Organisation/Affiliation"/>
    <w:basedOn w:val="Normal"/>
    <w:next w:val="Normal"/>
    <w:uiPriority w:val="25"/>
    <w:qFormat/>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2"/>
      </w:numPr>
      <w:ind w:left="357" w:hanging="357"/>
    </w:pPr>
  </w:style>
  <w:style w:type="paragraph" w:customStyle="1" w:styleId="TableBullet1">
    <w:name w:val="Table Bullet 1"/>
    <w:basedOn w:val="TableText"/>
    <w:uiPriority w:val="15"/>
    <w:qFormat/>
    <w:pPr>
      <w:numPr>
        <w:numId w:val="3"/>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nhideWhenUsed/>
    <w:pPr>
      <w:spacing w:after="60" w:line="264" w:lineRule="auto"/>
    </w:pPr>
    <w:rPr>
      <w:sz w:val="20"/>
      <w:szCs w:val="20"/>
    </w:rPr>
  </w:style>
  <w:style w:type="character" w:customStyle="1" w:styleId="FootnoteTextChar">
    <w:name w:val="Footnote Text Char"/>
    <w:basedOn w:val="DefaultParagraphFont"/>
    <w:link w:val="FootnoteText"/>
    <w:rPr>
      <w:rFonts w:eastAsiaTheme="minorHAnsi" w:cstheme="minorBidi"/>
      <w:lang w:eastAsia="en-US"/>
    </w:rPr>
  </w:style>
  <w:style w:type="character" w:styleId="FootnoteReference">
    <w:name w:val="footnote reference"/>
    <w:basedOn w:val="DefaultParagraphFont"/>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4"/>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5"/>
      </w:numPr>
    </w:pPr>
  </w:style>
  <w:style w:type="numbering" w:customStyle="1" w:styleId="Headinglist">
    <w:name w:val="Heading list"/>
    <w:uiPriority w:val="99"/>
    <w:pPr>
      <w:numPr>
        <w:numId w:val="6"/>
      </w:numPr>
    </w:pPr>
  </w:style>
  <w:style w:type="paragraph" w:customStyle="1" w:styleId="Normalsmall">
    <w:name w:val="Normal small"/>
    <w:qFormat/>
    <w:rPr>
      <w:rFonts w:eastAsiaTheme="minorHAnsi" w:cstheme="minorBidi"/>
      <w:sz w:val="18"/>
      <w:szCs w:val="18"/>
      <w:lang w:eastAsia="en-US"/>
    </w:rPr>
  </w:style>
  <w:style w:type="paragraph" w:styleId="ListBullet3">
    <w:name w:val="List Bullet 3"/>
    <w:basedOn w:val="Normal"/>
    <w:uiPriority w:val="99"/>
    <w:pPr>
      <w:numPr>
        <w:ilvl w:val="2"/>
        <w:numId w:val="4"/>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styleId="Date">
    <w:name w:val="Date"/>
    <w:basedOn w:val="Normal"/>
    <w:next w:val="Normal"/>
    <w:link w:val="DateChar"/>
    <w:uiPriority w:val="99"/>
    <w:unhideWhenUsed/>
    <w:rsid w:val="00AC3A2A"/>
    <w:pPr>
      <w:jc w:val="right"/>
    </w:pPr>
  </w:style>
  <w:style w:type="character" w:customStyle="1" w:styleId="DateChar">
    <w:name w:val="Date Char"/>
    <w:basedOn w:val="DefaultParagraphFont"/>
    <w:link w:val="Date"/>
    <w:uiPriority w:val="99"/>
    <w:rsid w:val="00AC3A2A"/>
    <w:rPr>
      <w:rFonts w:eastAsiaTheme="minorHAnsi" w:cstheme="minorBidi"/>
      <w:sz w:val="22"/>
      <w:szCs w:val="22"/>
      <w:lang w:eastAsia="en-US"/>
    </w:rPr>
  </w:style>
  <w:style w:type="paragraph" w:styleId="Revision">
    <w:name w:val="Revision"/>
    <w:hidden/>
    <w:uiPriority w:val="99"/>
    <w:semiHidden/>
    <w:rsid w:val="00CE18A3"/>
    <w:rPr>
      <w:rFonts w:eastAsiaTheme="minorHAnsi" w:cstheme="minorBidi"/>
      <w:sz w:val="22"/>
      <w:szCs w:val="22"/>
      <w:lang w:eastAsia="en-US"/>
    </w:rPr>
  </w:style>
  <w:style w:type="character" w:customStyle="1" w:styleId="UnresolvedMention1">
    <w:name w:val="Unresolved Mention1"/>
    <w:basedOn w:val="DefaultParagraphFont"/>
    <w:uiPriority w:val="99"/>
    <w:semiHidden/>
    <w:unhideWhenUsed/>
    <w:rsid w:val="00F03209"/>
    <w:rPr>
      <w:color w:val="605E5C"/>
      <w:shd w:val="clear" w:color="auto" w:fill="E1DFDD"/>
    </w:rPr>
  </w:style>
  <w:style w:type="paragraph" w:customStyle="1" w:styleId="Instructiontext">
    <w:name w:val="Instruction text"/>
    <w:basedOn w:val="Normal"/>
    <w:next w:val="Normal"/>
    <w:qFormat/>
    <w:rsid w:val="00651F93"/>
    <w:rPr>
      <w:color w:val="1F497D" w:themeColor="text2"/>
      <w:shd w:val="clear" w:color="auto" w:fill="DBE5F1" w:themeFill="accent1" w:themeFillTint="33"/>
    </w:rPr>
  </w:style>
  <w:style w:type="character" w:customStyle="1" w:styleId="UnresolvedMention2">
    <w:name w:val="Unresolved Mention2"/>
    <w:basedOn w:val="DefaultParagraphFont"/>
    <w:uiPriority w:val="99"/>
    <w:semiHidden/>
    <w:unhideWhenUsed/>
    <w:rsid w:val="00412830"/>
    <w:rPr>
      <w:color w:val="605E5C"/>
      <w:shd w:val="clear" w:color="auto" w:fill="E1DFDD"/>
    </w:rPr>
  </w:style>
  <w:style w:type="paragraph" w:customStyle="1" w:styleId="Tabletextinstruction">
    <w:name w:val="Table text instruction"/>
    <w:basedOn w:val="TableText"/>
    <w:qFormat/>
    <w:rsid w:val="00276E5C"/>
    <w:pPr>
      <w:shd w:val="clear" w:color="auto" w:fill="D9D9D9" w:themeFill="background1" w:themeFillShade="D9"/>
    </w:pPr>
  </w:style>
  <w:style w:type="character" w:customStyle="1" w:styleId="UnresolvedMention3">
    <w:name w:val="Unresolved Mention3"/>
    <w:basedOn w:val="DefaultParagraphFont"/>
    <w:uiPriority w:val="99"/>
    <w:semiHidden/>
    <w:unhideWhenUsed/>
    <w:rsid w:val="00BA28D1"/>
    <w:rPr>
      <w:color w:val="605E5C"/>
      <w:shd w:val="clear" w:color="auto" w:fill="E1DFDD"/>
    </w:rPr>
  </w:style>
  <w:style w:type="paragraph" w:styleId="ListParagraph">
    <w:name w:val="List Paragraph"/>
    <w:basedOn w:val="Normal"/>
    <w:uiPriority w:val="99"/>
    <w:qFormat/>
    <w:rsid w:val="00683B26"/>
    <w:pPr>
      <w:ind w:left="720"/>
      <w:contextualSpacing/>
    </w:pPr>
  </w:style>
  <w:style w:type="paragraph" w:customStyle="1" w:styleId="Consultationtext">
    <w:name w:val="Consultation text"/>
    <w:basedOn w:val="Normal"/>
    <w:qFormat/>
    <w:rsid w:val="004A3350"/>
    <w:rPr>
      <w:color w:val="FF0000"/>
    </w:rPr>
  </w:style>
  <w:style w:type="character" w:styleId="UnresolvedMention">
    <w:name w:val="Unresolved Mention"/>
    <w:basedOn w:val="DefaultParagraphFont"/>
    <w:uiPriority w:val="99"/>
    <w:semiHidden/>
    <w:unhideWhenUsed/>
    <w:rsid w:val="007B4E95"/>
    <w:rPr>
      <w:color w:val="605E5C"/>
      <w:shd w:val="clear" w:color="auto" w:fill="E1DFDD"/>
    </w:rPr>
  </w:style>
  <w:style w:type="character" w:customStyle="1" w:styleId="acopre">
    <w:name w:val="acopre"/>
    <w:basedOn w:val="DefaultParagraphFont"/>
    <w:rsid w:val="00557ED0"/>
  </w:style>
  <w:style w:type="paragraph" w:customStyle="1" w:styleId="EndNoteBibliographyTitle">
    <w:name w:val="EndNote Bibliography Title"/>
    <w:basedOn w:val="Normal"/>
    <w:link w:val="EndNoteBibliographyTitleChar"/>
    <w:rsid w:val="00557ED0"/>
    <w:pPr>
      <w:spacing w:after="0"/>
      <w:jc w:val="center"/>
    </w:pPr>
    <w:rPr>
      <w:rFonts w:ascii="Calibri" w:hAnsi="Calibri"/>
      <w:noProof/>
      <w:lang w:val="en-US"/>
    </w:rPr>
  </w:style>
  <w:style w:type="character" w:customStyle="1" w:styleId="FigureTableNoteSourceChar">
    <w:name w:val="Figure/Table Note/Source Char"/>
    <w:basedOn w:val="DefaultParagraphFont"/>
    <w:link w:val="FigureTableNoteSource"/>
    <w:uiPriority w:val="16"/>
    <w:rsid w:val="00557ED0"/>
    <w:rPr>
      <w:rFonts w:ascii="Calibri" w:eastAsiaTheme="minorHAnsi" w:hAnsi="Calibri" w:cstheme="minorBidi"/>
      <w:sz w:val="18"/>
      <w:szCs w:val="22"/>
      <w:lang w:eastAsia="en-US"/>
    </w:rPr>
  </w:style>
  <w:style w:type="character" w:customStyle="1" w:styleId="EndNoteBibliographyTitleChar">
    <w:name w:val="EndNote Bibliography Title Char"/>
    <w:basedOn w:val="FigureTableNoteSourceChar"/>
    <w:link w:val="EndNoteBibliographyTitle"/>
    <w:rsid w:val="00557ED0"/>
    <w:rPr>
      <w:rFonts w:ascii="Calibri" w:eastAsiaTheme="minorHAnsi" w:hAnsi="Calibri" w:cstheme="minorBidi"/>
      <w:noProof/>
      <w:sz w:val="22"/>
      <w:szCs w:val="22"/>
      <w:lang w:val="en-US" w:eastAsia="en-US"/>
    </w:rPr>
  </w:style>
  <w:style w:type="paragraph" w:customStyle="1" w:styleId="EndNoteBibliography">
    <w:name w:val="EndNote Bibliography"/>
    <w:basedOn w:val="Normal"/>
    <w:link w:val="EndNoteBibliographyChar"/>
    <w:rsid w:val="00557ED0"/>
    <w:pPr>
      <w:spacing w:after="200" w:line="240" w:lineRule="auto"/>
    </w:pPr>
    <w:rPr>
      <w:rFonts w:ascii="Calibri" w:hAnsi="Calibri"/>
      <w:noProof/>
      <w:lang w:val="en-US"/>
    </w:rPr>
  </w:style>
  <w:style w:type="character" w:customStyle="1" w:styleId="EndNoteBibliographyChar">
    <w:name w:val="EndNote Bibliography Char"/>
    <w:basedOn w:val="FigureTableNoteSourceChar"/>
    <w:link w:val="EndNoteBibliography"/>
    <w:rsid w:val="00557ED0"/>
    <w:rPr>
      <w:rFonts w:ascii="Calibri" w:eastAsiaTheme="minorHAnsi" w:hAnsi="Calibri" w:cstheme="minorBidi"/>
      <w:noProof/>
      <w:sz w:val="22"/>
      <w:szCs w:val="22"/>
      <w:lang w:val="en-US" w:eastAsia="en-US"/>
    </w:rPr>
  </w:style>
  <w:style w:type="character" w:customStyle="1" w:styleId="hgkelc">
    <w:name w:val="hgkelc"/>
    <w:basedOn w:val="DefaultParagraphFont"/>
    <w:rsid w:val="00557ED0"/>
  </w:style>
  <w:style w:type="paragraph" w:customStyle="1" w:styleId="xmsonormal">
    <w:name w:val="x_msonormal"/>
    <w:basedOn w:val="Normal"/>
    <w:rsid w:val="00557ED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reference">
    <w:name w:val="CA reference"/>
    <w:basedOn w:val="ListBullet"/>
    <w:link w:val="CAreferenceChar"/>
    <w:qFormat/>
    <w:rsid w:val="00557ED0"/>
    <w:pPr>
      <w:numPr>
        <w:numId w:val="0"/>
      </w:numPr>
      <w:spacing w:after="40" w:line="360" w:lineRule="auto"/>
      <w:ind w:left="357" w:hanging="357"/>
    </w:pPr>
    <w:rPr>
      <w:rFonts w:ascii="Arial" w:eastAsia="Times New Roman" w:hAnsi="Arial" w:cs="Arial"/>
    </w:rPr>
  </w:style>
  <w:style w:type="character" w:customStyle="1" w:styleId="CAreferenceChar">
    <w:name w:val="CA reference Char"/>
    <w:basedOn w:val="DefaultParagraphFont"/>
    <w:link w:val="CAreference"/>
    <w:rsid w:val="00557ED0"/>
    <w:rPr>
      <w:rFonts w:ascii="Arial" w:eastAsia="Times New Roman" w:hAnsi="Arial" w:cs="Arial"/>
      <w:sz w:val="22"/>
      <w:szCs w:val="22"/>
      <w:lang w:eastAsia="en-US"/>
    </w:rPr>
  </w:style>
  <w:style w:type="character" w:customStyle="1" w:styleId="UnresolvedMention4">
    <w:name w:val="Unresolved Mention4"/>
    <w:basedOn w:val="DefaultParagraphFont"/>
    <w:uiPriority w:val="99"/>
    <w:semiHidden/>
    <w:unhideWhenUsed/>
    <w:rsid w:val="00557ED0"/>
    <w:rPr>
      <w:color w:val="605E5C"/>
      <w:shd w:val="clear" w:color="auto" w:fill="E1DFDD"/>
    </w:rPr>
  </w:style>
  <w:style w:type="character" w:customStyle="1" w:styleId="UnresolvedMention5">
    <w:name w:val="Unresolved Mention5"/>
    <w:basedOn w:val="DefaultParagraphFont"/>
    <w:uiPriority w:val="99"/>
    <w:semiHidden/>
    <w:unhideWhenUsed/>
    <w:rsid w:val="00557ED0"/>
    <w:rPr>
      <w:color w:val="605E5C"/>
      <w:shd w:val="clear" w:color="auto" w:fill="E1DFDD"/>
    </w:rPr>
  </w:style>
  <w:style w:type="paragraph" w:customStyle="1" w:styleId="Default">
    <w:name w:val="Default"/>
    <w:rsid w:val="00557ED0"/>
    <w:pPr>
      <w:autoSpaceDE w:val="0"/>
      <w:autoSpaceDN w:val="0"/>
      <w:adjustRightInd w:val="0"/>
      <w:spacing w:after="0" w:line="240" w:lineRule="auto"/>
    </w:pPr>
    <w:rPr>
      <w:rFonts w:ascii="Calibri" w:hAnsi="Calibri" w:cs="Calibri"/>
      <w:color w:val="000000"/>
      <w:sz w:val="24"/>
      <w:szCs w:val="24"/>
    </w:rPr>
  </w:style>
  <w:style w:type="paragraph" w:styleId="NoSpacing">
    <w:name w:val="No Spacing"/>
    <w:link w:val="NoSpacingChar"/>
    <w:uiPriority w:val="1"/>
    <w:qFormat/>
    <w:rsid w:val="00557ED0"/>
    <w:pPr>
      <w:spacing w:after="0" w:line="240" w:lineRule="auto"/>
    </w:pPr>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557ED0"/>
    <w:rPr>
      <w:rFonts w:asciiTheme="minorHAnsi" w:eastAsiaTheme="minorEastAsia" w:hAnsiTheme="minorHAnsi" w:cstheme="minorBidi"/>
      <w:sz w:val="22"/>
      <w:szCs w:val="22"/>
      <w:lang w:val="en-US" w:eastAsia="en-US"/>
    </w:rPr>
  </w:style>
  <w:style w:type="character" w:customStyle="1" w:styleId="normaltextrun">
    <w:name w:val="normaltextrun"/>
    <w:basedOn w:val="DefaultParagraphFont"/>
    <w:rsid w:val="00EB7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56417">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975150">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0509798">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3777201">
      <w:bodyDiv w:val="1"/>
      <w:marLeft w:val="0"/>
      <w:marRight w:val="0"/>
      <w:marTop w:val="0"/>
      <w:marBottom w:val="0"/>
      <w:divBdr>
        <w:top w:val="none" w:sz="0" w:space="0" w:color="auto"/>
        <w:left w:val="none" w:sz="0" w:space="0" w:color="auto"/>
        <w:bottom w:val="none" w:sz="0" w:space="0" w:color="auto"/>
        <w:right w:val="none" w:sz="0" w:space="0" w:color="auto"/>
      </w:divBdr>
    </w:div>
    <w:div w:id="1353536887">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023748">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qld.gov.au/__data/assets/pdf_file/0025/68371/far-north-qld-climate-change-impact-summary.pdf" TargetMode="External"/><Relationship Id="rId26" Type="http://schemas.openxmlformats.org/officeDocument/2006/relationships/footer" Target="footer3.xml"/><Relationship Id="rId21" Type="http://schemas.openxmlformats.org/officeDocument/2006/relationships/header" Target="header1.xml"/><Relationship Id="rId34" Type="http://schemas.openxmlformats.org/officeDocument/2006/relationships/header" Target="header6.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environment.gov.au/science/erin/databases-maps/snes" TargetMode="External"/><Relationship Id="rId25" Type="http://schemas.openxmlformats.org/officeDocument/2006/relationships/header" Target="header3.xml"/><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www.bom.gov.au/climate/data/index.shtml" TargetMode="External"/><Relationship Id="rId29" Type="http://schemas.openxmlformats.org/officeDocument/2006/relationships/hyperlink" Target="https://www.iucnredlist.org/resources/redlistguidelines"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www.environment.gov.au/cgi-bin/sprat/public/sprat.pl" TargetMode="External"/><Relationship Id="rId23" Type="http://schemas.openxmlformats.org/officeDocument/2006/relationships/footer" Target="footer1.xml"/><Relationship Id="rId28" Type="http://schemas.openxmlformats.org/officeDocument/2006/relationships/hyperlink" Target="https://www.iucnredlist.org/resources/categories-and-criteria" TargetMode="External"/><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yperlink" Target="http://www.bom.gov.au/climate/averages/maps.shtml" TargetMode="External"/><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0.png"/><Relationship Id="rId22" Type="http://schemas.openxmlformats.org/officeDocument/2006/relationships/header" Target="header2.xml"/><Relationship Id="rId27" Type="http://schemas.openxmlformats.org/officeDocument/2006/relationships/hyperlink" Target="http://www.environment.gov.au/system/files/pages/d72dfd1a-f0d8-4699-8d43-5d95bbb02428/files/tssc-guidelines-assessing-species-2018.pdf" TargetMode="External"/><Relationship Id="rId30" Type="http://schemas.openxmlformats.org/officeDocument/2006/relationships/header" Target="header4.xml"/><Relationship Id="rId35" Type="http://schemas.openxmlformats.org/officeDocument/2006/relationships/footer" Target="footer6.xml"/><Relationship Id="rId8" Type="http://schemas.openxmlformats.org/officeDocument/2006/relationships/styles" Target="style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251D994CA614C5387B07CC2B93708F9"/>
        <w:category>
          <w:name w:val="General"/>
          <w:gallery w:val="placeholder"/>
        </w:category>
        <w:types>
          <w:type w:val="bbPlcHdr"/>
        </w:types>
        <w:behaviors>
          <w:behavior w:val="content"/>
        </w:behaviors>
        <w:guid w:val="{3747F677-57B0-4BB5-A010-219D8BDB7670}"/>
      </w:docPartPr>
      <w:docPartBody>
        <w:p w:rsidR="002B52FD" w:rsidRDefault="00087505" w:rsidP="00087505">
          <w:pPr>
            <w:pStyle w:val="F251D994CA614C5387B07CC2B93708F9"/>
          </w:pPr>
          <w:r w:rsidRPr="0045331C">
            <w:rPr>
              <w:rStyle w:val="PlaceholderText"/>
            </w:rPr>
            <w:t>Choose an item.</w:t>
          </w:r>
        </w:p>
      </w:docPartBody>
    </w:docPart>
    <w:docPart>
      <w:docPartPr>
        <w:name w:val="463C1E1FE68749FBB00E1918F73E2D8C"/>
        <w:category>
          <w:name w:val="General"/>
          <w:gallery w:val="placeholder"/>
        </w:category>
        <w:types>
          <w:type w:val="bbPlcHdr"/>
        </w:types>
        <w:behaviors>
          <w:behavior w:val="content"/>
        </w:behaviors>
        <w:guid w:val="{53A16B64-C0C6-41F4-890E-D6476BB245CF}"/>
      </w:docPartPr>
      <w:docPartBody>
        <w:p w:rsidR="002B52FD" w:rsidRDefault="00087505" w:rsidP="00087505">
          <w:pPr>
            <w:pStyle w:val="463C1E1FE68749FBB00E1918F73E2D8C"/>
          </w:pPr>
          <w:r w:rsidRPr="0045331C">
            <w:rPr>
              <w:rStyle w:val="PlaceholderText"/>
            </w:rPr>
            <w:t>Choose an item.</w:t>
          </w:r>
        </w:p>
      </w:docPartBody>
    </w:docPart>
    <w:docPart>
      <w:docPartPr>
        <w:name w:val="C65C0F038939462D9461CCA9907EC40E"/>
        <w:category>
          <w:name w:val="General"/>
          <w:gallery w:val="placeholder"/>
        </w:category>
        <w:types>
          <w:type w:val="bbPlcHdr"/>
        </w:types>
        <w:behaviors>
          <w:behavior w:val="content"/>
        </w:behaviors>
        <w:guid w:val="{E93EE413-C403-442D-83C8-D6157B74823A}"/>
      </w:docPartPr>
      <w:docPartBody>
        <w:p w:rsidR="002B52FD" w:rsidRDefault="00087505" w:rsidP="00087505">
          <w:pPr>
            <w:pStyle w:val="C65C0F038939462D9461CCA9907EC40E"/>
          </w:pPr>
          <w:r w:rsidRPr="0045331C">
            <w:rPr>
              <w:rStyle w:val="PlaceholderText"/>
            </w:rPr>
            <w:t>Choose an item.</w:t>
          </w:r>
        </w:p>
      </w:docPartBody>
    </w:docPart>
    <w:docPart>
      <w:docPartPr>
        <w:name w:val="5CEB39D28067466A9291B5036F7CD4AF"/>
        <w:category>
          <w:name w:val="General"/>
          <w:gallery w:val="placeholder"/>
        </w:category>
        <w:types>
          <w:type w:val="bbPlcHdr"/>
        </w:types>
        <w:behaviors>
          <w:behavior w:val="content"/>
        </w:behaviors>
        <w:guid w:val="{1521DC7C-7AA9-470F-889D-87AC9630BC8E}"/>
      </w:docPartPr>
      <w:docPartBody>
        <w:p w:rsidR="002B52FD" w:rsidRDefault="00087505" w:rsidP="00087505">
          <w:pPr>
            <w:pStyle w:val="5CEB39D28067466A9291B5036F7CD4AF"/>
          </w:pPr>
          <w:r w:rsidRPr="0045331C">
            <w:rPr>
              <w:rStyle w:val="PlaceholderText"/>
            </w:rPr>
            <w:t>Choose an item.</w:t>
          </w:r>
        </w:p>
      </w:docPartBody>
    </w:docPart>
    <w:docPart>
      <w:docPartPr>
        <w:name w:val="08DE8575507441D4BCA3D8505E715011"/>
        <w:category>
          <w:name w:val="General"/>
          <w:gallery w:val="placeholder"/>
        </w:category>
        <w:types>
          <w:type w:val="bbPlcHdr"/>
        </w:types>
        <w:behaviors>
          <w:behavior w:val="content"/>
        </w:behaviors>
        <w:guid w:val="{86C175DA-C15D-497A-A617-3892D066FF64}"/>
      </w:docPartPr>
      <w:docPartBody>
        <w:p w:rsidR="002B52FD" w:rsidRDefault="00087505" w:rsidP="00087505">
          <w:pPr>
            <w:pStyle w:val="08DE8575507441D4BCA3D8505E715011"/>
          </w:pPr>
          <w:r w:rsidRPr="0045331C">
            <w:rPr>
              <w:rStyle w:val="PlaceholderText"/>
            </w:rPr>
            <w:t>Choose an item.</w:t>
          </w:r>
        </w:p>
      </w:docPartBody>
    </w:docPart>
    <w:docPart>
      <w:docPartPr>
        <w:name w:val="0C87687F91F143FFBCCC9C487822CB74"/>
        <w:category>
          <w:name w:val="General"/>
          <w:gallery w:val="placeholder"/>
        </w:category>
        <w:types>
          <w:type w:val="bbPlcHdr"/>
        </w:types>
        <w:behaviors>
          <w:behavior w:val="content"/>
        </w:behaviors>
        <w:guid w:val="{4C9BF764-CA73-4A1A-9031-A12AB2C8A05A}"/>
      </w:docPartPr>
      <w:docPartBody>
        <w:p w:rsidR="002B52FD" w:rsidRDefault="00087505" w:rsidP="00087505">
          <w:pPr>
            <w:pStyle w:val="0C87687F91F143FFBCCC9C487822CB74"/>
          </w:pPr>
          <w:r w:rsidRPr="0045331C">
            <w:rPr>
              <w:rStyle w:val="PlaceholderText"/>
            </w:rPr>
            <w:t>Choose an item.</w:t>
          </w:r>
        </w:p>
      </w:docPartBody>
    </w:docPart>
    <w:docPart>
      <w:docPartPr>
        <w:name w:val="CAB853E7C9C04B90BD296150D65EFCD4"/>
        <w:category>
          <w:name w:val="General"/>
          <w:gallery w:val="placeholder"/>
        </w:category>
        <w:types>
          <w:type w:val="bbPlcHdr"/>
        </w:types>
        <w:behaviors>
          <w:behavior w:val="content"/>
        </w:behaviors>
        <w:guid w:val="{EB5DF717-252B-443D-BA7C-0B15B09AE371}"/>
      </w:docPartPr>
      <w:docPartBody>
        <w:p w:rsidR="002B52FD" w:rsidRDefault="00087505" w:rsidP="00087505">
          <w:pPr>
            <w:pStyle w:val="CAB853E7C9C04B90BD296150D65EFCD4"/>
          </w:pPr>
          <w:r w:rsidRPr="0045331C">
            <w:rPr>
              <w:rStyle w:val="PlaceholderText"/>
            </w:rPr>
            <w:t>Choose an item.</w:t>
          </w:r>
        </w:p>
      </w:docPartBody>
    </w:docPart>
    <w:docPart>
      <w:docPartPr>
        <w:name w:val="02B17DCD58704C75A52AC534F9D08F48"/>
        <w:category>
          <w:name w:val="General"/>
          <w:gallery w:val="placeholder"/>
        </w:category>
        <w:types>
          <w:type w:val="bbPlcHdr"/>
        </w:types>
        <w:behaviors>
          <w:behavior w:val="content"/>
        </w:behaviors>
        <w:guid w:val="{C0B3439E-3D97-44CD-8F4D-814007DFAF4D}"/>
      </w:docPartPr>
      <w:docPartBody>
        <w:p w:rsidR="002B52FD" w:rsidRDefault="00087505" w:rsidP="00087505">
          <w:pPr>
            <w:pStyle w:val="02B17DCD58704C75A52AC534F9D08F48"/>
          </w:pPr>
          <w:r w:rsidRPr="00F20180">
            <w:rPr>
              <w:rStyle w:val="PlaceholderText"/>
              <w:highlight w:val="yellow"/>
            </w:rPr>
            <w:t>Choose an item.</w:t>
          </w:r>
        </w:p>
      </w:docPartBody>
    </w:docPart>
    <w:docPart>
      <w:docPartPr>
        <w:name w:val="06EEFC78DE6E466EBC474785FB1707ED"/>
        <w:category>
          <w:name w:val="General"/>
          <w:gallery w:val="placeholder"/>
        </w:category>
        <w:types>
          <w:type w:val="bbPlcHdr"/>
        </w:types>
        <w:behaviors>
          <w:behavior w:val="content"/>
        </w:behaviors>
        <w:guid w:val="{31D61511-F881-466A-8166-9ED32D7F53CA}"/>
      </w:docPartPr>
      <w:docPartBody>
        <w:p w:rsidR="0043518D" w:rsidRDefault="002B52FD" w:rsidP="002B52FD">
          <w:pPr>
            <w:pStyle w:val="06EEFC78DE6E466EBC474785FB1707ED"/>
          </w:pPr>
          <w:r w:rsidRPr="00F20180">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20002A87" w:usb1="00000000" w:usb2="00000000" w:usb3="00000000" w:csb0="000001FF" w:csb1="00000000"/>
  </w:font>
  <w:font w:name="MTSYN">
    <w:altName w:val="Arial Unicode MS"/>
    <w:panose1 w:val="00000000000000000000"/>
    <w:charset w:val="81"/>
    <w:family w:val="auto"/>
    <w:notTrueType/>
    <w:pitch w:val="default"/>
    <w:sig w:usb0="00000001" w:usb1="09060000" w:usb2="00000010" w:usb3="00000000" w:csb0="00080000" w:csb1="00000000"/>
  </w:font>
  <w:font w:name="Engravers MT">
    <w:panose1 w:val="02090707080505020304"/>
    <w:charset w:val="00"/>
    <w:family w:val="roman"/>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505"/>
    <w:rsid w:val="00053D0A"/>
    <w:rsid w:val="00087505"/>
    <w:rsid w:val="00151525"/>
    <w:rsid w:val="001C3E41"/>
    <w:rsid w:val="001D130F"/>
    <w:rsid w:val="00256249"/>
    <w:rsid w:val="00293B93"/>
    <w:rsid w:val="002B52FD"/>
    <w:rsid w:val="003308A7"/>
    <w:rsid w:val="00425B39"/>
    <w:rsid w:val="00430084"/>
    <w:rsid w:val="0043518D"/>
    <w:rsid w:val="004B549E"/>
    <w:rsid w:val="00587D52"/>
    <w:rsid w:val="005E0917"/>
    <w:rsid w:val="00683E9B"/>
    <w:rsid w:val="008603A6"/>
    <w:rsid w:val="008A358E"/>
    <w:rsid w:val="008B5C4E"/>
    <w:rsid w:val="00904E77"/>
    <w:rsid w:val="00A67EA5"/>
    <w:rsid w:val="00BD43F8"/>
    <w:rsid w:val="00CB7017"/>
    <w:rsid w:val="00CC46E9"/>
    <w:rsid w:val="00D07E8E"/>
    <w:rsid w:val="00D9137A"/>
    <w:rsid w:val="00DC547E"/>
    <w:rsid w:val="00DE3EEA"/>
    <w:rsid w:val="00EC0ECF"/>
    <w:rsid w:val="00F54C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52FD"/>
    <w:rPr>
      <w:color w:val="808080"/>
    </w:rPr>
  </w:style>
  <w:style w:type="paragraph" w:customStyle="1" w:styleId="06EEFC78DE6E466EBC474785FB1707ED">
    <w:name w:val="06EEFC78DE6E466EBC474785FB1707ED"/>
    <w:rsid w:val="002B52FD"/>
    <w:rPr>
      <w:kern w:val="2"/>
      <w14:ligatures w14:val="standardContextual"/>
    </w:rPr>
  </w:style>
  <w:style w:type="paragraph" w:customStyle="1" w:styleId="F251D994CA614C5387B07CC2B93708F9">
    <w:name w:val="F251D994CA614C5387B07CC2B93708F9"/>
    <w:rsid w:val="00087505"/>
  </w:style>
  <w:style w:type="paragraph" w:customStyle="1" w:styleId="463C1E1FE68749FBB00E1918F73E2D8C">
    <w:name w:val="463C1E1FE68749FBB00E1918F73E2D8C"/>
    <w:rsid w:val="00087505"/>
  </w:style>
  <w:style w:type="paragraph" w:customStyle="1" w:styleId="C65C0F038939462D9461CCA9907EC40E">
    <w:name w:val="C65C0F038939462D9461CCA9907EC40E"/>
    <w:rsid w:val="00087505"/>
  </w:style>
  <w:style w:type="paragraph" w:customStyle="1" w:styleId="5CEB39D28067466A9291B5036F7CD4AF">
    <w:name w:val="5CEB39D28067466A9291B5036F7CD4AF"/>
    <w:rsid w:val="00087505"/>
  </w:style>
  <w:style w:type="paragraph" w:customStyle="1" w:styleId="08DE8575507441D4BCA3D8505E715011">
    <w:name w:val="08DE8575507441D4BCA3D8505E715011"/>
    <w:rsid w:val="00087505"/>
  </w:style>
  <w:style w:type="paragraph" w:customStyle="1" w:styleId="0C87687F91F143FFBCCC9C487822CB74">
    <w:name w:val="0C87687F91F143FFBCCC9C487822CB74"/>
    <w:rsid w:val="00087505"/>
  </w:style>
  <w:style w:type="paragraph" w:customStyle="1" w:styleId="CAB853E7C9C04B90BD296150D65EFCD4">
    <w:name w:val="CAB853E7C9C04B90BD296150D65EFCD4"/>
    <w:rsid w:val="00087505"/>
  </w:style>
  <w:style w:type="paragraph" w:customStyle="1" w:styleId="02B17DCD58704C75A52AC534F9D08F48">
    <w:name w:val="02B17DCD58704C75A52AC534F9D08F48"/>
    <w:rsid w:val="000875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545497EC4A6BD143832034E0ED8E4937" ma:contentTypeVersion="10" ma:contentTypeDescription="SPIRE Document" ma:contentTypeScope="" ma:versionID="10c601bee3f21cf457cdf360875160a9">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522b2768ed0231ec86abdaaf26864785"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HarvardAGPS.XSL" StyleName="Harvard - AGP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Description xmlns="344c6e69-c594-4ca4-b341-09ae9dfc1422" xsi:nil="true"/>
    <RecordNumber xmlns="344c6e69-c594-4ca4-b341-09ae9dfc1422" xsi:nil="true"/>
    <Approval xmlns="344c6e69-c594-4ca4-b341-09ae9dfc1422" xsi:nil="true"/>
    <Function xmlns="344c6e69-c594-4ca4-b341-09ae9dfc1422" xsi:nil="true"/>
    <IconOverlay xmlns="http://schemas.microsoft.com/sharepoint/v4" xsi:nil="true"/>
  </documentManagement>
</p:properties>
</file>

<file path=customXml/item5.xml><?xml version="1.0" encoding="utf-8"?>
<?mso-contentType ?>
<customXsn xmlns="http://schemas.microsoft.com/office/2006/metadata/customXsn">
  <xsnLocation/>
  <cached>True</cached>
  <openByDefault>False</openByDefault>
  <xsnScope/>
</customXsn>
</file>

<file path=customXml/item6.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Props1.xml><?xml version="1.0" encoding="utf-8"?>
<ds:datastoreItem xmlns:ds="http://schemas.openxmlformats.org/officeDocument/2006/customXml" ds:itemID="{072F2398-6703-4EBD-8158-F92AF9D04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C0F07C-0C5A-4C1F-B33C-F859475FFF08}">
  <ds:schemaRefs>
    <ds:schemaRef ds:uri="http://schemas.openxmlformats.org/officeDocument/2006/bibliography"/>
  </ds:schemaRefs>
</ds:datastoreItem>
</file>

<file path=customXml/itemProps3.xml><?xml version="1.0" encoding="utf-8"?>
<ds:datastoreItem xmlns:ds="http://schemas.openxmlformats.org/officeDocument/2006/customXml" ds:itemID="{322A0C67-4AD0-4963-8360-A87DA99B8E93}">
  <ds:schemaRefs>
    <ds:schemaRef ds:uri="http://schemas.microsoft.com/sharepoint/v3/contenttype/forms"/>
  </ds:schemaRefs>
</ds:datastoreItem>
</file>

<file path=customXml/itemProps4.xml><?xml version="1.0" encoding="utf-8"?>
<ds:datastoreItem xmlns:ds="http://schemas.openxmlformats.org/officeDocument/2006/customXml" ds:itemID="{BC52CE15-D892-46A2-A645-6CA938983BD8}">
  <ds:schemaRefs>
    <ds:schemaRef ds:uri="344c6e69-c594-4ca4-b341-09ae9dfc1422"/>
    <ds:schemaRef ds:uri="http://schemas.microsoft.com/office/infopath/2007/PartnerControls"/>
    <ds:schemaRef ds:uri="http://schemas.microsoft.com/office/2006/metadata/properties"/>
    <ds:schemaRef ds:uri="http://www.w3.org/XML/1998/namespace"/>
    <ds:schemaRef ds:uri="http://schemas.microsoft.com/office/2006/documentManagement/types"/>
    <ds:schemaRef ds:uri="http://purl.org/dc/dcmitype/"/>
    <ds:schemaRef ds:uri="http://purl.org/dc/terms/"/>
    <ds:schemaRef ds:uri="http://purl.org/dc/elements/1.1/"/>
    <ds:schemaRef ds:uri="http://schemas.microsoft.com/sharepoint/v4"/>
    <ds:schemaRef ds:uri="http://schemas.openxmlformats.org/package/2006/metadata/core-properties"/>
  </ds:schemaRefs>
</ds:datastoreItem>
</file>

<file path=customXml/itemProps5.xml><?xml version="1.0" encoding="utf-8"?>
<ds:datastoreItem xmlns:ds="http://schemas.openxmlformats.org/officeDocument/2006/customXml" ds:itemID="{A3E1CDBB-92CC-449C-852A-E2795E82626A}">
  <ds:schemaRefs>
    <ds:schemaRef ds:uri="http://schemas.microsoft.com/office/2006/metadata/customXsn"/>
  </ds:schemaRefs>
</ds:datastoreItem>
</file>

<file path=customXml/itemProps6.xml><?xml version="1.0" encoding="utf-8"?>
<ds:datastoreItem xmlns:ds="http://schemas.openxmlformats.org/officeDocument/2006/customXml" ds:itemID="{7F515797-E723-46AF-8A3D-07F989A0A887}">
  <ds:schemaRefs>
    <ds:schemaRef ds:uri="http://schemas.microsoft.com/sharepoint/events"/>
  </ds:schemaRefs>
</ds:datastoreItem>
</file>

<file path=docMetadata/LabelInfo.xml><?xml version="1.0" encoding="utf-8"?>
<clbl:labelList xmlns:clbl="http://schemas.microsoft.com/office/2020/mipLabelMetadata">
  <clbl:label id="{06a1c6b2-52d5-49b7-9598-2998b6301fb2}" enabled="1" method="Privileged" siteId="{8c3c81bc-2b3c-44af-b3f7-6f620b3910ee}" contentBits="3" removed="0"/>
</clbl:labelList>
</file>

<file path=docProps/app.xml><?xml version="1.0" encoding="utf-8"?>
<Properties xmlns="http://schemas.openxmlformats.org/officeDocument/2006/extended-properties" xmlns:vt="http://schemas.openxmlformats.org/officeDocument/2006/docPropsVTypes">
  <Template>Normal</Template>
  <TotalTime>24</TotalTime>
  <Pages>26</Pages>
  <Words>10588</Words>
  <Characters>61519</Characters>
  <Application>Microsoft Office Word</Application>
  <DocSecurity>0</DocSecurity>
  <Lines>1337</Lines>
  <Paragraphs>616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Callum MULVEY</dc:creator>
  <cp:keywords/>
  <cp:lastModifiedBy>Callum MULVEY</cp:lastModifiedBy>
  <cp:revision>9</cp:revision>
  <cp:lastPrinted>2024-12-12T21:53:00Z</cp:lastPrinted>
  <dcterms:created xsi:type="dcterms:W3CDTF">2024-12-11T05:11:00Z</dcterms:created>
  <dcterms:modified xsi:type="dcterms:W3CDTF">2024-12-12T21:54:00Z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Text">
    <vt:lpwstr>OFFICIAL</vt:lpwstr>
  </property>
  <property fmtid="{D5CDD505-2E9C-101B-9397-08002B2CF9AE}" pid="3" name="RecordPoint_SubmissionDate">
    <vt:lpwstr/>
  </property>
  <property fmtid="{D5CDD505-2E9C-101B-9397-08002B2CF9AE}" pid="4" name="ClassificationContentMarkingHeaderText">
    <vt:lpwstr>OFFICIAL</vt:lpwstr>
  </property>
  <property fmtid="{D5CDD505-2E9C-101B-9397-08002B2CF9AE}" pid="5" name="ClassificationContentMarkingFooterShapeIds">
    <vt:lpwstr>189754c8,1b2412c7,3a3c1429,5a45704a,3cda849b,bdccf99,59ef7a81,7322b38,1650f09f</vt:lpwstr>
  </property>
  <property fmtid="{D5CDD505-2E9C-101B-9397-08002B2CF9AE}" pid="6" name="RecordPoint_RecordNumberSubmitted">
    <vt:lpwstr/>
  </property>
  <property fmtid="{D5CDD505-2E9C-101B-9397-08002B2CF9AE}" pid="7" name="ClassificationContentMarkingHeaderShapeIds">
    <vt:lpwstr>31dae4d3,7d36c92c,365c496a,189c8a64,127aa3c3,2bd7c3b3,6bd779d4,352dbe64,6fc7d94f</vt:lpwstr>
  </property>
  <property fmtid="{D5CDD505-2E9C-101B-9397-08002B2CF9AE}" pid="8" name="ClassificationContentMarkingFooterFontProps">
    <vt:lpwstr>#ff0000,12,Calibri</vt:lpwstr>
  </property>
  <property fmtid="{D5CDD505-2E9C-101B-9397-08002B2CF9AE}" pid="9" name="MediaServiceImageTags">
    <vt:lpwstr/>
  </property>
  <property fmtid="{D5CDD505-2E9C-101B-9397-08002B2CF9AE}" pid="10" name="ContentTypeId">
    <vt:lpwstr>0x0101009DB8618430E8D149BA674DA7B0E0C3F000545497EC4A6BD143832034E0ED8E4937</vt:lpwstr>
  </property>
  <property fmtid="{D5CDD505-2E9C-101B-9397-08002B2CF9AE}" pid="11" name="RecordPoint_ActiveItemUniqueId">
    <vt:lpwstr>{aae2c483-6933-4874-b255-737f1ebd159b}</vt:lpwstr>
  </property>
  <property fmtid="{D5CDD505-2E9C-101B-9397-08002B2CF9AE}" pid="12" name="RecordPoint_ActiveItemMoved">
    <vt:lpwstr/>
  </property>
  <property fmtid="{D5CDD505-2E9C-101B-9397-08002B2CF9AE}" pid="13" name="RecordPoint_SubmissionCompleted">
    <vt:lpwstr/>
  </property>
  <property fmtid="{D5CDD505-2E9C-101B-9397-08002B2CF9AE}" pid="14" name="RecordPoint_RecordFormat">
    <vt:lpwstr/>
  </property>
  <property fmtid="{D5CDD505-2E9C-101B-9397-08002B2CF9AE}" pid="15" name="RecordPoint_ActiveItemWebId">
    <vt:lpwstr>{ce0940a8-fbdd-4d61-aa5f-5fccf7e3a693}</vt:lpwstr>
  </property>
  <property fmtid="{D5CDD505-2E9C-101B-9397-08002B2CF9AE}" pid="16" name="RecordPoint_WorkflowType">
    <vt:lpwstr>ActiveSubmitStub</vt:lpwstr>
  </property>
  <property fmtid="{D5CDD505-2E9C-101B-9397-08002B2CF9AE}" pid="17" name="ClassificationContentMarkingHeaderFontProps">
    <vt:lpwstr>#ff0000,12,Calibri</vt:lpwstr>
  </property>
  <property fmtid="{D5CDD505-2E9C-101B-9397-08002B2CF9AE}" pid="18" name="RecordPoint_ActiveItemSiteId">
    <vt:lpwstr>{8003c3b3-d20c-4e9a-bee9-0e2243d810ee}</vt:lpwstr>
  </property>
  <property fmtid="{D5CDD505-2E9C-101B-9397-08002B2CF9AE}" pid="19" name="RecordPoint_ActiveItemListId">
    <vt:lpwstr>{1af3b3c3-d897-45d1-a846-23e7197b1152}</vt:lpwstr>
  </property>
</Properties>
</file>